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71CDB" w14:textId="1C9584DD" w:rsidR="54661B91" w:rsidRDefault="54661B91" w:rsidP="00444BA6">
      <w:pPr>
        <w:spacing w:before="255" w:after="255"/>
      </w:pPr>
    </w:p>
    <w:p w14:paraId="2DF4D8AE" w14:textId="417E8DE3" w:rsidR="25A8CB98" w:rsidRDefault="25A8CB98" w:rsidP="25A8CB98">
      <w:pPr>
        <w:spacing w:before="255" w:after="255"/>
      </w:pPr>
      <w:r>
        <w:br/>
      </w:r>
      <w:r w:rsidR="584EDDE3">
        <w:t>mycase  study on mr man-</w:t>
      </w:r>
    </w:p>
    <w:p w14:paraId="146E4D55" w14:textId="3FE33CB3" w:rsidR="584EDDE3" w:rsidRDefault="584EDDE3" w:rsidP="25A8CB98">
      <w:pPr>
        <w:spacing w:before="255" w:after="255"/>
        <w:rPr>
          <w:rFonts w:ascii="system-ui" w:eastAsia="system-ui" w:hAnsi="system-ui" w:cs="system-ui"/>
          <w:sz w:val="25"/>
          <w:szCs w:val="25"/>
        </w:rPr>
      </w:pPr>
      <w:r w:rsidRPr="25A8CB98">
        <w:rPr>
          <w:rFonts w:ascii="system-ui" w:eastAsia="system-ui" w:hAnsi="system-ui" w:cs="system-ui"/>
          <w:sz w:val="25"/>
          <w:szCs w:val="25"/>
        </w:rPr>
        <w:t>Introduction (150 words) Effective delivery of health and social care depends on a blend of communication, administrative abilities, and collaboration among various professionals. Mrs. Mann, a 72-year-old woman who was recently discharged following a hip replacement, exemplifies a situation where these skills are essential. Residing alone and receiving assistance from a domiciliary care agency, her daughter, who is a GP, and a community physiotherapist, her care involves several professionals and ongoing monitoring to guarantee safety, independence, and progress in rehabilitation. Language barriers, such as Mrs. Mann's limited proficiency in English, along with recent occurrences of inconsistent documentation and delays in medication adjustments, underscore the necessity for clear communication, precise record-keeping, and cooperative practice. This report will examine the importance of these components in her care, citing pertinent legislation like the Equality Act 2010 and the Data Protection Act 2018, communication models, and strategies to promote effective multi-agency collaboration. The report seeks to illustrate how professional practices can enhance patient outcomes, ensure safety, and maintain ethical standards in complex care situations.</w:t>
      </w:r>
      <w:r>
        <w:br/>
      </w:r>
    </w:p>
    <w:p w14:paraId="2F097331" w14:textId="3D9F67BA" w:rsidR="4D52AE7F" w:rsidRDefault="4D52AE7F" w:rsidP="25A8CB98">
      <w:pPr>
        <w:spacing w:before="255" w:after="255"/>
      </w:pPr>
      <w:r w:rsidRPr="25A8CB98">
        <w:rPr>
          <w:rFonts w:ascii="system-ui" w:eastAsia="system-ui" w:hAnsi="system-ui" w:cs="system-ui"/>
          <w:sz w:val="25"/>
          <w:szCs w:val="25"/>
        </w:rPr>
        <w:t>1. The Significance of Effective Communication (450 words) Effective communication is fundamental to delivering safe and person-centred care. In the case of Mrs Mann, her limited proficiency in English necessitates that the care team implement strategies that guarantee her complete understanding of her care, treatment, and rehabilitation plan. Communication should also encompass her daughter, who serves as both an interpreter and advocate, to ensure clarity and facilitate informed decision-making. The Equality Act 2010 establishes a framework that protects individuals from discrimination based on characteristics such as age, disability, or language. Consequently, care professionals are required to make reasonable adjustments to ensure effective communication, which may include the use of interpreters, simplified language, or visual aids, thereby enabling Mrs Mann to engage actively in her care decisions. This is essential for fostering equality, dignity, and respect.</w:t>
      </w:r>
    </w:p>
    <w:p w14:paraId="1C239E40" w14:textId="5DCBD98A" w:rsidR="79FCBAC0" w:rsidRDefault="79FCBAC0" w:rsidP="25A8CB98">
      <w:pPr>
        <w:spacing w:before="255" w:after="255"/>
      </w:pPr>
      <w:r w:rsidRPr="25A8CB98">
        <w:rPr>
          <w:rFonts w:ascii="system-ui" w:eastAsia="system-ui" w:hAnsi="system-ui" w:cs="system-ui"/>
          <w:sz w:val="25"/>
          <w:szCs w:val="25"/>
        </w:rPr>
        <w:t>A practical communication strategy is the SBAR model (Situation, Background, Assessment, Recommendation), which is frequently utilized in healthcare environments. This organized framework aids professionals in conveying essential information in a clear and concise manner. For example, when communicating with Mrs. Mann’s general practitioner regarding her medication modification, the SBAR approach guarantees that pertinent details about her hip surgery, mobility restrictions, and any recent alterations in her health condition are communicated effectively.  Non-verbal communication holds equal significance, particularly for patients facing language obstacles. Gestures, eye contact, and body language can enhance verbal communications and offer reassurance. Care workers should also engage in active listening, verifying comprehension by employing techniques such as “teach-back,” where the patient reiterates information in their own words.</w:t>
      </w:r>
    </w:p>
    <w:p w14:paraId="5602903C" w14:textId="51C249AC" w:rsidR="79FCBAC0" w:rsidRDefault="79FCBAC0" w:rsidP="25A8CB98">
      <w:pPr>
        <w:spacing w:before="255" w:after="255"/>
      </w:pPr>
      <w:r w:rsidRPr="25A8CB98">
        <w:rPr>
          <w:rFonts w:ascii="system-ui" w:eastAsia="system-ui" w:hAnsi="system-ui" w:cs="system-ui"/>
          <w:sz w:val="25"/>
          <w:szCs w:val="25"/>
        </w:rPr>
        <w:t>Engaging family members, including Mrs. Mann's daughter, aids in precise understanding and guarantees cultural awareness in the development of care plans. Nevertheless, it is crucial to uphold confidentiality and obtain consent, seeking Mrs. Mann's approval prior to disclosing any health-related information.  In conclusion, effective communication regarding Mrs. Mann's care is vital for ensuring her needs are addressed safely, fostering compliance with treatment protocols, and supporting her independence. By implementing the guidelines of the Equality Act 2010 and utilizing structured communication frameworks such as SBAR, healthcare professionals can navigate language obstacles, minimize mistakes, and improve the overall quality of care.</w:t>
      </w:r>
    </w:p>
    <w:p w14:paraId="21DFC86B" w14:textId="19D2B85F" w:rsidR="113535FA" w:rsidRDefault="113535FA" w:rsidP="25A8CB98">
      <w:pPr>
        <w:spacing w:before="255" w:after="255"/>
      </w:pPr>
      <w:r w:rsidRPr="25A8CB98">
        <w:rPr>
          <w:rFonts w:ascii="system-ui" w:eastAsia="system-ui" w:hAnsi="system-ui" w:cs="system-ui"/>
          <w:sz w:val="25"/>
          <w:szCs w:val="25"/>
        </w:rPr>
        <w:t>2. The Significance of Proficient Administrative Skills (450 words) Accurate administrative skills are essential in health and social care to ensure continuity, safety, and adherence to legal standards. In the case of Mrs. Mann’s care, effective record-keeping guarantees that all professionals involved are aware of her medical history, care requirements, and rehabilitation progress. Record keeping entails the documentation of care activities, observations, interventions, and patient responses. In Mrs. Mann’s situation, discrepancies in her care records and missed communications regarding medication changes underscore the dangers associated with inadequate documentation. Such oversights can result in medication errors, delayed treatments, and potentially negative outcomes. Effective administrative practices ensure that records are precise, timely, legible, and objective. Professionals should document in chronological order, utilize standard terminology, and include details of any communications with other team members or family members.</w:t>
      </w:r>
    </w:p>
    <w:p w14:paraId="47E58504" w14:textId="19525755" w:rsidR="5E0AF687" w:rsidRDefault="5E0AF687" w:rsidP="25A8CB98">
      <w:pPr>
        <w:spacing w:before="255" w:after="255"/>
      </w:pPr>
      <w:r w:rsidRPr="25A8CB98">
        <w:rPr>
          <w:rFonts w:ascii="system-ui" w:eastAsia="system-ui" w:hAnsi="system-ui" w:cs="system-ui"/>
          <w:sz w:val="25"/>
          <w:szCs w:val="25"/>
        </w:rPr>
        <w:t>The Data Protection Act 2018 (DPA) serves as the foundation for the management of personal and health data. It sets forth principles regarding the processing, storage, and sharing of patient information, which include lawfulness, transparency, accuracy, and security.  In the case of Mrs Mann, adherence to the DPA stipulates that her health information should be accessible solely to authorized personnel, securely stored, and shared appropriately with her consent. Digital record systems are required to incorporate safeguards such as passwords and audit trails, while physical records must be kept in locked cabinets.  Relevant policy frameworks, including the NHS Code of Practice for Record Keeping, offer guidance on the maintenance of accurate patient records, emphasizing accountability and legal obligations. Regular audits, staff training, and supervision are essential to ensure that documentation standards are consistently met.</w:t>
      </w:r>
    </w:p>
    <w:p w14:paraId="0E86C755" w14:textId="4A396572" w:rsidR="6B50608D" w:rsidRDefault="6B50608D" w:rsidP="25A8CB98">
      <w:pPr>
        <w:spacing w:before="255" w:after="255"/>
      </w:pPr>
      <w:r w:rsidRPr="25A8CB98">
        <w:rPr>
          <w:rFonts w:ascii="system-ui" w:eastAsia="system-ui" w:hAnsi="system-ui" w:cs="system-ui"/>
          <w:sz w:val="25"/>
          <w:szCs w:val="25"/>
        </w:rPr>
        <w:t>Moreover, effective administrative skills enhance communication among professionals. Prompt updates concerning changes in medication or progress in physiotherapy aid in decision-making and minimize the likelihood of errors. For Mrs. Mann, maintaining accurate records can avert missed medication modifications and enhance rehabilitation results by keeping all care staff and professionals aware of her present requirements.  In summary, robust administrative skills are essential for providing safe and effective care. Implementing the Data Protection Act 2018 and following professional record-keeping standards safeguard patient information, promote continuity of care, and improve collaboration within the multidisciplinary team.</w:t>
      </w:r>
    </w:p>
    <w:p w14:paraId="75965E27" w14:textId="72A59A43" w:rsidR="25A8CB98" w:rsidRDefault="25A8CB98" w:rsidP="25A8CB98">
      <w:pPr>
        <w:spacing w:after="0"/>
      </w:pPr>
    </w:p>
    <w:p w14:paraId="5F383E55" w14:textId="32EF26A0" w:rsidR="29166A7D" w:rsidRDefault="29166A7D" w:rsidP="25A8CB98">
      <w:pPr>
        <w:spacing w:before="255" w:after="255"/>
      </w:pPr>
      <w:r w:rsidRPr="25A8CB98">
        <w:rPr>
          <w:rFonts w:ascii="system-ui" w:eastAsia="system-ui" w:hAnsi="system-ui" w:cs="system-ui"/>
          <w:sz w:val="25"/>
          <w:szCs w:val="25"/>
        </w:rPr>
        <w:t>3. The Significance of Collaborative Work (300 words) Collaboration among health and social care professionals is crucial for delivering comprehensive care. Mrs. Mann’s care involves home care workers, her general practitioner, and a community physiotherapist. Effective collaboration guarantees continuity, minimizes errors, and enhances optimal outcomes. Methods to encourage collaboration include regular team meetings, care planning sessions, and shared care records. By conducting structured meetings, professionals can review Mrs. Mann’s progress, tackle challenges, and coordinate interventions such as medication modifications or physiotherapy exercises. Clearly defining roles helps avoid care duplication and ensures accountability. Obstacles in multi-agency collaboration may consist of communication barriers, varying professional priorities, and lapses in information sharing. Solutions to these issues include establishing standardized communication protocols, utilizing secure electronic health records, and fostering mutual respect and understanding among team members. In Mrs. Mann’s situation, involving her daughter as an interpreter also necessitates careful management to uphold confidentiality and accuracy in information sharing.</w:t>
      </w:r>
    </w:p>
    <w:p w14:paraId="4120EFD6" w14:textId="46A43E20" w:rsidR="18B5B5EE" w:rsidRDefault="18B5B5EE" w:rsidP="25A8CB98">
      <w:pPr>
        <w:spacing w:before="255" w:after="255"/>
      </w:pPr>
      <w:r w:rsidRPr="25A8CB98">
        <w:rPr>
          <w:rFonts w:ascii="system-ui" w:eastAsia="system-ui" w:hAnsi="system-ui" w:cs="system-ui"/>
          <w:sz w:val="25"/>
          <w:szCs w:val="25"/>
        </w:rPr>
        <w:t>Inter-professional collaboration enhances person-centred care by making decisions that take into account the patient’s preferences, cultural background, and rehabilitation objectives. For instance, physiotherapy appointments can be synchronized with home visits to maximize Mrs Mann’s recovery, while the general practitioner can promptly modify medications based on the latest observations.  In summary, successful collaboration guarantees that all professionals share their expertise, reduce risks, and promote Mrs Mann’s independence and wellbeing.</w:t>
      </w:r>
    </w:p>
    <w:p w14:paraId="110E6B52" w14:textId="6F6B498E" w:rsidR="25A8CB98" w:rsidRDefault="25A8CB98" w:rsidP="25A8CB98">
      <w:pPr>
        <w:spacing w:before="255" w:after="255"/>
        <w:rPr>
          <w:rFonts w:ascii="system-ui" w:eastAsia="system-ui" w:hAnsi="system-ui" w:cs="system-ui"/>
          <w:sz w:val="25"/>
          <w:szCs w:val="25"/>
        </w:rPr>
      </w:pPr>
    </w:p>
    <w:p w14:paraId="5C40F332" w14:textId="2C81C63F" w:rsidR="0A4CF732" w:rsidRDefault="0A4CF732" w:rsidP="25A8CB98">
      <w:pPr>
        <w:spacing w:before="255" w:after="255"/>
      </w:pPr>
      <w:r w:rsidRPr="25A8CB98">
        <w:rPr>
          <w:rFonts w:ascii="system-ui" w:eastAsia="system-ui" w:hAnsi="system-ui" w:cs="system-ui"/>
          <w:sz w:val="25"/>
          <w:szCs w:val="25"/>
        </w:rPr>
        <w:t>Conclusion (150 words) Mrs. Mann's situation underscores the essential importance of communication, administrative proficiency, and inter-professional teamwork in providing safe and effective care. Effective communication, informed by the Equality Act 2010 and organized frameworks like SBAR, guarantees that language obstacles are overcome, and that both patients and their families are kept informed, facilitating collaborative care decisions. Robust administrative capabilities, which include precise record-keeping and compliance with the Data Protection Act 2018, are fundamental to ensuring continuity, accountability, and patient safety. Collaborating with care workers, the general practitioner, and physiotherapists fosters holistic, person-centered care, addressing challenges in multi-agency practices through structured communication and clear role definitions. By applying these principles, health and social care professionals can improve outcomes, minimize errors, and promote Mrs. Mann's independence and well-being. This case illustrates the critical need for professional competence and ethical conduct in complex care scenarios.</w:t>
      </w:r>
    </w:p>
    <w:p w14:paraId="421244BF" w14:textId="296B1713" w:rsidR="25A8CB98" w:rsidRDefault="25A8CB98" w:rsidP="25A8CB98">
      <w:pPr>
        <w:spacing w:after="0"/>
      </w:pPr>
    </w:p>
    <w:p w14:paraId="43FE8C47" w14:textId="6F61D0B3" w:rsidR="36C11048" w:rsidRDefault="36C11048" w:rsidP="25A8CB98">
      <w:pPr>
        <w:spacing w:before="255" w:after="255"/>
      </w:pPr>
      <w:r w:rsidRPr="25A8CB98">
        <w:rPr>
          <w:rFonts w:ascii="system-ui" w:eastAsia="system-ui" w:hAnsi="system-ui" w:cs="system-ui"/>
          <w:b/>
          <w:bCs/>
          <w:sz w:val="25"/>
          <w:szCs w:val="25"/>
        </w:rPr>
        <w:t>References</w:t>
      </w:r>
    </w:p>
    <w:p w14:paraId="55C76359" w14:textId="6B913DDC" w:rsidR="36C11048" w:rsidRDefault="36C11048" w:rsidP="25A8CB98">
      <w:pPr>
        <w:spacing w:before="255" w:after="255"/>
      </w:pPr>
      <w:r w:rsidRPr="25A8CB98">
        <w:rPr>
          <w:rFonts w:ascii="system-ui" w:eastAsia="system-ui" w:hAnsi="system-ui" w:cs="system-ui"/>
          <w:sz w:val="25"/>
          <w:szCs w:val="25"/>
        </w:rPr>
        <w:t xml:space="preserve">    •    Department of Health and Social Care, 2013. </w:t>
      </w:r>
      <w:r w:rsidRPr="25A8CB98">
        <w:rPr>
          <w:rFonts w:ascii="system-ui" w:eastAsia="system-ui" w:hAnsi="system-ui" w:cs="system-ui"/>
          <w:i/>
          <w:iCs/>
          <w:sz w:val="25"/>
          <w:szCs w:val="25"/>
        </w:rPr>
        <w:t>The Health and Social Care Act 2012: Code of Practice on Records Management</w:t>
      </w:r>
      <w:r w:rsidRPr="25A8CB98">
        <w:rPr>
          <w:rFonts w:ascii="system-ui" w:eastAsia="system-ui" w:hAnsi="system-ui" w:cs="system-ui"/>
          <w:sz w:val="25"/>
          <w:szCs w:val="25"/>
        </w:rPr>
        <w:t xml:space="preserve">. London: DHSC. Available at: </w:t>
      </w:r>
      <w:hyperlink r:id="rId6">
        <w:r w:rsidRPr="25A8CB98">
          <w:rPr>
            <w:rStyle w:val="Hyperlink"/>
            <w:rFonts w:ascii="system-ui" w:eastAsia="system-ui" w:hAnsi="system-ui" w:cs="system-ui"/>
            <w:sz w:val="25"/>
            <w:szCs w:val="25"/>
          </w:rPr>
          <w:t>https://www.gov.uk/government/publications/records-management-code-of-practice</w:t>
        </w:r>
      </w:hyperlink>
      <w:r w:rsidRPr="25A8CB98">
        <w:rPr>
          <w:rFonts w:ascii="system-ui" w:eastAsia="system-ui" w:hAnsi="system-ui" w:cs="system-ui"/>
          <w:sz w:val="25"/>
          <w:szCs w:val="25"/>
        </w:rPr>
        <w:t xml:space="preserve"> [Accessed 17 October 2025].</w:t>
      </w:r>
    </w:p>
    <w:p w14:paraId="087A648C" w14:textId="0CA6B6BE" w:rsidR="36C11048" w:rsidRDefault="36C11048" w:rsidP="25A8CB98">
      <w:pPr>
        <w:spacing w:before="255" w:after="255"/>
      </w:pPr>
      <w:r w:rsidRPr="25A8CB98">
        <w:rPr>
          <w:rFonts w:ascii="system-ui" w:eastAsia="system-ui" w:hAnsi="system-ui" w:cs="system-ui"/>
          <w:sz w:val="25"/>
          <w:szCs w:val="25"/>
        </w:rPr>
        <w:t xml:space="preserve">    •    Equality and Human Rights Commission, 2010. </w:t>
      </w:r>
      <w:r w:rsidRPr="25A8CB98">
        <w:rPr>
          <w:rFonts w:ascii="system-ui" w:eastAsia="system-ui" w:hAnsi="system-ui" w:cs="system-ui"/>
          <w:i/>
          <w:iCs/>
          <w:sz w:val="25"/>
          <w:szCs w:val="25"/>
        </w:rPr>
        <w:t>Equality Act 2010: Guidance for Health and Social Care</w:t>
      </w:r>
      <w:r w:rsidRPr="25A8CB98">
        <w:rPr>
          <w:rFonts w:ascii="system-ui" w:eastAsia="system-ui" w:hAnsi="system-ui" w:cs="system-ui"/>
          <w:sz w:val="25"/>
          <w:szCs w:val="25"/>
        </w:rPr>
        <w:t xml:space="preserve">. London: EHRC. Available at: </w:t>
      </w:r>
      <w:hyperlink r:id="rId7">
        <w:r w:rsidRPr="25A8CB98">
          <w:rPr>
            <w:rStyle w:val="Hyperlink"/>
            <w:rFonts w:ascii="system-ui" w:eastAsia="system-ui" w:hAnsi="system-ui" w:cs="system-ui"/>
            <w:sz w:val="25"/>
            <w:szCs w:val="25"/>
          </w:rPr>
          <w:t>https://www.equalityhumanrights.com/en/advice-and-guidance/equality-act-2010-guidance[Accessed</w:t>
        </w:r>
      </w:hyperlink>
      <w:r w:rsidRPr="25A8CB98">
        <w:rPr>
          <w:rFonts w:ascii="system-ui" w:eastAsia="system-ui" w:hAnsi="system-ui" w:cs="system-ui"/>
          <w:sz w:val="25"/>
          <w:szCs w:val="25"/>
        </w:rPr>
        <w:t xml:space="preserve"> 17 October 2025].</w:t>
      </w:r>
    </w:p>
    <w:p w14:paraId="5DD691A8" w14:textId="6ADCE7E3" w:rsidR="36C11048" w:rsidRDefault="36C11048" w:rsidP="25A8CB98">
      <w:pPr>
        <w:spacing w:before="255" w:after="255"/>
      </w:pPr>
      <w:r w:rsidRPr="25A8CB98">
        <w:rPr>
          <w:rFonts w:ascii="system-ui" w:eastAsia="system-ui" w:hAnsi="system-ui" w:cs="system-ui"/>
          <w:sz w:val="25"/>
          <w:szCs w:val="25"/>
        </w:rPr>
        <w:t xml:space="preserve">    •    Health and Social Care Information Centre, 2018. </w:t>
      </w:r>
      <w:r w:rsidRPr="25A8CB98">
        <w:rPr>
          <w:rFonts w:ascii="system-ui" w:eastAsia="system-ui" w:hAnsi="system-ui" w:cs="system-ui"/>
          <w:i/>
          <w:iCs/>
          <w:sz w:val="25"/>
          <w:szCs w:val="25"/>
        </w:rPr>
        <w:t>Data Protection Act 2018 Guidance for Health and Social Care Professionals</w:t>
      </w:r>
      <w:r w:rsidRPr="25A8CB98">
        <w:rPr>
          <w:rFonts w:ascii="system-ui" w:eastAsia="system-ui" w:hAnsi="system-ui" w:cs="system-ui"/>
          <w:sz w:val="25"/>
          <w:szCs w:val="25"/>
        </w:rPr>
        <w:t xml:space="preserve">. Leeds: NHS Digital. Available at: </w:t>
      </w:r>
      <w:hyperlink r:id="rId8">
        <w:r w:rsidRPr="25A8CB98">
          <w:rPr>
            <w:rStyle w:val="Hyperlink"/>
            <w:rFonts w:ascii="system-ui" w:eastAsia="system-ui" w:hAnsi="system-ui" w:cs="system-ui"/>
            <w:sz w:val="25"/>
            <w:szCs w:val="25"/>
          </w:rPr>
          <w:t>https://digital.nhs.uk/data-and-information/looking-after-information/data-protection</w:t>
        </w:r>
      </w:hyperlink>
      <w:r w:rsidRPr="25A8CB98">
        <w:rPr>
          <w:rFonts w:ascii="system-ui" w:eastAsia="system-ui" w:hAnsi="system-ui" w:cs="system-ui"/>
          <w:sz w:val="25"/>
          <w:szCs w:val="25"/>
        </w:rPr>
        <w:t xml:space="preserve"> [Accessed 17 October 2025].</w:t>
      </w:r>
    </w:p>
    <w:p w14:paraId="5B03633C" w14:textId="7B63698A" w:rsidR="36C11048" w:rsidRDefault="36C11048" w:rsidP="25A8CB98">
      <w:pPr>
        <w:spacing w:before="255" w:after="255"/>
      </w:pPr>
      <w:r w:rsidRPr="25A8CB98">
        <w:rPr>
          <w:rFonts w:ascii="system-ui" w:eastAsia="system-ui" w:hAnsi="system-ui" w:cs="system-ui"/>
          <w:sz w:val="25"/>
          <w:szCs w:val="25"/>
        </w:rPr>
        <w:t xml:space="preserve">    •    Barrett, G., 2017. </w:t>
      </w:r>
      <w:r w:rsidRPr="25A8CB98">
        <w:rPr>
          <w:rFonts w:ascii="system-ui" w:eastAsia="system-ui" w:hAnsi="system-ui" w:cs="system-ui"/>
          <w:i/>
          <w:iCs/>
          <w:sz w:val="25"/>
          <w:szCs w:val="25"/>
        </w:rPr>
        <w:t>Effective Communication in Health and Social Care: A Practical Guide</w:t>
      </w:r>
      <w:r w:rsidRPr="25A8CB98">
        <w:rPr>
          <w:rFonts w:ascii="system-ui" w:eastAsia="system-ui" w:hAnsi="system-ui" w:cs="system-ui"/>
          <w:sz w:val="25"/>
          <w:szCs w:val="25"/>
        </w:rPr>
        <w:t>. 2nd ed. London: Routledge.</w:t>
      </w:r>
    </w:p>
    <w:p w14:paraId="27DEB2DA" w14:textId="182EDEDF" w:rsidR="36C11048" w:rsidRDefault="36C11048" w:rsidP="25A8CB98">
      <w:pPr>
        <w:spacing w:before="255" w:after="255"/>
      </w:pPr>
      <w:r w:rsidRPr="25A8CB98">
        <w:rPr>
          <w:rFonts w:ascii="system-ui" w:eastAsia="system-ui" w:hAnsi="system-ui" w:cs="system-ui"/>
          <w:sz w:val="25"/>
          <w:szCs w:val="25"/>
        </w:rPr>
        <w:t xml:space="preserve">    •    Glendinning, C. et al., 2018. </w:t>
      </w:r>
      <w:r w:rsidRPr="25A8CB98">
        <w:rPr>
          <w:rFonts w:ascii="system-ui" w:eastAsia="system-ui" w:hAnsi="system-ui" w:cs="system-ui"/>
          <w:i/>
          <w:iCs/>
          <w:sz w:val="25"/>
          <w:szCs w:val="25"/>
        </w:rPr>
        <w:t>Multi-agency working in health and social care: Principles and practice</w:t>
      </w:r>
      <w:r w:rsidRPr="25A8CB98">
        <w:rPr>
          <w:rFonts w:ascii="system-ui" w:eastAsia="system-ui" w:hAnsi="system-ui" w:cs="system-ui"/>
          <w:sz w:val="25"/>
          <w:szCs w:val="25"/>
        </w:rPr>
        <w:t>. Bristol: Policy Press.</w:t>
      </w:r>
    </w:p>
    <w:p w14:paraId="7B19A760" w14:textId="6B010502" w:rsidR="36C11048" w:rsidRDefault="36C11048" w:rsidP="25A8CB98">
      <w:pPr>
        <w:spacing w:before="255" w:after="255"/>
      </w:pPr>
      <w:r w:rsidRPr="25A8CB98">
        <w:rPr>
          <w:rFonts w:ascii="system-ui" w:eastAsia="system-ui" w:hAnsi="system-ui" w:cs="system-ui"/>
          <w:sz w:val="25"/>
          <w:szCs w:val="25"/>
        </w:rPr>
        <w:t xml:space="preserve">    •    Royal College of Nursing, 2020. </w:t>
      </w:r>
      <w:r w:rsidRPr="25A8CB98">
        <w:rPr>
          <w:rFonts w:ascii="system-ui" w:eastAsia="system-ui" w:hAnsi="system-ui" w:cs="system-ui"/>
          <w:i/>
          <w:iCs/>
          <w:sz w:val="25"/>
          <w:szCs w:val="25"/>
        </w:rPr>
        <w:t>Record Keeping and Documentation in Health and Social Care</w:t>
      </w:r>
      <w:r w:rsidRPr="25A8CB98">
        <w:rPr>
          <w:rFonts w:ascii="system-ui" w:eastAsia="system-ui" w:hAnsi="system-ui" w:cs="system-ui"/>
          <w:sz w:val="25"/>
          <w:szCs w:val="25"/>
        </w:rPr>
        <w:t xml:space="preserve">. London: RCN. Available at: </w:t>
      </w:r>
      <w:hyperlink r:id="rId9">
        <w:r w:rsidRPr="25A8CB98">
          <w:rPr>
            <w:rStyle w:val="Hyperlink"/>
            <w:rFonts w:ascii="system-ui" w:eastAsia="system-ui" w:hAnsi="system-ui" w:cs="system-ui"/>
            <w:sz w:val="25"/>
            <w:szCs w:val="25"/>
          </w:rPr>
          <w:t>https://www.rcn.org.uk/professional-development/publications/pub-006497</w:t>
        </w:r>
      </w:hyperlink>
      <w:r w:rsidRPr="25A8CB98">
        <w:rPr>
          <w:rFonts w:ascii="system-ui" w:eastAsia="system-ui" w:hAnsi="system-ui" w:cs="system-ui"/>
          <w:sz w:val="25"/>
          <w:szCs w:val="25"/>
        </w:rPr>
        <w:t xml:space="preserve"> [Accessed 17 October 2025].</w:t>
      </w:r>
    </w:p>
    <w:p w14:paraId="426EAB5C" w14:textId="0269B772" w:rsidR="36C11048" w:rsidRDefault="36C11048" w:rsidP="25A8CB98">
      <w:pPr>
        <w:spacing w:before="255" w:after="255"/>
      </w:pPr>
      <w:r w:rsidRPr="25A8CB98">
        <w:rPr>
          <w:rFonts w:ascii="system-ui" w:eastAsia="system-ui" w:hAnsi="system-ui" w:cs="system-ui"/>
          <w:sz w:val="25"/>
          <w:szCs w:val="25"/>
        </w:rPr>
        <w:t xml:space="preserve">    •    Health Education England, 2021. </w:t>
      </w:r>
      <w:r w:rsidRPr="25A8CB98">
        <w:rPr>
          <w:rFonts w:ascii="system-ui" w:eastAsia="system-ui" w:hAnsi="system-ui" w:cs="system-ui"/>
          <w:i/>
          <w:iCs/>
          <w:sz w:val="25"/>
          <w:szCs w:val="25"/>
        </w:rPr>
        <w:t>Interprofessional Collaboration and Teamworking in Health and Social Care</w:t>
      </w:r>
      <w:r w:rsidRPr="25A8CB98">
        <w:rPr>
          <w:rFonts w:ascii="system-ui" w:eastAsia="system-ui" w:hAnsi="system-ui" w:cs="system-ui"/>
          <w:sz w:val="25"/>
          <w:szCs w:val="25"/>
        </w:rPr>
        <w:t xml:space="preserve">. London: HEE. Available at: </w:t>
      </w:r>
      <w:hyperlink r:id="rId10">
        <w:r w:rsidRPr="25A8CB98">
          <w:rPr>
            <w:rStyle w:val="Hyperlink"/>
            <w:rFonts w:ascii="system-ui" w:eastAsia="system-ui" w:hAnsi="system-ui" w:cs="system-ui"/>
            <w:sz w:val="25"/>
            <w:szCs w:val="25"/>
          </w:rPr>
          <w:t>https://www.hee.nhs.uk/our-work/interprofessional-education</w:t>
        </w:r>
      </w:hyperlink>
      <w:r w:rsidRPr="25A8CB98">
        <w:rPr>
          <w:rFonts w:ascii="system-ui" w:eastAsia="system-ui" w:hAnsi="system-ui" w:cs="system-ui"/>
          <w:sz w:val="25"/>
          <w:szCs w:val="25"/>
        </w:rPr>
        <w:t xml:space="preserve"> [Accessed 17 October 2025].</w:t>
      </w:r>
    </w:p>
    <w:p w14:paraId="3CE705FE" w14:textId="2875CF1E" w:rsidR="25A8CB98" w:rsidRDefault="25A8CB98" w:rsidP="25A8CB98">
      <w:pPr>
        <w:spacing w:before="255" w:after="255"/>
        <w:rPr>
          <w:rFonts w:ascii="system-ui" w:eastAsia="system-ui" w:hAnsi="system-ui" w:cs="system-ui"/>
          <w:sz w:val="25"/>
          <w:szCs w:val="25"/>
        </w:rPr>
      </w:pPr>
    </w:p>
    <w:p w14:paraId="17080710" w14:textId="175CFF30" w:rsidR="25A8CB98" w:rsidRDefault="25A8CB98" w:rsidP="25A8CB98">
      <w:pPr>
        <w:spacing w:before="255" w:after="255"/>
      </w:pPr>
      <w:r>
        <w:br/>
      </w:r>
    </w:p>
    <w:p w14:paraId="53DACBF6" w14:textId="71E3B9F5" w:rsidR="25A8CB98" w:rsidRDefault="25A8CB98" w:rsidP="25A8CB98">
      <w:pPr>
        <w:spacing w:before="255" w:after="255"/>
      </w:pPr>
    </w:p>
    <w:sectPr w:rsidR="25A8CB98">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77237" w14:textId="77777777" w:rsidR="00053066" w:rsidRDefault="00053066">
      <w:pPr>
        <w:spacing w:after="0" w:line="240" w:lineRule="auto"/>
      </w:pPr>
      <w:r>
        <w:separator/>
      </w:r>
    </w:p>
  </w:endnote>
  <w:endnote w:type="continuationSeparator" w:id="0">
    <w:p w14:paraId="0557EB08" w14:textId="77777777" w:rsidR="00053066" w:rsidRDefault="00053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stem-ui">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5A8CB98" w14:paraId="44CA22F6" w14:textId="77777777" w:rsidTr="25A8CB98">
      <w:trPr>
        <w:trHeight w:val="300"/>
      </w:trPr>
      <w:tc>
        <w:tcPr>
          <w:tcW w:w="3005" w:type="dxa"/>
        </w:tcPr>
        <w:p w14:paraId="41106D24" w14:textId="6A4115F9" w:rsidR="25A8CB98" w:rsidRDefault="25A8CB98" w:rsidP="25A8CB98">
          <w:pPr>
            <w:pStyle w:val="Header"/>
            <w:ind w:left="-115"/>
          </w:pPr>
        </w:p>
      </w:tc>
      <w:tc>
        <w:tcPr>
          <w:tcW w:w="3005" w:type="dxa"/>
        </w:tcPr>
        <w:p w14:paraId="6C3ED4C6" w14:textId="655F4598" w:rsidR="25A8CB98" w:rsidRDefault="25A8CB98" w:rsidP="25A8CB98">
          <w:pPr>
            <w:pStyle w:val="Header"/>
            <w:jc w:val="center"/>
          </w:pPr>
        </w:p>
      </w:tc>
      <w:tc>
        <w:tcPr>
          <w:tcW w:w="3005" w:type="dxa"/>
        </w:tcPr>
        <w:p w14:paraId="4777B0DB" w14:textId="6E8998B3" w:rsidR="25A8CB98" w:rsidRDefault="25A8CB98" w:rsidP="25A8CB98">
          <w:pPr>
            <w:pStyle w:val="Header"/>
            <w:ind w:right="-115"/>
            <w:jc w:val="right"/>
          </w:pPr>
        </w:p>
      </w:tc>
    </w:tr>
  </w:tbl>
  <w:p w14:paraId="538F279E" w14:textId="7CDB1059" w:rsidR="25A8CB98" w:rsidRDefault="25A8CB98" w:rsidP="25A8C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B44AE" w14:textId="77777777" w:rsidR="00053066" w:rsidRDefault="00053066">
      <w:pPr>
        <w:spacing w:after="0" w:line="240" w:lineRule="auto"/>
      </w:pPr>
      <w:r>
        <w:separator/>
      </w:r>
    </w:p>
  </w:footnote>
  <w:footnote w:type="continuationSeparator" w:id="0">
    <w:p w14:paraId="55E7A703" w14:textId="77777777" w:rsidR="00053066" w:rsidRDefault="000530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5A8CB98" w14:paraId="43696372" w14:textId="77777777" w:rsidTr="25A8CB98">
      <w:trPr>
        <w:trHeight w:val="300"/>
      </w:trPr>
      <w:tc>
        <w:tcPr>
          <w:tcW w:w="3005" w:type="dxa"/>
        </w:tcPr>
        <w:p w14:paraId="7231A3EF" w14:textId="307A03FA" w:rsidR="25A8CB98" w:rsidRDefault="25A8CB98" w:rsidP="25A8CB98">
          <w:pPr>
            <w:pStyle w:val="Header"/>
            <w:ind w:left="-115"/>
          </w:pPr>
        </w:p>
      </w:tc>
      <w:tc>
        <w:tcPr>
          <w:tcW w:w="3005" w:type="dxa"/>
        </w:tcPr>
        <w:p w14:paraId="27615A98" w14:textId="2D5B93F0" w:rsidR="25A8CB98" w:rsidRDefault="25A8CB98" w:rsidP="25A8CB98">
          <w:pPr>
            <w:pStyle w:val="Header"/>
            <w:jc w:val="center"/>
          </w:pPr>
        </w:p>
      </w:tc>
      <w:tc>
        <w:tcPr>
          <w:tcW w:w="3005" w:type="dxa"/>
        </w:tcPr>
        <w:p w14:paraId="01B6A80F" w14:textId="27EB92CA" w:rsidR="25A8CB98" w:rsidRDefault="25A8CB98" w:rsidP="25A8CB98">
          <w:pPr>
            <w:pStyle w:val="Header"/>
            <w:ind w:right="-115"/>
            <w:jc w:val="right"/>
          </w:pPr>
        </w:p>
      </w:tc>
    </w:tr>
  </w:tbl>
  <w:p w14:paraId="0A0308BF" w14:textId="0BC1C146" w:rsidR="25A8CB98" w:rsidRDefault="25A8CB98" w:rsidP="25A8CB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6BC663"/>
    <w:rsid w:val="00053066"/>
    <w:rsid w:val="0005F1BA"/>
    <w:rsid w:val="00404F18"/>
    <w:rsid w:val="00444BA6"/>
    <w:rsid w:val="00F1E45B"/>
    <w:rsid w:val="0A4CF732"/>
    <w:rsid w:val="113535FA"/>
    <w:rsid w:val="11A65322"/>
    <w:rsid w:val="18B5B5EE"/>
    <w:rsid w:val="23E565BE"/>
    <w:rsid w:val="25A8CB98"/>
    <w:rsid w:val="29166A7D"/>
    <w:rsid w:val="2F28417E"/>
    <w:rsid w:val="33ECC464"/>
    <w:rsid w:val="36C11048"/>
    <w:rsid w:val="3773A09A"/>
    <w:rsid w:val="380C572C"/>
    <w:rsid w:val="41040C29"/>
    <w:rsid w:val="4D52AE7F"/>
    <w:rsid w:val="54661B91"/>
    <w:rsid w:val="57F2504E"/>
    <w:rsid w:val="584EDDE3"/>
    <w:rsid w:val="5E0AF687"/>
    <w:rsid w:val="6263A438"/>
    <w:rsid w:val="6647D586"/>
    <w:rsid w:val="66EAE3D3"/>
    <w:rsid w:val="67660840"/>
    <w:rsid w:val="67EE1C6C"/>
    <w:rsid w:val="680AD9CF"/>
    <w:rsid w:val="6B50608D"/>
    <w:rsid w:val="6EF1D4AA"/>
    <w:rsid w:val="766BC663"/>
    <w:rsid w:val="79FCBAC0"/>
    <w:rsid w:val="7BEF1FAE"/>
    <w:rsid w:val="7C7EC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BC663"/>
  <w15:chartTrackingRefBased/>
  <w15:docId w15:val="{6044F62C-11EC-4688-8AA7-22B3FE548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5A8CB98"/>
    <w:pPr>
      <w:tabs>
        <w:tab w:val="center" w:pos="4680"/>
        <w:tab w:val="right" w:pos="9360"/>
      </w:tabs>
      <w:spacing w:after="0" w:line="240" w:lineRule="auto"/>
    </w:pPr>
  </w:style>
  <w:style w:type="paragraph" w:styleId="Footer">
    <w:name w:val="footer"/>
    <w:basedOn w:val="Normal"/>
    <w:uiPriority w:val="99"/>
    <w:unhideWhenUsed/>
    <w:rsid w:val="25A8CB98"/>
    <w:pPr>
      <w:tabs>
        <w:tab w:val="center" w:pos="4680"/>
        <w:tab w:val="right" w:pos="9360"/>
      </w:tabs>
      <w:spacing w:after="0" w:line="240" w:lineRule="auto"/>
    </w:pPr>
  </w:style>
  <w:style w:type="character" w:styleId="Hyperlink">
    <w:name w:val="Hyperlink"/>
    <w:basedOn w:val="DefaultParagraphFont"/>
    <w:uiPriority w:val="99"/>
    <w:unhideWhenUsed/>
    <w:rsid w:val="25A8CB98"/>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looking-after-information/data-protect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qualityhumanrights.com/en/advice-and-guidance/equality-act-2010-guidance%5bAccessed"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records-management-code-of-practice"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hee.nhs.uk/our-work/interprofessional-education" TargetMode="External"/><Relationship Id="rId4" Type="http://schemas.openxmlformats.org/officeDocument/2006/relationships/footnotes" Target="footnotes.xml"/><Relationship Id="rId9" Type="http://schemas.openxmlformats.org/officeDocument/2006/relationships/hyperlink" Target="https://www.rcn.org.uk/professional-development/publications/pub-00649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1741</Words>
  <Characters>9929</Characters>
  <Application>Microsoft Office Word</Application>
  <DocSecurity>0</DocSecurity>
  <Lines>82</Lines>
  <Paragraphs>23</Paragraphs>
  <ScaleCrop>false</ScaleCrop>
  <Company/>
  <LinksUpToDate>false</LinksUpToDate>
  <CharactersWithSpaces>11647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Ahlam Hail (2432019)</dc:creator>
  <cp:keywords/>
  <dc:description/>
  <cp:lastModifiedBy>Vienna Hail</cp:lastModifiedBy>
  <cp:revision>3</cp:revision>
  <dcterms:created xsi:type="dcterms:W3CDTF">2025-10-17T18:08:00Z</dcterms:created>
  <dcterms:modified xsi:type="dcterms:W3CDTF">2025-11-04T15:16:00Z</dcterms:modified>
</cp:coreProperties>
</file>