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AB903" w14:textId="1CE94ED7" w:rsidR="00EC2090" w:rsidRPr="00E22FD1" w:rsidRDefault="00EC2090" w:rsidP="00E22FD1">
      <w:pPr>
        <w:spacing w:before="240"/>
        <w:jc w:val="center"/>
        <w:rPr>
          <w:rFonts w:ascii="Arial" w:hAnsi="Arial" w:cs="Arial"/>
        </w:rPr>
      </w:pPr>
    </w:p>
    <w:p w14:paraId="0C68EC13" w14:textId="77777777" w:rsidR="00EC2090" w:rsidRPr="00E22FD1" w:rsidRDefault="00EC2090" w:rsidP="00E22FD1">
      <w:pPr>
        <w:spacing w:before="240"/>
        <w:jc w:val="center"/>
        <w:rPr>
          <w:rFonts w:ascii="Arial" w:hAnsi="Arial" w:cs="Arial"/>
          <w:b/>
          <w:bCs/>
          <w:sz w:val="44"/>
          <w:szCs w:val="44"/>
        </w:rPr>
      </w:pPr>
    </w:p>
    <w:p w14:paraId="072F3985" w14:textId="714D0EDC" w:rsidR="00EC2090" w:rsidRPr="00EF6E93" w:rsidRDefault="00474F77" w:rsidP="00E22FD1">
      <w:pPr>
        <w:shd w:val="clear" w:color="auto" w:fill="A8D08D" w:themeFill="accent6" w:themeFillTint="99"/>
        <w:spacing w:before="240"/>
        <w:jc w:val="center"/>
        <w:rPr>
          <w:rFonts w:ascii="Arial" w:hAnsi="Arial" w:cs="Arial"/>
          <w:b/>
          <w:bCs/>
          <w:i/>
          <w:iCs/>
          <w:sz w:val="52"/>
          <w:szCs w:val="52"/>
        </w:rPr>
      </w:pPr>
      <w:r w:rsidRPr="00EF6E93">
        <w:rPr>
          <w:rFonts w:ascii="Arial" w:hAnsi="Arial" w:cs="Arial"/>
          <w:b/>
          <w:bCs/>
          <w:i/>
          <w:iCs/>
          <w:sz w:val="52"/>
          <w:szCs w:val="52"/>
        </w:rPr>
        <w:t>How to engage employees throughout the employee lifecycle</w:t>
      </w:r>
    </w:p>
    <w:p w14:paraId="39BE5807" w14:textId="77777777" w:rsidR="00EC2090" w:rsidRPr="00E22FD1" w:rsidRDefault="00EC2090" w:rsidP="00E22FD1">
      <w:pPr>
        <w:spacing w:before="240"/>
        <w:jc w:val="center"/>
        <w:rPr>
          <w:rFonts w:ascii="Arial" w:hAnsi="Arial" w:cs="Arial"/>
          <w:b/>
          <w:bCs/>
          <w:i/>
          <w:iCs/>
          <w:sz w:val="36"/>
          <w:szCs w:val="36"/>
        </w:rPr>
      </w:pPr>
    </w:p>
    <w:p w14:paraId="5643E948" w14:textId="04B6A23A" w:rsidR="00EC2090" w:rsidRDefault="00EC2090" w:rsidP="00E22FD1">
      <w:pPr>
        <w:tabs>
          <w:tab w:val="left" w:pos="2213"/>
        </w:tabs>
        <w:spacing w:before="240"/>
        <w:jc w:val="center"/>
        <w:rPr>
          <w:rFonts w:ascii="Arial" w:hAnsi="Arial" w:cs="Arial"/>
          <w:sz w:val="36"/>
          <w:szCs w:val="36"/>
        </w:rPr>
      </w:pPr>
    </w:p>
    <w:p w14:paraId="6D7A47D6" w14:textId="0722C280" w:rsidR="00FD2228" w:rsidRDefault="00FD2228" w:rsidP="00E22FD1">
      <w:pPr>
        <w:tabs>
          <w:tab w:val="left" w:pos="2213"/>
        </w:tabs>
        <w:spacing w:before="240"/>
        <w:jc w:val="center"/>
        <w:rPr>
          <w:rFonts w:ascii="Arial" w:hAnsi="Arial" w:cs="Arial"/>
          <w:sz w:val="36"/>
          <w:szCs w:val="36"/>
        </w:rPr>
      </w:pPr>
    </w:p>
    <w:p w14:paraId="5B8C4F63" w14:textId="30CE6D38" w:rsidR="00FD2228" w:rsidRDefault="00FD2228" w:rsidP="00E22FD1">
      <w:pPr>
        <w:tabs>
          <w:tab w:val="left" w:pos="2213"/>
        </w:tabs>
        <w:spacing w:before="240"/>
        <w:jc w:val="center"/>
        <w:rPr>
          <w:rFonts w:ascii="Arial" w:hAnsi="Arial" w:cs="Arial"/>
          <w:sz w:val="36"/>
          <w:szCs w:val="36"/>
        </w:rPr>
      </w:pPr>
    </w:p>
    <w:p w14:paraId="7A40D887" w14:textId="24BFB56C" w:rsidR="00FD2228" w:rsidRDefault="00FD2228" w:rsidP="00E22FD1">
      <w:pPr>
        <w:tabs>
          <w:tab w:val="left" w:pos="2213"/>
        </w:tabs>
        <w:spacing w:before="240"/>
        <w:jc w:val="center"/>
        <w:rPr>
          <w:rFonts w:ascii="Arial" w:hAnsi="Arial" w:cs="Arial"/>
          <w:sz w:val="36"/>
          <w:szCs w:val="36"/>
        </w:rPr>
      </w:pPr>
    </w:p>
    <w:p w14:paraId="699FA5CE" w14:textId="2CA8CB2B" w:rsidR="00FD2228" w:rsidRDefault="00FD2228" w:rsidP="00E22FD1">
      <w:pPr>
        <w:tabs>
          <w:tab w:val="left" w:pos="2213"/>
        </w:tabs>
        <w:spacing w:before="240"/>
        <w:jc w:val="center"/>
        <w:rPr>
          <w:rFonts w:ascii="Arial" w:hAnsi="Arial" w:cs="Arial"/>
          <w:sz w:val="36"/>
          <w:szCs w:val="36"/>
        </w:rPr>
      </w:pPr>
    </w:p>
    <w:p w14:paraId="3D43C937" w14:textId="77777777" w:rsidR="00FD2228" w:rsidRPr="00E22FD1" w:rsidRDefault="00FD2228" w:rsidP="00B111CB">
      <w:pPr>
        <w:tabs>
          <w:tab w:val="left" w:pos="2213"/>
        </w:tabs>
        <w:spacing w:before="240"/>
        <w:rPr>
          <w:rFonts w:ascii="Arial" w:hAnsi="Arial" w:cs="Arial"/>
          <w:sz w:val="36"/>
          <w:szCs w:val="36"/>
        </w:rPr>
      </w:pPr>
    </w:p>
    <w:p w14:paraId="20504AFA" w14:textId="77777777" w:rsidR="00FD2228" w:rsidRPr="005D499B" w:rsidRDefault="00FD2228" w:rsidP="00FD2228">
      <w:pPr>
        <w:pStyle w:val="NormalWeb"/>
        <w:spacing w:before="240" w:beforeAutospacing="0" w:after="240" w:afterAutospacing="0" w:line="360" w:lineRule="auto"/>
        <w:rPr>
          <w:b/>
          <w:bCs/>
          <w:sz w:val="32"/>
          <w:szCs w:val="32"/>
        </w:rPr>
      </w:pPr>
      <w:r w:rsidRPr="005D499B">
        <w:rPr>
          <w:b/>
          <w:bCs/>
          <w:sz w:val="32"/>
          <w:szCs w:val="32"/>
        </w:rPr>
        <w:t>Name: Jahangir Ali-Khan</w:t>
      </w:r>
    </w:p>
    <w:p w14:paraId="43590A93" w14:textId="77777777" w:rsidR="00FD2228" w:rsidRPr="005D499B" w:rsidRDefault="00FD2228" w:rsidP="00FD2228">
      <w:pPr>
        <w:pStyle w:val="NormalWeb"/>
        <w:spacing w:before="240" w:beforeAutospacing="0" w:after="240" w:afterAutospacing="0" w:line="360" w:lineRule="auto"/>
        <w:rPr>
          <w:b/>
          <w:bCs/>
          <w:sz w:val="32"/>
          <w:szCs w:val="32"/>
        </w:rPr>
      </w:pPr>
      <w:r w:rsidRPr="005D499B">
        <w:rPr>
          <w:b/>
          <w:bCs/>
          <w:sz w:val="32"/>
          <w:szCs w:val="32"/>
        </w:rPr>
        <w:t>Student Number: 2029152</w:t>
      </w:r>
    </w:p>
    <w:p w14:paraId="49F77441" w14:textId="5D396D8F" w:rsidR="00FD2228" w:rsidRDefault="00FD2228" w:rsidP="00FD2228">
      <w:pPr>
        <w:pStyle w:val="NormalWeb"/>
        <w:spacing w:before="240" w:beforeAutospacing="0" w:after="240" w:afterAutospacing="0" w:line="360" w:lineRule="auto"/>
        <w:rPr>
          <w:b/>
          <w:bCs/>
          <w:sz w:val="32"/>
          <w:szCs w:val="32"/>
        </w:rPr>
      </w:pPr>
      <w:r w:rsidRPr="005D499B">
        <w:rPr>
          <w:b/>
          <w:bCs/>
          <w:sz w:val="32"/>
          <w:szCs w:val="32"/>
        </w:rPr>
        <w:t xml:space="preserve">Lecturer: </w:t>
      </w:r>
      <w:r>
        <w:rPr>
          <w:b/>
          <w:bCs/>
          <w:sz w:val="32"/>
          <w:szCs w:val="32"/>
        </w:rPr>
        <w:t xml:space="preserve">Kathryn Roberts </w:t>
      </w:r>
    </w:p>
    <w:p w14:paraId="0659647F" w14:textId="739DB85C" w:rsidR="00EC2090" w:rsidRPr="00E22FD1" w:rsidRDefault="00FD2228" w:rsidP="00FD2228">
      <w:pPr>
        <w:pStyle w:val="NormalWeb"/>
        <w:spacing w:before="240" w:beforeAutospacing="0" w:after="240" w:afterAutospacing="0" w:line="360" w:lineRule="auto"/>
        <w:rPr>
          <w:rFonts w:ascii="Arial" w:hAnsi="Arial" w:cs="Arial"/>
          <w:sz w:val="36"/>
          <w:szCs w:val="36"/>
        </w:rPr>
      </w:pPr>
      <w:r>
        <w:rPr>
          <w:b/>
          <w:bCs/>
          <w:sz w:val="32"/>
          <w:szCs w:val="32"/>
        </w:rPr>
        <w:t xml:space="preserve">Module: </w:t>
      </w:r>
      <w:r w:rsidRPr="00FD2228">
        <w:rPr>
          <w:b/>
          <w:bCs/>
          <w:sz w:val="32"/>
          <w:szCs w:val="32"/>
        </w:rPr>
        <w:t>BMIH5005 Personnel Resourcing and Development</w:t>
      </w:r>
    </w:p>
    <w:p w14:paraId="2E7120D9" w14:textId="77777777" w:rsidR="00EC2090" w:rsidRPr="00E22FD1" w:rsidRDefault="00EC2090" w:rsidP="00E22FD1">
      <w:pPr>
        <w:spacing w:before="240"/>
        <w:jc w:val="left"/>
        <w:rPr>
          <w:rFonts w:ascii="Arial" w:eastAsia="Calibri" w:hAnsi="Arial" w:cs="Arial"/>
        </w:rPr>
      </w:pPr>
      <w:r w:rsidRPr="00E22FD1">
        <w:rPr>
          <w:rFonts w:ascii="Arial" w:hAnsi="Arial" w:cs="Arial"/>
        </w:rPr>
        <w:br w:type="page"/>
      </w:r>
    </w:p>
    <w:p w14:paraId="438C404E" w14:textId="51CCCAAA" w:rsidR="00EC2090" w:rsidRDefault="00CB086B" w:rsidP="00664794">
      <w:pPr>
        <w:pStyle w:val="ListParagraph"/>
        <w:spacing w:before="240"/>
        <w:rPr>
          <w:rFonts w:ascii="Arial" w:hAnsi="Arial" w:cs="Arial"/>
          <w:color w:val="000000" w:themeColor="text1"/>
          <w:szCs w:val="24"/>
        </w:rPr>
      </w:pPr>
      <w:r w:rsidRPr="00E22FD1">
        <w:rPr>
          <w:rFonts w:ascii="Arial" w:hAnsi="Arial" w:cs="Arial"/>
          <w:color w:val="000000" w:themeColor="text1"/>
          <w:szCs w:val="24"/>
        </w:rPr>
        <w:lastRenderedPageBreak/>
        <w:t xml:space="preserve">Employee engagement in human resources, in general, aids in making sure that all workers are enthusiastic and have the authority to do their best work. </w:t>
      </w:r>
      <w:r w:rsidR="00B919B9" w:rsidRPr="00E22FD1">
        <w:rPr>
          <w:rFonts w:ascii="Arial" w:hAnsi="Arial" w:cs="Arial"/>
          <w:color w:val="000000" w:themeColor="text1"/>
          <w:szCs w:val="24"/>
        </w:rPr>
        <w:t>Successful businesses and satisfied workers are usually the result</w:t>
      </w:r>
      <w:r w:rsidR="00C30BA4" w:rsidRPr="00E22FD1">
        <w:rPr>
          <w:rFonts w:ascii="Arial" w:hAnsi="Arial" w:cs="Arial"/>
          <w:color w:val="000000" w:themeColor="text1"/>
          <w:szCs w:val="24"/>
        </w:rPr>
        <w:t>s</w:t>
      </w:r>
      <w:r w:rsidR="00B919B9" w:rsidRPr="00E22FD1">
        <w:rPr>
          <w:rFonts w:ascii="Arial" w:hAnsi="Arial" w:cs="Arial"/>
          <w:color w:val="000000" w:themeColor="text1"/>
          <w:szCs w:val="24"/>
        </w:rPr>
        <w:t xml:space="preserve"> of employees who care about their jobs beyond merely being paid</w:t>
      </w:r>
      <w:r w:rsidR="00284977">
        <w:rPr>
          <w:rFonts w:ascii="Arial" w:hAnsi="Arial" w:cs="Arial"/>
          <w:color w:val="000000" w:themeColor="text1"/>
          <w:szCs w:val="24"/>
        </w:rPr>
        <w:t xml:space="preserve"> </w:t>
      </w:r>
      <w:r w:rsidR="00453736" w:rsidRPr="00E22FD1">
        <w:rPr>
          <w:rFonts w:ascii="Arial" w:hAnsi="Arial" w:cs="Arial"/>
          <w:color w:val="000000" w:themeColor="text1"/>
          <w:szCs w:val="24"/>
        </w:rPr>
        <w:t>(Sato et al., 2019)</w:t>
      </w:r>
      <w:r w:rsidR="00B919B9" w:rsidRPr="00E22FD1">
        <w:rPr>
          <w:rFonts w:ascii="Arial" w:hAnsi="Arial" w:cs="Arial"/>
          <w:color w:val="000000" w:themeColor="text1"/>
          <w:szCs w:val="24"/>
        </w:rPr>
        <w:t xml:space="preserve">. </w:t>
      </w:r>
      <w:r w:rsidRPr="00E22FD1">
        <w:rPr>
          <w:rFonts w:ascii="Arial" w:hAnsi="Arial" w:cs="Arial"/>
          <w:color w:val="000000" w:themeColor="text1"/>
          <w:szCs w:val="24"/>
        </w:rPr>
        <w:t>Engaged workers have been shown to not only be more productive and satisfied in their employment but also to be more loyal to the firm and more eager to contribute to the success of the organisation. The success of every organisation is directly tied to the employee life cycle. After all, there is an opening to enhance the employee experience at every stage of a worker's tenure with a firm</w:t>
      </w:r>
      <w:r w:rsidR="00453736" w:rsidRPr="00E22FD1">
        <w:rPr>
          <w:rFonts w:ascii="Arial" w:hAnsi="Arial" w:cs="Arial"/>
          <w:color w:val="000000" w:themeColor="text1"/>
          <w:szCs w:val="24"/>
        </w:rPr>
        <w:t xml:space="preserve"> (Soane et al., 2017)</w:t>
      </w:r>
      <w:r w:rsidRPr="00E22FD1">
        <w:rPr>
          <w:rFonts w:ascii="Arial" w:hAnsi="Arial" w:cs="Arial"/>
          <w:color w:val="000000" w:themeColor="text1"/>
          <w:szCs w:val="24"/>
        </w:rPr>
        <w:t xml:space="preserve">. </w:t>
      </w:r>
      <w:r w:rsidR="001E2B6A" w:rsidRPr="00E22FD1">
        <w:rPr>
          <w:rFonts w:ascii="Arial" w:hAnsi="Arial" w:cs="Arial"/>
          <w:color w:val="000000" w:themeColor="text1"/>
          <w:szCs w:val="24"/>
        </w:rPr>
        <w:t xml:space="preserve">Employees are aware of where they are in the course of their employment timeline when a firm has a life cycle programme in place, and managers </w:t>
      </w:r>
      <w:r w:rsidR="00C30BA4" w:rsidRPr="00E22FD1">
        <w:rPr>
          <w:rFonts w:ascii="Arial" w:hAnsi="Arial" w:cs="Arial"/>
          <w:color w:val="000000" w:themeColor="text1"/>
          <w:szCs w:val="24"/>
        </w:rPr>
        <w:t>can</w:t>
      </w:r>
      <w:r w:rsidR="001E2B6A" w:rsidRPr="00E22FD1">
        <w:rPr>
          <w:rFonts w:ascii="Arial" w:hAnsi="Arial" w:cs="Arial"/>
          <w:color w:val="000000" w:themeColor="text1"/>
          <w:szCs w:val="24"/>
        </w:rPr>
        <w:t xml:space="preserve"> use information acquired during off-boarding to help guide future HR choices.</w:t>
      </w:r>
    </w:p>
    <w:p w14:paraId="3887CC73" w14:textId="77777777" w:rsidR="00664794" w:rsidRPr="00664794" w:rsidRDefault="00664794" w:rsidP="00664794">
      <w:pPr>
        <w:pStyle w:val="ListParagraph"/>
        <w:spacing w:before="240"/>
        <w:rPr>
          <w:rFonts w:ascii="Arial" w:hAnsi="Arial" w:cs="Arial"/>
          <w:color w:val="000000" w:themeColor="text1"/>
          <w:szCs w:val="24"/>
        </w:rPr>
      </w:pPr>
    </w:p>
    <w:p w14:paraId="768BB7BD" w14:textId="77777777" w:rsidR="00A42845" w:rsidRPr="00E22FD1" w:rsidRDefault="009A6376" w:rsidP="00E22FD1">
      <w:pPr>
        <w:pStyle w:val="ListParagraph"/>
        <w:spacing w:before="240"/>
        <w:rPr>
          <w:rFonts w:ascii="Arial" w:hAnsi="Arial" w:cs="Arial"/>
        </w:rPr>
      </w:pPr>
      <w:r w:rsidRPr="00E22FD1">
        <w:rPr>
          <w:rFonts w:ascii="Arial" w:hAnsi="Arial" w:cs="Arial"/>
        </w:rPr>
        <w:t>Employee involvement in human resources also helps in ensuring that all workers are completely dedicated to the company's aims and values and continue to feel encouraged and motivated to contribute to the company's overall success</w:t>
      </w:r>
      <w:r w:rsidR="00453736" w:rsidRPr="00E22FD1">
        <w:rPr>
          <w:rFonts w:ascii="Arial" w:hAnsi="Arial" w:cs="Arial"/>
        </w:rPr>
        <w:t xml:space="preserve"> (Tabassum et al., 2017)</w:t>
      </w:r>
      <w:r w:rsidRPr="00E22FD1">
        <w:rPr>
          <w:rFonts w:ascii="Arial" w:hAnsi="Arial" w:cs="Arial"/>
        </w:rPr>
        <w:t>. The goal of any employee engagement strategy should be to improve the lives of the workers directly or indirectly involved. HR has to continuously train workers to keep them enthusiastic. Assure that there are well-defined ways for employees to advance in their careers</w:t>
      </w:r>
      <w:r w:rsidR="00453736" w:rsidRPr="00E22FD1">
        <w:rPr>
          <w:rFonts w:ascii="Arial" w:hAnsi="Arial" w:cs="Arial"/>
        </w:rPr>
        <w:t xml:space="preserve"> (Marchington et al., 2016)</w:t>
      </w:r>
      <w:r w:rsidRPr="00E22FD1">
        <w:rPr>
          <w:rFonts w:ascii="Arial" w:hAnsi="Arial" w:cs="Arial"/>
        </w:rPr>
        <w:t>. Participating workers are aware of their responsibilities. Both individual and group objectives have been established. A company's human resources department is crucial to the success of any employee engagement strategy, but these strategies may and can be implemented by any department</w:t>
      </w:r>
      <w:r w:rsidR="00453736" w:rsidRPr="00E22FD1">
        <w:rPr>
          <w:rFonts w:ascii="Arial" w:hAnsi="Arial" w:cs="Arial"/>
        </w:rPr>
        <w:t xml:space="preserve"> (Johnston et al., 2012)</w:t>
      </w:r>
      <w:r w:rsidRPr="00E22FD1">
        <w:rPr>
          <w:rFonts w:ascii="Arial" w:hAnsi="Arial" w:cs="Arial"/>
        </w:rPr>
        <w:t xml:space="preserve">. Human resources departments should prioritise employee engagement because of the positive effects it has on retention, morale, and output. </w:t>
      </w:r>
      <w:r w:rsidR="00463044" w:rsidRPr="00E22FD1">
        <w:rPr>
          <w:rFonts w:ascii="Arial" w:hAnsi="Arial" w:cs="Arial"/>
        </w:rPr>
        <w:t xml:space="preserve">Improving employee engagement requires </w:t>
      </w:r>
      <w:r w:rsidR="00491E76" w:rsidRPr="00E22FD1">
        <w:rPr>
          <w:rFonts w:ascii="Arial" w:hAnsi="Arial" w:cs="Arial"/>
        </w:rPr>
        <w:t xml:space="preserve">some </w:t>
      </w:r>
      <w:r w:rsidR="00463044" w:rsidRPr="00E22FD1">
        <w:rPr>
          <w:rFonts w:ascii="Arial" w:hAnsi="Arial" w:cs="Arial"/>
        </w:rPr>
        <w:t>core role that should be performed by every HR department</w:t>
      </w:r>
      <w:r w:rsidR="00C76A08" w:rsidRPr="00E22FD1">
        <w:rPr>
          <w:rFonts w:ascii="Arial" w:hAnsi="Arial" w:cs="Arial"/>
        </w:rPr>
        <w:t>.</w:t>
      </w:r>
    </w:p>
    <w:p w14:paraId="6914D1D5" w14:textId="77777777" w:rsidR="00F53C9B" w:rsidRPr="00E22FD1" w:rsidRDefault="00F53C9B" w:rsidP="00E22FD1">
      <w:pPr>
        <w:pStyle w:val="ListParagraph"/>
        <w:spacing w:before="240"/>
        <w:rPr>
          <w:rFonts w:ascii="Arial" w:hAnsi="Arial" w:cs="Arial"/>
        </w:rPr>
      </w:pPr>
    </w:p>
    <w:p w14:paraId="5EC2C21A" w14:textId="6EBF9AD3" w:rsidR="00F53C9B" w:rsidRPr="00E22FD1" w:rsidRDefault="00207E4D" w:rsidP="00E22FD1">
      <w:pPr>
        <w:pStyle w:val="ListParagraph"/>
        <w:spacing w:before="240"/>
        <w:rPr>
          <w:rFonts w:ascii="Arial" w:hAnsi="Arial" w:cs="Arial"/>
        </w:rPr>
      </w:pPr>
      <w:r w:rsidRPr="00E22FD1">
        <w:rPr>
          <w:rFonts w:ascii="Arial" w:hAnsi="Arial" w:cs="Arial"/>
          <w:b/>
          <w:bCs/>
        </w:rPr>
        <w:t>Executive Leadership</w:t>
      </w:r>
      <w:r w:rsidR="00284977">
        <w:rPr>
          <w:rFonts w:ascii="Arial" w:hAnsi="Arial" w:cs="Arial"/>
          <w:b/>
          <w:bCs/>
        </w:rPr>
        <w:t xml:space="preserve"> </w:t>
      </w:r>
      <w:r w:rsidR="00C30BA4" w:rsidRPr="00E22FD1">
        <w:rPr>
          <w:rFonts w:ascii="Arial" w:hAnsi="Arial" w:cs="Arial"/>
        </w:rPr>
        <w:t xml:space="preserve">and </w:t>
      </w:r>
      <w:r w:rsidR="00010168" w:rsidRPr="00E22FD1">
        <w:rPr>
          <w:rFonts w:ascii="Arial" w:hAnsi="Arial" w:cs="Arial"/>
        </w:rPr>
        <w:t xml:space="preserve">Human Resources should take on the role of CEO </w:t>
      </w:r>
      <w:r w:rsidR="00C30BA4" w:rsidRPr="00E22FD1">
        <w:rPr>
          <w:rFonts w:ascii="Arial" w:hAnsi="Arial" w:cs="Arial"/>
        </w:rPr>
        <w:t>regarding</w:t>
      </w:r>
      <w:r w:rsidR="00010168" w:rsidRPr="00E22FD1">
        <w:rPr>
          <w:rFonts w:ascii="Arial" w:hAnsi="Arial" w:cs="Arial"/>
        </w:rPr>
        <w:t xml:space="preserve"> employee engagement, with a focus on finding and supporting innovative ways to get more people involved in the workplace</w:t>
      </w:r>
      <w:r w:rsidR="00453736" w:rsidRPr="00E22FD1">
        <w:rPr>
          <w:rFonts w:ascii="Arial" w:hAnsi="Arial" w:cs="Arial"/>
        </w:rPr>
        <w:t xml:space="preserve"> (Gallagher, 2016)</w:t>
      </w:r>
      <w:r w:rsidR="00010168" w:rsidRPr="00E22FD1">
        <w:rPr>
          <w:rFonts w:ascii="Arial" w:hAnsi="Arial" w:cs="Arial"/>
        </w:rPr>
        <w:t>. Furthermore, HR is in charge of conveying and elaborating on the company's expectations to its workforce.</w:t>
      </w:r>
    </w:p>
    <w:p w14:paraId="709D4499" w14:textId="77777777" w:rsidR="00010168" w:rsidRPr="00E22FD1" w:rsidRDefault="00010168" w:rsidP="00E22FD1">
      <w:pPr>
        <w:pStyle w:val="ListParagraph"/>
        <w:spacing w:before="240"/>
        <w:rPr>
          <w:rFonts w:ascii="Arial" w:hAnsi="Arial" w:cs="Arial"/>
        </w:rPr>
      </w:pPr>
    </w:p>
    <w:p w14:paraId="5C5D83A9" w14:textId="47A37030" w:rsidR="00207E4D" w:rsidRPr="00E22FD1" w:rsidRDefault="00207E4D" w:rsidP="00AC758D">
      <w:pPr>
        <w:pStyle w:val="ListParagraph"/>
        <w:spacing w:before="240"/>
        <w:rPr>
          <w:rFonts w:ascii="Arial" w:hAnsi="Arial" w:cs="Arial"/>
        </w:rPr>
      </w:pPr>
      <w:r w:rsidRPr="00E22FD1">
        <w:rPr>
          <w:rFonts w:ascii="Arial" w:hAnsi="Arial" w:cs="Arial"/>
          <w:b/>
          <w:bCs/>
        </w:rPr>
        <w:t>Training</w:t>
      </w:r>
      <w:r w:rsidR="00284977">
        <w:rPr>
          <w:rFonts w:ascii="Arial" w:hAnsi="Arial" w:cs="Arial"/>
          <w:b/>
          <w:bCs/>
        </w:rPr>
        <w:t xml:space="preserve"> </w:t>
      </w:r>
      <w:r w:rsidR="00C30BA4" w:rsidRPr="00E22FD1">
        <w:rPr>
          <w:rFonts w:ascii="Arial" w:hAnsi="Arial" w:cs="Arial"/>
        </w:rPr>
        <w:t xml:space="preserve">and </w:t>
      </w:r>
      <w:r w:rsidR="008A663C" w:rsidRPr="00E22FD1">
        <w:rPr>
          <w:rFonts w:ascii="Arial" w:hAnsi="Arial" w:cs="Arial"/>
        </w:rPr>
        <w:t>human resources should also be accountable for educating managers on effective methods of employee motivation</w:t>
      </w:r>
      <w:r w:rsidR="00453736" w:rsidRPr="00E22FD1">
        <w:rPr>
          <w:rFonts w:ascii="Arial" w:hAnsi="Arial" w:cs="Arial"/>
        </w:rPr>
        <w:t xml:space="preserve"> (Friedman, 2012)</w:t>
      </w:r>
      <w:r w:rsidR="008A663C" w:rsidRPr="00E22FD1">
        <w:rPr>
          <w:rFonts w:ascii="Arial" w:hAnsi="Arial" w:cs="Arial"/>
        </w:rPr>
        <w:t>. By promoting open communication, identifying and eliminating impediments to engagement initiatives, celebrating achievements, and looking beyond data to the people behind them, human resources professionals may set a strong example in their position as advisers for enhancing employee engagement</w:t>
      </w:r>
      <w:r w:rsidRPr="00E22FD1">
        <w:rPr>
          <w:rFonts w:ascii="Arial" w:hAnsi="Arial" w:cs="Arial"/>
        </w:rPr>
        <w:t>.</w:t>
      </w:r>
    </w:p>
    <w:p w14:paraId="0A90E1C2" w14:textId="77777777" w:rsidR="00F53C9B" w:rsidRPr="00E22FD1" w:rsidRDefault="00F53C9B" w:rsidP="00AC758D">
      <w:pPr>
        <w:pStyle w:val="ListParagraph"/>
        <w:spacing w:before="240"/>
        <w:rPr>
          <w:rFonts w:ascii="Arial" w:hAnsi="Arial" w:cs="Arial"/>
        </w:rPr>
      </w:pPr>
    </w:p>
    <w:p w14:paraId="73319083" w14:textId="1E70B727" w:rsidR="00207E4D" w:rsidRPr="00E22FD1" w:rsidRDefault="00207E4D" w:rsidP="00AC758D">
      <w:pPr>
        <w:pStyle w:val="ListParagraph"/>
        <w:spacing w:before="240"/>
        <w:rPr>
          <w:rFonts w:ascii="Arial" w:hAnsi="Arial" w:cs="Arial"/>
        </w:rPr>
      </w:pPr>
      <w:r w:rsidRPr="00E22FD1">
        <w:rPr>
          <w:rFonts w:ascii="Arial" w:hAnsi="Arial" w:cs="Arial"/>
          <w:b/>
          <w:bCs/>
        </w:rPr>
        <w:t>Activities</w:t>
      </w:r>
      <w:r w:rsidR="00284977">
        <w:rPr>
          <w:rFonts w:ascii="Arial" w:hAnsi="Arial" w:cs="Arial"/>
          <w:b/>
          <w:bCs/>
        </w:rPr>
        <w:t xml:space="preserve"> </w:t>
      </w:r>
      <w:r w:rsidR="00C30BA4" w:rsidRPr="00E22FD1">
        <w:rPr>
          <w:rFonts w:ascii="Arial" w:hAnsi="Arial" w:cs="Arial"/>
        </w:rPr>
        <w:t xml:space="preserve">and </w:t>
      </w:r>
      <w:r w:rsidR="00F46D7F" w:rsidRPr="00E22FD1">
        <w:rPr>
          <w:rFonts w:ascii="Arial" w:hAnsi="Arial" w:cs="Arial"/>
        </w:rPr>
        <w:t>human resources play a critical role in employee engagement, which is crucial to the success of any firm, but they must also play the part of engag</w:t>
      </w:r>
      <w:r w:rsidR="007353E5" w:rsidRPr="00E22FD1">
        <w:rPr>
          <w:rFonts w:ascii="Arial" w:hAnsi="Arial" w:cs="Arial"/>
        </w:rPr>
        <w:t>ing</w:t>
      </w:r>
      <w:r w:rsidR="00F46D7F" w:rsidRPr="00E22FD1">
        <w:rPr>
          <w:rFonts w:ascii="Arial" w:hAnsi="Arial" w:cs="Arial"/>
        </w:rPr>
        <w:t xml:space="preserve"> </w:t>
      </w:r>
      <w:r w:rsidR="00664794" w:rsidRPr="00E22FD1">
        <w:rPr>
          <w:rFonts w:ascii="Arial" w:hAnsi="Arial" w:cs="Arial"/>
        </w:rPr>
        <w:t>humourists</w:t>
      </w:r>
      <w:r w:rsidR="00F46D7F" w:rsidRPr="00E22FD1">
        <w:rPr>
          <w:rFonts w:ascii="Arial" w:hAnsi="Arial" w:cs="Arial"/>
        </w:rPr>
        <w:t xml:space="preserve"> by injecting energy, excitement, and inspiration into the process</w:t>
      </w:r>
      <w:r w:rsidR="00453736" w:rsidRPr="00E22FD1">
        <w:rPr>
          <w:rFonts w:ascii="Arial" w:hAnsi="Arial" w:cs="Arial"/>
        </w:rPr>
        <w:t xml:space="preserve"> (Torrington et al., 2020)</w:t>
      </w:r>
      <w:r w:rsidR="00F46D7F" w:rsidRPr="00E22FD1">
        <w:rPr>
          <w:rFonts w:ascii="Arial" w:hAnsi="Arial" w:cs="Arial"/>
        </w:rPr>
        <w:t>. HR may create an engaging environment where employees feel appreciated for their unique contributions and where teamwork is celebrated by creating, executing, and arranging employment engagement events</w:t>
      </w:r>
      <w:r w:rsidRPr="00E22FD1">
        <w:rPr>
          <w:rFonts w:ascii="Arial" w:hAnsi="Arial" w:cs="Arial"/>
        </w:rPr>
        <w:t>.</w:t>
      </w:r>
    </w:p>
    <w:p w14:paraId="4F81E4E7" w14:textId="77777777" w:rsidR="00F53C9B" w:rsidRPr="00E22FD1" w:rsidRDefault="00F53C9B" w:rsidP="00E22FD1">
      <w:pPr>
        <w:pStyle w:val="ListParagraph"/>
        <w:spacing w:before="240"/>
        <w:rPr>
          <w:rFonts w:ascii="Arial" w:hAnsi="Arial" w:cs="Arial"/>
        </w:rPr>
      </w:pPr>
    </w:p>
    <w:p w14:paraId="453760BD" w14:textId="61AE7F5D" w:rsidR="00207E4D" w:rsidRPr="00E22FD1" w:rsidRDefault="00207E4D" w:rsidP="00E22FD1">
      <w:pPr>
        <w:pStyle w:val="ListParagraph"/>
        <w:spacing w:before="240"/>
        <w:rPr>
          <w:rFonts w:ascii="Arial" w:hAnsi="Arial" w:cs="Arial"/>
        </w:rPr>
      </w:pPr>
      <w:r w:rsidRPr="00E22FD1">
        <w:rPr>
          <w:rFonts w:ascii="Arial" w:hAnsi="Arial" w:cs="Arial"/>
          <w:b/>
          <w:bCs/>
        </w:rPr>
        <w:t>Measurement</w:t>
      </w:r>
      <w:r w:rsidR="00F46D7F" w:rsidRPr="00E22FD1">
        <w:rPr>
          <w:rFonts w:ascii="Arial" w:hAnsi="Arial" w:cs="Arial"/>
          <w:b/>
          <w:bCs/>
        </w:rPr>
        <w:t>,</w:t>
      </w:r>
      <w:r w:rsidR="00284977">
        <w:rPr>
          <w:rFonts w:ascii="Arial" w:hAnsi="Arial" w:cs="Arial"/>
          <w:b/>
          <w:bCs/>
        </w:rPr>
        <w:t xml:space="preserve"> </w:t>
      </w:r>
      <w:r w:rsidR="00645ECC" w:rsidRPr="00E22FD1">
        <w:rPr>
          <w:rFonts w:ascii="Arial" w:hAnsi="Arial" w:cs="Arial"/>
        </w:rPr>
        <w:t>the Human Resources division is the gatekeeper for company commitment. Human resources should not ignore the importance of the conversations and strategies that have a direct impact on employee engagement in favour of relying simply on data, analytics, benchmark targets, and ranking figures</w:t>
      </w:r>
      <w:r w:rsidR="00453736" w:rsidRPr="00E22FD1">
        <w:rPr>
          <w:rFonts w:ascii="Arial" w:hAnsi="Arial" w:cs="Arial"/>
        </w:rPr>
        <w:t xml:space="preserve"> (Torrington et al., 2020)</w:t>
      </w:r>
      <w:r w:rsidRPr="00E22FD1">
        <w:rPr>
          <w:rFonts w:ascii="Arial" w:hAnsi="Arial" w:cs="Arial"/>
        </w:rPr>
        <w:t>.</w:t>
      </w:r>
    </w:p>
    <w:p w14:paraId="7886FEEF" w14:textId="77777777" w:rsidR="002E2627" w:rsidRPr="00E22FD1" w:rsidRDefault="002E2627" w:rsidP="00E22FD1">
      <w:pPr>
        <w:pStyle w:val="ListParagraph"/>
        <w:spacing w:before="240"/>
        <w:rPr>
          <w:rFonts w:ascii="Arial" w:hAnsi="Arial" w:cs="Arial"/>
        </w:rPr>
      </w:pPr>
    </w:p>
    <w:p w14:paraId="6DEF1394" w14:textId="77777777" w:rsidR="00854EAE" w:rsidRPr="00E22FD1" w:rsidRDefault="00D2096E" w:rsidP="00E22FD1">
      <w:pPr>
        <w:pStyle w:val="ListParagraph"/>
        <w:spacing w:before="240"/>
        <w:rPr>
          <w:rFonts w:ascii="Arial" w:hAnsi="Arial" w:cs="Arial"/>
        </w:rPr>
      </w:pPr>
      <w:r w:rsidRPr="00E22FD1">
        <w:rPr>
          <w:rFonts w:ascii="Arial" w:hAnsi="Arial" w:cs="Arial"/>
        </w:rPr>
        <w:t>The positive effects of employee involvement extend well beyond increased productivity and reduced accidents in the workplace</w:t>
      </w:r>
      <w:r w:rsidR="00453736" w:rsidRPr="00E22FD1">
        <w:rPr>
          <w:rFonts w:ascii="Arial" w:hAnsi="Arial" w:cs="Arial"/>
        </w:rPr>
        <w:t xml:space="preserve"> (Friedman, 2012)</w:t>
      </w:r>
      <w:r w:rsidRPr="00E22FD1">
        <w:rPr>
          <w:rFonts w:ascii="Arial" w:hAnsi="Arial" w:cs="Arial"/>
        </w:rPr>
        <w:t>. Because of the interwoven nature of many of these characteristics, employee engagement may serve as a strong indicator of an organi</w:t>
      </w:r>
      <w:r w:rsidR="00453736" w:rsidRPr="00E22FD1">
        <w:rPr>
          <w:rFonts w:ascii="Arial" w:hAnsi="Arial" w:cs="Arial"/>
        </w:rPr>
        <w:t>s</w:t>
      </w:r>
      <w:r w:rsidRPr="00E22FD1">
        <w:rPr>
          <w:rFonts w:ascii="Arial" w:hAnsi="Arial" w:cs="Arial"/>
        </w:rPr>
        <w:t>ation's future success.</w:t>
      </w:r>
      <w:r w:rsidR="004A6332" w:rsidRPr="00E22FD1">
        <w:rPr>
          <w:rFonts w:ascii="Arial" w:hAnsi="Arial" w:cs="Arial"/>
        </w:rPr>
        <w:t xml:space="preserve"> The following are some of the advantages of employee engagement:</w:t>
      </w:r>
    </w:p>
    <w:p w14:paraId="07CEFF3E" w14:textId="77777777" w:rsidR="001C2949" w:rsidRPr="00E22FD1" w:rsidRDefault="001C2949" w:rsidP="00E22FD1">
      <w:pPr>
        <w:pStyle w:val="ListParagraph"/>
        <w:spacing w:before="240"/>
        <w:rPr>
          <w:rFonts w:ascii="Arial" w:hAnsi="Arial" w:cs="Arial"/>
          <w:color w:val="343434"/>
          <w:spacing w:val="-7"/>
          <w:lang w:val="en-US"/>
        </w:rPr>
      </w:pPr>
    </w:p>
    <w:p w14:paraId="2B22A559" w14:textId="77777777" w:rsidR="008C7D13" w:rsidRPr="00E22FD1" w:rsidRDefault="00904D0A" w:rsidP="00E22FD1">
      <w:pPr>
        <w:pStyle w:val="ListParagraph"/>
        <w:spacing w:before="240"/>
        <w:rPr>
          <w:rFonts w:ascii="Arial" w:hAnsi="Arial" w:cs="Arial"/>
          <w:lang w:val="en-US"/>
        </w:rPr>
      </w:pPr>
      <w:r w:rsidRPr="00E22FD1">
        <w:rPr>
          <w:rFonts w:ascii="Arial" w:hAnsi="Arial" w:cs="Arial"/>
          <w:b/>
          <w:bCs/>
          <w:color w:val="343434"/>
          <w:spacing w:val="-7"/>
          <w:lang w:val="en-US"/>
        </w:rPr>
        <w:t>Better Employee Health</w:t>
      </w:r>
      <w:r w:rsidR="008C7D13" w:rsidRPr="00E22FD1">
        <w:rPr>
          <w:rFonts w:ascii="Arial" w:hAnsi="Arial" w:cs="Arial"/>
          <w:b/>
          <w:bCs/>
          <w:color w:val="343434"/>
          <w:spacing w:val="-7"/>
          <w:lang w:val="en-US"/>
        </w:rPr>
        <w:t xml:space="preserve">, </w:t>
      </w:r>
      <w:r w:rsidR="008C7D13" w:rsidRPr="00E22FD1">
        <w:rPr>
          <w:rFonts w:ascii="Arial" w:hAnsi="Arial" w:cs="Arial"/>
          <w:lang w:val="en-US"/>
        </w:rPr>
        <w:t>disengaged workers are more prone to have physical and mental health problems, which may further reduce productivity as well as raise expenses</w:t>
      </w:r>
      <w:r w:rsidR="00453736" w:rsidRPr="00E22FD1">
        <w:rPr>
          <w:rFonts w:ascii="Arial" w:hAnsi="Arial" w:cs="Arial"/>
          <w:lang w:val="en-US"/>
        </w:rPr>
        <w:t xml:space="preserve"> (Gallagher, 2016)</w:t>
      </w:r>
      <w:r w:rsidR="008C7D13" w:rsidRPr="00E22FD1">
        <w:rPr>
          <w:rFonts w:ascii="Arial" w:hAnsi="Arial" w:cs="Arial"/>
          <w:lang w:val="en-US"/>
        </w:rPr>
        <w:t>. Conversely, workers who have a positive outlook on their occupations seem to be more likely to feel well overall and have the stamina to engage in healthful activities like exercise</w:t>
      </w:r>
      <w:r w:rsidRPr="00E22FD1">
        <w:rPr>
          <w:rFonts w:ascii="Arial" w:hAnsi="Arial" w:cs="Arial"/>
          <w:lang w:val="en-US"/>
        </w:rPr>
        <w:t>.</w:t>
      </w:r>
    </w:p>
    <w:p w14:paraId="6B2E072B" w14:textId="77777777" w:rsidR="00F70A67" w:rsidRPr="00E22FD1" w:rsidRDefault="00F70A67" w:rsidP="00E22FD1">
      <w:pPr>
        <w:pStyle w:val="ListParagraph"/>
        <w:spacing w:before="240"/>
        <w:rPr>
          <w:rFonts w:ascii="Arial" w:hAnsi="Arial" w:cs="Arial"/>
        </w:rPr>
      </w:pPr>
      <w:r w:rsidRPr="00E22FD1">
        <w:rPr>
          <w:rFonts w:ascii="Arial" w:hAnsi="Arial" w:cs="Arial"/>
          <w:b/>
          <w:bCs/>
          <w:color w:val="343434"/>
          <w:spacing w:val="-7"/>
        </w:rPr>
        <w:t>Increased Productivity</w:t>
      </w:r>
      <w:r w:rsidR="00E43B6F" w:rsidRPr="00E22FD1">
        <w:rPr>
          <w:rFonts w:ascii="Arial" w:hAnsi="Arial" w:cs="Arial"/>
          <w:b/>
          <w:bCs/>
          <w:color w:val="343434"/>
          <w:spacing w:val="-7"/>
        </w:rPr>
        <w:t xml:space="preserve">, </w:t>
      </w:r>
      <w:r w:rsidR="00E43B6F" w:rsidRPr="00E22FD1">
        <w:rPr>
          <w:rFonts w:ascii="Arial" w:hAnsi="Arial" w:cs="Arial"/>
        </w:rPr>
        <w:t xml:space="preserve">it is no secret that firms benefit from the hard work of individuals who are passionate about what they do. According to Gallup, engaged </w:t>
      </w:r>
      <w:r w:rsidR="00E43B6F" w:rsidRPr="00E22FD1">
        <w:rPr>
          <w:rFonts w:ascii="Arial" w:hAnsi="Arial" w:cs="Arial"/>
        </w:rPr>
        <w:lastRenderedPageBreak/>
        <w:t>workers are 17% more productive, which may have far-reaching effects on the company's bottom line and survival</w:t>
      </w:r>
      <w:r w:rsidR="00453736" w:rsidRPr="00E22FD1">
        <w:rPr>
          <w:rFonts w:ascii="Arial" w:hAnsi="Arial" w:cs="Arial"/>
        </w:rPr>
        <w:t xml:space="preserve"> (Marchington et al., 2016)</w:t>
      </w:r>
      <w:r w:rsidRPr="00E22FD1">
        <w:rPr>
          <w:rFonts w:ascii="Arial" w:hAnsi="Arial" w:cs="Arial"/>
        </w:rPr>
        <w:t>. </w:t>
      </w:r>
    </w:p>
    <w:p w14:paraId="5FD5F388" w14:textId="77777777" w:rsidR="008C7D13" w:rsidRPr="00E22FD1" w:rsidRDefault="008C7D13" w:rsidP="00E22FD1">
      <w:pPr>
        <w:pStyle w:val="ListParagraph"/>
        <w:spacing w:before="240"/>
        <w:rPr>
          <w:rFonts w:ascii="Arial" w:hAnsi="Arial" w:cs="Arial"/>
          <w:color w:val="343434"/>
          <w:spacing w:val="-7"/>
        </w:rPr>
      </w:pPr>
    </w:p>
    <w:p w14:paraId="2DEC8C70" w14:textId="77777777" w:rsidR="00F70A67" w:rsidRPr="00E22FD1" w:rsidRDefault="00F70A67" w:rsidP="00E22FD1">
      <w:pPr>
        <w:pStyle w:val="ListParagraph"/>
        <w:spacing w:before="240"/>
        <w:rPr>
          <w:rFonts w:ascii="Arial" w:hAnsi="Arial" w:cs="Arial"/>
        </w:rPr>
      </w:pPr>
      <w:r w:rsidRPr="00E22FD1">
        <w:rPr>
          <w:rFonts w:ascii="Arial" w:hAnsi="Arial" w:cs="Arial"/>
          <w:b/>
          <w:bCs/>
          <w:color w:val="343434"/>
          <w:spacing w:val="-7"/>
        </w:rPr>
        <w:t>Greater Employee Commitment</w:t>
      </w:r>
      <w:r w:rsidR="003070D4" w:rsidRPr="00E22FD1">
        <w:rPr>
          <w:rFonts w:ascii="Arial" w:hAnsi="Arial" w:cs="Arial"/>
          <w:b/>
          <w:bCs/>
          <w:color w:val="343434"/>
          <w:spacing w:val="-7"/>
        </w:rPr>
        <w:t xml:space="preserve">, </w:t>
      </w:r>
      <w:r w:rsidR="003070D4" w:rsidRPr="00E22FD1">
        <w:rPr>
          <w:rFonts w:ascii="Arial" w:hAnsi="Arial" w:cs="Arial"/>
        </w:rPr>
        <w:t xml:space="preserve">employees that are invested in their work and the success of the company as </w:t>
      </w:r>
      <w:r w:rsidR="00EB0418" w:rsidRPr="00E22FD1">
        <w:rPr>
          <w:rFonts w:ascii="Arial" w:hAnsi="Arial" w:cs="Arial"/>
        </w:rPr>
        <w:t xml:space="preserve">a </w:t>
      </w:r>
      <w:r w:rsidR="003070D4" w:rsidRPr="00E22FD1">
        <w:rPr>
          <w:rFonts w:ascii="Arial" w:hAnsi="Arial" w:cs="Arial"/>
        </w:rPr>
        <w:t>whole produce more and care more about the company's future. That implies they are more inclined to invest in activities that are harder to quantify but have a greater overall effect</w:t>
      </w:r>
      <w:r w:rsidR="00453736" w:rsidRPr="00E22FD1">
        <w:rPr>
          <w:rFonts w:ascii="Arial" w:hAnsi="Arial" w:cs="Arial"/>
        </w:rPr>
        <w:t xml:space="preserve"> (Tabassum et al., 2017)</w:t>
      </w:r>
      <w:r w:rsidR="003070D4" w:rsidRPr="00E22FD1">
        <w:rPr>
          <w:rFonts w:ascii="Arial" w:hAnsi="Arial" w:cs="Arial"/>
        </w:rPr>
        <w:t>. Examples include making improvements to existing procedures and training new workers</w:t>
      </w:r>
      <w:r w:rsidRPr="00E22FD1">
        <w:rPr>
          <w:rFonts w:ascii="Arial" w:hAnsi="Arial" w:cs="Arial"/>
        </w:rPr>
        <w:t>.</w:t>
      </w:r>
    </w:p>
    <w:p w14:paraId="66D46AF8" w14:textId="77777777" w:rsidR="004A6332" w:rsidRPr="00E22FD1" w:rsidRDefault="004A6332" w:rsidP="00E22FD1">
      <w:pPr>
        <w:pStyle w:val="ListParagraph"/>
        <w:spacing w:before="240"/>
        <w:rPr>
          <w:rFonts w:ascii="Arial" w:hAnsi="Arial" w:cs="Arial"/>
          <w:color w:val="343434"/>
          <w:spacing w:val="-7"/>
        </w:rPr>
      </w:pPr>
    </w:p>
    <w:p w14:paraId="7E189477" w14:textId="77777777" w:rsidR="00F70A67" w:rsidRPr="00E22FD1" w:rsidRDefault="00F70A67" w:rsidP="00E22FD1">
      <w:pPr>
        <w:pStyle w:val="ListParagraph"/>
        <w:spacing w:before="240"/>
        <w:rPr>
          <w:rFonts w:ascii="Arial" w:hAnsi="Arial" w:cs="Arial"/>
        </w:rPr>
      </w:pPr>
      <w:r w:rsidRPr="00E22FD1">
        <w:rPr>
          <w:rFonts w:ascii="Arial" w:hAnsi="Arial" w:cs="Arial"/>
          <w:b/>
          <w:bCs/>
          <w:color w:val="343434"/>
          <w:spacing w:val="-7"/>
        </w:rPr>
        <w:t>Better Customer Service</w:t>
      </w:r>
      <w:r w:rsidR="0001212A" w:rsidRPr="00E22FD1">
        <w:rPr>
          <w:rFonts w:ascii="Arial" w:hAnsi="Arial" w:cs="Arial"/>
          <w:b/>
          <w:bCs/>
          <w:color w:val="343434"/>
          <w:spacing w:val="-7"/>
        </w:rPr>
        <w:t xml:space="preserve">, </w:t>
      </w:r>
      <w:r w:rsidR="0001212A" w:rsidRPr="00E22FD1">
        <w:rPr>
          <w:rFonts w:ascii="Arial" w:hAnsi="Arial" w:cs="Arial"/>
        </w:rPr>
        <w:t>customers would notice that greater care was taken in how they were treated by personnel who were more invested in the company's vision and aims. Plus, their enthusiasm for the company will rub off on consumers. Customers' engagement with a brand is closely correlated with the quality of their experiences, which in turn may boost their loyalty</w:t>
      </w:r>
      <w:r w:rsidRPr="00E22FD1">
        <w:rPr>
          <w:rFonts w:ascii="Arial" w:hAnsi="Arial" w:cs="Arial"/>
        </w:rPr>
        <w:t>.</w:t>
      </w:r>
    </w:p>
    <w:p w14:paraId="10049A69" w14:textId="77777777" w:rsidR="008C7D13" w:rsidRPr="00E22FD1" w:rsidRDefault="008C7D13" w:rsidP="00E22FD1">
      <w:pPr>
        <w:pStyle w:val="ListParagraph"/>
        <w:spacing w:before="240"/>
        <w:rPr>
          <w:rFonts w:ascii="Arial" w:hAnsi="Arial" w:cs="Arial"/>
          <w:color w:val="343434"/>
          <w:spacing w:val="-7"/>
        </w:rPr>
      </w:pPr>
    </w:p>
    <w:p w14:paraId="1BA46751" w14:textId="77777777" w:rsidR="00F70A67" w:rsidRPr="00E22FD1" w:rsidRDefault="00F70A67" w:rsidP="00E22FD1">
      <w:pPr>
        <w:pStyle w:val="ListParagraph"/>
        <w:spacing w:before="240"/>
        <w:rPr>
          <w:rFonts w:ascii="Arial" w:hAnsi="Arial" w:cs="Arial"/>
        </w:rPr>
      </w:pPr>
      <w:r w:rsidRPr="00E22FD1">
        <w:rPr>
          <w:rFonts w:ascii="Arial" w:hAnsi="Arial" w:cs="Arial"/>
          <w:b/>
          <w:bCs/>
          <w:color w:val="343434"/>
          <w:spacing w:val="-7"/>
        </w:rPr>
        <w:t>Improved Collaboration</w:t>
      </w:r>
      <w:r w:rsidR="0001212A" w:rsidRPr="00E22FD1">
        <w:rPr>
          <w:rFonts w:ascii="Arial" w:hAnsi="Arial" w:cs="Arial"/>
          <w:b/>
          <w:bCs/>
          <w:color w:val="343434"/>
          <w:spacing w:val="-7"/>
        </w:rPr>
        <w:t>, t</w:t>
      </w:r>
      <w:r w:rsidR="00325D64" w:rsidRPr="00E22FD1">
        <w:rPr>
          <w:rFonts w:ascii="Arial" w:hAnsi="Arial" w:cs="Arial"/>
        </w:rPr>
        <w:t>he ability to work together efficiently and foster a feeling of camaraderie amongst employees is directly correlated with their level of engagement with their organisation and their teammates</w:t>
      </w:r>
      <w:r w:rsidR="00453736" w:rsidRPr="00E22FD1">
        <w:rPr>
          <w:rFonts w:ascii="Arial" w:hAnsi="Arial" w:cs="Arial"/>
        </w:rPr>
        <w:t xml:space="preserve"> (Soane et al., 2017)</w:t>
      </w:r>
      <w:r w:rsidR="00325D64" w:rsidRPr="00E22FD1">
        <w:rPr>
          <w:rFonts w:ascii="Arial" w:hAnsi="Arial" w:cs="Arial"/>
        </w:rPr>
        <w:t xml:space="preserve">. </w:t>
      </w:r>
      <w:r w:rsidR="008C7D13" w:rsidRPr="00E22FD1">
        <w:rPr>
          <w:rFonts w:ascii="Arial" w:hAnsi="Arial" w:cs="Arial"/>
        </w:rPr>
        <w:t>It is</w:t>
      </w:r>
      <w:r w:rsidR="00325D64" w:rsidRPr="00E22FD1">
        <w:rPr>
          <w:rFonts w:ascii="Arial" w:hAnsi="Arial" w:cs="Arial"/>
        </w:rPr>
        <w:t xml:space="preserve"> a virtuous cycle that begins with this action and leads to more participation from their peers</w:t>
      </w:r>
      <w:r w:rsidRPr="00E22FD1">
        <w:rPr>
          <w:rFonts w:ascii="Arial" w:hAnsi="Arial" w:cs="Arial"/>
        </w:rPr>
        <w:t>. </w:t>
      </w:r>
    </w:p>
    <w:p w14:paraId="0D1C589C" w14:textId="77777777" w:rsidR="008C7D13" w:rsidRPr="00E22FD1" w:rsidRDefault="008C7D13" w:rsidP="00E22FD1">
      <w:pPr>
        <w:pStyle w:val="ListParagraph"/>
        <w:spacing w:before="240"/>
        <w:rPr>
          <w:rFonts w:ascii="Arial" w:hAnsi="Arial" w:cs="Arial"/>
          <w:color w:val="343434"/>
          <w:spacing w:val="-7"/>
        </w:rPr>
      </w:pPr>
    </w:p>
    <w:p w14:paraId="13800568" w14:textId="7E58F95C" w:rsidR="00460F22" w:rsidRPr="00E22FD1" w:rsidRDefault="00F70A67" w:rsidP="00E22FD1">
      <w:pPr>
        <w:pStyle w:val="ListParagraph"/>
        <w:spacing w:before="240"/>
        <w:rPr>
          <w:rFonts w:ascii="Arial" w:hAnsi="Arial" w:cs="Arial"/>
          <w:b/>
          <w:bCs/>
        </w:rPr>
      </w:pPr>
      <w:r w:rsidRPr="00E22FD1">
        <w:rPr>
          <w:rFonts w:ascii="Arial" w:hAnsi="Arial" w:cs="Arial"/>
          <w:b/>
          <w:bCs/>
        </w:rPr>
        <w:t>Lower Absenteeism</w:t>
      </w:r>
      <w:r w:rsidR="00460F22" w:rsidRPr="00E22FD1">
        <w:rPr>
          <w:rFonts w:ascii="Arial" w:hAnsi="Arial" w:cs="Arial"/>
          <w:b/>
          <w:bCs/>
        </w:rPr>
        <w:t xml:space="preserve">, </w:t>
      </w:r>
      <w:r w:rsidR="00460F22" w:rsidRPr="00E22FD1">
        <w:rPr>
          <w:rFonts w:ascii="Arial" w:hAnsi="Arial" w:cs="Arial"/>
        </w:rPr>
        <w:t xml:space="preserve">the capacity of a business to accomplish its goals may be severely hampered by absenteeism. Gallup found that organisations with strong employee engagement had 81% fewer absenteeism than those with low employee engagement. </w:t>
      </w:r>
      <w:r w:rsidR="00EB0418" w:rsidRPr="00E22FD1">
        <w:rPr>
          <w:rFonts w:ascii="Arial" w:hAnsi="Arial" w:cs="Arial"/>
        </w:rPr>
        <w:t>Companies</w:t>
      </w:r>
      <w:r w:rsidR="00284977">
        <w:rPr>
          <w:rFonts w:ascii="Arial" w:hAnsi="Arial" w:cs="Arial"/>
        </w:rPr>
        <w:t xml:space="preserve"> </w:t>
      </w:r>
      <w:r w:rsidR="00460F22" w:rsidRPr="00E22FD1">
        <w:rPr>
          <w:rFonts w:ascii="Arial" w:hAnsi="Arial" w:cs="Arial"/>
        </w:rPr>
        <w:t>can see the effects of this distinction on efficiency and output</w:t>
      </w:r>
      <w:r w:rsidR="00453736" w:rsidRPr="00E22FD1">
        <w:rPr>
          <w:rFonts w:ascii="Arial" w:hAnsi="Arial" w:cs="Arial"/>
        </w:rPr>
        <w:t xml:space="preserve"> (Torrington et al., 2020)</w:t>
      </w:r>
      <w:r w:rsidR="00460F22" w:rsidRPr="00E22FD1">
        <w:rPr>
          <w:rFonts w:ascii="Arial" w:hAnsi="Arial" w:cs="Arial"/>
        </w:rPr>
        <w:t>.</w:t>
      </w:r>
    </w:p>
    <w:p w14:paraId="315C2B1E" w14:textId="77777777" w:rsidR="00460F22" w:rsidRPr="00E22FD1" w:rsidRDefault="00460F22" w:rsidP="00E22FD1">
      <w:pPr>
        <w:pStyle w:val="ListParagraph"/>
        <w:spacing w:before="240"/>
        <w:rPr>
          <w:rFonts w:ascii="Arial" w:hAnsi="Arial" w:cs="Arial"/>
        </w:rPr>
      </w:pPr>
    </w:p>
    <w:p w14:paraId="37EEEA8D" w14:textId="77777777" w:rsidR="00EC2090" w:rsidRPr="00E22FD1" w:rsidRDefault="00460F22" w:rsidP="00E22FD1">
      <w:pPr>
        <w:pStyle w:val="ListParagraph"/>
        <w:spacing w:before="240"/>
        <w:rPr>
          <w:rFonts w:ascii="Arial" w:hAnsi="Arial" w:cs="Arial"/>
        </w:rPr>
      </w:pPr>
      <w:r w:rsidRPr="00E22FD1">
        <w:rPr>
          <w:rFonts w:ascii="Arial" w:hAnsi="Arial" w:cs="Arial"/>
        </w:rPr>
        <w:t>A greater level of employee engagement has been shown to have a positive effect on the bottom line by decreasing employee turnover, increasing productivity and efficiency, enhancing customer service and retention, and delivering better profits</w:t>
      </w:r>
      <w:r w:rsidR="00453736" w:rsidRPr="00E22FD1">
        <w:rPr>
          <w:rFonts w:ascii="Arial" w:hAnsi="Arial" w:cs="Arial"/>
        </w:rPr>
        <w:t xml:space="preserve"> (Shantz et al., 2016)</w:t>
      </w:r>
      <w:r w:rsidRPr="00E22FD1">
        <w:rPr>
          <w:rFonts w:ascii="Arial" w:hAnsi="Arial" w:cs="Arial"/>
        </w:rPr>
        <w:t>. The bottom line is that a productive workforce makes running a firm simpler and frees up resources for higher-return endeavours like innovation, process optimi</w:t>
      </w:r>
      <w:r w:rsidR="00453736" w:rsidRPr="00E22FD1">
        <w:rPr>
          <w:rFonts w:ascii="Arial" w:hAnsi="Arial" w:cs="Arial"/>
        </w:rPr>
        <w:t>s</w:t>
      </w:r>
      <w:r w:rsidRPr="00E22FD1">
        <w:rPr>
          <w:rFonts w:ascii="Arial" w:hAnsi="Arial" w:cs="Arial"/>
        </w:rPr>
        <w:t>ation, and product creation</w:t>
      </w:r>
      <w:r w:rsidR="00756F50" w:rsidRPr="00E22FD1">
        <w:rPr>
          <w:rFonts w:ascii="Arial" w:hAnsi="Arial" w:cs="Arial"/>
        </w:rPr>
        <w:t>.</w:t>
      </w:r>
    </w:p>
    <w:p w14:paraId="63A8F617" w14:textId="77777777" w:rsidR="00EC2090" w:rsidRPr="00E22FD1" w:rsidRDefault="00167A68" w:rsidP="00E22FD1">
      <w:pPr>
        <w:pStyle w:val="ListParagraph"/>
        <w:spacing w:before="240"/>
        <w:rPr>
          <w:rFonts w:ascii="Arial" w:hAnsi="Arial" w:cs="Arial"/>
        </w:rPr>
      </w:pPr>
      <w:r w:rsidRPr="00E22FD1">
        <w:rPr>
          <w:rFonts w:ascii="Arial" w:hAnsi="Arial" w:cs="Arial"/>
        </w:rPr>
        <w:lastRenderedPageBreak/>
        <w:t xml:space="preserve">An employee's journey within their organisation is broken down into several phases, and they are mapped out using the employee life cycle model. There are several compelling arguments in favour of the employee life cycle model. The most notable advantage is that it compels to assess and enhance the worker experience at every point of the process. In addition, an employee's likelihood of staying with </w:t>
      </w:r>
      <w:r w:rsidR="00EB0418" w:rsidRPr="00E22FD1">
        <w:rPr>
          <w:rFonts w:ascii="Arial" w:hAnsi="Arial" w:cs="Arial"/>
        </w:rPr>
        <w:t xml:space="preserve">the </w:t>
      </w:r>
      <w:r w:rsidRPr="00E22FD1">
        <w:rPr>
          <w:rFonts w:ascii="Arial" w:hAnsi="Arial" w:cs="Arial"/>
        </w:rPr>
        <w:t>organisation is proportional to how satisfied they are with their whole experience. To further understand the significance of employee engagement across the employee life cycle, each phase will be described below</w:t>
      </w:r>
      <w:r w:rsidR="00EC2090" w:rsidRPr="00E22FD1">
        <w:rPr>
          <w:rFonts w:ascii="Arial" w:hAnsi="Arial" w:cs="Arial"/>
        </w:rPr>
        <w:t>. </w:t>
      </w:r>
    </w:p>
    <w:p w14:paraId="63F5CC83" w14:textId="77777777" w:rsidR="00EC2090" w:rsidRPr="00E22FD1" w:rsidRDefault="00EC2090" w:rsidP="00E22FD1">
      <w:pPr>
        <w:pStyle w:val="ListParagraph"/>
        <w:spacing w:before="240"/>
        <w:rPr>
          <w:rFonts w:ascii="Arial" w:hAnsi="Arial" w:cs="Arial"/>
          <w:b/>
          <w:bCs/>
          <w:spacing w:val="2"/>
          <w:szCs w:val="24"/>
        </w:rPr>
      </w:pPr>
    </w:p>
    <w:p w14:paraId="67B3969A" w14:textId="77777777" w:rsidR="00EC2090" w:rsidRPr="00E22FD1" w:rsidRDefault="00EC2090" w:rsidP="00E22FD1">
      <w:pPr>
        <w:pStyle w:val="ListParagraph"/>
        <w:spacing w:before="240"/>
        <w:rPr>
          <w:rFonts w:ascii="Arial" w:hAnsi="Arial" w:cs="Arial"/>
          <w:szCs w:val="24"/>
        </w:rPr>
      </w:pPr>
      <w:r w:rsidRPr="00E22FD1">
        <w:rPr>
          <w:rFonts w:ascii="Arial" w:hAnsi="Arial" w:cs="Arial"/>
          <w:b/>
          <w:bCs/>
          <w:spacing w:val="2"/>
          <w:szCs w:val="24"/>
        </w:rPr>
        <w:t xml:space="preserve">Attraction, </w:t>
      </w:r>
      <w:r w:rsidR="00B80BCA" w:rsidRPr="00E22FD1">
        <w:rPr>
          <w:rFonts w:ascii="Arial" w:hAnsi="Arial" w:cs="Arial"/>
          <w:szCs w:val="24"/>
        </w:rPr>
        <w:t xml:space="preserve">to begin the employee life cycle process, </w:t>
      </w:r>
      <w:r w:rsidR="00EB0418" w:rsidRPr="00E22FD1">
        <w:rPr>
          <w:rFonts w:ascii="Arial" w:hAnsi="Arial" w:cs="Arial"/>
          <w:szCs w:val="24"/>
        </w:rPr>
        <w:t xml:space="preserve">the </w:t>
      </w:r>
      <w:r w:rsidR="00453736" w:rsidRPr="00E22FD1">
        <w:rPr>
          <w:rFonts w:ascii="Arial" w:hAnsi="Arial" w:cs="Arial"/>
          <w:szCs w:val="24"/>
        </w:rPr>
        <w:t>company</w:t>
      </w:r>
      <w:r w:rsidR="00B80BCA" w:rsidRPr="00E22FD1">
        <w:rPr>
          <w:rFonts w:ascii="Arial" w:hAnsi="Arial" w:cs="Arial"/>
          <w:szCs w:val="24"/>
        </w:rPr>
        <w:t xml:space="preserve"> must first recruit new personnel. It does not matter how novel or powerful the product or service is if the firm is unable to attract and retain the best talent</w:t>
      </w:r>
      <w:r w:rsidR="00453736" w:rsidRPr="00E22FD1">
        <w:rPr>
          <w:rFonts w:ascii="Arial" w:hAnsi="Arial" w:cs="Arial"/>
          <w:szCs w:val="24"/>
        </w:rPr>
        <w:t xml:space="preserve"> (Qualtrics, 2022)</w:t>
      </w:r>
      <w:r w:rsidR="00B80BCA" w:rsidRPr="00E22FD1">
        <w:rPr>
          <w:rFonts w:ascii="Arial" w:hAnsi="Arial" w:cs="Arial"/>
          <w:szCs w:val="24"/>
        </w:rPr>
        <w:t>. Representing the firm in a positive light in the eyes of current and potential employees is an important aspect of its reputation management strategy, often known as the employer brand. The company's working environment is well-liked by those who are interested in working there, whether or not they are already employed there.</w:t>
      </w:r>
    </w:p>
    <w:p w14:paraId="6FA58A0E" w14:textId="77777777" w:rsidR="00EC2090" w:rsidRPr="00E22FD1" w:rsidRDefault="00EC2090" w:rsidP="00E22FD1">
      <w:pPr>
        <w:pStyle w:val="ListParagraph"/>
        <w:spacing w:before="240"/>
        <w:rPr>
          <w:rFonts w:ascii="Arial" w:hAnsi="Arial" w:cs="Arial"/>
          <w:szCs w:val="24"/>
        </w:rPr>
      </w:pPr>
      <w:r w:rsidRPr="00E22FD1">
        <w:rPr>
          <w:rFonts w:ascii="Arial" w:hAnsi="Arial" w:cs="Arial"/>
          <w:szCs w:val="24"/>
        </w:rPr>
        <w:t>  </w:t>
      </w:r>
    </w:p>
    <w:p w14:paraId="3CAE1B72" w14:textId="77777777" w:rsidR="00EC2090" w:rsidRPr="00E22FD1" w:rsidRDefault="00EC2090" w:rsidP="00E22FD1">
      <w:pPr>
        <w:pStyle w:val="ListParagraph"/>
        <w:spacing w:before="240"/>
        <w:rPr>
          <w:rFonts w:ascii="Arial" w:hAnsi="Arial" w:cs="Arial"/>
          <w:szCs w:val="24"/>
        </w:rPr>
      </w:pPr>
      <w:r w:rsidRPr="00E22FD1">
        <w:rPr>
          <w:rFonts w:ascii="Arial" w:hAnsi="Arial" w:cs="Arial"/>
          <w:b/>
          <w:bCs/>
          <w:spacing w:val="2"/>
          <w:szCs w:val="24"/>
        </w:rPr>
        <w:t xml:space="preserve">Recruitment, </w:t>
      </w:r>
      <w:r w:rsidR="00B80BCA" w:rsidRPr="00E22FD1">
        <w:rPr>
          <w:rFonts w:ascii="Arial" w:hAnsi="Arial" w:cs="Arial"/>
          <w:szCs w:val="24"/>
        </w:rPr>
        <w:t>r</w:t>
      </w:r>
      <w:r w:rsidR="001D6161" w:rsidRPr="00E22FD1">
        <w:rPr>
          <w:rFonts w:ascii="Arial" w:hAnsi="Arial" w:cs="Arial"/>
          <w:szCs w:val="24"/>
        </w:rPr>
        <w:t>ecruiting is the second phase of the employee life cycle, and it comprises actively seeking out and persuading the most suitable candidates for available jobs inside the organisation</w:t>
      </w:r>
      <w:r w:rsidR="00453736" w:rsidRPr="00E22FD1">
        <w:rPr>
          <w:rFonts w:ascii="Arial" w:hAnsi="Arial" w:cs="Arial"/>
          <w:szCs w:val="24"/>
        </w:rPr>
        <w:t xml:space="preserve"> (Castellano, 2013)</w:t>
      </w:r>
      <w:r w:rsidR="001D6161" w:rsidRPr="00E22FD1">
        <w:rPr>
          <w:rFonts w:ascii="Arial" w:hAnsi="Arial" w:cs="Arial"/>
          <w:szCs w:val="24"/>
        </w:rPr>
        <w:t>. Recruitment may occur in response to vacancies, but it can also occur to fill whole new roles. The most efficient methods of hiring ensure that applicants have a positive experience, that vacant jobs are filled collaboratively according to clear criteria, and that valuable feedback is gleaned to better inform future recruitment campaigns.</w:t>
      </w:r>
    </w:p>
    <w:p w14:paraId="7E5FAEAA" w14:textId="77777777" w:rsidR="00EC2090" w:rsidRPr="00E22FD1" w:rsidRDefault="00EC2090" w:rsidP="00E22FD1">
      <w:pPr>
        <w:pStyle w:val="ListParagraph"/>
        <w:spacing w:before="240"/>
        <w:rPr>
          <w:rFonts w:ascii="Arial" w:hAnsi="Arial" w:cs="Arial"/>
          <w:spacing w:val="2"/>
          <w:szCs w:val="24"/>
        </w:rPr>
      </w:pPr>
    </w:p>
    <w:p w14:paraId="37BCB030" w14:textId="77777777" w:rsidR="00EC2090" w:rsidRPr="00E22FD1" w:rsidRDefault="00EC2090" w:rsidP="00E22FD1">
      <w:pPr>
        <w:pStyle w:val="ListParagraph"/>
        <w:spacing w:before="240"/>
        <w:rPr>
          <w:rFonts w:ascii="Arial" w:hAnsi="Arial" w:cs="Arial"/>
          <w:spacing w:val="2"/>
          <w:szCs w:val="24"/>
        </w:rPr>
      </w:pPr>
      <w:r w:rsidRPr="00E22FD1">
        <w:rPr>
          <w:rFonts w:ascii="Arial" w:hAnsi="Arial" w:cs="Arial"/>
          <w:b/>
          <w:bCs/>
          <w:spacing w:val="2"/>
          <w:szCs w:val="24"/>
        </w:rPr>
        <w:t xml:space="preserve">Onboarding, </w:t>
      </w:r>
      <w:r w:rsidR="00B4740C" w:rsidRPr="00E22FD1">
        <w:rPr>
          <w:rFonts w:ascii="Arial" w:hAnsi="Arial" w:cs="Arial"/>
          <w:szCs w:val="24"/>
        </w:rPr>
        <w:t>the subsequent phase of the employee life cycle model is onboarding. Assuming the firm has successfully recruited top talent, the next stage is to train and educate them so that they can contribute productively to the organisation</w:t>
      </w:r>
      <w:r w:rsidR="00453736" w:rsidRPr="00E22FD1">
        <w:rPr>
          <w:rFonts w:ascii="Arial" w:hAnsi="Arial" w:cs="Arial"/>
          <w:szCs w:val="24"/>
        </w:rPr>
        <w:t xml:space="preserve"> (</w:t>
      </w:r>
      <w:proofErr w:type="spellStart"/>
      <w:r w:rsidR="00453736" w:rsidRPr="00E22FD1">
        <w:rPr>
          <w:rFonts w:ascii="Arial" w:hAnsi="Arial" w:cs="Arial"/>
          <w:szCs w:val="24"/>
        </w:rPr>
        <w:t>Imandin</w:t>
      </w:r>
      <w:proofErr w:type="spellEnd"/>
      <w:r w:rsidR="00453736" w:rsidRPr="00E22FD1">
        <w:rPr>
          <w:rFonts w:ascii="Arial" w:hAnsi="Arial" w:cs="Arial"/>
          <w:szCs w:val="24"/>
        </w:rPr>
        <w:t xml:space="preserve"> et al.,2014)</w:t>
      </w:r>
      <w:r w:rsidR="00B4740C" w:rsidRPr="00E22FD1">
        <w:rPr>
          <w:rFonts w:ascii="Arial" w:hAnsi="Arial" w:cs="Arial"/>
          <w:szCs w:val="24"/>
        </w:rPr>
        <w:t xml:space="preserve">. In the "onboarding" process, new hires are instructed in the ins and outs of their jobs, as well as the company's core principles, standards, and processes. New employees need to feel comfortable in their roles and with the company before they can contribute effectively </w:t>
      </w:r>
      <w:r w:rsidR="00C30BA4" w:rsidRPr="00E22FD1">
        <w:rPr>
          <w:rFonts w:ascii="Arial" w:hAnsi="Arial" w:cs="Arial"/>
          <w:szCs w:val="24"/>
        </w:rPr>
        <w:t>in</w:t>
      </w:r>
      <w:r w:rsidR="00B4740C" w:rsidRPr="00E22FD1">
        <w:rPr>
          <w:rFonts w:ascii="Arial" w:hAnsi="Arial" w:cs="Arial"/>
          <w:szCs w:val="24"/>
        </w:rPr>
        <w:t xml:space="preserve"> the long run</w:t>
      </w:r>
      <w:r w:rsidRPr="00E22FD1">
        <w:rPr>
          <w:rFonts w:ascii="Arial" w:hAnsi="Arial" w:cs="Arial"/>
          <w:szCs w:val="24"/>
        </w:rPr>
        <w:t>.  </w:t>
      </w:r>
    </w:p>
    <w:p w14:paraId="5CBFE1CD" w14:textId="77777777" w:rsidR="00EC2090" w:rsidRPr="00E22FD1" w:rsidRDefault="00EC2090" w:rsidP="00E22FD1">
      <w:pPr>
        <w:pStyle w:val="ListParagraph"/>
        <w:spacing w:before="240"/>
        <w:rPr>
          <w:rFonts w:ascii="Arial" w:hAnsi="Arial" w:cs="Arial"/>
          <w:szCs w:val="24"/>
        </w:rPr>
      </w:pPr>
    </w:p>
    <w:p w14:paraId="4846506F" w14:textId="77777777" w:rsidR="00EC2090" w:rsidRPr="00E22FD1" w:rsidRDefault="00EC2090" w:rsidP="00E22FD1">
      <w:pPr>
        <w:pStyle w:val="ListParagraph"/>
        <w:spacing w:before="240"/>
        <w:rPr>
          <w:rFonts w:ascii="Arial" w:hAnsi="Arial" w:cs="Arial"/>
          <w:szCs w:val="24"/>
        </w:rPr>
      </w:pPr>
      <w:r w:rsidRPr="00E22FD1">
        <w:rPr>
          <w:rFonts w:ascii="Arial" w:hAnsi="Arial" w:cs="Arial"/>
          <w:b/>
          <w:bCs/>
          <w:spacing w:val="2"/>
          <w:szCs w:val="24"/>
        </w:rPr>
        <w:lastRenderedPageBreak/>
        <w:t xml:space="preserve">Development, </w:t>
      </w:r>
      <w:r w:rsidR="00D33BD1" w:rsidRPr="00E22FD1">
        <w:rPr>
          <w:rFonts w:ascii="Arial" w:hAnsi="Arial" w:cs="Arial"/>
          <w:szCs w:val="24"/>
        </w:rPr>
        <w:t>Throughout the employee life cycle, this is the development phase. Through consistent, positive reinforcement of their team member</w:t>
      </w:r>
      <w:r w:rsidR="00C30BA4" w:rsidRPr="00E22FD1">
        <w:rPr>
          <w:rFonts w:ascii="Arial" w:hAnsi="Arial" w:cs="Arial"/>
          <w:szCs w:val="24"/>
        </w:rPr>
        <w:t>'s</w:t>
      </w:r>
      <w:r w:rsidR="00D33BD1" w:rsidRPr="00E22FD1">
        <w:rPr>
          <w:rFonts w:ascii="Arial" w:hAnsi="Arial" w:cs="Arial"/>
          <w:szCs w:val="24"/>
        </w:rPr>
        <w:t xml:space="preserve"> professional development, managers may hasten their employees' skill acquisition and improve their chances for future promotion</w:t>
      </w:r>
      <w:r w:rsidR="008C71F1" w:rsidRPr="00E22FD1">
        <w:rPr>
          <w:rFonts w:ascii="Arial" w:hAnsi="Arial" w:cs="Arial"/>
          <w:szCs w:val="24"/>
        </w:rPr>
        <w:t>.</w:t>
      </w:r>
    </w:p>
    <w:p w14:paraId="4C889FCB" w14:textId="77777777" w:rsidR="00EC2090" w:rsidRPr="00E22FD1" w:rsidRDefault="00EC2090" w:rsidP="00E22FD1">
      <w:pPr>
        <w:pStyle w:val="ListParagraph"/>
        <w:spacing w:before="240"/>
        <w:rPr>
          <w:rFonts w:ascii="Arial" w:hAnsi="Arial" w:cs="Arial"/>
          <w:b/>
          <w:bCs/>
          <w:spacing w:val="2"/>
          <w:szCs w:val="24"/>
        </w:rPr>
      </w:pPr>
    </w:p>
    <w:p w14:paraId="3067170C" w14:textId="77777777" w:rsidR="00EC2090" w:rsidRPr="00E22FD1" w:rsidRDefault="00EC2090" w:rsidP="00E22FD1">
      <w:pPr>
        <w:pStyle w:val="ListParagraph"/>
        <w:spacing w:before="240"/>
        <w:rPr>
          <w:rFonts w:ascii="Arial" w:hAnsi="Arial" w:cs="Arial"/>
          <w:spacing w:val="2"/>
          <w:szCs w:val="24"/>
        </w:rPr>
      </w:pPr>
      <w:r w:rsidRPr="00E22FD1">
        <w:rPr>
          <w:rFonts w:ascii="Arial" w:hAnsi="Arial" w:cs="Arial"/>
          <w:b/>
          <w:bCs/>
          <w:spacing w:val="2"/>
          <w:szCs w:val="24"/>
        </w:rPr>
        <w:t xml:space="preserve">Retention, </w:t>
      </w:r>
      <w:r w:rsidR="008C71F1" w:rsidRPr="00E22FD1">
        <w:rPr>
          <w:rFonts w:ascii="Arial" w:hAnsi="Arial" w:cs="Arial"/>
          <w:szCs w:val="24"/>
        </w:rPr>
        <w:t>the fifth stage of the employee lifetime model is retention. The company's culture may be more influential than ever before</w:t>
      </w:r>
      <w:r w:rsidR="00453736" w:rsidRPr="00E22FD1">
        <w:rPr>
          <w:rFonts w:ascii="Arial" w:hAnsi="Arial" w:cs="Arial"/>
          <w:szCs w:val="24"/>
        </w:rPr>
        <w:t xml:space="preserve"> (</w:t>
      </w:r>
      <w:proofErr w:type="spellStart"/>
      <w:r w:rsidR="00453736" w:rsidRPr="00E22FD1">
        <w:rPr>
          <w:rFonts w:ascii="Arial" w:hAnsi="Arial" w:cs="Arial"/>
          <w:szCs w:val="24"/>
        </w:rPr>
        <w:t>Handa</w:t>
      </w:r>
      <w:proofErr w:type="spellEnd"/>
      <w:r w:rsidR="00453736" w:rsidRPr="00E22FD1">
        <w:rPr>
          <w:rFonts w:ascii="Arial" w:hAnsi="Arial" w:cs="Arial"/>
          <w:szCs w:val="24"/>
        </w:rPr>
        <w:t xml:space="preserve"> et al., 2014)</w:t>
      </w:r>
      <w:r w:rsidR="008C71F1" w:rsidRPr="00E22FD1">
        <w:rPr>
          <w:rFonts w:ascii="Arial" w:hAnsi="Arial" w:cs="Arial"/>
          <w:szCs w:val="24"/>
        </w:rPr>
        <w:t xml:space="preserve">. It is expensive to replace departing workers, thus </w:t>
      </w:r>
      <w:r w:rsidR="00C30BA4" w:rsidRPr="00E22FD1">
        <w:rPr>
          <w:rFonts w:ascii="Arial" w:hAnsi="Arial" w:cs="Arial"/>
          <w:szCs w:val="24"/>
        </w:rPr>
        <w:t>the organisation must</w:t>
      </w:r>
      <w:r w:rsidR="008C71F1" w:rsidRPr="00E22FD1">
        <w:rPr>
          <w:rFonts w:ascii="Arial" w:hAnsi="Arial" w:cs="Arial"/>
          <w:szCs w:val="24"/>
        </w:rPr>
        <w:t xml:space="preserve"> maintain a favourable culture. By </w:t>
      </w:r>
      <w:r w:rsidR="00C30BA4" w:rsidRPr="00E22FD1">
        <w:rPr>
          <w:rFonts w:ascii="Arial" w:hAnsi="Arial" w:cs="Arial"/>
          <w:szCs w:val="24"/>
        </w:rPr>
        <w:t>emphasi</w:t>
      </w:r>
      <w:r w:rsidR="00453736" w:rsidRPr="00E22FD1">
        <w:rPr>
          <w:rFonts w:ascii="Arial" w:hAnsi="Arial" w:cs="Arial"/>
          <w:szCs w:val="24"/>
        </w:rPr>
        <w:t>s</w:t>
      </w:r>
      <w:r w:rsidR="00C30BA4" w:rsidRPr="00E22FD1">
        <w:rPr>
          <w:rFonts w:ascii="Arial" w:hAnsi="Arial" w:cs="Arial"/>
          <w:szCs w:val="24"/>
        </w:rPr>
        <w:t>ing</w:t>
      </w:r>
      <w:r w:rsidR="008C71F1" w:rsidRPr="00E22FD1">
        <w:rPr>
          <w:rFonts w:ascii="Arial" w:hAnsi="Arial" w:cs="Arial"/>
          <w:szCs w:val="24"/>
        </w:rPr>
        <w:t xml:space="preserve"> retention, businesses may reduce this risk and increase employee longevity and pleasure on the job</w:t>
      </w:r>
      <w:r w:rsidRPr="00E22FD1">
        <w:rPr>
          <w:rFonts w:ascii="Arial" w:hAnsi="Arial" w:cs="Arial"/>
          <w:szCs w:val="24"/>
        </w:rPr>
        <w:t>.   </w:t>
      </w:r>
    </w:p>
    <w:p w14:paraId="7DEBFB33" w14:textId="77777777" w:rsidR="00EC2090" w:rsidRPr="00E22FD1" w:rsidRDefault="00EC2090" w:rsidP="00E22FD1">
      <w:pPr>
        <w:pStyle w:val="ListParagraph"/>
        <w:spacing w:before="240"/>
        <w:rPr>
          <w:rFonts w:ascii="Arial" w:hAnsi="Arial" w:cs="Arial"/>
          <w:b/>
          <w:bCs/>
          <w:spacing w:val="2"/>
          <w:szCs w:val="24"/>
        </w:rPr>
      </w:pPr>
    </w:p>
    <w:p w14:paraId="6110DD8B" w14:textId="77777777" w:rsidR="00881756" w:rsidRPr="00E22FD1" w:rsidRDefault="00EC2090" w:rsidP="00E22FD1">
      <w:pPr>
        <w:pStyle w:val="ListParagraph"/>
        <w:spacing w:before="240"/>
        <w:rPr>
          <w:rFonts w:ascii="Arial" w:hAnsi="Arial" w:cs="Arial"/>
          <w:szCs w:val="24"/>
        </w:rPr>
      </w:pPr>
      <w:r w:rsidRPr="00E22FD1">
        <w:rPr>
          <w:rFonts w:ascii="Arial" w:hAnsi="Arial" w:cs="Arial"/>
          <w:b/>
          <w:bCs/>
          <w:spacing w:val="2"/>
          <w:szCs w:val="24"/>
        </w:rPr>
        <w:t xml:space="preserve">Separation, </w:t>
      </w:r>
      <w:r w:rsidR="008C71F1" w:rsidRPr="00E22FD1">
        <w:rPr>
          <w:rFonts w:ascii="Arial" w:hAnsi="Arial" w:cs="Arial"/>
          <w:szCs w:val="24"/>
        </w:rPr>
        <w:t>i</w:t>
      </w:r>
      <w:r w:rsidR="000507CE" w:rsidRPr="00E22FD1">
        <w:rPr>
          <w:rFonts w:ascii="Arial" w:hAnsi="Arial" w:cs="Arial"/>
          <w:szCs w:val="24"/>
        </w:rPr>
        <w:t>n the employee life cycle, separation is the last stage. Most people's tenure in the labour market will come to an end at some point, either because they retire, change jobs, or leave the workforce for other reasons</w:t>
      </w:r>
      <w:r w:rsidR="00453736" w:rsidRPr="00E22FD1">
        <w:rPr>
          <w:rFonts w:ascii="Arial" w:hAnsi="Arial" w:cs="Arial"/>
          <w:szCs w:val="24"/>
        </w:rPr>
        <w:t xml:space="preserve"> (</w:t>
      </w:r>
      <w:proofErr w:type="spellStart"/>
      <w:r w:rsidR="00453736" w:rsidRPr="00E22FD1">
        <w:rPr>
          <w:rFonts w:ascii="Arial" w:hAnsi="Arial" w:cs="Arial"/>
          <w:szCs w:val="24"/>
        </w:rPr>
        <w:t>Hamidu</w:t>
      </w:r>
      <w:proofErr w:type="spellEnd"/>
      <w:r w:rsidR="00453736" w:rsidRPr="00E22FD1">
        <w:rPr>
          <w:rFonts w:ascii="Arial" w:hAnsi="Arial" w:cs="Arial"/>
          <w:szCs w:val="24"/>
        </w:rPr>
        <w:t xml:space="preserve"> </w:t>
      </w:r>
      <w:proofErr w:type="spellStart"/>
      <w:r w:rsidR="00453736" w:rsidRPr="00E22FD1">
        <w:rPr>
          <w:rFonts w:ascii="Arial" w:hAnsi="Arial" w:cs="Arial"/>
          <w:szCs w:val="24"/>
        </w:rPr>
        <w:t>Magem</w:t>
      </w:r>
      <w:proofErr w:type="spellEnd"/>
      <w:r w:rsidR="00453736" w:rsidRPr="00E22FD1">
        <w:rPr>
          <w:rFonts w:ascii="Arial" w:hAnsi="Arial" w:cs="Arial"/>
          <w:szCs w:val="24"/>
        </w:rPr>
        <w:t>, 2017)</w:t>
      </w:r>
      <w:r w:rsidR="000507CE" w:rsidRPr="00E22FD1">
        <w:rPr>
          <w:rFonts w:ascii="Arial" w:hAnsi="Arial" w:cs="Arial"/>
          <w:szCs w:val="24"/>
        </w:rPr>
        <w:t xml:space="preserve">. It is essential to put as much thought and preparation into the process of leaving as was put into the process of entering. If a key member of the team leaves, it might have a major effect on the others. </w:t>
      </w:r>
    </w:p>
    <w:p w14:paraId="5F100DD0" w14:textId="77777777" w:rsidR="008C71F1" w:rsidRPr="00E22FD1" w:rsidRDefault="008C71F1" w:rsidP="00E22FD1">
      <w:pPr>
        <w:pStyle w:val="ListParagraph"/>
        <w:spacing w:before="240"/>
        <w:rPr>
          <w:rFonts w:ascii="Arial" w:hAnsi="Arial" w:cs="Arial"/>
          <w:szCs w:val="24"/>
        </w:rPr>
      </w:pPr>
    </w:p>
    <w:p w14:paraId="05EEC91F" w14:textId="77777777" w:rsidR="0079393B" w:rsidRPr="00E22FD1" w:rsidRDefault="00881756" w:rsidP="00E22FD1">
      <w:pPr>
        <w:pStyle w:val="ListParagraph"/>
        <w:spacing w:before="240"/>
        <w:rPr>
          <w:rFonts w:ascii="Arial" w:hAnsi="Arial" w:cs="Arial"/>
          <w:color w:val="202124"/>
          <w:shd w:val="clear" w:color="auto" w:fill="FFFFFF"/>
        </w:rPr>
      </w:pPr>
      <w:r w:rsidRPr="00E22FD1">
        <w:rPr>
          <w:rFonts w:ascii="Arial" w:hAnsi="Arial" w:cs="Arial"/>
          <w:b/>
          <w:bCs/>
        </w:rPr>
        <w:t xml:space="preserve">For example, </w:t>
      </w:r>
      <w:r w:rsidRPr="00E22FD1">
        <w:rPr>
          <w:rFonts w:ascii="Arial" w:hAnsi="Arial" w:cs="Arial"/>
        </w:rPr>
        <w:t>HBO's Corporate Social Responsibility division collaborates with the company's workers, talent, and non-profit partners to address industry and community-related social concerns. Workers are motivated to make a difference in the world by receiving encouragement from their superiors and acting on their convictions.</w:t>
      </w:r>
    </w:p>
    <w:p w14:paraId="34A65499" w14:textId="77777777" w:rsidR="00EC2090" w:rsidRPr="00E22FD1" w:rsidRDefault="00EC2090" w:rsidP="00E22FD1">
      <w:pPr>
        <w:pStyle w:val="ListParagraph"/>
        <w:spacing w:before="240"/>
        <w:rPr>
          <w:rFonts w:ascii="Arial" w:hAnsi="Arial" w:cs="Arial"/>
          <w:highlight w:val="yellow"/>
        </w:rPr>
      </w:pPr>
    </w:p>
    <w:p w14:paraId="6C083D1B" w14:textId="7F541D31" w:rsidR="00746AB0" w:rsidRPr="00E22FD1" w:rsidRDefault="00D97B23" w:rsidP="00E22FD1">
      <w:pPr>
        <w:pStyle w:val="ListParagraph"/>
        <w:spacing w:before="240"/>
        <w:rPr>
          <w:rFonts w:ascii="Arial" w:hAnsi="Arial" w:cs="Arial"/>
        </w:rPr>
      </w:pPr>
      <w:r w:rsidRPr="00E22FD1">
        <w:rPr>
          <w:rFonts w:ascii="Arial" w:hAnsi="Arial" w:cs="Arial"/>
          <w:b/>
          <w:bCs/>
          <w:shd w:val="clear" w:color="auto" w:fill="FFFFFF"/>
        </w:rPr>
        <w:t>Maslow's hierarchy of needs</w:t>
      </w:r>
      <w:r w:rsidRPr="00E22FD1">
        <w:rPr>
          <w:rFonts w:ascii="Arial" w:hAnsi="Arial" w:cs="Arial"/>
          <w:shd w:val="clear" w:color="auto" w:fill="FFFFFF"/>
        </w:rPr>
        <w:t xml:space="preserve"> is a concept that is familiar to most business professionals. The impact on human resource management has been as pervasive as the mandatory tea break in most business courses</w:t>
      </w:r>
      <w:r w:rsidR="00453736" w:rsidRPr="00E22FD1">
        <w:rPr>
          <w:rFonts w:ascii="Arial" w:hAnsi="Arial" w:cs="Arial"/>
          <w:shd w:val="clear" w:color="auto" w:fill="FFFFFF"/>
        </w:rPr>
        <w:t xml:space="preserve"> (</w:t>
      </w:r>
      <w:proofErr w:type="spellStart"/>
      <w:r w:rsidR="00453736" w:rsidRPr="00E22FD1">
        <w:rPr>
          <w:rFonts w:ascii="Arial" w:hAnsi="Arial" w:cs="Arial"/>
          <w:shd w:val="clear" w:color="auto" w:fill="FFFFFF"/>
        </w:rPr>
        <w:t>Kovjanic</w:t>
      </w:r>
      <w:proofErr w:type="spellEnd"/>
      <w:r w:rsidR="00453736" w:rsidRPr="00E22FD1">
        <w:rPr>
          <w:rFonts w:ascii="Arial" w:hAnsi="Arial" w:cs="Arial"/>
          <w:shd w:val="clear" w:color="auto" w:fill="FFFFFF"/>
        </w:rPr>
        <w:t xml:space="preserve"> et al., 2013)</w:t>
      </w:r>
      <w:r w:rsidRPr="00E22FD1">
        <w:rPr>
          <w:rFonts w:ascii="Arial" w:hAnsi="Arial" w:cs="Arial"/>
          <w:shd w:val="clear" w:color="auto" w:fill="FFFFFF"/>
        </w:rPr>
        <w:t xml:space="preserve">. According to the idea, people are driven to take action when they make progress toward satisfying one or more of five needs: physiological, security-related, relational, evaluative, or autonomous (fulfilment). Employee motivation increases when these demands are met. According to </w:t>
      </w:r>
      <w:proofErr w:type="spellStart"/>
      <w:r w:rsidR="00453736" w:rsidRPr="00E22FD1">
        <w:rPr>
          <w:rFonts w:ascii="Arial" w:hAnsi="Arial" w:cs="Arial"/>
          <w:shd w:val="clear" w:color="auto" w:fill="FFFFFF"/>
        </w:rPr>
        <w:t>Ladyshewsky</w:t>
      </w:r>
      <w:proofErr w:type="spellEnd"/>
      <w:r w:rsidR="00453736" w:rsidRPr="00E22FD1">
        <w:rPr>
          <w:rFonts w:ascii="Arial" w:hAnsi="Arial" w:cs="Arial"/>
          <w:shd w:val="clear" w:color="auto" w:fill="FFFFFF"/>
        </w:rPr>
        <w:t xml:space="preserve"> et al., (2017)</w:t>
      </w:r>
      <w:r w:rsidRPr="00E22FD1">
        <w:rPr>
          <w:rFonts w:ascii="Arial" w:hAnsi="Arial" w:cs="Arial"/>
          <w:shd w:val="clear" w:color="auto" w:fill="FFFFFF"/>
        </w:rPr>
        <w:t xml:space="preserve">, a person </w:t>
      </w:r>
      <w:r w:rsidR="00453736" w:rsidRPr="00E22FD1">
        <w:rPr>
          <w:rFonts w:ascii="Arial" w:hAnsi="Arial" w:cs="Arial"/>
          <w:shd w:val="clear" w:color="auto" w:fill="FFFFFF"/>
        </w:rPr>
        <w:t>cannot</w:t>
      </w:r>
      <w:r w:rsidRPr="00E22FD1">
        <w:rPr>
          <w:rFonts w:ascii="Arial" w:hAnsi="Arial" w:cs="Arial"/>
          <w:shd w:val="clear" w:color="auto" w:fill="FFFFFF"/>
        </w:rPr>
        <w:t xml:space="preserve"> be completely engaged or pleased in their work until their basic needs are met. Employees have the most fundamental needs to be and feel secure in their employment, as well as to have job security and a </w:t>
      </w:r>
      <w:r w:rsidR="00284977" w:rsidRPr="00E22FD1">
        <w:rPr>
          <w:rFonts w:ascii="Arial" w:hAnsi="Arial" w:cs="Arial"/>
          <w:shd w:val="clear" w:color="auto" w:fill="FFFFFF"/>
        </w:rPr>
        <w:t>liveable</w:t>
      </w:r>
      <w:r w:rsidRPr="00E22FD1">
        <w:rPr>
          <w:rFonts w:ascii="Arial" w:hAnsi="Arial" w:cs="Arial"/>
          <w:shd w:val="clear" w:color="auto" w:fill="FFFFFF"/>
        </w:rPr>
        <w:t xml:space="preserve"> salary. Workers need to </w:t>
      </w:r>
      <w:r w:rsidRPr="00E22FD1">
        <w:rPr>
          <w:rFonts w:ascii="Arial" w:hAnsi="Arial" w:cs="Arial"/>
          <w:shd w:val="clear" w:color="auto" w:fill="FFFFFF"/>
        </w:rPr>
        <w:lastRenderedPageBreak/>
        <w:t>feel like they belong at work (a feeling of belonging) and that their contributions are valued</w:t>
      </w:r>
      <w:r w:rsidR="00453736" w:rsidRPr="00E22FD1">
        <w:rPr>
          <w:rFonts w:ascii="Arial" w:hAnsi="Arial" w:cs="Arial"/>
          <w:shd w:val="clear" w:color="auto" w:fill="FFFFFF"/>
        </w:rPr>
        <w:t xml:space="preserve"> (</w:t>
      </w:r>
      <w:proofErr w:type="spellStart"/>
      <w:r w:rsidR="00453736" w:rsidRPr="00E22FD1">
        <w:rPr>
          <w:rFonts w:ascii="Arial" w:hAnsi="Arial" w:cs="Arial"/>
          <w:shd w:val="clear" w:color="auto" w:fill="FFFFFF"/>
        </w:rPr>
        <w:t>Shyam</w:t>
      </w:r>
      <w:proofErr w:type="spellEnd"/>
      <w:r w:rsidR="00453736" w:rsidRPr="00E22FD1">
        <w:rPr>
          <w:rFonts w:ascii="Arial" w:hAnsi="Arial" w:cs="Arial"/>
          <w:shd w:val="clear" w:color="auto" w:fill="FFFFFF"/>
        </w:rPr>
        <w:t xml:space="preserve"> et al., 2015)</w:t>
      </w:r>
      <w:r w:rsidRPr="00E22FD1">
        <w:rPr>
          <w:rFonts w:ascii="Arial" w:hAnsi="Arial" w:cs="Arial"/>
          <w:shd w:val="clear" w:color="auto" w:fill="FFFFFF"/>
        </w:rPr>
        <w:t>. Employees, therefore, need to develop, advance, be innovative, and take initiative</w:t>
      </w:r>
      <w:r w:rsidR="00746AB0" w:rsidRPr="00E22FD1">
        <w:rPr>
          <w:rFonts w:ascii="Arial" w:hAnsi="Arial" w:cs="Arial"/>
        </w:rPr>
        <w:t>.</w:t>
      </w:r>
    </w:p>
    <w:p w14:paraId="131D389C" w14:textId="77777777" w:rsidR="00D97B23" w:rsidRPr="00E22FD1" w:rsidRDefault="00D97B23" w:rsidP="00E22FD1">
      <w:pPr>
        <w:pStyle w:val="ListParagraph"/>
        <w:spacing w:before="240"/>
        <w:rPr>
          <w:rFonts w:ascii="Arial" w:hAnsi="Arial" w:cs="Arial"/>
        </w:rPr>
      </w:pPr>
    </w:p>
    <w:p w14:paraId="63117FA1" w14:textId="403B7EF5" w:rsidR="00B70D93" w:rsidRPr="00E22FD1" w:rsidRDefault="000156C7" w:rsidP="00E22FD1">
      <w:pPr>
        <w:pStyle w:val="ListParagraph"/>
        <w:spacing w:before="240"/>
        <w:rPr>
          <w:rFonts w:ascii="Arial" w:hAnsi="Arial" w:cs="Arial"/>
        </w:rPr>
      </w:pPr>
      <w:r w:rsidRPr="00E22FD1">
        <w:rPr>
          <w:rFonts w:ascii="Arial" w:hAnsi="Arial" w:cs="Arial"/>
          <w:b/>
          <w:bCs/>
        </w:rPr>
        <w:t xml:space="preserve">For </w:t>
      </w:r>
      <w:r w:rsidR="00284977" w:rsidRPr="00E22FD1">
        <w:rPr>
          <w:rFonts w:ascii="Arial" w:hAnsi="Arial" w:cs="Arial"/>
          <w:b/>
          <w:bCs/>
        </w:rPr>
        <w:t>example, Google</w:t>
      </w:r>
      <w:r w:rsidR="002A1902" w:rsidRPr="00E22FD1">
        <w:rPr>
          <w:rFonts w:ascii="Arial" w:hAnsi="Arial" w:cs="Arial"/>
          <w:b/>
          <w:bCs/>
        </w:rPr>
        <w:t xml:space="preserve"> </w:t>
      </w:r>
      <w:r w:rsidR="002A1902" w:rsidRPr="00E22FD1">
        <w:rPr>
          <w:rFonts w:ascii="Arial" w:hAnsi="Arial" w:cs="Arial"/>
        </w:rPr>
        <w:t>provides its employees with bicycles and electric automobiles, as well as game rooms, organic gardens, and environmentally friendly furniture for use in meetings and around the office. The company's goal is to enhance the quality of life for its workers, so it's always looking for new methods to boost the happiness, security, and health of its employees, who are known as "Googlers."</w:t>
      </w:r>
    </w:p>
    <w:p w14:paraId="315A1DDA" w14:textId="77777777" w:rsidR="00DF6AF9" w:rsidRPr="00E22FD1" w:rsidRDefault="00DF6AF9" w:rsidP="00E22FD1">
      <w:pPr>
        <w:pStyle w:val="ListParagraph"/>
        <w:spacing w:before="240"/>
        <w:rPr>
          <w:rFonts w:ascii="Arial" w:hAnsi="Arial" w:cs="Arial"/>
          <w:color w:val="17193C"/>
          <w:shd w:val="clear" w:color="auto" w:fill="FFFFFF"/>
        </w:rPr>
      </w:pPr>
    </w:p>
    <w:p w14:paraId="69381048" w14:textId="77777777" w:rsidR="00EC2090" w:rsidRPr="00E22FD1" w:rsidRDefault="009F7C4F" w:rsidP="00E22FD1">
      <w:pPr>
        <w:pStyle w:val="ListParagraph"/>
        <w:spacing w:before="240"/>
        <w:rPr>
          <w:rFonts w:ascii="Arial" w:hAnsi="Arial" w:cs="Arial"/>
        </w:rPr>
      </w:pPr>
      <w:r w:rsidRPr="00E22FD1">
        <w:rPr>
          <w:rFonts w:ascii="Arial" w:hAnsi="Arial" w:cs="Arial"/>
        </w:rPr>
        <w:t>To make an employee feel appreciated, involved, and motivated at work, a model of employee engagement may be used as a guide. Having strong values is essential to the success of any business</w:t>
      </w:r>
      <w:r w:rsidR="00453736" w:rsidRPr="00E22FD1">
        <w:rPr>
          <w:rFonts w:ascii="Arial" w:hAnsi="Arial" w:cs="Arial"/>
        </w:rPr>
        <w:t xml:space="preserve"> (Shirin et al., 2017)</w:t>
      </w:r>
      <w:r w:rsidRPr="00E22FD1">
        <w:rPr>
          <w:rFonts w:ascii="Arial" w:hAnsi="Arial" w:cs="Arial"/>
        </w:rPr>
        <w:t>. Policies must be put into action, and the correct actions must be taken by managers and top-level leaders for this to succeed. The company's goal is increased output and profitability, and the employees' enthusiasm is what will get them there</w:t>
      </w:r>
      <w:r w:rsidR="00453736" w:rsidRPr="00E22FD1">
        <w:rPr>
          <w:rFonts w:ascii="Arial" w:hAnsi="Arial" w:cs="Arial"/>
        </w:rPr>
        <w:t xml:space="preserve"> (Shantz et al., 2016)</w:t>
      </w:r>
      <w:r w:rsidRPr="00E22FD1">
        <w:rPr>
          <w:rFonts w:ascii="Arial" w:hAnsi="Arial" w:cs="Arial"/>
        </w:rPr>
        <w:t xml:space="preserve">. Maslow's model serves as a gentle reminder that leaders and their organisations benefit most when they adopt an "outward mindset," viewing the world through the eyes of those with whom they interact. </w:t>
      </w:r>
    </w:p>
    <w:p w14:paraId="26D57D10" w14:textId="77777777" w:rsidR="00EC2090" w:rsidRPr="00E22FD1" w:rsidRDefault="00EC2090" w:rsidP="00E22FD1">
      <w:pPr>
        <w:pStyle w:val="ListParagraph"/>
        <w:spacing w:before="240"/>
        <w:rPr>
          <w:rFonts w:ascii="Arial" w:hAnsi="Arial" w:cs="Arial"/>
        </w:rPr>
      </w:pPr>
    </w:p>
    <w:p w14:paraId="0F98EFDD" w14:textId="77777777" w:rsidR="00EC2090" w:rsidRPr="00E22FD1" w:rsidRDefault="00EC1682" w:rsidP="00E22FD1">
      <w:pPr>
        <w:pStyle w:val="ListParagraph"/>
        <w:spacing w:before="240"/>
        <w:rPr>
          <w:rFonts w:ascii="Arial" w:hAnsi="Arial" w:cs="Arial"/>
        </w:rPr>
      </w:pPr>
      <w:r w:rsidRPr="00E22FD1">
        <w:rPr>
          <w:rFonts w:ascii="Arial" w:hAnsi="Arial" w:cs="Arial"/>
        </w:rPr>
        <w:t xml:space="preserve">Employee engagement is more important than the employee experience. By addressing issues like position clarity, meaningful feedback, belonging, learning, and growth, well-designed employee engagement systems boost performance and enhance culture. Employee life cycle diagrams are useful for visualising and planning an employee's journey through an organisation, providing them with the information they need to ensure a positive experience at every step of their employment. </w:t>
      </w:r>
      <w:r w:rsidR="00C30BA4" w:rsidRPr="00E22FD1">
        <w:rPr>
          <w:rFonts w:ascii="Arial" w:hAnsi="Arial" w:cs="Arial"/>
        </w:rPr>
        <w:t>T</w:t>
      </w:r>
      <w:r w:rsidRPr="00E22FD1">
        <w:rPr>
          <w:rFonts w:ascii="Arial" w:hAnsi="Arial" w:cs="Arial"/>
        </w:rPr>
        <w:t>o keep workers engaged in their jobs, it's important to tend to their fundamental psychological requirements. Passionate about their work, they inherently seek methods to enhance performance and exceed. Employee engagement research in HRD has contributed to expanding the breadth of employee engagement theory from a psychological point of view, as we found when we looked at the theory's evolution through time</w:t>
      </w:r>
      <w:r w:rsidR="00D13C53" w:rsidRPr="00E22FD1">
        <w:rPr>
          <w:rFonts w:ascii="Arial" w:hAnsi="Arial" w:cs="Arial"/>
        </w:rPr>
        <w:t>.</w:t>
      </w:r>
      <w:r w:rsidR="00EC2090" w:rsidRPr="00E22FD1">
        <w:rPr>
          <w:rFonts w:ascii="Arial" w:hAnsi="Arial" w:cs="Arial"/>
        </w:rPr>
        <w:br w:type="page"/>
      </w:r>
    </w:p>
    <w:p w14:paraId="7936A01D" w14:textId="77777777" w:rsidR="00BC55B5" w:rsidRPr="00E22FD1" w:rsidRDefault="00EC2090" w:rsidP="00E22FD1">
      <w:pPr>
        <w:pStyle w:val="Heading1"/>
        <w:rPr>
          <w:rFonts w:ascii="Arial" w:hAnsi="Arial" w:cs="Arial"/>
        </w:rPr>
      </w:pPr>
      <w:r w:rsidRPr="00E22FD1">
        <w:rPr>
          <w:rFonts w:ascii="Arial" w:hAnsi="Arial" w:cs="Arial"/>
        </w:rPr>
        <w:lastRenderedPageBreak/>
        <w:t>Reference</w:t>
      </w:r>
      <w:r w:rsidR="00A451C8" w:rsidRPr="00E22FD1">
        <w:rPr>
          <w:rFonts w:ascii="Arial" w:hAnsi="Arial" w:cs="Arial"/>
        </w:rPr>
        <w:t xml:space="preserve"> List</w:t>
      </w:r>
    </w:p>
    <w:p w14:paraId="3FA96688"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Armstrong, M. and Taylor, S., 2020. </w:t>
      </w:r>
      <w:r w:rsidRPr="00E22FD1">
        <w:rPr>
          <w:rFonts w:ascii="Arial" w:hAnsi="Arial" w:cs="Arial"/>
          <w:i/>
          <w:iCs/>
          <w:color w:val="000000" w:themeColor="text1"/>
          <w:szCs w:val="24"/>
          <w:shd w:val="clear" w:color="auto" w:fill="FFFFFF"/>
        </w:rPr>
        <w:t>Armstrong’s handbook of human resource management practice</w:t>
      </w:r>
      <w:r w:rsidRPr="00E22FD1">
        <w:rPr>
          <w:rFonts w:ascii="Arial" w:hAnsi="Arial" w:cs="Arial"/>
          <w:color w:val="000000" w:themeColor="text1"/>
          <w:szCs w:val="24"/>
          <w:shd w:val="clear" w:color="auto" w:fill="FFFFFF"/>
        </w:rPr>
        <w:t>. 15th edition. London, United Kingdom, Kogan Page.</w:t>
      </w:r>
    </w:p>
    <w:p w14:paraId="60CF3BC2"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Castellano, W. G., 2013. </w:t>
      </w:r>
      <w:r w:rsidRPr="00E22FD1">
        <w:rPr>
          <w:rFonts w:ascii="Arial" w:hAnsi="Arial" w:cs="Arial"/>
          <w:i/>
          <w:iCs/>
          <w:color w:val="000000" w:themeColor="text1"/>
          <w:szCs w:val="24"/>
          <w:shd w:val="clear" w:color="auto" w:fill="FFFFFF"/>
        </w:rPr>
        <w:t>Practices for engaging the 21</w:t>
      </w:r>
      <w:r w:rsidRPr="00E22FD1">
        <w:rPr>
          <w:rFonts w:ascii="Arial" w:hAnsi="Arial" w:cs="Arial"/>
          <w:i/>
          <w:iCs/>
          <w:color w:val="000000" w:themeColor="text1"/>
          <w:szCs w:val="24"/>
          <w:shd w:val="clear" w:color="auto" w:fill="FFFFFF"/>
          <w:vertAlign w:val="superscript"/>
        </w:rPr>
        <w:t>st</w:t>
      </w:r>
      <w:r w:rsidRPr="00E22FD1">
        <w:rPr>
          <w:rFonts w:ascii="Arial" w:hAnsi="Arial" w:cs="Arial"/>
          <w:i/>
          <w:iCs/>
          <w:color w:val="000000" w:themeColor="text1"/>
          <w:szCs w:val="24"/>
          <w:shd w:val="clear" w:color="auto" w:fill="FFFFFF"/>
        </w:rPr>
        <w:t>-century workforce</w:t>
      </w:r>
      <w:r w:rsidRPr="00E22FD1">
        <w:rPr>
          <w:rFonts w:ascii="Arial" w:hAnsi="Arial" w:cs="Arial"/>
          <w:color w:val="000000" w:themeColor="text1"/>
          <w:szCs w:val="24"/>
          <w:shd w:val="clear" w:color="auto" w:fill="FFFFFF"/>
        </w:rPr>
        <w:t>. Pearson Education, Inc.</w:t>
      </w:r>
    </w:p>
    <w:p w14:paraId="09345ED7"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Friedman, A., 2012. </w:t>
      </w:r>
      <w:r w:rsidRPr="00E22FD1">
        <w:rPr>
          <w:rFonts w:ascii="Arial" w:hAnsi="Arial" w:cs="Arial"/>
          <w:i/>
          <w:iCs/>
          <w:color w:val="000000" w:themeColor="text1"/>
          <w:szCs w:val="24"/>
          <w:shd w:val="clear" w:color="auto" w:fill="FFFFFF"/>
        </w:rPr>
        <w:t>Continuing professional development: lifelong learning of millions</w:t>
      </w:r>
      <w:r w:rsidRPr="00E22FD1">
        <w:rPr>
          <w:rFonts w:ascii="Arial" w:hAnsi="Arial" w:cs="Arial"/>
          <w:color w:val="000000" w:themeColor="text1"/>
          <w:szCs w:val="24"/>
          <w:shd w:val="clear" w:color="auto" w:fill="FFFFFF"/>
        </w:rPr>
        <w:t>. London: Routledge.</w:t>
      </w:r>
    </w:p>
    <w:p w14:paraId="39271E05"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Gallagher, K., 2016. </w:t>
      </w:r>
      <w:r w:rsidRPr="00E22FD1">
        <w:rPr>
          <w:rFonts w:ascii="Arial" w:hAnsi="Arial" w:cs="Arial"/>
          <w:i/>
          <w:iCs/>
          <w:color w:val="000000" w:themeColor="text1"/>
          <w:szCs w:val="24"/>
          <w:shd w:val="clear" w:color="auto" w:fill="FFFFFF"/>
        </w:rPr>
        <w:t>Essential study and employment skills for business and management students</w:t>
      </w:r>
      <w:r w:rsidRPr="00E22FD1">
        <w:rPr>
          <w:rFonts w:ascii="Arial" w:hAnsi="Arial" w:cs="Arial"/>
          <w:color w:val="000000" w:themeColor="text1"/>
          <w:szCs w:val="24"/>
          <w:shd w:val="clear" w:color="auto" w:fill="FFFFFF"/>
        </w:rPr>
        <w:t>. Oxford: Oxford University Press.</w:t>
      </w:r>
    </w:p>
    <w:p w14:paraId="2CB77D56" w14:textId="77777777" w:rsidR="00BC55B5" w:rsidRPr="00E22FD1" w:rsidRDefault="00BC55B5" w:rsidP="00E22FD1">
      <w:pPr>
        <w:spacing w:before="240"/>
        <w:rPr>
          <w:rFonts w:ascii="Arial" w:hAnsi="Arial" w:cs="Arial"/>
          <w:color w:val="000000" w:themeColor="text1"/>
          <w:szCs w:val="24"/>
          <w:shd w:val="clear" w:color="auto" w:fill="FFFFFF"/>
        </w:rPr>
      </w:pPr>
      <w:proofErr w:type="spellStart"/>
      <w:r w:rsidRPr="00E22FD1">
        <w:rPr>
          <w:rFonts w:ascii="Arial" w:hAnsi="Arial" w:cs="Arial"/>
          <w:color w:val="000000" w:themeColor="text1"/>
          <w:szCs w:val="24"/>
          <w:shd w:val="clear" w:color="auto" w:fill="FFFFFF"/>
        </w:rPr>
        <w:t>Hamidu</w:t>
      </w:r>
      <w:proofErr w:type="spellEnd"/>
      <w:r w:rsidRPr="00E22FD1">
        <w:rPr>
          <w:rFonts w:ascii="Arial" w:hAnsi="Arial" w:cs="Arial"/>
          <w:color w:val="000000" w:themeColor="text1"/>
          <w:szCs w:val="24"/>
          <w:shd w:val="clear" w:color="auto" w:fill="FFFFFF"/>
        </w:rPr>
        <w:t xml:space="preserve"> </w:t>
      </w:r>
      <w:proofErr w:type="spellStart"/>
      <w:r w:rsidRPr="00E22FD1">
        <w:rPr>
          <w:rFonts w:ascii="Arial" w:hAnsi="Arial" w:cs="Arial"/>
          <w:color w:val="000000" w:themeColor="text1"/>
          <w:szCs w:val="24"/>
          <w:shd w:val="clear" w:color="auto" w:fill="FFFFFF"/>
        </w:rPr>
        <w:t>Magem</w:t>
      </w:r>
      <w:proofErr w:type="spellEnd"/>
      <w:r w:rsidRPr="00E22FD1">
        <w:rPr>
          <w:rFonts w:ascii="Arial" w:hAnsi="Arial" w:cs="Arial"/>
          <w:color w:val="000000" w:themeColor="text1"/>
          <w:szCs w:val="24"/>
          <w:shd w:val="clear" w:color="auto" w:fill="FFFFFF"/>
        </w:rPr>
        <w:t xml:space="preserve">, I., 2017. A review of the antecedents and consequences of employee engagement. World Academy of Science, Engineering and Technology. </w:t>
      </w:r>
      <w:r w:rsidRPr="00E22FD1">
        <w:rPr>
          <w:rFonts w:ascii="Arial" w:hAnsi="Arial" w:cs="Arial"/>
          <w:i/>
          <w:iCs/>
          <w:color w:val="000000" w:themeColor="text1"/>
          <w:szCs w:val="24"/>
          <w:shd w:val="clear" w:color="auto" w:fill="FFFFFF"/>
        </w:rPr>
        <w:t>International Journal of Economics and Management Engineering</w:t>
      </w:r>
      <w:r w:rsidRPr="00E22FD1">
        <w:rPr>
          <w:rFonts w:ascii="Arial" w:hAnsi="Arial" w:cs="Arial"/>
          <w:color w:val="000000" w:themeColor="text1"/>
          <w:szCs w:val="24"/>
          <w:shd w:val="clear" w:color="auto" w:fill="FFFFFF"/>
        </w:rPr>
        <w:t>, 11(4), pp.773–780.</w:t>
      </w:r>
    </w:p>
    <w:p w14:paraId="165005B7" w14:textId="77777777" w:rsidR="00BC55B5" w:rsidRPr="00E22FD1" w:rsidRDefault="00BC55B5" w:rsidP="00E22FD1">
      <w:pPr>
        <w:spacing w:before="240"/>
        <w:rPr>
          <w:rFonts w:ascii="Arial" w:hAnsi="Arial" w:cs="Arial"/>
          <w:color w:val="000000" w:themeColor="text1"/>
          <w:szCs w:val="24"/>
          <w:shd w:val="clear" w:color="auto" w:fill="FFFFFF"/>
        </w:rPr>
      </w:pPr>
      <w:proofErr w:type="spellStart"/>
      <w:r w:rsidRPr="00E22FD1">
        <w:rPr>
          <w:rFonts w:ascii="Arial" w:hAnsi="Arial" w:cs="Arial"/>
          <w:color w:val="000000" w:themeColor="text1"/>
          <w:szCs w:val="24"/>
          <w:shd w:val="clear" w:color="auto" w:fill="FFFFFF"/>
        </w:rPr>
        <w:t>Handa</w:t>
      </w:r>
      <w:proofErr w:type="spellEnd"/>
      <w:r w:rsidRPr="00E22FD1">
        <w:rPr>
          <w:rFonts w:ascii="Arial" w:hAnsi="Arial" w:cs="Arial"/>
          <w:color w:val="000000" w:themeColor="text1"/>
          <w:szCs w:val="24"/>
          <w:shd w:val="clear" w:color="auto" w:fill="FFFFFF"/>
        </w:rPr>
        <w:t xml:space="preserve">, M., and Gulati, A., 2014. Employee engagement. Does individual personality matter? </w:t>
      </w:r>
      <w:r w:rsidRPr="00E22FD1">
        <w:rPr>
          <w:rFonts w:ascii="Arial" w:hAnsi="Arial" w:cs="Arial"/>
          <w:i/>
          <w:iCs/>
          <w:color w:val="000000" w:themeColor="text1"/>
          <w:szCs w:val="24"/>
          <w:shd w:val="clear" w:color="auto" w:fill="FFFFFF"/>
        </w:rPr>
        <w:t>Journal of Management Research</w:t>
      </w:r>
      <w:r w:rsidRPr="00E22FD1">
        <w:rPr>
          <w:rFonts w:ascii="Arial" w:hAnsi="Arial" w:cs="Arial"/>
          <w:color w:val="000000" w:themeColor="text1"/>
          <w:szCs w:val="24"/>
          <w:shd w:val="clear" w:color="auto" w:fill="FFFFFF"/>
        </w:rPr>
        <w:t>, 14(1), pp.57–67.</w:t>
      </w:r>
    </w:p>
    <w:p w14:paraId="16F7FD2C" w14:textId="77777777" w:rsidR="00BC55B5" w:rsidRPr="00E22FD1" w:rsidRDefault="00BC55B5" w:rsidP="00E22FD1">
      <w:pPr>
        <w:spacing w:before="240"/>
        <w:rPr>
          <w:rFonts w:ascii="Arial" w:hAnsi="Arial" w:cs="Arial"/>
          <w:color w:val="000000" w:themeColor="text1"/>
          <w:szCs w:val="24"/>
          <w:shd w:val="clear" w:color="auto" w:fill="FFFFFF"/>
        </w:rPr>
      </w:pPr>
      <w:proofErr w:type="spellStart"/>
      <w:r w:rsidRPr="00E22FD1">
        <w:rPr>
          <w:rFonts w:ascii="Arial" w:hAnsi="Arial" w:cs="Arial"/>
          <w:color w:val="000000" w:themeColor="text1"/>
          <w:szCs w:val="24"/>
          <w:shd w:val="clear" w:color="auto" w:fill="FFFFFF"/>
        </w:rPr>
        <w:t>Imandin</w:t>
      </w:r>
      <w:proofErr w:type="spellEnd"/>
      <w:r w:rsidRPr="00E22FD1">
        <w:rPr>
          <w:rFonts w:ascii="Arial" w:hAnsi="Arial" w:cs="Arial"/>
          <w:color w:val="000000" w:themeColor="text1"/>
          <w:szCs w:val="24"/>
          <w:shd w:val="clear" w:color="auto" w:fill="FFFFFF"/>
        </w:rPr>
        <w:t xml:space="preserve">, L., </w:t>
      </w:r>
      <w:proofErr w:type="spellStart"/>
      <w:r w:rsidRPr="00E22FD1">
        <w:rPr>
          <w:rFonts w:ascii="Arial" w:hAnsi="Arial" w:cs="Arial"/>
          <w:color w:val="000000" w:themeColor="text1"/>
          <w:szCs w:val="24"/>
          <w:shd w:val="clear" w:color="auto" w:fill="FFFFFF"/>
        </w:rPr>
        <w:t>Bisschoff</w:t>
      </w:r>
      <w:proofErr w:type="spellEnd"/>
      <w:r w:rsidRPr="00E22FD1">
        <w:rPr>
          <w:rFonts w:ascii="Arial" w:hAnsi="Arial" w:cs="Arial"/>
          <w:color w:val="000000" w:themeColor="text1"/>
          <w:szCs w:val="24"/>
          <w:shd w:val="clear" w:color="auto" w:fill="FFFFFF"/>
        </w:rPr>
        <w:t xml:space="preserve">, C., and Botha, C., 2014. A model to measure employee engagement. </w:t>
      </w:r>
      <w:r w:rsidRPr="00E22FD1">
        <w:rPr>
          <w:rFonts w:ascii="Arial" w:hAnsi="Arial" w:cs="Arial"/>
          <w:i/>
          <w:iCs/>
          <w:color w:val="000000" w:themeColor="text1"/>
          <w:szCs w:val="24"/>
          <w:shd w:val="clear" w:color="auto" w:fill="FFFFFF"/>
        </w:rPr>
        <w:t>Problems and Perspectives in Management</w:t>
      </w:r>
      <w:r w:rsidRPr="00E22FD1">
        <w:rPr>
          <w:rFonts w:ascii="Arial" w:hAnsi="Arial" w:cs="Arial"/>
          <w:color w:val="000000" w:themeColor="text1"/>
          <w:szCs w:val="24"/>
          <w:shd w:val="clear" w:color="auto" w:fill="FFFFFF"/>
        </w:rPr>
        <w:t>, 12(4), pp.520–532.</w:t>
      </w:r>
    </w:p>
    <w:p w14:paraId="42B84399"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Johnston, R. Clark, G. Culver, M., 2012. </w:t>
      </w:r>
      <w:r w:rsidRPr="00E22FD1">
        <w:rPr>
          <w:rFonts w:ascii="Arial" w:hAnsi="Arial" w:cs="Arial"/>
          <w:i/>
          <w:iCs/>
          <w:color w:val="000000" w:themeColor="text1"/>
          <w:szCs w:val="24"/>
          <w:shd w:val="clear" w:color="auto" w:fill="FFFFFF"/>
        </w:rPr>
        <w:t>Service Operations Management</w:t>
      </w:r>
      <w:r w:rsidRPr="00E22FD1">
        <w:rPr>
          <w:rFonts w:ascii="Arial" w:hAnsi="Arial" w:cs="Arial"/>
          <w:color w:val="000000" w:themeColor="text1"/>
          <w:szCs w:val="24"/>
          <w:shd w:val="clear" w:color="auto" w:fill="FFFFFF"/>
        </w:rPr>
        <w:t>, Pearson, London.</w:t>
      </w:r>
    </w:p>
    <w:p w14:paraId="32060A6B" w14:textId="77777777" w:rsidR="00BC55B5" w:rsidRPr="00E22FD1" w:rsidRDefault="00BC55B5" w:rsidP="00E22FD1">
      <w:pPr>
        <w:spacing w:before="240"/>
        <w:rPr>
          <w:rFonts w:ascii="Arial" w:hAnsi="Arial" w:cs="Arial"/>
          <w:color w:val="000000" w:themeColor="text1"/>
          <w:szCs w:val="24"/>
          <w:shd w:val="clear" w:color="auto" w:fill="FFFFFF"/>
        </w:rPr>
      </w:pPr>
      <w:proofErr w:type="spellStart"/>
      <w:r w:rsidRPr="00E22FD1">
        <w:rPr>
          <w:rFonts w:ascii="Arial" w:hAnsi="Arial" w:cs="Arial"/>
          <w:color w:val="000000" w:themeColor="text1"/>
          <w:szCs w:val="24"/>
          <w:shd w:val="clear" w:color="auto" w:fill="FFFFFF"/>
        </w:rPr>
        <w:t>Kovjanic</w:t>
      </w:r>
      <w:proofErr w:type="spellEnd"/>
      <w:r w:rsidRPr="00E22FD1">
        <w:rPr>
          <w:rFonts w:ascii="Arial" w:hAnsi="Arial" w:cs="Arial"/>
          <w:color w:val="000000" w:themeColor="text1"/>
          <w:szCs w:val="24"/>
          <w:shd w:val="clear" w:color="auto" w:fill="FFFFFF"/>
        </w:rPr>
        <w:t xml:space="preserve">, S., Schuh, S. C., and Jonas, K., 2013. Transformational leadership and performance: An experimental investigation of the mediating effects of basic needs satisfaction and work engagement. </w:t>
      </w:r>
      <w:r w:rsidRPr="00E22FD1">
        <w:rPr>
          <w:rFonts w:ascii="Arial" w:hAnsi="Arial" w:cs="Arial"/>
          <w:i/>
          <w:iCs/>
          <w:color w:val="000000" w:themeColor="text1"/>
          <w:szCs w:val="24"/>
          <w:shd w:val="clear" w:color="auto" w:fill="FFFFFF"/>
        </w:rPr>
        <w:t>Journal of Occupational and Organizational Psychology</w:t>
      </w:r>
      <w:r w:rsidRPr="00E22FD1">
        <w:rPr>
          <w:rFonts w:ascii="Arial" w:hAnsi="Arial" w:cs="Arial"/>
          <w:color w:val="000000" w:themeColor="text1"/>
          <w:szCs w:val="24"/>
          <w:shd w:val="clear" w:color="auto" w:fill="FFFFFF"/>
        </w:rPr>
        <w:t>, 86(4), pp.543–555. </w:t>
      </w:r>
      <w:hyperlink r:id="rId7" w:tgtFrame="_blank" w:history="1">
        <w:r w:rsidRPr="00E22FD1">
          <w:rPr>
            <w:rStyle w:val="Hyperlink"/>
            <w:rFonts w:ascii="Arial" w:hAnsi="Arial" w:cs="Arial"/>
            <w:color w:val="000000" w:themeColor="text1"/>
            <w:szCs w:val="24"/>
            <w:u w:val="none"/>
            <w:shd w:val="clear" w:color="auto" w:fill="FFFFFF"/>
          </w:rPr>
          <w:t>https://doi.org/10.1111/joop.12022</w:t>
        </w:r>
      </w:hyperlink>
    </w:p>
    <w:p w14:paraId="2CCA6970" w14:textId="77777777" w:rsidR="00BC55B5" w:rsidRPr="00E22FD1" w:rsidRDefault="00BC55B5" w:rsidP="00E22FD1">
      <w:pPr>
        <w:spacing w:before="240"/>
        <w:rPr>
          <w:rFonts w:ascii="Arial" w:hAnsi="Arial" w:cs="Arial"/>
          <w:color w:val="000000" w:themeColor="text1"/>
          <w:szCs w:val="24"/>
          <w:shd w:val="clear" w:color="auto" w:fill="FFFFFF"/>
        </w:rPr>
      </w:pPr>
      <w:proofErr w:type="spellStart"/>
      <w:r w:rsidRPr="00E22FD1">
        <w:rPr>
          <w:rFonts w:ascii="Arial" w:hAnsi="Arial" w:cs="Arial"/>
          <w:color w:val="000000" w:themeColor="text1"/>
          <w:szCs w:val="24"/>
          <w:shd w:val="clear" w:color="auto" w:fill="FFFFFF"/>
        </w:rPr>
        <w:t>Ladyshewsky</w:t>
      </w:r>
      <w:proofErr w:type="spellEnd"/>
      <w:r w:rsidRPr="00E22FD1">
        <w:rPr>
          <w:rFonts w:ascii="Arial" w:hAnsi="Arial" w:cs="Arial"/>
          <w:color w:val="000000" w:themeColor="text1"/>
          <w:szCs w:val="24"/>
          <w:shd w:val="clear" w:color="auto" w:fill="FFFFFF"/>
        </w:rPr>
        <w:t xml:space="preserve">, R., and Taplin, R., 2017. Employee perceptions of managerial coaching and work engagement using the Measurement model of coaching skills and the Utrecht work engagement scale. </w:t>
      </w:r>
      <w:r w:rsidRPr="00E22FD1">
        <w:rPr>
          <w:rFonts w:ascii="Arial" w:hAnsi="Arial" w:cs="Arial"/>
          <w:i/>
          <w:iCs/>
          <w:color w:val="000000" w:themeColor="text1"/>
          <w:szCs w:val="24"/>
          <w:shd w:val="clear" w:color="auto" w:fill="FFFFFF"/>
        </w:rPr>
        <w:t>International Journal of Evidence-Based Coaching and Mentoring</w:t>
      </w:r>
      <w:r w:rsidRPr="00E22FD1">
        <w:rPr>
          <w:rFonts w:ascii="Arial" w:hAnsi="Arial" w:cs="Arial"/>
          <w:color w:val="000000" w:themeColor="text1"/>
          <w:szCs w:val="24"/>
          <w:shd w:val="clear" w:color="auto" w:fill="FFFFFF"/>
        </w:rPr>
        <w:t>, 15(2), pp.25–42.</w:t>
      </w:r>
    </w:p>
    <w:p w14:paraId="6C3BBADC"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lastRenderedPageBreak/>
        <w:t xml:space="preserve">Marchington, M. and Wilkinson, A., 2016. </w:t>
      </w:r>
      <w:r w:rsidRPr="00E22FD1">
        <w:rPr>
          <w:rFonts w:ascii="Arial" w:hAnsi="Arial" w:cs="Arial"/>
          <w:i/>
          <w:iCs/>
          <w:color w:val="000000" w:themeColor="text1"/>
          <w:szCs w:val="24"/>
          <w:shd w:val="clear" w:color="auto" w:fill="FFFFFF"/>
        </w:rPr>
        <w:t>Human resource management at work</w:t>
      </w:r>
      <w:r w:rsidRPr="00E22FD1">
        <w:rPr>
          <w:rFonts w:ascii="Arial" w:hAnsi="Arial" w:cs="Arial"/>
          <w:color w:val="000000" w:themeColor="text1"/>
          <w:szCs w:val="24"/>
          <w:shd w:val="clear" w:color="auto" w:fill="FFFFFF"/>
        </w:rPr>
        <w:t>. 6th ed. London: Chartered Institute of Personnel and Development.</w:t>
      </w:r>
    </w:p>
    <w:p w14:paraId="4A7C8D92" w14:textId="77777777" w:rsidR="00BC55B5" w:rsidRPr="00E22FD1" w:rsidRDefault="00BC55B5" w:rsidP="00E22FD1">
      <w:pPr>
        <w:pStyle w:val="NormalWeb"/>
        <w:spacing w:before="240" w:beforeAutospacing="0" w:after="240" w:afterAutospacing="0" w:line="360" w:lineRule="auto"/>
        <w:rPr>
          <w:rFonts w:ascii="Arial" w:hAnsi="Arial" w:cs="Arial"/>
          <w:color w:val="000000" w:themeColor="text1"/>
        </w:rPr>
      </w:pPr>
      <w:r w:rsidRPr="00E22FD1">
        <w:rPr>
          <w:rFonts w:ascii="Arial" w:hAnsi="Arial" w:cs="Arial"/>
          <w:color w:val="000000" w:themeColor="text1"/>
        </w:rPr>
        <w:t xml:space="preserve">Qualtrics, 2022. </w:t>
      </w:r>
      <w:r w:rsidRPr="00E22FD1">
        <w:rPr>
          <w:rFonts w:ascii="Arial" w:hAnsi="Arial" w:cs="Arial"/>
          <w:i/>
          <w:iCs/>
          <w:color w:val="000000" w:themeColor="text1"/>
        </w:rPr>
        <w:t>Employee lifecycle: The 7 stages every employer must understand and improve</w:t>
      </w:r>
      <w:r w:rsidRPr="00E22FD1">
        <w:rPr>
          <w:rFonts w:ascii="Arial" w:hAnsi="Arial" w:cs="Arial"/>
          <w:color w:val="000000" w:themeColor="text1"/>
        </w:rPr>
        <w:t>. [online] Qualtrics. Available at: &lt;https://www.qualtrics.com/experience-management/employee/employee-lifecycle/&gt; [Accessed 25 October 2022].</w:t>
      </w:r>
    </w:p>
    <w:p w14:paraId="274FF96D"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Saltmarsh, M., 2017. </w:t>
      </w:r>
      <w:r w:rsidRPr="00E22FD1">
        <w:rPr>
          <w:rFonts w:ascii="Arial" w:hAnsi="Arial" w:cs="Arial"/>
          <w:i/>
          <w:iCs/>
          <w:color w:val="000000" w:themeColor="text1"/>
          <w:szCs w:val="24"/>
          <w:shd w:val="clear" w:color="auto" w:fill="FFFFFF"/>
        </w:rPr>
        <w:t>5 Stages of the employment life cycle in need of improvement</w:t>
      </w:r>
      <w:r w:rsidRPr="00E22FD1">
        <w:rPr>
          <w:rFonts w:ascii="Arial" w:hAnsi="Arial" w:cs="Arial"/>
          <w:color w:val="000000" w:themeColor="text1"/>
          <w:szCs w:val="24"/>
          <w:shd w:val="clear" w:color="auto" w:fill="FFFFFF"/>
        </w:rPr>
        <w:t>. Hospitality Review, pp.8–9.</w:t>
      </w:r>
    </w:p>
    <w:p w14:paraId="422086D7"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Sato, Y., Kobayashi, N., and </w:t>
      </w:r>
      <w:proofErr w:type="spellStart"/>
      <w:r w:rsidRPr="00E22FD1">
        <w:rPr>
          <w:rFonts w:ascii="Arial" w:hAnsi="Arial" w:cs="Arial"/>
          <w:color w:val="000000" w:themeColor="text1"/>
          <w:szCs w:val="24"/>
          <w:shd w:val="clear" w:color="auto" w:fill="FFFFFF"/>
        </w:rPr>
        <w:t>Shirasaka</w:t>
      </w:r>
      <w:proofErr w:type="spellEnd"/>
      <w:r w:rsidRPr="00E22FD1">
        <w:rPr>
          <w:rFonts w:ascii="Arial" w:hAnsi="Arial" w:cs="Arial"/>
          <w:color w:val="000000" w:themeColor="text1"/>
          <w:szCs w:val="24"/>
          <w:shd w:val="clear" w:color="auto" w:fill="FFFFFF"/>
        </w:rPr>
        <w:t xml:space="preserve">, S., 2019. An analysis of human resource management for knowledge workers: Using the three axes of target employee, lifecycle stage, and human resource flow. </w:t>
      </w:r>
      <w:r w:rsidRPr="00E22FD1">
        <w:rPr>
          <w:rFonts w:ascii="Arial" w:hAnsi="Arial" w:cs="Arial"/>
          <w:i/>
          <w:iCs/>
          <w:color w:val="000000" w:themeColor="text1"/>
          <w:szCs w:val="24"/>
          <w:shd w:val="clear" w:color="auto" w:fill="FFFFFF"/>
        </w:rPr>
        <w:t>Review of Integrative Business and Economics Research</w:t>
      </w:r>
      <w:r w:rsidRPr="00E22FD1">
        <w:rPr>
          <w:rFonts w:ascii="Arial" w:hAnsi="Arial" w:cs="Arial"/>
          <w:color w:val="000000" w:themeColor="text1"/>
          <w:szCs w:val="24"/>
          <w:shd w:val="clear" w:color="auto" w:fill="FFFFFF"/>
        </w:rPr>
        <w:t>, 9(1), pp.140–156.</w:t>
      </w:r>
    </w:p>
    <w:p w14:paraId="74E1C171"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Shantz, A., </w:t>
      </w:r>
      <w:proofErr w:type="spellStart"/>
      <w:r w:rsidRPr="00E22FD1">
        <w:rPr>
          <w:rFonts w:ascii="Arial" w:hAnsi="Arial" w:cs="Arial"/>
          <w:color w:val="000000" w:themeColor="text1"/>
          <w:szCs w:val="24"/>
          <w:shd w:val="clear" w:color="auto" w:fill="FFFFFF"/>
        </w:rPr>
        <w:t>Alfes</w:t>
      </w:r>
      <w:proofErr w:type="spellEnd"/>
      <w:r w:rsidRPr="00E22FD1">
        <w:rPr>
          <w:rFonts w:ascii="Arial" w:hAnsi="Arial" w:cs="Arial"/>
          <w:color w:val="000000" w:themeColor="text1"/>
          <w:szCs w:val="24"/>
          <w:shd w:val="clear" w:color="auto" w:fill="FFFFFF"/>
        </w:rPr>
        <w:t>, K., and Latham, G. P., 2016. The buffering effect of perceived organizational support on the relationship between work engagement and behavioural outcomes. Human Resource Management, 55(1), pp.25–38. </w:t>
      </w:r>
      <w:hyperlink r:id="rId8" w:tgtFrame="_blank" w:history="1">
        <w:r w:rsidRPr="00E22FD1">
          <w:rPr>
            <w:rStyle w:val="Hyperlink"/>
            <w:rFonts w:ascii="Arial" w:hAnsi="Arial" w:cs="Arial"/>
            <w:color w:val="000000" w:themeColor="text1"/>
            <w:szCs w:val="24"/>
            <w:u w:val="none"/>
            <w:shd w:val="clear" w:color="auto" w:fill="FFFFFF"/>
          </w:rPr>
          <w:t>https://doi.org/10.1002/hrm.21653</w:t>
        </w:r>
      </w:hyperlink>
    </w:p>
    <w:p w14:paraId="13C6F601"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Shirin, A., and </w:t>
      </w:r>
      <w:proofErr w:type="spellStart"/>
      <w:r w:rsidRPr="00E22FD1">
        <w:rPr>
          <w:rFonts w:ascii="Arial" w:hAnsi="Arial" w:cs="Arial"/>
          <w:color w:val="000000" w:themeColor="text1"/>
          <w:szCs w:val="24"/>
          <w:shd w:val="clear" w:color="auto" w:fill="FFFFFF"/>
        </w:rPr>
        <w:t>Kleyn</w:t>
      </w:r>
      <w:proofErr w:type="spellEnd"/>
      <w:r w:rsidRPr="00E22FD1">
        <w:rPr>
          <w:rFonts w:ascii="Arial" w:hAnsi="Arial" w:cs="Arial"/>
          <w:color w:val="000000" w:themeColor="text1"/>
          <w:szCs w:val="24"/>
          <w:shd w:val="clear" w:color="auto" w:fill="FFFFFF"/>
        </w:rPr>
        <w:t xml:space="preserve">, N., 2017. An evaluation of the effects of corporate reputation on employee engagement: The case of a major bank in South Africa. </w:t>
      </w:r>
      <w:r w:rsidRPr="00E22FD1">
        <w:rPr>
          <w:rFonts w:ascii="Arial" w:hAnsi="Arial" w:cs="Arial"/>
          <w:i/>
          <w:iCs/>
          <w:color w:val="000000" w:themeColor="text1"/>
          <w:szCs w:val="24"/>
          <w:shd w:val="clear" w:color="auto" w:fill="FFFFFF"/>
        </w:rPr>
        <w:t>International Studies of Management &amp; Organization</w:t>
      </w:r>
      <w:r w:rsidRPr="00E22FD1">
        <w:rPr>
          <w:rFonts w:ascii="Arial" w:hAnsi="Arial" w:cs="Arial"/>
          <w:color w:val="000000" w:themeColor="text1"/>
          <w:szCs w:val="24"/>
          <w:shd w:val="clear" w:color="auto" w:fill="FFFFFF"/>
        </w:rPr>
        <w:t>, 47(3), pp.276-292. </w:t>
      </w:r>
      <w:hyperlink r:id="rId9" w:tgtFrame="_blank" w:history="1">
        <w:r w:rsidRPr="00E22FD1">
          <w:rPr>
            <w:rStyle w:val="Hyperlink"/>
            <w:rFonts w:ascii="Arial" w:hAnsi="Arial" w:cs="Arial"/>
            <w:color w:val="000000" w:themeColor="text1"/>
            <w:szCs w:val="24"/>
            <w:u w:val="none"/>
            <w:shd w:val="clear" w:color="auto" w:fill="FFFFFF"/>
          </w:rPr>
          <w:t>https://doi.org/10.1080/00208825.2017.1318023</w:t>
        </w:r>
      </w:hyperlink>
    </w:p>
    <w:p w14:paraId="52D831D8" w14:textId="77777777" w:rsidR="00BC55B5" w:rsidRPr="00E22FD1" w:rsidRDefault="00BC55B5" w:rsidP="00E22FD1">
      <w:pPr>
        <w:spacing w:before="240"/>
        <w:rPr>
          <w:rFonts w:ascii="Arial" w:hAnsi="Arial" w:cs="Arial"/>
          <w:color w:val="000000" w:themeColor="text1"/>
          <w:szCs w:val="24"/>
          <w:shd w:val="clear" w:color="auto" w:fill="FFFFFF"/>
        </w:rPr>
      </w:pPr>
      <w:proofErr w:type="spellStart"/>
      <w:r w:rsidRPr="00E22FD1">
        <w:rPr>
          <w:rFonts w:ascii="Arial" w:hAnsi="Arial" w:cs="Arial"/>
          <w:color w:val="000000" w:themeColor="text1"/>
          <w:szCs w:val="24"/>
          <w:shd w:val="clear" w:color="auto" w:fill="FFFFFF"/>
        </w:rPr>
        <w:t>Shyam</w:t>
      </w:r>
      <w:proofErr w:type="spellEnd"/>
      <w:r w:rsidRPr="00E22FD1">
        <w:rPr>
          <w:rFonts w:ascii="Arial" w:hAnsi="Arial" w:cs="Arial"/>
          <w:color w:val="000000" w:themeColor="text1"/>
          <w:szCs w:val="24"/>
          <w:shd w:val="clear" w:color="auto" w:fill="FFFFFF"/>
        </w:rPr>
        <w:t xml:space="preserve">, B. R., and Ramachandra Gowda, N. K., 2015. A comparative study of the dynamic nature of product life cycle stimulating employee life cycle. </w:t>
      </w:r>
      <w:r w:rsidRPr="00E22FD1">
        <w:rPr>
          <w:rFonts w:ascii="Arial" w:hAnsi="Arial" w:cs="Arial"/>
          <w:i/>
          <w:iCs/>
          <w:color w:val="000000" w:themeColor="text1"/>
          <w:szCs w:val="24"/>
          <w:shd w:val="clear" w:color="auto" w:fill="FFFFFF"/>
        </w:rPr>
        <w:t>Adarsh Journal of Management Research</w:t>
      </w:r>
      <w:r w:rsidRPr="00E22FD1">
        <w:rPr>
          <w:rFonts w:ascii="Arial" w:hAnsi="Arial" w:cs="Arial"/>
          <w:color w:val="000000" w:themeColor="text1"/>
          <w:szCs w:val="24"/>
          <w:shd w:val="clear" w:color="auto" w:fill="FFFFFF"/>
        </w:rPr>
        <w:t>, 8(2), pp.21–24. </w:t>
      </w:r>
      <w:hyperlink r:id="rId10" w:tgtFrame="_blank" w:history="1">
        <w:r w:rsidRPr="00E22FD1">
          <w:rPr>
            <w:rStyle w:val="Hyperlink"/>
            <w:rFonts w:ascii="Arial" w:hAnsi="Arial" w:cs="Arial"/>
            <w:color w:val="000000" w:themeColor="text1"/>
            <w:szCs w:val="24"/>
            <w:u w:val="none"/>
            <w:shd w:val="clear" w:color="auto" w:fill="FFFFFF"/>
          </w:rPr>
          <w:t>https://doi.org/10.21095/ajmr/2015/v8/i2/88210</w:t>
        </w:r>
      </w:hyperlink>
    </w:p>
    <w:p w14:paraId="4AFD0F1F" w14:textId="77777777" w:rsidR="00BC55B5" w:rsidRPr="00E22FD1" w:rsidRDefault="00BC55B5" w:rsidP="00E22FD1">
      <w:pPr>
        <w:spacing w:before="240"/>
        <w:rPr>
          <w:rFonts w:ascii="Arial" w:hAnsi="Arial" w:cs="Arial"/>
          <w:color w:val="000000" w:themeColor="text1"/>
          <w:szCs w:val="24"/>
        </w:rPr>
      </w:pPr>
      <w:r w:rsidRPr="00E22FD1">
        <w:rPr>
          <w:rFonts w:ascii="Arial" w:hAnsi="Arial" w:cs="Arial"/>
          <w:color w:val="000000" w:themeColor="text1"/>
          <w:szCs w:val="24"/>
          <w:shd w:val="clear" w:color="auto" w:fill="FFFFFF"/>
        </w:rPr>
        <w:t xml:space="preserve">Soane, E., Truss, C., </w:t>
      </w:r>
      <w:proofErr w:type="spellStart"/>
      <w:r w:rsidRPr="00E22FD1">
        <w:rPr>
          <w:rFonts w:ascii="Arial" w:hAnsi="Arial" w:cs="Arial"/>
          <w:color w:val="000000" w:themeColor="text1"/>
          <w:szCs w:val="24"/>
          <w:shd w:val="clear" w:color="auto" w:fill="FFFFFF"/>
        </w:rPr>
        <w:t>Alfes</w:t>
      </w:r>
      <w:proofErr w:type="spellEnd"/>
      <w:r w:rsidRPr="00E22FD1">
        <w:rPr>
          <w:rFonts w:ascii="Arial" w:hAnsi="Arial" w:cs="Arial"/>
          <w:color w:val="000000" w:themeColor="text1"/>
          <w:szCs w:val="24"/>
          <w:shd w:val="clear" w:color="auto" w:fill="FFFFFF"/>
        </w:rPr>
        <w:t xml:space="preserve">, K., Shantz, A., Rees, C., and </w:t>
      </w:r>
      <w:proofErr w:type="spellStart"/>
      <w:r w:rsidRPr="00E22FD1">
        <w:rPr>
          <w:rFonts w:ascii="Arial" w:hAnsi="Arial" w:cs="Arial"/>
          <w:color w:val="000000" w:themeColor="text1"/>
          <w:szCs w:val="24"/>
          <w:shd w:val="clear" w:color="auto" w:fill="FFFFFF"/>
        </w:rPr>
        <w:t>Gatenby</w:t>
      </w:r>
      <w:proofErr w:type="spellEnd"/>
      <w:r w:rsidRPr="00E22FD1">
        <w:rPr>
          <w:rFonts w:ascii="Arial" w:hAnsi="Arial" w:cs="Arial"/>
          <w:color w:val="000000" w:themeColor="text1"/>
          <w:szCs w:val="24"/>
          <w:shd w:val="clear" w:color="auto" w:fill="FFFFFF"/>
        </w:rPr>
        <w:t xml:space="preserve">, M., 2012. Development and application of a new measure of employee engagement: The ISA Engagement Scale. </w:t>
      </w:r>
      <w:r w:rsidRPr="00E22FD1">
        <w:rPr>
          <w:rFonts w:ascii="Arial" w:hAnsi="Arial" w:cs="Arial"/>
          <w:i/>
          <w:iCs/>
          <w:color w:val="000000" w:themeColor="text1"/>
          <w:szCs w:val="24"/>
          <w:shd w:val="clear" w:color="auto" w:fill="FFFFFF"/>
        </w:rPr>
        <w:t>Human Resource Development International</w:t>
      </w:r>
      <w:r w:rsidRPr="00E22FD1">
        <w:rPr>
          <w:rFonts w:ascii="Arial" w:hAnsi="Arial" w:cs="Arial"/>
          <w:color w:val="000000" w:themeColor="text1"/>
          <w:szCs w:val="24"/>
          <w:shd w:val="clear" w:color="auto" w:fill="FFFFFF"/>
        </w:rPr>
        <w:t>, 15(5), pp.529–547. </w:t>
      </w:r>
      <w:hyperlink r:id="rId11" w:tgtFrame="_blank" w:history="1">
        <w:r w:rsidRPr="00E22FD1">
          <w:rPr>
            <w:rStyle w:val="Hyperlink"/>
            <w:rFonts w:ascii="Arial" w:hAnsi="Arial" w:cs="Arial"/>
            <w:color w:val="000000" w:themeColor="text1"/>
            <w:szCs w:val="24"/>
            <w:u w:val="none"/>
            <w:shd w:val="clear" w:color="auto" w:fill="FFFFFF"/>
          </w:rPr>
          <w:t>https://doi.org/10.1080/13678868.2012.726542</w:t>
        </w:r>
      </w:hyperlink>
    </w:p>
    <w:p w14:paraId="693A086D"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lastRenderedPageBreak/>
        <w:t xml:space="preserve">Tabassum, R., and </w:t>
      </w:r>
      <w:proofErr w:type="spellStart"/>
      <w:r w:rsidRPr="00E22FD1">
        <w:rPr>
          <w:rFonts w:ascii="Arial" w:hAnsi="Arial" w:cs="Arial"/>
          <w:color w:val="000000" w:themeColor="text1"/>
          <w:szCs w:val="24"/>
          <w:shd w:val="clear" w:color="auto" w:fill="FFFFFF"/>
        </w:rPr>
        <w:t>Sahni</w:t>
      </w:r>
      <w:proofErr w:type="spellEnd"/>
      <w:r w:rsidRPr="00E22FD1">
        <w:rPr>
          <w:rFonts w:ascii="Arial" w:hAnsi="Arial" w:cs="Arial"/>
          <w:color w:val="000000" w:themeColor="text1"/>
          <w:szCs w:val="24"/>
          <w:shd w:val="clear" w:color="auto" w:fill="FFFFFF"/>
        </w:rPr>
        <w:t xml:space="preserve">, D., 2017. Employee life cycle in the healthcare industry concerning Delhi &amp; NCR: an exploratory study. </w:t>
      </w:r>
      <w:r w:rsidRPr="00E22FD1">
        <w:rPr>
          <w:rFonts w:ascii="Arial" w:hAnsi="Arial" w:cs="Arial"/>
          <w:i/>
          <w:iCs/>
          <w:color w:val="000000" w:themeColor="text1"/>
          <w:szCs w:val="24"/>
          <w:shd w:val="clear" w:color="auto" w:fill="FFFFFF"/>
        </w:rPr>
        <w:t>International Journal of Engineering Science and Computing</w:t>
      </w:r>
      <w:r w:rsidRPr="00E22FD1">
        <w:rPr>
          <w:rFonts w:ascii="Arial" w:hAnsi="Arial" w:cs="Arial"/>
          <w:color w:val="000000" w:themeColor="text1"/>
          <w:szCs w:val="24"/>
          <w:shd w:val="clear" w:color="auto" w:fill="FFFFFF"/>
        </w:rPr>
        <w:t>, 7(3), pp.5445–5451.</w:t>
      </w:r>
    </w:p>
    <w:p w14:paraId="72623A93" w14:textId="77777777" w:rsidR="00BC55B5" w:rsidRPr="00E22FD1" w:rsidRDefault="00BC55B5" w:rsidP="00E22FD1">
      <w:pPr>
        <w:spacing w:before="240"/>
        <w:rPr>
          <w:rFonts w:ascii="Arial" w:hAnsi="Arial" w:cs="Arial"/>
          <w:color w:val="000000" w:themeColor="text1"/>
          <w:szCs w:val="24"/>
          <w:shd w:val="clear" w:color="auto" w:fill="FFFFFF"/>
        </w:rPr>
      </w:pPr>
      <w:r w:rsidRPr="00E22FD1">
        <w:rPr>
          <w:rFonts w:ascii="Arial" w:hAnsi="Arial" w:cs="Arial"/>
          <w:color w:val="000000" w:themeColor="text1"/>
          <w:szCs w:val="24"/>
          <w:shd w:val="clear" w:color="auto" w:fill="FFFFFF"/>
        </w:rPr>
        <w:t xml:space="preserve">Torrington, D, Hall, L, Atkinson, C, and Taylor, S., 2020. </w:t>
      </w:r>
      <w:r w:rsidRPr="00E22FD1">
        <w:rPr>
          <w:rFonts w:ascii="Arial" w:hAnsi="Arial" w:cs="Arial"/>
          <w:i/>
          <w:iCs/>
          <w:color w:val="000000" w:themeColor="text1"/>
          <w:szCs w:val="24"/>
          <w:shd w:val="clear" w:color="auto" w:fill="FFFFFF"/>
        </w:rPr>
        <w:t xml:space="preserve">Human Resource Management PDF </w:t>
      </w:r>
      <w:proofErr w:type="spellStart"/>
      <w:r w:rsidRPr="00E22FD1">
        <w:rPr>
          <w:rFonts w:ascii="Arial" w:hAnsi="Arial" w:cs="Arial"/>
          <w:i/>
          <w:iCs/>
          <w:color w:val="000000" w:themeColor="text1"/>
          <w:szCs w:val="24"/>
          <w:shd w:val="clear" w:color="auto" w:fill="FFFFFF"/>
        </w:rPr>
        <w:t>EBook</w:t>
      </w:r>
      <w:proofErr w:type="spellEnd"/>
      <w:r w:rsidRPr="00E22FD1">
        <w:rPr>
          <w:rFonts w:ascii="Arial" w:hAnsi="Arial" w:cs="Arial"/>
          <w:color w:val="000000" w:themeColor="text1"/>
          <w:szCs w:val="24"/>
          <w:shd w:val="clear" w:color="auto" w:fill="FFFFFF"/>
        </w:rPr>
        <w:t xml:space="preserve">, Pearson Education, Limited, Harlow. Available from: ProQuest </w:t>
      </w:r>
      <w:proofErr w:type="spellStart"/>
      <w:r w:rsidRPr="00E22FD1">
        <w:rPr>
          <w:rFonts w:ascii="Arial" w:hAnsi="Arial" w:cs="Arial"/>
          <w:color w:val="000000" w:themeColor="text1"/>
          <w:szCs w:val="24"/>
          <w:shd w:val="clear" w:color="auto" w:fill="FFFFFF"/>
        </w:rPr>
        <w:t>Ebook</w:t>
      </w:r>
      <w:proofErr w:type="spellEnd"/>
      <w:r w:rsidRPr="00E22FD1">
        <w:rPr>
          <w:rFonts w:ascii="Arial" w:hAnsi="Arial" w:cs="Arial"/>
          <w:color w:val="000000" w:themeColor="text1"/>
          <w:szCs w:val="24"/>
          <w:shd w:val="clear" w:color="auto" w:fill="FFFFFF"/>
        </w:rPr>
        <w:t xml:space="preserve"> Central.</w:t>
      </w:r>
    </w:p>
    <w:sectPr w:rsidR="00BC55B5" w:rsidRPr="00E22FD1" w:rsidSect="00E22FD1">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E7994" w14:textId="77777777" w:rsidR="00D6383D" w:rsidRDefault="00D6383D">
      <w:pPr>
        <w:spacing w:after="0" w:line="240" w:lineRule="auto"/>
      </w:pPr>
      <w:r>
        <w:separator/>
      </w:r>
    </w:p>
  </w:endnote>
  <w:endnote w:type="continuationSeparator" w:id="0">
    <w:p w14:paraId="29DC0A34" w14:textId="77777777" w:rsidR="00D6383D" w:rsidRDefault="00D63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71140"/>
      <w:docPartObj>
        <w:docPartGallery w:val="Page Numbers (Bottom of Page)"/>
        <w:docPartUnique/>
      </w:docPartObj>
    </w:sdtPr>
    <w:sdtEndPr>
      <w:rPr>
        <w:color w:val="7F7F7F" w:themeColor="background1" w:themeShade="7F"/>
        <w:spacing w:val="60"/>
      </w:rPr>
    </w:sdtEndPr>
    <w:sdtContent>
      <w:p w14:paraId="547776FA" w14:textId="77777777" w:rsidR="000D184F" w:rsidRDefault="003B630C">
        <w:pPr>
          <w:pStyle w:val="Footer"/>
          <w:pBdr>
            <w:top w:val="single" w:sz="4" w:space="1" w:color="D9D9D9" w:themeColor="background1" w:themeShade="D9"/>
          </w:pBdr>
          <w:jc w:val="right"/>
        </w:pPr>
        <w:r>
          <w:fldChar w:fldCharType="begin"/>
        </w:r>
        <w:r w:rsidR="004A6332">
          <w:instrText xml:space="preserve"> PAGE   \* MERGEFORMAT </w:instrText>
        </w:r>
        <w:r>
          <w:fldChar w:fldCharType="separate"/>
        </w:r>
        <w:r w:rsidR="00BD7273">
          <w:rPr>
            <w:noProof/>
          </w:rPr>
          <w:t>1</w:t>
        </w:r>
        <w:r>
          <w:rPr>
            <w:noProof/>
          </w:rPr>
          <w:fldChar w:fldCharType="end"/>
        </w:r>
        <w:r w:rsidR="004A6332">
          <w:t xml:space="preserve"> | </w:t>
        </w:r>
        <w:r w:rsidR="004A6332">
          <w:rPr>
            <w:color w:val="7F7F7F" w:themeColor="background1" w:themeShade="7F"/>
            <w:spacing w:val="60"/>
          </w:rPr>
          <w:t>Page</w:t>
        </w:r>
      </w:p>
    </w:sdtContent>
  </w:sdt>
  <w:p w14:paraId="061C49CA" w14:textId="77777777" w:rsidR="000D184F"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171E8" w14:textId="77777777" w:rsidR="00D6383D" w:rsidRDefault="00D6383D">
      <w:pPr>
        <w:spacing w:after="0" w:line="240" w:lineRule="auto"/>
      </w:pPr>
      <w:r>
        <w:separator/>
      </w:r>
    </w:p>
  </w:footnote>
  <w:footnote w:type="continuationSeparator" w:id="0">
    <w:p w14:paraId="4FC01FB5" w14:textId="77777777" w:rsidR="00D6383D" w:rsidRDefault="00D63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4986"/>
    <w:multiLevelType w:val="hybridMultilevel"/>
    <w:tmpl w:val="C05061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672C39"/>
    <w:multiLevelType w:val="multilevel"/>
    <w:tmpl w:val="A878701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FA82519"/>
    <w:multiLevelType w:val="hybridMultilevel"/>
    <w:tmpl w:val="D102EB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BC28BA"/>
    <w:multiLevelType w:val="hybridMultilevel"/>
    <w:tmpl w:val="38DA82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B73543"/>
    <w:multiLevelType w:val="multilevel"/>
    <w:tmpl w:val="387EB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3910619">
    <w:abstractNumId w:val="1"/>
  </w:num>
  <w:num w:numId="2" w16cid:durableId="293028669">
    <w:abstractNumId w:val="1"/>
  </w:num>
  <w:num w:numId="3" w16cid:durableId="1560288557">
    <w:abstractNumId w:val="1"/>
  </w:num>
  <w:num w:numId="4" w16cid:durableId="912814305">
    <w:abstractNumId w:val="1"/>
  </w:num>
  <w:num w:numId="5" w16cid:durableId="15809758">
    <w:abstractNumId w:val="0"/>
  </w:num>
  <w:num w:numId="6" w16cid:durableId="968781505">
    <w:abstractNumId w:val="4"/>
  </w:num>
  <w:num w:numId="7" w16cid:durableId="656689712">
    <w:abstractNumId w:val="3"/>
  </w:num>
  <w:num w:numId="8" w16cid:durableId="5596351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BAJTC0NLS1MzIwMTSyUdpeDU4uLM/DyQAtNaALw8KSQsAAAA"/>
  </w:docVars>
  <w:rsids>
    <w:rsidRoot w:val="00EC2090"/>
    <w:rsid w:val="00010168"/>
    <w:rsid w:val="0001212A"/>
    <w:rsid w:val="000156C7"/>
    <w:rsid w:val="00031083"/>
    <w:rsid w:val="00041B93"/>
    <w:rsid w:val="000507CE"/>
    <w:rsid w:val="00072A48"/>
    <w:rsid w:val="000844AB"/>
    <w:rsid w:val="00087ED1"/>
    <w:rsid w:val="000A3C70"/>
    <w:rsid w:val="00121A3C"/>
    <w:rsid w:val="00141775"/>
    <w:rsid w:val="00141A76"/>
    <w:rsid w:val="00167A68"/>
    <w:rsid w:val="001A568C"/>
    <w:rsid w:val="001C2949"/>
    <w:rsid w:val="001D1D7D"/>
    <w:rsid w:val="001D26ED"/>
    <w:rsid w:val="001D6161"/>
    <w:rsid w:val="001E2B6A"/>
    <w:rsid w:val="00207E4D"/>
    <w:rsid w:val="0024540F"/>
    <w:rsid w:val="00284977"/>
    <w:rsid w:val="002853A2"/>
    <w:rsid w:val="002A1902"/>
    <w:rsid w:val="002D6B7F"/>
    <w:rsid w:val="002E2627"/>
    <w:rsid w:val="00300E65"/>
    <w:rsid w:val="003070D4"/>
    <w:rsid w:val="00325D64"/>
    <w:rsid w:val="003509A7"/>
    <w:rsid w:val="00364FDA"/>
    <w:rsid w:val="00374AE6"/>
    <w:rsid w:val="003B630C"/>
    <w:rsid w:val="00453736"/>
    <w:rsid w:val="00460F22"/>
    <w:rsid w:val="00463044"/>
    <w:rsid w:val="00465644"/>
    <w:rsid w:val="00474F77"/>
    <w:rsid w:val="00491E76"/>
    <w:rsid w:val="004966FE"/>
    <w:rsid w:val="004A29FA"/>
    <w:rsid w:val="004A6332"/>
    <w:rsid w:val="004B07EB"/>
    <w:rsid w:val="004E68C4"/>
    <w:rsid w:val="004F7094"/>
    <w:rsid w:val="00517414"/>
    <w:rsid w:val="00522E1B"/>
    <w:rsid w:val="0056065E"/>
    <w:rsid w:val="005D0647"/>
    <w:rsid w:val="00630ECB"/>
    <w:rsid w:val="00644937"/>
    <w:rsid w:val="00645ECC"/>
    <w:rsid w:val="00664794"/>
    <w:rsid w:val="0067185B"/>
    <w:rsid w:val="006805A2"/>
    <w:rsid w:val="00725848"/>
    <w:rsid w:val="007353E5"/>
    <w:rsid w:val="0074123F"/>
    <w:rsid w:val="00742CBA"/>
    <w:rsid w:val="00746AB0"/>
    <w:rsid w:val="00756F50"/>
    <w:rsid w:val="00767FFB"/>
    <w:rsid w:val="00771706"/>
    <w:rsid w:val="0079393B"/>
    <w:rsid w:val="007B7A81"/>
    <w:rsid w:val="007C0ADB"/>
    <w:rsid w:val="00812A49"/>
    <w:rsid w:val="00814D4F"/>
    <w:rsid w:val="0083536B"/>
    <w:rsid w:val="00853467"/>
    <w:rsid w:val="00853F1E"/>
    <w:rsid w:val="00854EAE"/>
    <w:rsid w:val="00855DA5"/>
    <w:rsid w:val="00881756"/>
    <w:rsid w:val="00894374"/>
    <w:rsid w:val="008A663C"/>
    <w:rsid w:val="008C71F1"/>
    <w:rsid w:val="008C7D13"/>
    <w:rsid w:val="008D372E"/>
    <w:rsid w:val="008F76E9"/>
    <w:rsid w:val="00904D0A"/>
    <w:rsid w:val="00923B94"/>
    <w:rsid w:val="009349C4"/>
    <w:rsid w:val="00936D76"/>
    <w:rsid w:val="00943724"/>
    <w:rsid w:val="00953B37"/>
    <w:rsid w:val="00956364"/>
    <w:rsid w:val="00960734"/>
    <w:rsid w:val="00990128"/>
    <w:rsid w:val="009A6376"/>
    <w:rsid w:val="009B10B8"/>
    <w:rsid w:val="009B3C31"/>
    <w:rsid w:val="009F7C4F"/>
    <w:rsid w:val="00A13423"/>
    <w:rsid w:val="00A32D7A"/>
    <w:rsid w:val="00A37284"/>
    <w:rsid w:val="00A42845"/>
    <w:rsid w:val="00A451C8"/>
    <w:rsid w:val="00A91637"/>
    <w:rsid w:val="00AA124C"/>
    <w:rsid w:val="00AC758D"/>
    <w:rsid w:val="00B111CB"/>
    <w:rsid w:val="00B27159"/>
    <w:rsid w:val="00B309DE"/>
    <w:rsid w:val="00B34D59"/>
    <w:rsid w:val="00B4740C"/>
    <w:rsid w:val="00B51BA0"/>
    <w:rsid w:val="00B70D93"/>
    <w:rsid w:val="00B80BCA"/>
    <w:rsid w:val="00B8343C"/>
    <w:rsid w:val="00B919B9"/>
    <w:rsid w:val="00BA56D1"/>
    <w:rsid w:val="00BA70D9"/>
    <w:rsid w:val="00BB1A61"/>
    <w:rsid w:val="00BB58B8"/>
    <w:rsid w:val="00BB7BE2"/>
    <w:rsid w:val="00BC55B5"/>
    <w:rsid w:val="00BD7273"/>
    <w:rsid w:val="00BD7EA9"/>
    <w:rsid w:val="00BE0DCF"/>
    <w:rsid w:val="00C1390E"/>
    <w:rsid w:val="00C26940"/>
    <w:rsid w:val="00C30BA4"/>
    <w:rsid w:val="00C732DB"/>
    <w:rsid w:val="00C76A08"/>
    <w:rsid w:val="00C979E1"/>
    <w:rsid w:val="00CB086B"/>
    <w:rsid w:val="00CC3C1A"/>
    <w:rsid w:val="00CD451A"/>
    <w:rsid w:val="00CE2661"/>
    <w:rsid w:val="00CF44CC"/>
    <w:rsid w:val="00D03AB4"/>
    <w:rsid w:val="00D13C53"/>
    <w:rsid w:val="00D2096E"/>
    <w:rsid w:val="00D239F0"/>
    <w:rsid w:val="00D33BD1"/>
    <w:rsid w:val="00D6383D"/>
    <w:rsid w:val="00D646DC"/>
    <w:rsid w:val="00D95822"/>
    <w:rsid w:val="00D97B23"/>
    <w:rsid w:val="00DB2271"/>
    <w:rsid w:val="00DE0F85"/>
    <w:rsid w:val="00DF6AF9"/>
    <w:rsid w:val="00E068D8"/>
    <w:rsid w:val="00E22FD1"/>
    <w:rsid w:val="00E43B6F"/>
    <w:rsid w:val="00E7428A"/>
    <w:rsid w:val="00EB0418"/>
    <w:rsid w:val="00EB6E29"/>
    <w:rsid w:val="00EC1682"/>
    <w:rsid w:val="00EC2090"/>
    <w:rsid w:val="00EE0B86"/>
    <w:rsid w:val="00EF6E93"/>
    <w:rsid w:val="00F21D12"/>
    <w:rsid w:val="00F2374E"/>
    <w:rsid w:val="00F26E6D"/>
    <w:rsid w:val="00F354FD"/>
    <w:rsid w:val="00F46D7F"/>
    <w:rsid w:val="00F53C9B"/>
    <w:rsid w:val="00F70A67"/>
    <w:rsid w:val="00FA058D"/>
    <w:rsid w:val="00FB2CC7"/>
    <w:rsid w:val="00FB78D5"/>
    <w:rsid w:val="00FD2228"/>
    <w:rsid w:val="00FF4D66"/>
    <w:rsid w:val="00FF4D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CF165"/>
  <w15:docId w15:val="{50801D47-69DD-4031-B7FB-DF1B03180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09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37284"/>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E7428A"/>
    <w:pPr>
      <w:keepNext/>
      <w:keepLines/>
      <w:spacing w:before="40"/>
      <w:jc w:val="left"/>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F2374E"/>
    <w:pPr>
      <w:keepNext/>
      <w:keepLines/>
      <w:spacing w:before="40" w:after="0"/>
      <w:outlineLvl w:val="2"/>
    </w:pPr>
    <w:rPr>
      <w:rFonts w:eastAsia="Calibri" w:cs="Arial"/>
      <w:b/>
      <w:color w:val="FF6699"/>
      <w:sz w:val="26"/>
      <w:szCs w:val="2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28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E7428A"/>
    <w:rPr>
      <w:rFonts w:ascii="Times New Roman" w:eastAsiaTheme="majorEastAsia" w:hAnsi="Times New Roman" w:cstheme="majorBidi"/>
      <w:color w:val="2F5496" w:themeColor="accent1" w:themeShade="BF"/>
      <w:sz w:val="28"/>
      <w:szCs w:val="26"/>
      <w:lang w:eastAsia="en-GB"/>
    </w:rPr>
  </w:style>
  <w:style w:type="character" w:customStyle="1" w:styleId="Heading3Char">
    <w:name w:val="Heading 3 Char"/>
    <w:basedOn w:val="DefaultParagraphFont"/>
    <w:link w:val="Heading3"/>
    <w:uiPriority w:val="9"/>
    <w:rsid w:val="00F2374E"/>
    <w:rPr>
      <w:rFonts w:ascii="Times New Roman" w:eastAsia="Calibri" w:hAnsi="Times New Roman" w:cs="Arial"/>
      <w:b/>
      <w:color w:val="FF6699"/>
      <w:sz w:val="26"/>
      <w:szCs w:val="20"/>
      <w:u w:val="single"/>
      <w:lang w:val="en-GB" w:eastAsia="en-GB"/>
    </w:rPr>
  </w:style>
  <w:style w:type="paragraph" w:styleId="ListParagraph">
    <w:name w:val="List Paragraph"/>
    <w:basedOn w:val="Normal"/>
    <w:qFormat/>
    <w:rsid w:val="00141775"/>
    <w:pPr>
      <w:spacing w:after="0"/>
      <w:contextualSpacing/>
    </w:pPr>
    <w:rPr>
      <w:rFonts w:eastAsia="Calibri"/>
    </w:rPr>
  </w:style>
  <w:style w:type="paragraph" w:styleId="NoSpacing">
    <w:name w:val="No Spacing"/>
    <w:uiPriority w:val="1"/>
    <w:qFormat/>
    <w:rsid w:val="001D1D7D"/>
    <w:pPr>
      <w:spacing w:after="0" w:line="360" w:lineRule="auto"/>
      <w:jc w:val="both"/>
    </w:pPr>
    <w:rPr>
      <w:rFonts w:ascii="Times New Roman" w:eastAsia="Arial" w:hAnsi="Times New Roman" w:cs="Arial"/>
      <w:color w:val="000000" w:themeColor="text1"/>
      <w:sz w:val="24"/>
    </w:rPr>
  </w:style>
  <w:style w:type="paragraph" w:styleId="NormalWeb">
    <w:name w:val="Normal (Web)"/>
    <w:basedOn w:val="Normal"/>
    <w:uiPriority w:val="99"/>
    <w:unhideWhenUsed/>
    <w:rsid w:val="00EC2090"/>
    <w:pPr>
      <w:spacing w:before="100" w:beforeAutospacing="1" w:after="100" w:afterAutospacing="1" w:line="240" w:lineRule="auto"/>
      <w:jc w:val="left"/>
    </w:pPr>
    <w:rPr>
      <w:rFonts w:eastAsia="Times New Roman" w:cs="Times New Roman"/>
      <w:szCs w:val="24"/>
      <w:lang w:val="en-US"/>
    </w:rPr>
  </w:style>
  <w:style w:type="paragraph" w:styleId="Footer">
    <w:name w:val="footer"/>
    <w:basedOn w:val="Normal"/>
    <w:link w:val="FooterChar"/>
    <w:uiPriority w:val="99"/>
    <w:unhideWhenUsed/>
    <w:rsid w:val="00EC20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90"/>
    <w:rPr>
      <w:rFonts w:ascii="Times New Roman" w:hAnsi="Times New Roman"/>
      <w:sz w:val="24"/>
      <w:lang w:val="en-GB"/>
    </w:rPr>
  </w:style>
  <w:style w:type="character" w:styleId="Hyperlink">
    <w:name w:val="Hyperlink"/>
    <w:basedOn w:val="DefaultParagraphFont"/>
    <w:uiPriority w:val="99"/>
    <w:unhideWhenUsed/>
    <w:rsid w:val="00F70A67"/>
    <w:rPr>
      <w:color w:val="0000FF"/>
      <w:u w:val="single"/>
    </w:rPr>
  </w:style>
  <w:style w:type="character" w:styleId="Strong">
    <w:name w:val="Strong"/>
    <w:basedOn w:val="DefaultParagraphFont"/>
    <w:uiPriority w:val="22"/>
    <w:qFormat/>
    <w:rsid w:val="00F70A67"/>
    <w:rPr>
      <w:b/>
      <w:bCs/>
    </w:rPr>
  </w:style>
  <w:style w:type="character" w:customStyle="1" w:styleId="UnresolvedMention1">
    <w:name w:val="Unresolved Mention1"/>
    <w:basedOn w:val="DefaultParagraphFont"/>
    <w:uiPriority w:val="99"/>
    <w:semiHidden/>
    <w:unhideWhenUsed/>
    <w:rsid w:val="00644937"/>
    <w:rPr>
      <w:color w:val="605E5C"/>
      <w:shd w:val="clear" w:color="auto" w:fill="E1DFDD"/>
    </w:rPr>
  </w:style>
  <w:style w:type="paragraph" w:styleId="BalloonText">
    <w:name w:val="Balloon Text"/>
    <w:basedOn w:val="Normal"/>
    <w:link w:val="BalloonTextChar"/>
    <w:uiPriority w:val="99"/>
    <w:semiHidden/>
    <w:unhideWhenUsed/>
    <w:rsid w:val="00BD72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27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8080">
      <w:bodyDiv w:val="1"/>
      <w:marLeft w:val="0"/>
      <w:marRight w:val="0"/>
      <w:marTop w:val="0"/>
      <w:marBottom w:val="0"/>
      <w:divBdr>
        <w:top w:val="none" w:sz="0" w:space="0" w:color="auto"/>
        <w:left w:val="none" w:sz="0" w:space="0" w:color="auto"/>
        <w:bottom w:val="none" w:sz="0" w:space="0" w:color="auto"/>
        <w:right w:val="none" w:sz="0" w:space="0" w:color="auto"/>
      </w:divBdr>
    </w:div>
    <w:div w:id="40982007">
      <w:bodyDiv w:val="1"/>
      <w:marLeft w:val="0"/>
      <w:marRight w:val="0"/>
      <w:marTop w:val="0"/>
      <w:marBottom w:val="0"/>
      <w:divBdr>
        <w:top w:val="none" w:sz="0" w:space="0" w:color="auto"/>
        <w:left w:val="none" w:sz="0" w:space="0" w:color="auto"/>
        <w:bottom w:val="none" w:sz="0" w:space="0" w:color="auto"/>
        <w:right w:val="none" w:sz="0" w:space="0" w:color="auto"/>
      </w:divBdr>
    </w:div>
    <w:div w:id="179701786">
      <w:bodyDiv w:val="1"/>
      <w:marLeft w:val="0"/>
      <w:marRight w:val="0"/>
      <w:marTop w:val="0"/>
      <w:marBottom w:val="0"/>
      <w:divBdr>
        <w:top w:val="none" w:sz="0" w:space="0" w:color="auto"/>
        <w:left w:val="none" w:sz="0" w:space="0" w:color="auto"/>
        <w:bottom w:val="none" w:sz="0" w:space="0" w:color="auto"/>
        <w:right w:val="none" w:sz="0" w:space="0" w:color="auto"/>
      </w:divBdr>
      <w:divsChild>
        <w:div w:id="41830519">
          <w:marLeft w:val="0"/>
          <w:marRight w:val="0"/>
          <w:marTop w:val="0"/>
          <w:marBottom w:val="0"/>
          <w:divBdr>
            <w:top w:val="none" w:sz="0" w:space="0" w:color="auto"/>
            <w:left w:val="none" w:sz="0" w:space="0" w:color="auto"/>
            <w:bottom w:val="none" w:sz="0" w:space="0" w:color="auto"/>
            <w:right w:val="none" w:sz="0" w:space="0" w:color="auto"/>
          </w:divBdr>
        </w:div>
      </w:divsChild>
    </w:div>
    <w:div w:id="442388017">
      <w:bodyDiv w:val="1"/>
      <w:marLeft w:val="0"/>
      <w:marRight w:val="0"/>
      <w:marTop w:val="0"/>
      <w:marBottom w:val="0"/>
      <w:divBdr>
        <w:top w:val="none" w:sz="0" w:space="0" w:color="auto"/>
        <w:left w:val="none" w:sz="0" w:space="0" w:color="auto"/>
        <w:bottom w:val="none" w:sz="0" w:space="0" w:color="auto"/>
        <w:right w:val="none" w:sz="0" w:space="0" w:color="auto"/>
      </w:divBdr>
    </w:div>
    <w:div w:id="589461357">
      <w:bodyDiv w:val="1"/>
      <w:marLeft w:val="0"/>
      <w:marRight w:val="0"/>
      <w:marTop w:val="0"/>
      <w:marBottom w:val="0"/>
      <w:divBdr>
        <w:top w:val="none" w:sz="0" w:space="0" w:color="auto"/>
        <w:left w:val="none" w:sz="0" w:space="0" w:color="auto"/>
        <w:bottom w:val="none" w:sz="0" w:space="0" w:color="auto"/>
        <w:right w:val="none" w:sz="0" w:space="0" w:color="auto"/>
      </w:divBdr>
    </w:div>
    <w:div w:id="697700047">
      <w:bodyDiv w:val="1"/>
      <w:marLeft w:val="0"/>
      <w:marRight w:val="0"/>
      <w:marTop w:val="0"/>
      <w:marBottom w:val="0"/>
      <w:divBdr>
        <w:top w:val="none" w:sz="0" w:space="0" w:color="auto"/>
        <w:left w:val="none" w:sz="0" w:space="0" w:color="auto"/>
        <w:bottom w:val="none" w:sz="0" w:space="0" w:color="auto"/>
        <w:right w:val="none" w:sz="0" w:space="0" w:color="auto"/>
      </w:divBdr>
    </w:div>
    <w:div w:id="752317007">
      <w:bodyDiv w:val="1"/>
      <w:marLeft w:val="0"/>
      <w:marRight w:val="0"/>
      <w:marTop w:val="0"/>
      <w:marBottom w:val="0"/>
      <w:divBdr>
        <w:top w:val="none" w:sz="0" w:space="0" w:color="auto"/>
        <w:left w:val="none" w:sz="0" w:space="0" w:color="auto"/>
        <w:bottom w:val="none" w:sz="0" w:space="0" w:color="auto"/>
        <w:right w:val="none" w:sz="0" w:space="0" w:color="auto"/>
      </w:divBdr>
    </w:div>
    <w:div w:id="84463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rm.2165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joop.1202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678868.2012.726542" TargetMode="External"/><Relationship Id="rId5" Type="http://schemas.openxmlformats.org/officeDocument/2006/relationships/footnotes" Target="footnotes.xml"/><Relationship Id="rId10" Type="http://schemas.openxmlformats.org/officeDocument/2006/relationships/hyperlink" Target="https://doi.org/10.21095/ajmr/2015/v8/i2/88210" TargetMode="External"/><Relationship Id="rId4" Type="http://schemas.openxmlformats.org/officeDocument/2006/relationships/webSettings" Target="webSettings.xml"/><Relationship Id="rId9" Type="http://schemas.openxmlformats.org/officeDocument/2006/relationships/hyperlink" Target="https://doi.org/10.1080/00208825.2017.131802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2646</Words>
  <Characters>15085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ali khan</dc:creator>
  <cp:keywords/>
  <dc:description/>
  <cp:lastModifiedBy>Jahangir Ali-Khan (2029152)</cp:lastModifiedBy>
  <cp:revision>2</cp:revision>
  <dcterms:created xsi:type="dcterms:W3CDTF">2022-10-26T17:27:00Z</dcterms:created>
  <dcterms:modified xsi:type="dcterms:W3CDTF">2022-10-26T17:27:00Z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16063dd81be68734e111ddf056f04f8fd6b628ca4a628d303b6f3ddad690d151</vt:lpwstr>
  </property>
</Properties>
</file>