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87BE1" w14:textId="09C55643" w:rsidR="00B91C58" w:rsidRPr="00E417AA" w:rsidRDefault="00E71E04" w:rsidP="00E417AA">
      <w:pPr>
        <w:pStyle w:val="Title"/>
      </w:pPr>
      <w:bookmarkStart w:id="0" w:name="_Hlk76904165"/>
      <w:bookmarkEnd w:id="0"/>
      <w:r w:rsidRPr="00E417AA">
        <w:t>Research Project on Cosmology</w:t>
      </w:r>
      <w:r w:rsidR="00083687">
        <w:t xml:space="preserve"> (5901)</w:t>
      </w:r>
    </w:p>
    <w:p w14:paraId="7C275EB5" w14:textId="77777777" w:rsidR="00FF7379" w:rsidRPr="00FF7379" w:rsidRDefault="00FF7379" w:rsidP="00FF7379">
      <w:pPr>
        <w:spacing w:after="0" w:line="240" w:lineRule="auto"/>
        <w:ind w:firstLine="720"/>
        <w:rPr>
          <w:rFonts w:cs="Calibri"/>
        </w:rPr>
      </w:pPr>
      <w:bookmarkStart w:id="1" w:name="_Hlk61427806"/>
    </w:p>
    <w:bookmarkEnd w:id="1"/>
    <w:p w14:paraId="227531AB" w14:textId="36ACDC2B" w:rsidR="00B91C58" w:rsidRDefault="009509B2" w:rsidP="00B518E8">
      <w:pPr>
        <w:pStyle w:val="Heading1"/>
        <w:rPr>
          <w:color w:val="auto"/>
        </w:rPr>
      </w:pPr>
      <w:r>
        <w:rPr>
          <w:color w:val="auto"/>
        </w:rPr>
        <w:t>Introduction</w:t>
      </w:r>
      <w:r w:rsidR="003F6E1D">
        <w:rPr>
          <w:color w:val="auto"/>
        </w:rPr>
        <w:t xml:space="preserve"> (200 </w:t>
      </w:r>
      <w:r w:rsidR="00A05D90">
        <w:rPr>
          <w:color w:val="auto"/>
        </w:rPr>
        <w:t>now</w:t>
      </w:r>
      <w:r w:rsidR="00297DC0">
        <w:rPr>
          <w:color w:val="auto"/>
        </w:rPr>
        <w:t xml:space="preserve"> </w:t>
      </w:r>
      <w:r w:rsidR="00DA1FCD">
        <w:rPr>
          <w:color w:val="auto"/>
        </w:rPr>
        <w:t>230</w:t>
      </w:r>
      <w:r w:rsidR="003F6E1D">
        <w:rPr>
          <w:color w:val="auto"/>
        </w:rPr>
        <w:t>)</w:t>
      </w:r>
    </w:p>
    <w:p w14:paraId="57CE36E7" w14:textId="0E505E37" w:rsidR="000157E0" w:rsidRDefault="00E5670E" w:rsidP="000157E0">
      <w:pPr>
        <w:spacing w:after="0" w:line="240" w:lineRule="auto"/>
        <w:ind w:firstLine="720"/>
        <w:rPr>
          <w:rFonts w:ascii="Arial" w:hAnsi="Arial"/>
          <w:b/>
          <w:bCs/>
        </w:rPr>
      </w:pPr>
      <w:r>
        <w:rPr>
          <w:rFonts w:cs="Calibri"/>
        </w:rPr>
        <w:t>This case study reports</w:t>
      </w:r>
      <w:r w:rsidR="00C05AB1">
        <w:rPr>
          <w:rFonts w:cs="Calibri"/>
        </w:rPr>
        <w:t xml:space="preserve"> on </w:t>
      </w:r>
      <w:r w:rsidR="00A77555">
        <w:rPr>
          <w:rFonts w:cs="Calibri"/>
        </w:rPr>
        <w:t>the project topic</w:t>
      </w:r>
      <w:r w:rsidR="00FF7379">
        <w:rPr>
          <w:rFonts w:cs="Calibri"/>
        </w:rPr>
        <w:t xml:space="preserve"> ‘</w:t>
      </w:r>
      <w:r w:rsidR="00A77555">
        <w:rPr>
          <w:rFonts w:cs="Calibri"/>
        </w:rPr>
        <w:t>w</w:t>
      </w:r>
      <w:r w:rsidR="00FF7379" w:rsidRPr="00FF7379">
        <w:rPr>
          <w:rFonts w:cs="Calibri"/>
        </w:rPr>
        <w:t>hat are the things and/or practices that represent or embody a cosmology? How are they used? What is their role? (Material objects and rituals or habits)</w:t>
      </w:r>
      <w:r w:rsidR="00FF7379">
        <w:rPr>
          <w:rFonts w:cs="Calibri"/>
        </w:rPr>
        <w:t>’</w:t>
      </w:r>
      <w:r w:rsidR="00EC59C5">
        <w:rPr>
          <w:rFonts w:cs="Calibri"/>
        </w:rPr>
        <w:t xml:space="preserve">. </w:t>
      </w:r>
      <w:r w:rsidR="000157E0">
        <w:rPr>
          <w:rFonts w:cs="Calibri"/>
        </w:rPr>
        <w:t>The study used</w:t>
      </w:r>
      <w:r w:rsidR="00EC59C5">
        <w:rPr>
          <w:rFonts w:cs="Calibri"/>
        </w:rPr>
        <w:t xml:space="preserve"> documented first-hand experiences, </w:t>
      </w:r>
      <w:r w:rsidR="00074A6D">
        <w:rPr>
          <w:rFonts w:cs="Calibri"/>
        </w:rPr>
        <w:t>carr</w:t>
      </w:r>
      <w:r w:rsidR="000157E0">
        <w:rPr>
          <w:rFonts w:cs="Calibri"/>
        </w:rPr>
        <w:t>ied</w:t>
      </w:r>
      <w:r w:rsidR="00074A6D">
        <w:rPr>
          <w:rFonts w:cs="Calibri"/>
        </w:rPr>
        <w:t xml:space="preserve"> out</w:t>
      </w:r>
      <w:r w:rsidR="00EC59C5">
        <w:rPr>
          <w:rFonts w:cs="Calibri"/>
        </w:rPr>
        <w:t xml:space="preserve"> qualitative research using questionnaire, interviews, and </w:t>
      </w:r>
      <w:r w:rsidR="000157E0">
        <w:rPr>
          <w:rFonts w:cs="Calibri"/>
        </w:rPr>
        <w:t>autoethnography methods</w:t>
      </w:r>
      <w:r w:rsidR="00EC59C5">
        <w:rPr>
          <w:rFonts w:cs="Calibri"/>
        </w:rPr>
        <w:t>. The subject of the research is a midsummer phenomenon</w:t>
      </w:r>
      <w:r w:rsidR="000157E0">
        <w:rPr>
          <w:rFonts w:cs="Calibri"/>
        </w:rPr>
        <w:t>, the Leek Double-Sunset,</w:t>
      </w:r>
      <w:r w:rsidR="00EC59C5">
        <w:rPr>
          <w:rFonts w:cs="Calibri"/>
        </w:rPr>
        <w:t xml:space="preserve"> </w:t>
      </w:r>
      <w:r w:rsidR="000157E0">
        <w:rPr>
          <w:rFonts w:cs="Calibri"/>
        </w:rPr>
        <w:t>as</w:t>
      </w:r>
      <w:r w:rsidR="00074A6D">
        <w:rPr>
          <w:rFonts w:cs="Calibri"/>
        </w:rPr>
        <w:t xml:space="preserve"> viewed from St Edward the Confessors’ churchyard in </w:t>
      </w:r>
      <w:r w:rsidR="000157E0">
        <w:rPr>
          <w:rFonts w:cs="Calibri"/>
        </w:rPr>
        <w:t>Leek</w:t>
      </w:r>
      <w:r w:rsidR="00237FA3">
        <w:rPr>
          <w:rFonts w:cs="Calibri"/>
        </w:rPr>
        <w:t xml:space="preserve"> </w:t>
      </w:r>
      <w:r w:rsidR="00DA1FCD">
        <w:rPr>
          <w:rFonts w:cs="Calibri"/>
        </w:rPr>
        <w:t>located near the Peak National Park in</w:t>
      </w:r>
      <w:r w:rsidR="00237FA3">
        <w:rPr>
          <w:rFonts w:cs="Calibri"/>
        </w:rPr>
        <w:t xml:space="preserve"> the Staffordshire Moorlands</w:t>
      </w:r>
      <w:r w:rsidR="000157E0">
        <w:rPr>
          <w:rFonts w:cs="Calibri"/>
        </w:rPr>
        <w:t xml:space="preserve"> of England. </w:t>
      </w:r>
      <w:r w:rsidR="00074A6D">
        <w:rPr>
          <w:rFonts w:cs="Calibri"/>
        </w:rPr>
        <w:t xml:space="preserve">The phenomenon is created during the solstice, and a few days either side, by the shape of </w:t>
      </w:r>
      <w:r w:rsidR="00074A6D" w:rsidRPr="00074A6D">
        <w:rPr>
          <w:rFonts w:cs="Calibri"/>
          <w:i/>
          <w:iCs/>
        </w:rPr>
        <w:t>Cloud</w:t>
      </w:r>
      <w:r w:rsidR="00074A6D" w:rsidRPr="00074A6D">
        <w:rPr>
          <w:rFonts w:cs="Calibri"/>
        </w:rPr>
        <w:t>,</w:t>
      </w:r>
      <w:r w:rsidR="00074A6D">
        <w:rPr>
          <w:rFonts w:cs="Calibri"/>
          <w:i/>
          <w:iCs/>
        </w:rPr>
        <w:t xml:space="preserve"> </w:t>
      </w:r>
      <w:r w:rsidR="00074A6D">
        <w:rPr>
          <w:rFonts w:cs="Calibri"/>
        </w:rPr>
        <w:t>a hill six miles away. The themes explored in this essay</w:t>
      </w:r>
      <w:r w:rsidR="00874262">
        <w:rPr>
          <w:rFonts w:cs="Calibri"/>
        </w:rPr>
        <w:t xml:space="preserve"> ask</w:t>
      </w:r>
      <w:r w:rsidR="00074A6D">
        <w:rPr>
          <w:rFonts w:cs="Calibri"/>
        </w:rPr>
        <w:t xml:space="preserve"> whether the landscape</w:t>
      </w:r>
      <w:r w:rsidR="00874262">
        <w:rPr>
          <w:rFonts w:cs="Calibri"/>
        </w:rPr>
        <w:t xml:space="preserve">s and </w:t>
      </w:r>
      <w:r w:rsidR="00074A6D">
        <w:rPr>
          <w:rFonts w:cs="Calibri"/>
        </w:rPr>
        <w:t>weather</w:t>
      </w:r>
      <w:r w:rsidR="000157E0">
        <w:rPr>
          <w:rFonts w:cs="Calibri"/>
        </w:rPr>
        <w:t>, a ‘weather-world’</w:t>
      </w:r>
      <w:r w:rsidR="000157E0">
        <w:rPr>
          <w:rStyle w:val="FootnoteReference"/>
          <w:rFonts w:cs="Calibri"/>
        </w:rPr>
        <w:footnoteReference w:id="1"/>
      </w:r>
      <w:r w:rsidR="00074A6D">
        <w:rPr>
          <w:rFonts w:cs="Calibri"/>
        </w:rPr>
        <w:t xml:space="preserve"> are </w:t>
      </w:r>
      <w:r w:rsidR="00874262">
        <w:rPr>
          <w:rFonts w:cs="Calibri"/>
        </w:rPr>
        <w:t xml:space="preserve">‘material </w:t>
      </w:r>
      <w:r w:rsidR="00074A6D">
        <w:rPr>
          <w:rFonts w:cs="Calibri"/>
        </w:rPr>
        <w:t>objects</w:t>
      </w:r>
      <w:r w:rsidR="00874262">
        <w:rPr>
          <w:rFonts w:cs="Calibri"/>
        </w:rPr>
        <w:t xml:space="preserve">’ in a </w:t>
      </w:r>
      <w:r w:rsidR="000157E0">
        <w:rPr>
          <w:rFonts w:cs="Calibri"/>
        </w:rPr>
        <w:t xml:space="preserve">sense of </w:t>
      </w:r>
      <w:r w:rsidR="00874262">
        <w:rPr>
          <w:rFonts w:cs="Calibri"/>
        </w:rPr>
        <w:t>vernacular religion and what quality the rituals performed during the solstice have that can provide evidence of cosmology</w:t>
      </w:r>
      <w:r w:rsidR="000157E0">
        <w:rPr>
          <w:rFonts w:cs="Calibri"/>
        </w:rPr>
        <w:t xml:space="preserve"> or </w:t>
      </w:r>
      <w:r w:rsidR="00874262">
        <w:rPr>
          <w:rFonts w:cs="Calibri"/>
        </w:rPr>
        <w:t>‘folk ideas</w:t>
      </w:r>
      <w:r w:rsidR="000157E0">
        <w:rPr>
          <w:rFonts w:cs="Calibri"/>
        </w:rPr>
        <w:t>’</w:t>
      </w:r>
      <w:r w:rsidR="00DA1FCD">
        <w:rPr>
          <w:rFonts w:cs="Calibri"/>
        </w:rPr>
        <w:t xml:space="preserve"> </w:t>
      </w:r>
      <w:r w:rsidR="00DA1FCD" w:rsidRPr="00DA1FCD">
        <w:rPr>
          <w:rFonts w:cs="Calibri"/>
          <w:highlight w:val="yellow"/>
        </w:rPr>
        <w:t>defined by Dundes as traditional notions that a group of people have about the nature of man, of the world, and of man's life in the world’</w:t>
      </w:r>
      <w:r w:rsidR="00874262" w:rsidRPr="00DA1FCD">
        <w:rPr>
          <w:rFonts w:asciiTheme="minorBidi" w:hAnsiTheme="minorBidi" w:cstheme="minorBidi"/>
          <w:sz w:val="20"/>
          <w:szCs w:val="20"/>
          <w:highlight w:val="yellow"/>
          <w:vertAlign w:val="superscript"/>
        </w:rPr>
        <w:footnoteReference w:id="2"/>
      </w:r>
      <w:r w:rsidR="00874262" w:rsidRPr="00DA1FCD">
        <w:rPr>
          <w:rFonts w:cs="Calibri"/>
          <w:sz w:val="20"/>
          <w:szCs w:val="20"/>
          <w:highlight w:val="yellow"/>
        </w:rPr>
        <w:t>.</w:t>
      </w:r>
    </w:p>
    <w:p w14:paraId="3376BF62" w14:textId="0C22B021" w:rsidR="002371ED" w:rsidRPr="00027B00" w:rsidRDefault="002371ED" w:rsidP="000157E0">
      <w:pPr>
        <w:spacing w:after="0" w:line="240" w:lineRule="auto"/>
        <w:ind w:firstLine="720"/>
        <w:rPr>
          <w:rFonts w:cs="Calibri"/>
        </w:rPr>
      </w:pPr>
      <w:r>
        <w:rPr>
          <w:rFonts w:ascii="Arial" w:hAnsi="Arial"/>
          <w:b/>
          <w:bCs/>
        </w:rPr>
        <w:br w:type="page"/>
      </w:r>
    </w:p>
    <w:p w14:paraId="4E4134D6" w14:textId="54B81CA1" w:rsidR="00B91C58" w:rsidRDefault="009509B2">
      <w:pPr>
        <w:pStyle w:val="Heading1"/>
        <w:rPr>
          <w:color w:val="auto"/>
        </w:rPr>
      </w:pPr>
      <w:r>
        <w:rPr>
          <w:color w:val="auto"/>
        </w:rPr>
        <w:lastRenderedPageBreak/>
        <w:t>Literature Review</w:t>
      </w:r>
      <w:r w:rsidR="003F6E1D">
        <w:rPr>
          <w:color w:val="auto"/>
        </w:rPr>
        <w:t xml:space="preserve"> (900 </w:t>
      </w:r>
      <w:r w:rsidR="00A05D90">
        <w:rPr>
          <w:color w:val="auto"/>
        </w:rPr>
        <w:t xml:space="preserve">now </w:t>
      </w:r>
      <w:r w:rsidR="00CD7F94">
        <w:rPr>
          <w:color w:val="auto"/>
        </w:rPr>
        <w:t>1</w:t>
      </w:r>
      <w:r w:rsidR="00C73B96">
        <w:rPr>
          <w:color w:val="auto"/>
        </w:rPr>
        <w:t>798</w:t>
      </w:r>
      <w:r w:rsidR="003F6E1D">
        <w:rPr>
          <w:color w:val="auto"/>
        </w:rPr>
        <w:t>)</w:t>
      </w:r>
    </w:p>
    <w:p w14:paraId="45998A73" w14:textId="3080763C" w:rsidR="006D3AEF" w:rsidRDefault="006D3AEF"/>
    <w:p w14:paraId="78304E32" w14:textId="1B1C8837" w:rsidR="00211303" w:rsidRDefault="000F5793" w:rsidP="0057706A">
      <w:pPr>
        <w:pStyle w:val="Heading2"/>
      </w:pPr>
      <w:r>
        <w:t>Ritual</w:t>
      </w:r>
      <w:r w:rsidR="00B52841">
        <w:t>s</w:t>
      </w:r>
      <w:r w:rsidR="00B219D7">
        <w:t>: midsummer solstice celebrations</w:t>
      </w:r>
      <w:r w:rsidR="002018B9">
        <w:t xml:space="preserve"> and</w:t>
      </w:r>
      <w:r w:rsidR="00847837">
        <w:t xml:space="preserve"> pilgrimage</w:t>
      </w:r>
    </w:p>
    <w:p w14:paraId="1AA716BA" w14:textId="717E1B39" w:rsidR="00AB4328" w:rsidRPr="00446139" w:rsidRDefault="001B0576" w:rsidP="000B4F29">
      <w:pPr>
        <w:spacing w:after="0" w:line="240" w:lineRule="auto"/>
        <w:ind w:firstLine="720"/>
      </w:pPr>
      <w:r>
        <w:t>Studying</w:t>
      </w:r>
      <w:r w:rsidR="00284E8B">
        <w:t xml:space="preserve"> </w:t>
      </w:r>
      <w:r w:rsidR="0068533F">
        <w:t xml:space="preserve">the </w:t>
      </w:r>
      <w:r w:rsidR="000265B4">
        <w:t xml:space="preserve">ritual and festive </w:t>
      </w:r>
      <w:r w:rsidR="00284E8B">
        <w:t>traditions of England</w:t>
      </w:r>
      <w:r w:rsidR="000265B4">
        <w:t>’s early settlers</w:t>
      </w:r>
      <w:r w:rsidR="003A2202">
        <w:t>,</w:t>
      </w:r>
      <w:r w:rsidR="0068533F">
        <w:t xml:space="preserve"> </w:t>
      </w:r>
      <w:r w:rsidR="0083344C">
        <w:t xml:space="preserve">Billington sought to understand  </w:t>
      </w:r>
      <w:r w:rsidR="0083344C" w:rsidRPr="0083344C">
        <w:rPr>
          <w:rFonts w:cs="Calibri"/>
        </w:rPr>
        <w:t>‘why it could be that ancient sun-worshipping communities in north-western Europe did not commemorate the summer solstice.’</w:t>
      </w:r>
      <w:r w:rsidR="0083344C" w:rsidRPr="0083344C">
        <w:rPr>
          <w:rStyle w:val="FootnoteReference"/>
        </w:rPr>
        <w:footnoteReference w:id="3"/>
      </w:r>
      <w:r w:rsidR="0083344C" w:rsidRPr="0083344C">
        <w:rPr>
          <w:rStyle w:val="FootnoteReference"/>
        </w:rPr>
        <w:t xml:space="preserve"> </w:t>
      </w:r>
      <w:r>
        <w:t xml:space="preserve"> </w:t>
      </w:r>
      <w:r w:rsidR="003A2202">
        <w:t>S</w:t>
      </w:r>
      <w:r w:rsidR="00000AC9">
        <w:rPr>
          <w:rFonts w:cs="Calibri"/>
        </w:rPr>
        <w:t xml:space="preserve">he argues that </w:t>
      </w:r>
      <w:r w:rsidR="0068533F">
        <w:rPr>
          <w:rFonts w:cs="Calibri"/>
        </w:rPr>
        <w:t>practices interpreted</w:t>
      </w:r>
      <w:r w:rsidR="003A2202">
        <w:rPr>
          <w:rFonts w:cs="Calibri"/>
        </w:rPr>
        <w:t xml:space="preserve"> by scholars, J.G. Frazer</w:t>
      </w:r>
      <w:r w:rsidR="008556E0">
        <w:rPr>
          <w:rFonts w:cs="Calibri"/>
        </w:rPr>
        <w:t xml:space="preserve"> in particular</w:t>
      </w:r>
      <w:r w:rsidR="003A2202">
        <w:rPr>
          <w:rFonts w:cs="Calibri"/>
        </w:rPr>
        <w:t>,</w:t>
      </w:r>
      <w:r w:rsidR="0068533F">
        <w:rPr>
          <w:rFonts w:cs="Calibri"/>
        </w:rPr>
        <w:t xml:space="preserve"> as </w:t>
      </w:r>
      <w:r w:rsidR="00CD7F94">
        <w:rPr>
          <w:rFonts w:cs="Calibri"/>
        </w:rPr>
        <w:t>‘</w:t>
      </w:r>
      <w:r w:rsidR="0068533F">
        <w:rPr>
          <w:rFonts w:cs="Calibri"/>
        </w:rPr>
        <w:t>sacred</w:t>
      </w:r>
      <w:r w:rsidR="002B3DE4">
        <w:rPr>
          <w:rFonts w:cs="Calibri"/>
        </w:rPr>
        <w:t>’</w:t>
      </w:r>
      <w:r w:rsidR="0068533F">
        <w:rPr>
          <w:rFonts w:cs="Calibri"/>
        </w:rPr>
        <w:t xml:space="preserve"> midsummer fire rituals ‘</w:t>
      </w:r>
      <w:r w:rsidR="00000AC9">
        <w:rPr>
          <w:rFonts w:cs="Calibri"/>
        </w:rPr>
        <w:t>were</w:t>
      </w:r>
      <w:r w:rsidR="0068533F">
        <w:rPr>
          <w:rFonts w:cs="Calibri"/>
        </w:rPr>
        <w:t>,</w:t>
      </w:r>
      <w:r w:rsidR="00000AC9">
        <w:rPr>
          <w:rFonts w:cs="Calibri"/>
        </w:rPr>
        <w:t xml:space="preserve"> </w:t>
      </w:r>
      <w:r w:rsidR="0068533F">
        <w:rPr>
          <w:rFonts w:cs="Calibri"/>
        </w:rPr>
        <w:t xml:space="preserve">in fact, </w:t>
      </w:r>
      <w:r w:rsidR="00000AC9">
        <w:rPr>
          <w:rFonts w:cs="Calibri"/>
        </w:rPr>
        <w:t>iconoclastic games</w:t>
      </w:r>
      <w:r w:rsidR="0068533F">
        <w:rPr>
          <w:rFonts w:cs="Calibri"/>
        </w:rPr>
        <w:t>’</w:t>
      </w:r>
      <w:r w:rsidR="00A36786">
        <w:rPr>
          <w:rFonts w:cs="Calibri"/>
        </w:rPr>
        <w:t xml:space="preserve"> and recommends disentangling ‘sun-worship from the summer solstice’</w:t>
      </w:r>
      <w:r w:rsidR="003A2202">
        <w:rPr>
          <w:rFonts w:cs="Calibri"/>
        </w:rPr>
        <w:t xml:space="preserve">. </w:t>
      </w:r>
      <w:r w:rsidR="00A36786">
        <w:rPr>
          <w:rStyle w:val="FootnoteReference"/>
          <w:rFonts w:cs="Calibri"/>
        </w:rPr>
        <w:footnoteReference w:id="4"/>
      </w:r>
      <w:r w:rsidR="00CD7F94">
        <w:rPr>
          <w:rFonts w:cs="Calibri"/>
        </w:rPr>
        <w:t xml:space="preserve"> </w:t>
      </w:r>
      <w:r w:rsidR="0042180B">
        <w:t>Wallis and Blain, refe</w:t>
      </w:r>
      <w:r w:rsidR="00CD7F94">
        <w:t>r</w:t>
      </w:r>
      <w:r w:rsidR="0042180B">
        <w:t>r</w:t>
      </w:r>
      <w:r w:rsidR="00CD7F94">
        <w:t>ing</w:t>
      </w:r>
      <w:r w:rsidR="0042180B">
        <w:t xml:space="preserve"> to </w:t>
      </w:r>
      <w:r w:rsidR="000265B4">
        <w:t xml:space="preserve">modern </w:t>
      </w:r>
      <w:r w:rsidR="0042180B">
        <w:t>pagan use of ‘sacred’ sites</w:t>
      </w:r>
      <w:r w:rsidR="003A2202">
        <w:t xml:space="preserve"> such as Stonehenge, described by some as ‘partying’</w:t>
      </w:r>
      <w:r w:rsidR="00CD7F94">
        <w:t>,</w:t>
      </w:r>
      <w:r w:rsidR="0042180B">
        <w:t xml:space="preserve"> </w:t>
      </w:r>
      <w:r w:rsidR="003A2202">
        <w:t xml:space="preserve">tell us </w:t>
      </w:r>
      <w:r w:rsidR="00D7775A">
        <w:t>that</w:t>
      </w:r>
      <w:r w:rsidR="003A2202">
        <w:t xml:space="preserve"> our quiet and sombre</w:t>
      </w:r>
      <w:r w:rsidR="0042180B">
        <w:t xml:space="preserve"> cathedrals</w:t>
      </w:r>
      <w:r w:rsidR="003A2202">
        <w:t xml:space="preserve"> were, in </w:t>
      </w:r>
      <w:r w:rsidR="0042180B">
        <w:t>pre-Reformation</w:t>
      </w:r>
      <w:r w:rsidR="002B3DE4">
        <w:t xml:space="preserve"> England</w:t>
      </w:r>
      <w:r w:rsidR="0042180B">
        <w:t xml:space="preserve">, </w:t>
      </w:r>
      <w:r w:rsidR="003A2202">
        <w:t>the scenes of</w:t>
      </w:r>
      <w:r w:rsidR="0042180B">
        <w:t xml:space="preserve"> ‘commotion of the market-place’ and other secular </w:t>
      </w:r>
      <w:r w:rsidR="003A2202">
        <w:t>goings on</w:t>
      </w:r>
      <w:r w:rsidR="0042180B">
        <w:t>.</w:t>
      </w:r>
      <w:r w:rsidR="0042180B">
        <w:rPr>
          <w:rStyle w:val="FootnoteReference"/>
        </w:rPr>
        <w:footnoteReference w:id="5"/>
      </w:r>
      <w:r w:rsidR="0042180B">
        <w:t xml:space="preserve"> </w:t>
      </w:r>
      <w:r w:rsidR="00CD7F94">
        <w:t xml:space="preserve"> </w:t>
      </w:r>
      <w:r w:rsidR="00D7775A">
        <w:rPr>
          <w:rFonts w:cs="Calibri"/>
        </w:rPr>
        <w:t xml:space="preserve">Hutton </w:t>
      </w:r>
      <w:r w:rsidR="002E1E1F">
        <w:rPr>
          <w:rFonts w:cs="Calibri"/>
        </w:rPr>
        <w:t xml:space="preserve">notes </w:t>
      </w:r>
      <w:r w:rsidR="00CD7F94">
        <w:rPr>
          <w:rFonts w:cs="Calibri"/>
        </w:rPr>
        <w:t>that although in some areas of England in the 18</w:t>
      </w:r>
      <w:r w:rsidR="00CD7F94" w:rsidRPr="00CD7F94">
        <w:rPr>
          <w:rFonts w:cs="Calibri"/>
          <w:vertAlign w:val="superscript"/>
        </w:rPr>
        <w:t>th</w:t>
      </w:r>
      <w:r w:rsidR="00CD7F94">
        <w:rPr>
          <w:rFonts w:cs="Calibri"/>
        </w:rPr>
        <w:t xml:space="preserve"> century </w:t>
      </w:r>
      <w:r w:rsidR="00D7775A" w:rsidRPr="00282C23">
        <w:rPr>
          <w:rFonts w:cs="Calibri"/>
        </w:rPr>
        <w:t xml:space="preserve">the </w:t>
      </w:r>
      <w:r w:rsidR="00D7775A">
        <w:rPr>
          <w:rFonts w:cs="Calibri"/>
        </w:rPr>
        <w:t xml:space="preserve">tradition of midsummer </w:t>
      </w:r>
      <w:r w:rsidR="00D7775A" w:rsidRPr="00282C23">
        <w:rPr>
          <w:rFonts w:cs="Calibri"/>
        </w:rPr>
        <w:t xml:space="preserve">bonfires in England </w:t>
      </w:r>
      <w:r w:rsidR="00D7775A">
        <w:rPr>
          <w:rFonts w:cs="Calibri"/>
        </w:rPr>
        <w:t>that</w:t>
      </w:r>
      <w:r w:rsidR="00D7775A" w:rsidRPr="0083344C">
        <w:rPr>
          <w:rFonts w:cs="Calibri"/>
        </w:rPr>
        <w:t xml:space="preserve"> ‘</w:t>
      </w:r>
      <w:r w:rsidR="002E1E1F">
        <w:rPr>
          <w:rFonts w:cs="Calibri"/>
        </w:rPr>
        <w:t>…</w:t>
      </w:r>
      <w:r w:rsidR="00D7775A" w:rsidRPr="0083344C">
        <w:rPr>
          <w:rFonts w:cs="Calibri"/>
        </w:rPr>
        <w:t>still flourished</w:t>
      </w:r>
      <w:r w:rsidR="00D7775A">
        <w:rPr>
          <w:rFonts w:cs="Calibri"/>
        </w:rPr>
        <w:t>’</w:t>
      </w:r>
      <w:r w:rsidR="00CD7F94">
        <w:rPr>
          <w:rFonts w:cs="Calibri"/>
        </w:rPr>
        <w:t>…</w:t>
      </w:r>
      <w:r w:rsidR="00D7775A">
        <w:rPr>
          <w:rFonts w:cs="Calibri"/>
        </w:rPr>
        <w:t>‘i</w:t>
      </w:r>
      <w:r w:rsidR="00D7775A" w:rsidRPr="0083344C">
        <w:rPr>
          <w:rFonts w:cs="Calibri"/>
        </w:rPr>
        <w:t>t is a pattern which no longer bears any resemblance to religious beliefs</w:t>
      </w:r>
      <w:r w:rsidR="00D7775A">
        <w:rPr>
          <w:rFonts w:cs="Calibri"/>
        </w:rPr>
        <w:t>’.</w:t>
      </w:r>
      <w:r w:rsidR="00D7775A" w:rsidRPr="0083344C">
        <w:rPr>
          <w:rStyle w:val="FootnoteReference"/>
        </w:rPr>
        <w:footnoteReference w:id="6"/>
      </w:r>
      <w:r w:rsidR="00D7775A">
        <w:rPr>
          <w:rFonts w:cs="Calibri"/>
        </w:rPr>
        <w:t xml:space="preserve"> </w:t>
      </w:r>
      <w:r w:rsidR="002B3DE4">
        <w:rPr>
          <w:rFonts w:cs="Calibri"/>
        </w:rPr>
        <w:t xml:space="preserve"> Ingram writes about </w:t>
      </w:r>
      <w:r w:rsidR="008556E0" w:rsidRPr="002B3DE4">
        <w:rPr>
          <w:rFonts w:cs="Calibri"/>
          <w:i/>
          <w:iCs/>
        </w:rPr>
        <w:t>charivaris</w:t>
      </w:r>
      <w:r w:rsidR="008556E0">
        <w:rPr>
          <w:rFonts w:cs="Calibri"/>
        </w:rPr>
        <w:t xml:space="preserve">, </w:t>
      </w:r>
      <w:r w:rsidR="00BF0FF0">
        <w:rPr>
          <w:rFonts w:cs="Calibri"/>
        </w:rPr>
        <w:t xml:space="preserve">festivities held in Early Modern England at midsummer </w:t>
      </w:r>
      <w:r w:rsidR="002B3DE4">
        <w:rPr>
          <w:rFonts w:cs="Calibri"/>
        </w:rPr>
        <w:t xml:space="preserve">where </w:t>
      </w:r>
      <w:r w:rsidR="00AF4A71" w:rsidRPr="005A5EAE">
        <w:t>‘central to the symbolism</w:t>
      </w:r>
      <w:r w:rsidR="00BF0FF0">
        <w:t>…</w:t>
      </w:r>
      <w:r w:rsidR="00AF4A71" w:rsidRPr="005A5EAE">
        <w:t>were notions of hierarchy, inversion, reversal, rule and misrule, order and disorder - the world turned upside-down</w:t>
      </w:r>
      <w:r w:rsidR="00CD7F94">
        <w:t>’…</w:t>
      </w:r>
      <w:r w:rsidR="002E1E1F">
        <w:t>‘</w:t>
      </w:r>
      <w:r w:rsidR="008961E8" w:rsidRPr="005A5EAE">
        <w:t>drawn from the wider repertory of festive practices</w:t>
      </w:r>
      <w:r w:rsidR="00BF0FF0">
        <w:t>…</w:t>
      </w:r>
      <w:r w:rsidR="002E1E1F">
        <w:t xml:space="preserve">’ whose </w:t>
      </w:r>
      <w:r w:rsidR="008961E8" w:rsidRPr="005A5EAE">
        <w:t xml:space="preserve">participants </w:t>
      </w:r>
      <w:r w:rsidR="002E1E1F">
        <w:t>‘</w:t>
      </w:r>
      <w:r w:rsidR="00BF0FF0">
        <w:t>…</w:t>
      </w:r>
      <w:r w:rsidR="008961E8" w:rsidRPr="005A5EAE">
        <w:t>commonly described them as "games" or "sports", undertaken "in merriment".</w:t>
      </w:r>
      <w:r w:rsidR="00CD7F94">
        <w:t>’</w:t>
      </w:r>
      <w:r w:rsidR="00AF4A71" w:rsidRPr="005A5EAE">
        <w:rPr>
          <w:rStyle w:val="FootnoteReference"/>
        </w:rPr>
        <w:footnoteReference w:id="7"/>
      </w:r>
      <w:r w:rsidR="005A5EAE">
        <w:t xml:space="preserve"> </w:t>
      </w:r>
      <w:r w:rsidR="00BF0FF0">
        <w:t xml:space="preserve"> </w:t>
      </w:r>
      <w:r w:rsidR="00445AA4">
        <w:t xml:space="preserve">Turner’s </w:t>
      </w:r>
      <w:r w:rsidR="00E13F16">
        <w:t xml:space="preserve">theory </w:t>
      </w:r>
      <w:r w:rsidR="00864170">
        <w:t xml:space="preserve">of pilgrimage </w:t>
      </w:r>
      <w:r w:rsidR="00CD7F94">
        <w:t xml:space="preserve">is that they </w:t>
      </w:r>
      <w:r w:rsidR="000B4F29">
        <w:t>have a quality of</w:t>
      </w:r>
      <w:r w:rsidR="00864170">
        <w:t xml:space="preserve"> ‘</w:t>
      </w:r>
      <w:r w:rsidR="00847837" w:rsidRPr="00847837">
        <w:t>a spontaneously generated relationship between levelled and equal total and individuated human beings, stripped of structural attributes</w:t>
      </w:r>
      <w:r w:rsidR="000B4F29">
        <w:t>..</w:t>
      </w:r>
      <w:r w:rsidR="00847837" w:rsidRPr="00847837">
        <w:t>.’</w:t>
      </w:r>
      <w:r w:rsidR="00847837">
        <w:t xml:space="preserve"> </w:t>
      </w:r>
      <w:r w:rsidR="00847837">
        <w:rPr>
          <w:rStyle w:val="FootnoteReference"/>
        </w:rPr>
        <w:footnoteReference w:id="8"/>
      </w:r>
      <w:r w:rsidR="00A84B59">
        <w:t xml:space="preserve"> </w:t>
      </w:r>
      <w:r w:rsidR="00CA3EE6">
        <w:t>Juschka</w:t>
      </w:r>
      <w:r w:rsidR="00A84B59">
        <w:t xml:space="preserve"> </w:t>
      </w:r>
      <w:r w:rsidR="002018B9">
        <w:t xml:space="preserve">challenges </w:t>
      </w:r>
      <w:r w:rsidR="000B4F29">
        <w:t>this</w:t>
      </w:r>
      <w:r w:rsidR="00FD7469">
        <w:t xml:space="preserve"> theory of </w:t>
      </w:r>
      <w:r w:rsidR="00FD7469" w:rsidRPr="00FD7469">
        <w:rPr>
          <w:i/>
          <w:iCs/>
        </w:rPr>
        <w:t>communitas</w:t>
      </w:r>
      <w:r w:rsidR="002018B9" w:rsidRPr="00FD7469">
        <w:t xml:space="preserve"> </w:t>
      </w:r>
      <w:r w:rsidR="00FD7469">
        <w:t>saying</w:t>
      </w:r>
      <w:r w:rsidR="002E1E1F">
        <w:t xml:space="preserve"> it ‘implies</w:t>
      </w:r>
      <w:r w:rsidR="00CA3EE6" w:rsidRPr="00446139">
        <w:t xml:space="preserve"> that underneath the social self is an essential human self that is unfettered by history, gender, race, or class</w:t>
      </w:r>
      <w:r w:rsidR="008556E0">
        <w:t>…</w:t>
      </w:r>
      <w:r w:rsidR="00CA3EE6" w:rsidRPr="00446139">
        <w:t>’</w:t>
      </w:r>
      <w:r w:rsidR="00A84B59" w:rsidRPr="00446139">
        <w:rPr>
          <w:rStyle w:val="FootnoteReference"/>
        </w:rPr>
        <w:t xml:space="preserve"> </w:t>
      </w:r>
      <w:r w:rsidR="00A84B59" w:rsidRPr="00446139">
        <w:rPr>
          <w:rStyle w:val="FootnoteReference"/>
        </w:rPr>
        <w:footnoteReference w:id="9"/>
      </w:r>
      <w:r w:rsidR="00A84B59" w:rsidRPr="00446139">
        <w:t xml:space="preserve"> </w:t>
      </w:r>
      <w:r w:rsidR="00CA3EE6" w:rsidRPr="00446139">
        <w:t xml:space="preserve"> </w:t>
      </w:r>
      <w:r w:rsidR="008556E0">
        <w:t xml:space="preserve">but that </w:t>
      </w:r>
      <w:r w:rsidR="00B91DAB" w:rsidRPr="00446139">
        <w:t>‘</w:t>
      </w:r>
      <w:r w:rsidR="00577038" w:rsidRPr="00446139">
        <w:t xml:space="preserve">the pilgrimage itself is a distilled version of society and consequently social relations are maintained and frequently underscored. </w:t>
      </w:r>
      <w:r w:rsidR="000B4F29">
        <w:t>…</w:t>
      </w:r>
      <w:r w:rsidR="00577038" w:rsidRPr="00446139">
        <w:t xml:space="preserve"> Pilgrimage is a shared experience that may or</w:t>
      </w:r>
      <w:r w:rsidR="00B91DAB" w:rsidRPr="00446139">
        <w:t xml:space="preserve"> may not evoke a sense of camaraderie, but camaraderie and communitas are markedly different concepts.’</w:t>
      </w:r>
      <w:r w:rsidR="00577038" w:rsidRPr="00446139">
        <w:rPr>
          <w:rStyle w:val="FootnoteReference"/>
        </w:rPr>
        <w:footnoteReference w:id="10"/>
      </w:r>
    </w:p>
    <w:p w14:paraId="45151DB4" w14:textId="388F07E0" w:rsidR="00A05D90" w:rsidRDefault="00A05D90">
      <w:pPr>
        <w:suppressAutoHyphens w:val="0"/>
      </w:pPr>
    </w:p>
    <w:p w14:paraId="4B289F34" w14:textId="474E1F88" w:rsidR="00211303" w:rsidRDefault="001539B7" w:rsidP="00211303">
      <w:pPr>
        <w:pStyle w:val="Heading2"/>
      </w:pPr>
      <w:r>
        <w:t>Material</w:t>
      </w:r>
      <w:r w:rsidR="00B52841">
        <w:t>s</w:t>
      </w:r>
      <w:r>
        <w:t>: landscape</w:t>
      </w:r>
      <w:r w:rsidR="002018B9">
        <w:t>s</w:t>
      </w:r>
      <w:r>
        <w:t xml:space="preserve">, monuments, </w:t>
      </w:r>
      <w:r w:rsidR="002018B9">
        <w:t xml:space="preserve">and </w:t>
      </w:r>
      <w:r>
        <w:t>weather</w:t>
      </w:r>
      <w:r w:rsidR="00E13F16">
        <w:t xml:space="preserve"> as objects of </w:t>
      </w:r>
      <w:r w:rsidR="002018B9">
        <w:t>v</w:t>
      </w:r>
      <w:r w:rsidR="00E13F16">
        <w:t>ernacular religion</w:t>
      </w:r>
    </w:p>
    <w:p w14:paraId="16138239" w14:textId="13E1A0F0" w:rsidR="0083518C" w:rsidRDefault="00E26FD1" w:rsidP="00CD7F94">
      <w:pPr>
        <w:spacing w:after="0" w:line="240" w:lineRule="auto"/>
        <w:ind w:firstLine="720"/>
      </w:pPr>
      <w:r w:rsidRPr="00E13F16">
        <w:t xml:space="preserve">Whitehead posits that </w:t>
      </w:r>
      <w:r>
        <w:t xml:space="preserve">‘material religion can refer to a burial mound, a sacred spring, a talisman, amulet, or objects used in ceremony. It is the act of making pilgrimage, of eating, and meditating. In essence, the term 'material religion' refers to any </w:t>
      </w:r>
      <w:r w:rsidRPr="0083518C">
        <w:rPr>
          <w:i/>
          <w:iCs/>
        </w:rPr>
        <w:t xml:space="preserve">thing </w:t>
      </w:r>
      <w:r>
        <w:t>used, created, done, and/ or related to within a multitude of religious expressive forms, and the list is practically endless.’</w:t>
      </w:r>
      <w:r w:rsidRPr="002423B7">
        <w:rPr>
          <w:rStyle w:val="FootnoteReference"/>
        </w:rPr>
        <w:footnoteReference w:id="11"/>
      </w:r>
      <w:r w:rsidRPr="002423B7">
        <w:t xml:space="preserve"> </w:t>
      </w:r>
      <w:r>
        <w:t xml:space="preserve"> </w:t>
      </w:r>
      <w:r>
        <w:lastRenderedPageBreak/>
        <w:t>When discussing ‘materiality’ she goes on to say ‘objects in vernacular, non-mainstream religious contexts … are active and subjective participants in performances, rituals, and shrine and temple settings.’</w:t>
      </w:r>
      <w:r w:rsidRPr="00E13F16">
        <w:rPr>
          <w:rStyle w:val="FootnoteReference"/>
        </w:rPr>
        <w:t xml:space="preserve"> </w:t>
      </w:r>
      <w:r>
        <w:rPr>
          <w:rStyle w:val="FootnoteReference"/>
        </w:rPr>
        <w:footnoteReference w:id="12"/>
      </w:r>
      <w:r>
        <w:t xml:space="preserve"> </w:t>
      </w:r>
      <w:r w:rsidR="00A265BC">
        <w:t xml:space="preserve">Tilley claims that </w:t>
      </w:r>
      <w:r w:rsidR="00A265BC" w:rsidRPr="00DC053A">
        <w:t>‘</w:t>
      </w:r>
      <w:r w:rsidR="00A265BC">
        <w:t>l</w:t>
      </w:r>
      <w:r w:rsidR="00A265BC" w:rsidRPr="00DC053A">
        <w:t>earning about the landscape was part and parcel of the process of understanding oneself, the social world and the entire cosmos’</w:t>
      </w:r>
      <w:r w:rsidR="00A265BC">
        <w:t>.</w:t>
      </w:r>
      <w:r w:rsidR="00A265BC" w:rsidRPr="00A265BC">
        <w:rPr>
          <w:rStyle w:val="FootnoteReference"/>
        </w:rPr>
        <w:t xml:space="preserve"> </w:t>
      </w:r>
      <w:r w:rsidR="00A265BC">
        <w:rPr>
          <w:rStyle w:val="FootnoteReference"/>
        </w:rPr>
        <w:footnoteReference w:id="13"/>
      </w:r>
      <w:r w:rsidR="00A265BC">
        <w:t xml:space="preserve">  </w:t>
      </w:r>
      <w:r w:rsidR="00DC053A">
        <w:t>I</w:t>
      </w:r>
      <w:r w:rsidR="001840D4">
        <w:t>n her case study of Bath</w:t>
      </w:r>
      <w:r w:rsidR="00B565B8">
        <w:t>,</w:t>
      </w:r>
      <w:r w:rsidR="001840D4">
        <w:t xml:space="preserve"> </w:t>
      </w:r>
      <w:r w:rsidR="00DC053A">
        <w:t xml:space="preserve">Bowman described </w:t>
      </w:r>
      <w:r w:rsidR="001840D4">
        <w:t xml:space="preserve">a </w:t>
      </w:r>
      <w:r w:rsidR="002423B7">
        <w:t>setting</w:t>
      </w:r>
      <w:r w:rsidR="001840D4">
        <w:t xml:space="preserve"> </w:t>
      </w:r>
      <w:r w:rsidR="00B565B8">
        <w:t>which is the focus of a</w:t>
      </w:r>
      <w:r w:rsidR="001840D4">
        <w:t xml:space="preserve"> ‘revival of storytelling as performance</w:t>
      </w:r>
      <w:r w:rsidR="00B565B8">
        <w:t xml:space="preserve"> art</w:t>
      </w:r>
      <w:r w:rsidR="001840D4">
        <w:t xml:space="preserve">’ </w:t>
      </w:r>
      <w:r w:rsidR="00B565B8">
        <w:t>including ‘perceptions’ of the ‘pre-historic and mythical past’ of the hot springs, which many believe to be sacred waters</w:t>
      </w:r>
      <w:r w:rsidR="00505F61">
        <w:t xml:space="preserve"> making Bath a centre of healing</w:t>
      </w:r>
      <w:r w:rsidR="00B565B8">
        <w:t>.</w:t>
      </w:r>
      <w:r w:rsidR="00B565B8" w:rsidRPr="00B565B8">
        <w:rPr>
          <w:rStyle w:val="FootnoteReference"/>
        </w:rPr>
        <w:t xml:space="preserve"> </w:t>
      </w:r>
      <w:r w:rsidR="00B565B8">
        <w:rPr>
          <w:rStyle w:val="FootnoteReference"/>
        </w:rPr>
        <w:footnoteReference w:id="14"/>
      </w:r>
      <w:r w:rsidR="00505F61">
        <w:t xml:space="preserve"> Cusack finds that during solar festivals at Stonehenge people attending ‘experienced it as a source of ancient knowledge, and a constituent element of their identity’.</w:t>
      </w:r>
      <w:r w:rsidR="00505F61" w:rsidRPr="00505F61">
        <w:rPr>
          <w:rStyle w:val="FootnoteReference"/>
        </w:rPr>
        <w:t xml:space="preserve"> </w:t>
      </w:r>
      <w:r w:rsidR="00505F61">
        <w:rPr>
          <w:rStyle w:val="FootnoteReference"/>
        </w:rPr>
        <w:footnoteReference w:id="15"/>
      </w:r>
      <w:r w:rsidR="00A265BC">
        <w:t xml:space="preserve"> </w:t>
      </w:r>
      <w:r w:rsidR="00DC053A">
        <w:t xml:space="preserve">Recent research </w:t>
      </w:r>
      <w:r w:rsidR="00A265BC">
        <w:t>discovered that subjects</w:t>
      </w:r>
      <w:r w:rsidR="00DC053A">
        <w:t xml:space="preserve"> visiting sites with ‘alleged or proven’ significance to the midsummer solstice </w:t>
      </w:r>
      <w:r w:rsidR="00A265BC">
        <w:t>didn’t themselves go</w:t>
      </w:r>
      <w:r w:rsidR="00DC053A">
        <w:t xml:space="preserve"> </w:t>
      </w:r>
      <w:r w:rsidR="00DC053A" w:rsidRPr="005A5EAE">
        <w:t>for spiritual reasons</w:t>
      </w:r>
      <w:r w:rsidR="00A265BC">
        <w:t xml:space="preserve"> or to</w:t>
      </w:r>
      <w:r w:rsidR="00DC053A" w:rsidRPr="005A5EAE">
        <w:t xml:space="preserve"> celebrate the summer solstice </w:t>
      </w:r>
      <w:r w:rsidR="00A265BC">
        <w:t>but because of an</w:t>
      </w:r>
      <w:r w:rsidR="00DC053A" w:rsidRPr="005A5EAE">
        <w:t xml:space="preserve"> interest in astronomy, archaeoastronomy, cultural and/or regional history</w:t>
      </w:r>
      <w:r w:rsidR="00A265BC">
        <w:t xml:space="preserve"> </w:t>
      </w:r>
      <w:r w:rsidR="00CE23FE">
        <w:t>and they were</w:t>
      </w:r>
      <w:r w:rsidR="00DC053A" w:rsidRPr="005A5EAE">
        <w:t xml:space="preserve"> convinced that the sites could have been sacred places in prehistoric times.’</w:t>
      </w:r>
      <w:r w:rsidR="00DC053A" w:rsidRPr="005A5EAE">
        <w:rPr>
          <w:rStyle w:val="FootnoteReference"/>
        </w:rPr>
        <w:footnoteReference w:id="16"/>
      </w:r>
      <w:r w:rsidR="00DC053A">
        <w:t xml:space="preserve"> </w:t>
      </w:r>
      <w:r w:rsidR="000B4F29">
        <w:t xml:space="preserve"> </w:t>
      </w:r>
      <w:r w:rsidR="00A57D34">
        <w:t xml:space="preserve">Voss </w:t>
      </w:r>
      <w:r w:rsidR="00CE23FE">
        <w:t>argues that</w:t>
      </w:r>
      <w:r w:rsidR="00A57D34" w:rsidRPr="002423B7">
        <w:t xml:space="preserve"> </w:t>
      </w:r>
      <w:r w:rsidR="00031A4E" w:rsidRPr="002423B7">
        <w:t>‘</w:t>
      </w:r>
      <w:r w:rsidR="00DC053A" w:rsidRPr="002423B7">
        <w:t>The folklore of prehistoric sites is a form of folk history, or, more properly, metaphorical history</w:t>
      </w:r>
      <w:r w:rsidR="002423B7">
        <w:t xml:space="preserve">…’ </w:t>
      </w:r>
      <w:r w:rsidR="001C66D1">
        <w:t xml:space="preserve">and </w:t>
      </w:r>
      <w:r w:rsidR="002423B7">
        <w:t>that</w:t>
      </w:r>
      <w:r w:rsidR="00031A4E" w:rsidRPr="002423B7">
        <w:t xml:space="preserve"> </w:t>
      </w:r>
      <w:r w:rsidR="002423B7">
        <w:t>‘</w:t>
      </w:r>
      <w:r w:rsidR="001C66D1">
        <w:t xml:space="preserve">the </w:t>
      </w:r>
      <w:r w:rsidR="00031A4E" w:rsidRPr="002423B7">
        <w:t>Euro-American context the folklore of prehistoric monuments permits multidimensional expressions of cultural antiquity, modern cultural and social concerns, the cultural superiority of the present, and ethnocentrism.’</w:t>
      </w:r>
      <w:r w:rsidR="00031A4E" w:rsidRPr="002423B7">
        <w:rPr>
          <w:rStyle w:val="FootnoteReference"/>
        </w:rPr>
        <w:footnoteReference w:id="17"/>
      </w:r>
      <w:r w:rsidR="002423B7">
        <w:t xml:space="preserve"> </w:t>
      </w:r>
    </w:p>
    <w:p w14:paraId="6700DC13" w14:textId="549380EB" w:rsidR="00CC4E56" w:rsidRPr="001C66D1" w:rsidRDefault="001C66D1" w:rsidP="001C66D1">
      <w:pPr>
        <w:spacing w:after="0" w:line="240" w:lineRule="auto"/>
        <w:ind w:firstLine="720"/>
      </w:pPr>
      <w:r>
        <w:t xml:space="preserve">Ingold tells </w:t>
      </w:r>
      <w:r w:rsidRPr="001C66D1">
        <w:t>us</w:t>
      </w:r>
      <w:r w:rsidR="002423B7" w:rsidRPr="001C66D1">
        <w:t xml:space="preserve"> ‘</w:t>
      </w:r>
      <w:r w:rsidRPr="001C66D1">
        <w:t>…</w:t>
      </w:r>
      <w:r w:rsidR="002423B7" w:rsidRPr="001C66D1">
        <w:t>knowledge of nature was forged in movement, in the course of going about in it. This knowledge was performative in the strict sense that it was formed through the comings and goings of inhabitants. Reading [nature] as performance, in short, was both word-forming and world-forming.</w:t>
      </w:r>
      <w:r w:rsidR="002423B7">
        <w:rPr>
          <w:rStyle w:val="FootnoteReference"/>
        </w:rPr>
        <w:footnoteReference w:id="18"/>
      </w:r>
      <w:r w:rsidR="002423B7">
        <w:t xml:space="preserve"> </w:t>
      </w:r>
      <w:r>
        <w:t xml:space="preserve">He expands our relationship to nature to include the ‘weather-world’ and says </w:t>
      </w:r>
      <w:r w:rsidR="00D4772A">
        <w:t xml:space="preserve"> </w:t>
      </w:r>
      <w:r w:rsidR="00D4772A" w:rsidRPr="001C66D1">
        <w:t>‘To inhabit the open is not to be stranded on a closed surface but to be immersed in the fluxes of the medium, in the incessant movements of wind and weather. Life is borne on these fluxes which, felt rather than touched, permeate the inhabitant's entire being.’</w:t>
      </w:r>
      <w:r w:rsidR="00D4772A" w:rsidRPr="001C66D1">
        <w:rPr>
          <w:rStyle w:val="FootnoteReference"/>
        </w:rPr>
        <w:footnoteReference w:id="19"/>
      </w:r>
      <w:r>
        <w:t xml:space="preserve"> When </w:t>
      </w:r>
      <w:r w:rsidR="00CC4E56">
        <w:t>Harris</w:t>
      </w:r>
      <w:r>
        <w:t xml:space="preserve"> </w:t>
      </w:r>
      <w:r w:rsidR="000B4F29">
        <w:t>illustrates</w:t>
      </w:r>
      <w:r>
        <w:t xml:space="preserve"> the relationship between the English and the</w:t>
      </w:r>
      <w:r w:rsidR="000B4F29">
        <w:t>ir</w:t>
      </w:r>
      <w:r>
        <w:t xml:space="preserve"> weather she </w:t>
      </w:r>
      <w:r w:rsidR="000B4F29">
        <w:t>uses literature, for example saying</w:t>
      </w:r>
      <w:r>
        <w:t xml:space="preserve"> </w:t>
      </w:r>
      <w:r w:rsidR="00CC4E56" w:rsidRPr="001C66D1">
        <w:t xml:space="preserve"> ‘The Gawain poet finds it worth recording the difference between wind in a valley and wind on the hills.’</w:t>
      </w:r>
      <w:r w:rsidR="00CC4E56" w:rsidRPr="001C66D1">
        <w:rPr>
          <w:rStyle w:val="FootnoteReference"/>
        </w:rPr>
        <w:footnoteReference w:id="20"/>
      </w:r>
      <w:r w:rsidR="00CC4E56" w:rsidRPr="001C66D1">
        <w:t xml:space="preserve"> </w:t>
      </w:r>
      <w:r w:rsidR="002018B9">
        <w:t xml:space="preserve">Using an excerpt from </w:t>
      </w:r>
      <w:r w:rsidR="00CC4E56" w:rsidRPr="001C66D1">
        <w:t xml:space="preserve">Simon Armitage’s translation of the </w:t>
      </w:r>
      <w:r w:rsidR="00147AEC" w:rsidRPr="00147AEC">
        <w:rPr>
          <w:i/>
          <w:iCs/>
        </w:rPr>
        <w:t>Sir Gawain and the Green Knight</w:t>
      </w:r>
      <w:r w:rsidR="002018B9">
        <w:t xml:space="preserve">, </w:t>
      </w:r>
      <w:r w:rsidR="00147AEC">
        <w:t xml:space="preserve">a poem </w:t>
      </w:r>
      <w:r w:rsidR="002018B9">
        <w:t>thought by some to be set in the Staffordshire Moorlands, we can see how weather becomes part of the landscape</w:t>
      </w:r>
      <w:r w:rsidR="00147AEC">
        <w:t>, creating a single object from the hill and the mist</w:t>
      </w:r>
      <w:r w:rsidR="002018B9">
        <w:t>:</w:t>
      </w:r>
    </w:p>
    <w:p w14:paraId="2707AB08" w14:textId="77777777" w:rsidR="00CC4E56" w:rsidRPr="001C66D1" w:rsidRDefault="00CC4E56" w:rsidP="00CC4E56">
      <w:pPr>
        <w:spacing w:after="0" w:line="240" w:lineRule="auto"/>
      </w:pPr>
    </w:p>
    <w:p w14:paraId="6C391B7C" w14:textId="77777777" w:rsidR="00CC4E56" w:rsidRPr="001C66D1" w:rsidRDefault="00CC4E56" w:rsidP="00CC4E56">
      <w:pPr>
        <w:spacing w:after="0" w:line="240" w:lineRule="auto"/>
        <w:ind w:left="720"/>
        <w:rPr>
          <w:i/>
          <w:iCs/>
        </w:rPr>
      </w:pPr>
      <w:r w:rsidRPr="001C66D1">
        <w:rPr>
          <w:i/>
          <w:iCs/>
        </w:rPr>
        <w:t>The clouds which had climbed now cooled and dropped</w:t>
      </w:r>
    </w:p>
    <w:p w14:paraId="65E04C1F" w14:textId="77777777" w:rsidR="00CC4E56" w:rsidRPr="001C66D1" w:rsidRDefault="00CC4E56" w:rsidP="00CC4E56">
      <w:pPr>
        <w:spacing w:after="0" w:line="240" w:lineRule="auto"/>
        <w:ind w:left="720"/>
        <w:rPr>
          <w:i/>
          <w:iCs/>
        </w:rPr>
      </w:pPr>
      <w:r w:rsidRPr="001C66D1">
        <w:rPr>
          <w:i/>
          <w:iCs/>
        </w:rPr>
        <w:t>so the moors and the mountains were muzzy with mist</w:t>
      </w:r>
    </w:p>
    <w:p w14:paraId="68D526A3" w14:textId="77777777" w:rsidR="00CC4E56" w:rsidRDefault="00CC4E56" w:rsidP="00CC4E56">
      <w:pPr>
        <w:spacing w:after="0" w:line="240" w:lineRule="auto"/>
        <w:ind w:left="720"/>
        <w:rPr>
          <w:i/>
          <w:iCs/>
        </w:rPr>
      </w:pPr>
      <w:r w:rsidRPr="001C66D1">
        <w:rPr>
          <w:i/>
          <w:iCs/>
        </w:rPr>
        <w:t>and every hill wore a hat of mizzle on its head.</w:t>
      </w:r>
      <w:r w:rsidRPr="001C66D1">
        <w:rPr>
          <w:rStyle w:val="FootnoteReference"/>
          <w:i/>
          <w:iCs/>
        </w:rPr>
        <w:footnoteReference w:id="21"/>
      </w:r>
    </w:p>
    <w:p w14:paraId="70D7A50B" w14:textId="06B9C807" w:rsidR="00A05D90" w:rsidRDefault="00A05D90">
      <w:pPr>
        <w:suppressAutoHyphens w:val="0"/>
      </w:pPr>
    </w:p>
    <w:p w14:paraId="64A3A32E" w14:textId="38289955" w:rsidR="00211303" w:rsidRDefault="004A10CB" w:rsidP="00844CF5">
      <w:pPr>
        <w:pStyle w:val="Heading2"/>
      </w:pPr>
      <w:r>
        <w:t>Folklore</w:t>
      </w:r>
      <w:r w:rsidR="00B219D7">
        <w:t>: tradition, identity and behaviour</w:t>
      </w:r>
    </w:p>
    <w:p w14:paraId="00C682CA" w14:textId="64D70F05" w:rsidR="00F0443B" w:rsidRDefault="006E7965" w:rsidP="006F39ED">
      <w:pPr>
        <w:spacing w:after="0" w:line="240" w:lineRule="auto"/>
        <w:ind w:firstLine="720"/>
      </w:pPr>
      <w:r>
        <w:t>Whitehead when defining vernacular religion says</w:t>
      </w:r>
      <w:r w:rsidR="00F0443B">
        <w:t xml:space="preserve"> ‘Every religiosity, whether doctrinal or non</w:t>
      </w:r>
      <w:r w:rsidR="003C26D8">
        <w:t>-</w:t>
      </w:r>
      <w:r w:rsidR="00F0443B">
        <w:t>doctrinal, has no choice but to be vernacular in that they take on the qualities and physical expressions of the places where they take seed and grow.’</w:t>
      </w:r>
      <w:r w:rsidR="00F0443B">
        <w:rPr>
          <w:rStyle w:val="FootnoteReference"/>
        </w:rPr>
        <w:footnoteReference w:id="22"/>
      </w:r>
    </w:p>
    <w:p w14:paraId="4FBAA962" w14:textId="0A099CEC" w:rsidR="00D760E3" w:rsidRDefault="008127DC" w:rsidP="008127DC">
      <w:pPr>
        <w:spacing w:after="0" w:line="240" w:lineRule="auto"/>
        <w:ind w:firstLine="720"/>
      </w:pPr>
      <w:r>
        <w:t xml:space="preserve">When explaining how to change attitudes, </w:t>
      </w:r>
      <w:r w:rsidR="003C26D8">
        <w:t>Grimes notes that</w:t>
      </w:r>
      <w:r w:rsidR="00147AEC">
        <w:t xml:space="preserve"> </w:t>
      </w:r>
      <w:r>
        <w:t>‘a</w:t>
      </w:r>
      <w:r w:rsidR="003C26D8">
        <w:t>ttitudes and worldviews are related; each conditions the other. Attitudes are not merely emotional, nor worldviews merely intellectual. Each conspires with the other in determining how we act, what we perform, and therefore how we behave</w:t>
      </w:r>
      <w:r w:rsidR="00147AEC">
        <w:t>’</w:t>
      </w:r>
      <w:r w:rsidR="006E7965">
        <w:t>.</w:t>
      </w:r>
      <w:r w:rsidR="00B21D07" w:rsidRPr="00B21D07">
        <w:rPr>
          <w:rStyle w:val="FootnoteReference"/>
        </w:rPr>
        <w:t xml:space="preserve"> </w:t>
      </w:r>
      <w:r>
        <w:t xml:space="preserve"> And it is ritual and performance that need attention if the strategy is to challenge political institutions.</w:t>
      </w:r>
      <w:r w:rsidR="00B21D07">
        <w:rPr>
          <w:rStyle w:val="FootnoteReference"/>
        </w:rPr>
        <w:footnoteReference w:id="23"/>
      </w:r>
      <w:r w:rsidR="00264526">
        <w:t xml:space="preserve"> </w:t>
      </w:r>
      <w:r>
        <w:t xml:space="preserve"> </w:t>
      </w:r>
      <w:r w:rsidR="00264526">
        <w:t xml:space="preserve">Hymes </w:t>
      </w:r>
      <w:r>
        <w:t>view is</w:t>
      </w:r>
      <w:r w:rsidR="00264526">
        <w:t xml:space="preserve"> that folklore ‘</w:t>
      </w:r>
      <w:r w:rsidR="00264526" w:rsidRPr="00264526">
        <w:t>in a given case, the namings of situations that recur, the ritual arrangements that are recreated, may be idiosyncratic. But the traditional begins with the personal. Its distribution in history, in a community, is important, but secondary, not defining. Something partakes of the nature of the traditional already when the effort to traditionalize i</w:t>
      </w:r>
      <w:r w:rsidR="00581031">
        <w:t>s</w:t>
      </w:r>
      <w:r w:rsidR="00264526" w:rsidRPr="00264526">
        <w:t xml:space="preserve"> brought into being.</w:t>
      </w:r>
      <w:r w:rsidR="00264526">
        <w:t>’</w:t>
      </w:r>
      <w:r w:rsidR="00264526">
        <w:rPr>
          <w:rStyle w:val="FootnoteReference"/>
        </w:rPr>
        <w:footnoteReference w:id="24"/>
      </w:r>
      <w:r w:rsidR="00264526" w:rsidRPr="00264526">
        <w:t xml:space="preserve"> </w:t>
      </w:r>
      <w:r w:rsidR="00264526">
        <w:t xml:space="preserve">Dundes </w:t>
      </w:r>
      <w:r>
        <w:t>says</w:t>
      </w:r>
      <w:r w:rsidR="00264526" w:rsidRPr="00264526">
        <w:t xml:space="preserve"> that folklorists should elicit meaning from people that tell the story and recommends an ‘oral literary criticism’ approach to allay the assumption that ‘there is only one correct meaning or interpretation. There is no one right interpretation of an item of folklore any more than there is but one right version of a game or song’.</w:t>
      </w:r>
      <w:r w:rsidR="00264526" w:rsidRPr="00264526">
        <w:rPr>
          <w:rStyle w:val="FootnoteReference"/>
        </w:rPr>
        <w:footnoteReference w:id="25"/>
      </w:r>
      <w:r w:rsidR="00264526" w:rsidRPr="00264526">
        <w:t xml:space="preserve"> </w:t>
      </w:r>
      <w:r w:rsidR="00264526" w:rsidRPr="006F39ED">
        <w:t xml:space="preserve">Fox who investigates the links between written and oral history in England’s early modern period of states </w:t>
      </w:r>
      <w:r w:rsidR="00264526" w:rsidRPr="00264526">
        <w:t xml:space="preserve">that ‘Indeed, the landscape all around was a vast repository of memory. Memories of the past, then, comprised part of that local knowledge from which people derived a sense of identity and pride based upon place. They provided an imagined heritage which helped to underscore the emotional solidarity of the community and they were expressed in the 'common voice', 'common fame' or 'common report' of the inhabitants… </w:t>
      </w:r>
      <w:r w:rsidR="00264526" w:rsidRPr="00CF0212">
        <w:t>The fanciful fables which some small towns or villages liked to cherish about their former greatness, for example, were often sustained by local memory and by the physical evidence all around rather than by any written documents.’</w:t>
      </w:r>
      <w:r w:rsidR="00264526" w:rsidRPr="00264526">
        <w:rPr>
          <w:rStyle w:val="FootnoteReference"/>
        </w:rPr>
        <w:t xml:space="preserve"> </w:t>
      </w:r>
      <w:r w:rsidR="00264526" w:rsidRPr="00264526">
        <w:rPr>
          <w:rStyle w:val="FootnoteReference"/>
        </w:rPr>
        <w:footnoteReference w:id="26"/>
      </w:r>
      <w:r w:rsidR="00264526">
        <w:t xml:space="preserve"> This idea is reflected in </w:t>
      </w:r>
      <w:r w:rsidR="003B2C1B">
        <w:t xml:space="preserve">S. Elizabeth Bird’s </w:t>
      </w:r>
      <w:r w:rsidR="003B2C1B" w:rsidRPr="00264526">
        <w:t>study into well-dressing festivals in Derbyshire</w:t>
      </w:r>
      <w:r w:rsidR="0014028D" w:rsidRPr="00264526">
        <w:t xml:space="preserve">, some of which are known revivals or adoptions of the practice, </w:t>
      </w:r>
      <w:r w:rsidR="00264526" w:rsidRPr="00264526">
        <w:t xml:space="preserve">as she </w:t>
      </w:r>
      <w:r w:rsidR="003B2C1B" w:rsidRPr="00264526">
        <w:t>argues against an approach to differentiate between authentic and ‘revival’ festivals by saying that ‘as far as the well-dressing example is concerned, which villages are ‘reviving’ the festival, those beginning in the 1800s, the mid-1900s or the 1970s? How long does a village have to celebrate the festival before it becomes ‘authentic’.</w:t>
      </w:r>
      <w:r w:rsidR="003B2C1B">
        <w:rPr>
          <w:rStyle w:val="FootnoteReference"/>
        </w:rPr>
        <w:footnoteReference w:id="27"/>
      </w:r>
      <w:r w:rsidR="00264526">
        <w:t xml:space="preserve"> </w:t>
      </w:r>
    </w:p>
    <w:p w14:paraId="4938AD29" w14:textId="36D83D25" w:rsidR="00A05D90" w:rsidRDefault="00A05D90" w:rsidP="000A13EF">
      <w:pPr>
        <w:spacing w:line="257" w:lineRule="auto"/>
        <w:ind w:firstLine="720"/>
      </w:pPr>
      <w:r>
        <w:br w:type="page"/>
      </w:r>
    </w:p>
    <w:p w14:paraId="42EA9046" w14:textId="33D592C3" w:rsidR="004F1CFE" w:rsidRDefault="004F1CFE" w:rsidP="004F1CFE">
      <w:pPr>
        <w:pStyle w:val="Heading1"/>
        <w:rPr>
          <w:color w:val="auto"/>
        </w:rPr>
      </w:pPr>
      <w:r>
        <w:rPr>
          <w:color w:val="auto"/>
        </w:rPr>
        <w:lastRenderedPageBreak/>
        <w:t>Methodology</w:t>
      </w:r>
      <w:r w:rsidR="003F6E1D">
        <w:rPr>
          <w:color w:val="auto"/>
        </w:rPr>
        <w:t xml:space="preserve"> (750 </w:t>
      </w:r>
      <w:r w:rsidR="00A05D90">
        <w:rPr>
          <w:color w:val="auto"/>
        </w:rPr>
        <w:t>now</w:t>
      </w:r>
      <w:r w:rsidR="00092CCA">
        <w:rPr>
          <w:color w:val="auto"/>
        </w:rPr>
        <w:t xml:space="preserve"> </w:t>
      </w:r>
      <w:r w:rsidR="007E0988">
        <w:rPr>
          <w:color w:val="auto"/>
        </w:rPr>
        <w:t>720</w:t>
      </w:r>
      <w:r w:rsidR="003F6E1D">
        <w:rPr>
          <w:color w:val="auto"/>
        </w:rPr>
        <w:t>)</w:t>
      </w:r>
    </w:p>
    <w:p w14:paraId="053BD9B5" w14:textId="52ED69B2" w:rsidR="0049524A" w:rsidRDefault="00102753" w:rsidP="00EF04A7">
      <w:pPr>
        <w:spacing w:after="0" w:line="240" w:lineRule="auto"/>
        <w:ind w:firstLine="720"/>
        <w:rPr>
          <w:rFonts w:cs="Calibri"/>
        </w:rPr>
      </w:pPr>
      <w:r w:rsidRPr="00597449">
        <w:rPr>
          <w:rFonts w:asciiTheme="minorHAnsi" w:hAnsiTheme="minorHAnsi" w:cstheme="minorHAnsi"/>
        </w:rPr>
        <w:t>In</w:t>
      </w:r>
      <w:r w:rsidR="00AB1C2B" w:rsidRPr="00597449">
        <w:rPr>
          <w:rFonts w:asciiTheme="minorHAnsi" w:hAnsiTheme="minorHAnsi" w:cstheme="minorHAnsi"/>
        </w:rPr>
        <w:t xml:space="preserve"> seeking to</w:t>
      </w:r>
      <w:r w:rsidRPr="00597449">
        <w:rPr>
          <w:rFonts w:asciiTheme="minorHAnsi" w:hAnsiTheme="minorHAnsi" w:cstheme="minorHAnsi"/>
        </w:rPr>
        <w:t xml:space="preserve"> understand the</w:t>
      </w:r>
      <w:r w:rsidR="00AB1C2B" w:rsidRPr="00597449">
        <w:rPr>
          <w:rFonts w:asciiTheme="minorHAnsi" w:hAnsiTheme="minorHAnsi" w:cstheme="minorHAnsi"/>
        </w:rPr>
        <w:t xml:space="preserve"> relationship between local people and </w:t>
      </w:r>
      <w:r w:rsidRPr="00597449">
        <w:rPr>
          <w:rFonts w:asciiTheme="minorHAnsi" w:hAnsiTheme="minorHAnsi" w:cstheme="minorHAnsi"/>
        </w:rPr>
        <w:t>the double-sunset</w:t>
      </w:r>
      <w:r w:rsidR="00AB1C2B" w:rsidRPr="00597449">
        <w:rPr>
          <w:rFonts w:asciiTheme="minorHAnsi" w:hAnsiTheme="minorHAnsi" w:cstheme="minorHAnsi"/>
        </w:rPr>
        <w:t xml:space="preserve"> midsummer solstice phenomenon </w:t>
      </w:r>
      <w:r w:rsidRPr="00597449">
        <w:rPr>
          <w:rFonts w:asciiTheme="minorHAnsi" w:hAnsiTheme="minorHAnsi" w:cstheme="minorHAnsi"/>
        </w:rPr>
        <w:t>and to</w:t>
      </w:r>
      <w:r w:rsidR="00AB1C2B" w:rsidRPr="00597449">
        <w:rPr>
          <w:rFonts w:asciiTheme="minorHAnsi" w:hAnsiTheme="minorHAnsi" w:cstheme="minorHAnsi"/>
        </w:rPr>
        <w:t xml:space="preserve"> discover</w:t>
      </w:r>
      <w:r w:rsidRPr="00597449">
        <w:rPr>
          <w:rFonts w:asciiTheme="minorHAnsi" w:hAnsiTheme="minorHAnsi" w:cstheme="minorHAnsi"/>
        </w:rPr>
        <w:t xml:space="preserve"> their</w:t>
      </w:r>
      <w:r w:rsidR="00AB1C2B" w:rsidRPr="00597449">
        <w:rPr>
          <w:rFonts w:asciiTheme="minorHAnsi" w:hAnsiTheme="minorHAnsi" w:cstheme="minorHAnsi"/>
        </w:rPr>
        <w:t xml:space="preserve"> beliefs</w:t>
      </w:r>
      <w:r w:rsidRPr="00597449">
        <w:rPr>
          <w:rFonts w:asciiTheme="minorHAnsi" w:hAnsiTheme="minorHAnsi" w:cstheme="minorHAnsi"/>
        </w:rPr>
        <w:t xml:space="preserve"> and</w:t>
      </w:r>
      <w:r w:rsidR="00AB1C2B" w:rsidRPr="00597449">
        <w:rPr>
          <w:rFonts w:asciiTheme="minorHAnsi" w:hAnsiTheme="minorHAnsi" w:cstheme="minorHAnsi"/>
        </w:rPr>
        <w:t xml:space="preserve"> attitudes</w:t>
      </w:r>
      <w:r w:rsidRPr="00597449">
        <w:rPr>
          <w:rFonts w:asciiTheme="minorHAnsi" w:hAnsiTheme="minorHAnsi" w:cstheme="minorHAnsi"/>
        </w:rPr>
        <w:t xml:space="preserve"> and whether any</w:t>
      </w:r>
      <w:r w:rsidR="00AB1C2B" w:rsidRPr="00597449">
        <w:rPr>
          <w:rFonts w:asciiTheme="minorHAnsi" w:hAnsiTheme="minorHAnsi" w:cstheme="minorHAnsi"/>
        </w:rPr>
        <w:t xml:space="preserve"> rituals or materials </w:t>
      </w:r>
      <w:r w:rsidRPr="00597449">
        <w:rPr>
          <w:rFonts w:asciiTheme="minorHAnsi" w:hAnsiTheme="minorHAnsi" w:cstheme="minorHAnsi"/>
        </w:rPr>
        <w:t>are used,</w:t>
      </w:r>
      <w:r w:rsidR="00AB1C2B" w:rsidRPr="00597449">
        <w:rPr>
          <w:rFonts w:asciiTheme="minorHAnsi" w:hAnsiTheme="minorHAnsi" w:cstheme="minorHAnsi"/>
        </w:rPr>
        <w:t xml:space="preserve"> </w:t>
      </w:r>
      <w:r w:rsidRPr="00597449">
        <w:rPr>
          <w:rFonts w:asciiTheme="minorHAnsi" w:hAnsiTheme="minorHAnsi" w:cstheme="minorHAnsi"/>
        </w:rPr>
        <w:t>t</w:t>
      </w:r>
      <w:r w:rsidR="00780BD9" w:rsidRPr="00597449">
        <w:rPr>
          <w:rFonts w:asciiTheme="minorHAnsi" w:hAnsiTheme="minorHAnsi" w:cstheme="minorHAnsi"/>
        </w:rPr>
        <w:t>he nature of the subject indicated</w:t>
      </w:r>
      <w:r w:rsidR="006B3448" w:rsidRPr="00597449">
        <w:rPr>
          <w:rFonts w:asciiTheme="minorHAnsi" w:hAnsiTheme="minorHAnsi" w:cstheme="minorHAnsi"/>
        </w:rPr>
        <w:t xml:space="preserve"> a case study</w:t>
      </w:r>
      <w:r w:rsidR="00780BD9" w:rsidRPr="00597449">
        <w:rPr>
          <w:rFonts w:asciiTheme="minorHAnsi" w:hAnsiTheme="minorHAnsi" w:cstheme="minorHAnsi"/>
        </w:rPr>
        <w:t>, which Stake describes as ‘how things are at a particular place at a particular time’</w:t>
      </w:r>
      <w:r w:rsidR="00780BD9" w:rsidRPr="00597449">
        <w:rPr>
          <w:rStyle w:val="FootnoteReference"/>
          <w:rFonts w:asciiTheme="minorHAnsi" w:hAnsiTheme="minorHAnsi" w:cstheme="minorHAnsi"/>
        </w:rPr>
        <w:footnoteReference w:id="28"/>
      </w:r>
      <w:r w:rsidRPr="00597449">
        <w:rPr>
          <w:rFonts w:asciiTheme="minorHAnsi" w:hAnsiTheme="minorHAnsi" w:cstheme="minorHAnsi"/>
        </w:rPr>
        <w:t>.</w:t>
      </w:r>
      <w:r w:rsidR="00AB1C2B" w:rsidRPr="00597449">
        <w:rPr>
          <w:rFonts w:asciiTheme="minorHAnsi" w:hAnsiTheme="minorHAnsi" w:cstheme="minorHAnsi"/>
        </w:rPr>
        <w:t xml:space="preserve"> </w:t>
      </w:r>
      <w:r w:rsidR="00597449" w:rsidRPr="00597449">
        <w:rPr>
          <w:rFonts w:asciiTheme="minorHAnsi" w:hAnsiTheme="minorHAnsi" w:cstheme="minorHAnsi"/>
        </w:rPr>
        <w:t>Hennink, Hutter and Bailey, state that the ‘purpose of qualitative research is to seek a contextualized understanding of phenomena, explain behaviour and beliefs, identify processes and understand the context of people’s experiences.</w:t>
      </w:r>
      <w:r w:rsidR="00597449">
        <w:rPr>
          <w:rStyle w:val="FootnoteReference"/>
          <w:rFonts w:asciiTheme="minorHAnsi" w:hAnsiTheme="minorHAnsi" w:cstheme="minorHAnsi"/>
        </w:rPr>
        <w:footnoteReference w:id="29"/>
      </w:r>
      <w:r w:rsidR="00597449" w:rsidRPr="00597449">
        <w:rPr>
          <w:rFonts w:asciiTheme="minorHAnsi" w:hAnsiTheme="minorHAnsi" w:cstheme="minorHAnsi"/>
          <w:vertAlign w:val="superscript"/>
        </w:rPr>
        <w:t xml:space="preserve"> </w:t>
      </w:r>
      <w:r w:rsidR="00597449" w:rsidRPr="00597449">
        <w:rPr>
          <w:rFonts w:asciiTheme="minorHAnsi" w:hAnsiTheme="minorHAnsi" w:cstheme="minorHAnsi"/>
        </w:rPr>
        <w:t>To gain this understanding they suggest that only a few participants are required, when working with the tools of in-depth interviews</w:t>
      </w:r>
      <w:r w:rsidR="007C7F46">
        <w:rPr>
          <w:rStyle w:val="FootnoteReference"/>
          <w:rFonts w:asciiTheme="minorHAnsi" w:hAnsiTheme="minorHAnsi" w:cstheme="minorHAnsi"/>
        </w:rPr>
        <w:footnoteReference w:id="30"/>
      </w:r>
      <w:r w:rsidR="00597449" w:rsidRPr="00597449">
        <w:rPr>
          <w:rFonts w:asciiTheme="minorHAnsi" w:hAnsiTheme="minorHAnsi" w:cstheme="minorHAnsi"/>
        </w:rPr>
        <w:t>.</w:t>
      </w:r>
      <w:r w:rsidR="00EF04A7">
        <w:rPr>
          <w:rFonts w:cs="Calibri"/>
        </w:rPr>
        <w:t xml:space="preserve"> </w:t>
      </w:r>
      <w:r w:rsidR="003F6E1D" w:rsidRPr="00234D10">
        <w:rPr>
          <w:rFonts w:asciiTheme="minorHAnsi" w:hAnsiTheme="minorHAnsi" w:cstheme="minorHAnsi"/>
        </w:rPr>
        <w:t>The</w:t>
      </w:r>
      <w:r w:rsidR="00A3110F" w:rsidRPr="00234D10">
        <w:rPr>
          <w:rFonts w:asciiTheme="minorHAnsi" w:hAnsiTheme="minorHAnsi" w:cstheme="minorHAnsi"/>
        </w:rPr>
        <w:t xml:space="preserve"> main qualitative</w:t>
      </w:r>
      <w:r w:rsidR="003F6E1D" w:rsidRPr="00234D10">
        <w:rPr>
          <w:rFonts w:asciiTheme="minorHAnsi" w:hAnsiTheme="minorHAnsi" w:cstheme="minorHAnsi"/>
        </w:rPr>
        <w:t xml:space="preserve"> methods undertaken were</w:t>
      </w:r>
      <w:r w:rsidR="00A3110F" w:rsidRPr="00234D10">
        <w:rPr>
          <w:rFonts w:asciiTheme="minorHAnsi" w:hAnsiTheme="minorHAnsi" w:cstheme="minorHAnsi"/>
        </w:rPr>
        <w:t xml:space="preserve"> </w:t>
      </w:r>
      <w:r w:rsidR="003F6E1D" w:rsidRPr="00234D10">
        <w:rPr>
          <w:rFonts w:asciiTheme="minorHAnsi" w:hAnsiTheme="minorHAnsi" w:cstheme="minorHAnsi"/>
        </w:rPr>
        <w:t xml:space="preserve">semi-structured interviews and </w:t>
      </w:r>
      <w:r w:rsidR="00A3110F" w:rsidRPr="00234D10">
        <w:rPr>
          <w:rFonts w:asciiTheme="minorHAnsi" w:hAnsiTheme="minorHAnsi" w:cstheme="minorHAnsi"/>
        </w:rPr>
        <w:t xml:space="preserve">a </w:t>
      </w:r>
      <w:r w:rsidR="003F6E1D" w:rsidRPr="00234D10">
        <w:rPr>
          <w:rFonts w:asciiTheme="minorHAnsi" w:hAnsiTheme="minorHAnsi" w:cstheme="minorHAnsi"/>
        </w:rPr>
        <w:t>questionnaire. The approach</w:t>
      </w:r>
      <w:r w:rsidR="00A3110F" w:rsidRPr="00234D10">
        <w:rPr>
          <w:rFonts w:asciiTheme="minorHAnsi" w:hAnsiTheme="minorHAnsi" w:cstheme="minorHAnsi"/>
        </w:rPr>
        <w:t xml:space="preserve"> take to</w:t>
      </w:r>
      <w:r w:rsidR="003F6E1D" w:rsidRPr="00234D10">
        <w:rPr>
          <w:rFonts w:asciiTheme="minorHAnsi" w:hAnsiTheme="minorHAnsi" w:cstheme="minorHAnsi"/>
        </w:rPr>
        <w:t xml:space="preserve"> find participants for the interviews was to contact known subject ‘experts’; interview </w:t>
      </w:r>
      <w:r w:rsidR="00A3110F" w:rsidRPr="00234D10">
        <w:rPr>
          <w:rFonts w:asciiTheme="minorHAnsi" w:hAnsiTheme="minorHAnsi" w:cstheme="minorHAnsi"/>
        </w:rPr>
        <w:t xml:space="preserve">them </w:t>
      </w:r>
      <w:r w:rsidR="003F6E1D" w:rsidRPr="00234D10">
        <w:rPr>
          <w:rFonts w:asciiTheme="minorHAnsi" w:hAnsiTheme="minorHAnsi" w:cstheme="minorHAnsi"/>
        </w:rPr>
        <w:t>by phone</w:t>
      </w:r>
      <w:r w:rsidR="00A3110F" w:rsidRPr="00234D10">
        <w:rPr>
          <w:rFonts w:asciiTheme="minorHAnsi" w:hAnsiTheme="minorHAnsi" w:cstheme="minorHAnsi"/>
        </w:rPr>
        <w:t xml:space="preserve">, recording </w:t>
      </w:r>
      <w:r w:rsidR="003F6E1D" w:rsidRPr="00234D10">
        <w:rPr>
          <w:rFonts w:asciiTheme="minorHAnsi" w:hAnsiTheme="minorHAnsi" w:cstheme="minorHAnsi"/>
        </w:rPr>
        <w:t>and transcribe</w:t>
      </w:r>
      <w:r w:rsidR="00A3110F" w:rsidRPr="00234D10">
        <w:rPr>
          <w:rFonts w:asciiTheme="minorHAnsi" w:hAnsiTheme="minorHAnsi" w:cstheme="minorHAnsi"/>
        </w:rPr>
        <w:t xml:space="preserve"> the conversations</w:t>
      </w:r>
      <w:r w:rsidR="003F6E1D" w:rsidRPr="00234D10">
        <w:rPr>
          <w:rFonts w:asciiTheme="minorHAnsi" w:hAnsiTheme="minorHAnsi" w:cstheme="minorHAnsi"/>
        </w:rPr>
        <w:t xml:space="preserve">. </w:t>
      </w:r>
      <w:r w:rsidR="00A3110F" w:rsidRPr="00234D10">
        <w:rPr>
          <w:rFonts w:asciiTheme="minorHAnsi" w:hAnsiTheme="minorHAnsi" w:cstheme="minorHAnsi"/>
        </w:rPr>
        <w:t>Of the five that</w:t>
      </w:r>
      <w:r w:rsidR="003F6E1D" w:rsidRPr="00234D10">
        <w:rPr>
          <w:rFonts w:asciiTheme="minorHAnsi" w:hAnsiTheme="minorHAnsi" w:cstheme="minorHAnsi"/>
        </w:rPr>
        <w:t xml:space="preserve"> were contacted</w:t>
      </w:r>
      <w:r w:rsidR="00A3110F" w:rsidRPr="00234D10">
        <w:rPr>
          <w:rFonts w:asciiTheme="minorHAnsi" w:hAnsiTheme="minorHAnsi" w:cstheme="minorHAnsi"/>
        </w:rPr>
        <w:t>,</w:t>
      </w:r>
      <w:r w:rsidR="003F6E1D" w:rsidRPr="00234D10">
        <w:rPr>
          <w:rFonts w:asciiTheme="minorHAnsi" w:hAnsiTheme="minorHAnsi" w:cstheme="minorHAnsi"/>
        </w:rPr>
        <w:t xml:space="preserve"> two agreed to participate</w:t>
      </w:r>
      <w:r w:rsidR="00D22CDC" w:rsidRPr="00234D10">
        <w:rPr>
          <w:rFonts w:asciiTheme="minorHAnsi" w:hAnsiTheme="minorHAnsi" w:cstheme="minorHAnsi"/>
        </w:rPr>
        <w:t xml:space="preserve"> and those interviews were used in the findings and discussions. </w:t>
      </w:r>
      <w:r w:rsidR="00CF0212">
        <w:rPr>
          <w:rFonts w:asciiTheme="minorHAnsi" w:hAnsiTheme="minorHAnsi" w:cstheme="minorHAnsi"/>
        </w:rPr>
        <w:t>A qu</w:t>
      </w:r>
      <w:r w:rsidR="00D22CDC" w:rsidRPr="00234D10">
        <w:rPr>
          <w:rFonts w:asciiTheme="minorHAnsi" w:hAnsiTheme="minorHAnsi" w:cstheme="minorHAnsi"/>
        </w:rPr>
        <w:t xml:space="preserve">estionnaire was distributed using a Facebook </w:t>
      </w:r>
      <w:r w:rsidR="00A42C7C" w:rsidRPr="00234D10">
        <w:rPr>
          <w:rFonts w:asciiTheme="minorHAnsi" w:hAnsiTheme="minorHAnsi" w:cstheme="minorHAnsi"/>
        </w:rPr>
        <w:t xml:space="preserve">question-style </w:t>
      </w:r>
      <w:r w:rsidR="00D22CDC" w:rsidRPr="00234D10">
        <w:rPr>
          <w:rFonts w:asciiTheme="minorHAnsi" w:hAnsiTheme="minorHAnsi" w:cstheme="minorHAnsi"/>
        </w:rPr>
        <w:t xml:space="preserve">post </w:t>
      </w:r>
      <w:r w:rsidR="00A42C7C" w:rsidRPr="00234D10">
        <w:rPr>
          <w:rFonts w:asciiTheme="minorHAnsi" w:hAnsiTheme="minorHAnsi" w:cstheme="minorHAnsi"/>
        </w:rPr>
        <w:t>to</w:t>
      </w:r>
      <w:r w:rsidR="00D22CDC" w:rsidRPr="00234D10">
        <w:rPr>
          <w:rFonts w:asciiTheme="minorHAnsi" w:hAnsiTheme="minorHAnsi" w:cstheme="minorHAnsi"/>
        </w:rPr>
        <w:t xml:space="preserve"> a private group</w:t>
      </w:r>
      <w:r w:rsidR="00A42C7C" w:rsidRPr="00234D10">
        <w:rPr>
          <w:rFonts w:asciiTheme="minorHAnsi" w:hAnsiTheme="minorHAnsi" w:cstheme="minorHAnsi"/>
        </w:rPr>
        <w:t xml:space="preserve"> </w:t>
      </w:r>
      <w:r w:rsidR="00A3110F" w:rsidRPr="00234D10">
        <w:rPr>
          <w:rFonts w:asciiTheme="minorHAnsi" w:hAnsiTheme="minorHAnsi" w:cstheme="minorHAnsi"/>
        </w:rPr>
        <w:t>with</w:t>
      </w:r>
      <w:r w:rsidR="00D22CDC" w:rsidRPr="00234D10">
        <w:rPr>
          <w:rFonts w:asciiTheme="minorHAnsi" w:hAnsiTheme="minorHAnsi" w:cstheme="minorHAnsi"/>
        </w:rPr>
        <w:t xml:space="preserve"> 10,000 members called ‘Leek Past &amp; Present’.</w:t>
      </w:r>
      <w:r w:rsidR="00CF0212">
        <w:rPr>
          <w:rFonts w:asciiTheme="minorHAnsi" w:hAnsiTheme="minorHAnsi" w:cstheme="minorHAnsi"/>
        </w:rPr>
        <w:t xml:space="preserve"> </w:t>
      </w:r>
      <w:r w:rsidR="00D22CDC" w:rsidRPr="00234D10">
        <w:rPr>
          <w:rFonts w:asciiTheme="minorHAnsi" w:hAnsiTheme="minorHAnsi" w:cstheme="minorHAnsi"/>
        </w:rPr>
        <w:t>Th</w:t>
      </w:r>
      <w:r w:rsidR="00A42C7C" w:rsidRPr="00234D10">
        <w:rPr>
          <w:rFonts w:asciiTheme="minorHAnsi" w:hAnsiTheme="minorHAnsi" w:cstheme="minorHAnsi"/>
        </w:rPr>
        <w:t>e group’s</w:t>
      </w:r>
      <w:r w:rsidR="00D22CDC" w:rsidRPr="00234D10">
        <w:rPr>
          <w:rFonts w:asciiTheme="minorHAnsi" w:hAnsiTheme="minorHAnsi" w:cstheme="minorHAnsi"/>
        </w:rPr>
        <w:t xml:space="preserve"> administrators gave permission </w:t>
      </w:r>
      <w:r w:rsidR="00A42C7C" w:rsidRPr="00234D10">
        <w:rPr>
          <w:rFonts w:asciiTheme="minorHAnsi" w:hAnsiTheme="minorHAnsi" w:cstheme="minorHAnsi"/>
        </w:rPr>
        <w:t>for this to be done</w:t>
      </w:r>
      <w:r w:rsidR="00D22CDC" w:rsidRPr="00234D10">
        <w:rPr>
          <w:rFonts w:asciiTheme="minorHAnsi" w:hAnsiTheme="minorHAnsi" w:cstheme="minorHAnsi"/>
        </w:rPr>
        <w:t xml:space="preserve">. The post explained briefly why I was seeking </w:t>
      </w:r>
      <w:r w:rsidR="00A3110F" w:rsidRPr="00234D10">
        <w:rPr>
          <w:rFonts w:asciiTheme="minorHAnsi" w:hAnsiTheme="minorHAnsi" w:cstheme="minorHAnsi"/>
        </w:rPr>
        <w:t>people’s experiences</w:t>
      </w:r>
      <w:r w:rsidR="00D22CDC" w:rsidRPr="00234D10">
        <w:rPr>
          <w:rFonts w:asciiTheme="minorHAnsi" w:hAnsiTheme="minorHAnsi" w:cstheme="minorHAnsi"/>
        </w:rPr>
        <w:t xml:space="preserve"> </w:t>
      </w:r>
      <w:r w:rsidR="00A3110F" w:rsidRPr="00234D10">
        <w:rPr>
          <w:rFonts w:asciiTheme="minorHAnsi" w:hAnsiTheme="minorHAnsi" w:cstheme="minorHAnsi"/>
        </w:rPr>
        <w:t>of</w:t>
      </w:r>
      <w:r w:rsidR="00D22CDC" w:rsidRPr="00234D10">
        <w:rPr>
          <w:rFonts w:asciiTheme="minorHAnsi" w:hAnsiTheme="minorHAnsi" w:cstheme="minorHAnsi"/>
        </w:rPr>
        <w:t xml:space="preserve"> </w:t>
      </w:r>
      <w:r w:rsidR="00A3110F" w:rsidRPr="00234D10">
        <w:rPr>
          <w:rFonts w:asciiTheme="minorHAnsi" w:hAnsiTheme="minorHAnsi" w:cstheme="minorHAnsi"/>
        </w:rPr>
        <w:t xml:space="preserve">seeing or trying to see </w:t>
      </w:r>
      <w:r w:rsidR="00D22CDC" w:rsidRPr="00234D10">
        <w:rPr>
          <w:rFonts w:asciiTheme="minorHAnsi" w:hAnsiTheme="minorHAnsi" w:cstheme="minorHAnsi"/>
        </w:rPr>
        <w:t>the phenomenon and how the results would be</w:t>
      </w:r>
      <w:r w:rsidR="00CF0212">
        <w:rPr>
          <w:rFonts w:asciiTheme="minorHAnsi" w:hAnsiTheme="minorHAnsi" w:cstheme="minorHAnsi"/>
        </w:rPr>
        <w:t xml:space="preserve"> used</w:t>
      </w:r>
      <w:r w:rsidR="00A3110F" w:rsidRPr="00234D10">
        <w:rPr>
          <w:rFonts w:asciiTheme="minorHAnsi" w:hAnsiTheme="minorHAnsi" w:cstheme="minorHAnsi"/>
        </w:rPr>
        <w:t>.</w:t>
      </w:r>
      <w:r w:rsidR="00D22CDC" w:rsidRPr="00234D10">
        <w:rPr>
          <w:rFonts w:asciiTheme="minorHAnsi" w:hAnsiTheme="minorHAnsi" w:cstheme="minorHAnsi"/>
        </w:rPr>
        <w:t xml:space="preserve"> </w:t>
      </w:r>
      <w:r w:rsidR="00A3110F" w:rsidRPr="00234D10">
        <w:rPr>
          <w:rFonts w:asciiTheme="minorHAnsi" w:hAnsiTheme="minorHAnsi" w:cstheme="minorHAnsi"/>
        </w:rPr>
        <w:t>The</w:t>
      </w:r>
      <w:r w:rsidR="00D22CDC" w:rsidRPr="00234D10">
        <w:rPr>
          <w:rFonts w:asciiTheme="minorHAnsi" w:hAnsiTheme="minorHAnsi" w:cstheme="minorHAnsi"/>
        </w:rPr>
        <w:t xml:space="preserve"> post elicited </w:t>
      </w:r>
      <w:r w:rsidR="00A42C7C" w:rsidRPr="00234D10">
        <w:rPr>
          <w:rFonts w:asciiTheme="minorHAnsi" w:hAnsiTheme="minorHAnsi" w:cstheme="minorHAnsi"/>
        </w:rPr>
        <w:t>32</w:t>
      </w:r>
      <w:r w:rsidR="00D22CDC" w:rsidRPr="00234D10">
        <w:rPr>
          <w:rFonts w:asciiTheme="minorHAnsi" w:hAnsiTheme="minorHAnsi" w:cstheme="minorHAnsi"/>
        </w:rPr>
        <w:t xml:space="preserve"> </w:t>
      </w:r>
      <w:r w:rsidR="00A42C7C" w:rsidRPr="00234D10">
        <w:rPr>
          <w:rFonts w:asciiTheme="minorHAnsi" w:hAnsiTheme="minorHAnsi" w:cstheme="minorHAnsi"/>
        </w:rPr>
        <w:t xml:space="preserve">likes and 15 </w:t>
      </w:r>
      <w:r w:rsidR="00D22CDC" w:rsidRPr="00234D10">
        <w:rPr>
          <w:rFonts w:asciiTheme="minorHAnsi" w:hAnsiTheme="minorHAnsi" w:cstheme="minorHAnsi"/>
        </w:rPr>
        <w:t>responses</w:t>
      </w:r>
      <w:r w:rsidR="00A42C7C" w:rsidRPr="00234D10">
        <w:rPr>
          <w:rFonts w:asciiTheme="minorHAnsi" w:hAnsiTheme="minorHAnsi" w:cstheme="minorHAnsi"/>
        </w:rPr>
        <w:t xml:space="preserve">, some </w:t>
      </w:r>
      <w:r w:rsidR="00A3110F" w:rsidRPr="00234D10">
        <w:rPr>
          <w:rFonts w:asciiTheme="minorHAnsi" w:hAnsiTheme="minorHAnsi" w:cstheme="minorHAnsi"/>
        </w:rPr>
        <w:t xml:space="preserve">of those </w:t>
      </w:r>
      <w:r w:rsidR="00A42C7C" w:rsidRPr="00234D10">
        <w:rPr>
          <w:rFonts w:asciiTheme="minorHAnsi" w:hAnsiTheme="minorHAnsi" w:cstheme="minorHAnsi"/>
        </w:rPr>
        <w:t xml:space="preserve">responses </w:t>
      </w:r>
      <w:r w:rsidR="00A3110F" w:rsidRPr="00234D10">
        <w:rPr>
          <w:rFonts w:asciiTheme="minorHAnsi" w:hAnsiTheme="minorHAnsi" w:cstheme="minorHAnsi"/>
        </w:rPr>
        <w:t>started small</w:t>
      </w:r>
      <w:r w:rsidR="00A42C7C" w:rsidRPr="00234D10">
        <w:rPr>
          <w:rFonts w:asciiTheme="minorHAnsi" w:hAnsiTheme="minorHAnsi" w:cstheme="minorHAnsi"/>
        </w:rPr>
        <w:t xml:space="preserve"> </w:t>
      </w:r>
      <w:r w:rsidR="00D22CDC" w:rsidRPr="00234D10">
        <w:rPr>
          <w:rFonts w:asciiTheme="minorHAnsi" w:hAnsiTheme="minorHAnsi" w:cstheme="minorHAnsi"/>
        </w:rPr>
        <w:t>discussion</w:t>
      </w:r>
      <w:r w:rsidR="00A3110F" w:rsidRPr="00234D10">
        <w:rPr>
          <w:rFonts w:asciiTheme="minorHAnsi" w:hAnsiTheme="minorHAnsi" w:cstheme="minorHAnsi"/>
        </w:rPr>
        <w:t>s</w:t>
      </w:r>
      <w:r w:rsidR="00D22CDC" w:rsidRPr="00234D10">
        <w:rPr>
          <w:rFonts w:asciiTheme="minorHAnsi" w:hAnsiTheme="minorHAnsi" w:cstheme="minorHAnsi"/>
        </w:rPr>
        <w:t>.</w:t>
      </w:r>
      <w:r w:rsidR="00A42C7C" w:rsidRPr="00234D10">
        <w:rPr>
          <w:rFonts w:asciiTheme="minorHAnsi" w:hAnsiTheme="minorHAnsi" w:cstheme="minorHAnsi"/>
        </w:rPr>
        <w:t xml:space="preserve"> </w:t>
      </w:r>
      <w:r w:rsidR="00A3110F" w:rsidRPr="00234D10">
        <w:rPr>
          <w:rFonts w:asciiTheme="minorHAnsi" w:hAnsiTheme="minorHAnsi" w:cstheme="minorHAnsi"/>
        </w:rPr>
        <w:t xml:space="preserve">Although </w:t>
      </w:r>
      <w:r w:rsidR="00CF0212">
        <w:rPr>
          <w:rFonts w:asciiTheme="minorHAnsi" w:hAnsiTheme="minorHAnsi" w:cstheme="minorHAnsi"/>
        </w:rPr>
        <w:t>not in the original research design</w:t>
      </w:r>
      <w:r w:rsidR="00A3110F" w:rsidRPr="00234D10">
        <w:rPr>
          <w:rFonts w:asciiTheme="minorHAnsi" w:hAnsiTheme="minorHAnsi" w:cstheme="minorHAnsi"/>
        </w:rPr>
        <w:t xml:space="preserve">, </w:t>
      </w:r>
      <w:r w:rsidR="00A42C7C" w:rsidRPr="00234D10">
        <w:rPr>
          <w:rFonts w:asciiTheme="minorHAnsi" w:hAnsiTheme="minorHAnsi" w:cstheme="minorHAnsi"/>
        </w:rPr>
        <w:t xml:space="preserve">I’ve used </w:t>
      </w:r>
      <w:r w:rsidR="00A3110F" w:rsidRPr="00234D10">
        <w:rPr>
          <w:rFonts w:asciiTheme="minorHAnsi" w:hAnsiTheme="minorHAnsi" w:cstheme="minorHAnsi"/>
        </w:rPr>
        <w:t xml:space="preserve">some of the material from the Facebook responses and discussions </w:t>
      </w:r>
      <w:r w:rsidR="00A42C7C" w:rsidRPr="00234D10">
        <w:rPr>
          <w:rFonts w:asciiTheme="minorHAnsi" w:hAnsiTheme="minorHAnsi" w:cstheme="minorHAnsi"/>
        </w:rPr>
        <w:t>in the findings.</w:t>
      </w:r>
      <w:r w:rsidR="00D22CDC" w:rsidRPr="00234D10">
        <w:rPr>
          <w:rFonts w:asciiTheme="minorHAnsi" w:hAnsiTheme="minorHAnsi" w:cstheme="minorHAnsi"/>
        </w:rPr>
        <w:t xml:space="preserve"> </w:t>
      </w:r>
      <w:r w:rsidR="00CF0212">
        <w:rPr>
          <w:rFonts w:asciiTheme="minorHAnsi" w:hAnsiTheme="minorHAnsi" w:cstheme="minorHAnsi"/>
        </w:rPr>
        <w:t>Unfortunately</w:t>
      </w:r>
      <w:r w:rsidR="00A3110F" w:rsidRPr="00234D10">
        <w:rPr>
          <w:rFonts w:asciiTheme="minorHAnsi" w:hAnsiTheme="minorHAnsi" w:cstheme="minorHAnsi"/>
        </w:rPr>
        <w:t>, o</w:t>
      </w:r>
      <w:r w:rsidR="00D22CDC" w:rsidRPr="00234D10">
        <w:rPr>
          <w:rFonts w:asciiTheme="minorHAnsi" w:hAnsiTheme="minorHAnsi" w:cstheme="minorHAnsi"/>
        </w:rPr>
        <w:t xml:space="preserve">nly </w:t>
      </w:r>
      <w:r w:rsidR="006B3448" w:rsidRPr="00234D10">
        <w:rPr>
          <w:rFonts w:asciiTheme="minorHAnsi" w:hAnsiTheme="minorHAnsi" w:cstheme="minorHAnsi"/>
        </w:rPr>
        <w:t>four</w:t>
      </w:r>
      <w:r w:rsidR="00D22CDC" w:rsidRPr="00234D10">
        <w:rPr>
          <w:rFonts w:asciiTheme="minorHAnsi" w:hAnsiTheme="minorHAnsi" w:cstheme="minorHAnsi"/>
        </w:rPr>
        <w:t xml:space="preserve"> questionnaires were submitted. </w:t>
      </w:r>
      <w:r w:rsidR="00A3110F" w:rsidRPr="00234D10">
        <w:rPr>
          <w:rFonts w:asciiTheme="minorHAnsi" w:hAnsiTheme="minorHAnsi" w:cstheme="minorHAnsi"/>
        </w:rPr>
        <w:t>And because</w:t>
      </w:r>
      <w:r w:rsidR="00D22CDC" w:rsidRPr="00234D10">
        <w:rPr>
          <w:rFonts w:asciiTheme="minorHAnsi" w:hAnsiTheme="minorHAnsi" w:cstheme="minorHAnsi"/>
        </w:rPr>
        <w:t xml:space="preserve"> </w:t>
      </w:r>
      <w:r w:rsidR="00CF0212">
        <w:rPr>
          <w:rFonts w:asciiTheme="minorHAnsi" w:hAnsiTheme="minorHAnsi" w:cstheme="minorHAnsi"/>
        </w:rPr>
        <w:t xml:space="preserve">of this low response rate, I decided to use first-hand experiences </w:t>
      </w:r>
      <w:r w:rsidR="00D357D1">
        <w:rPr>
          <w:rFonts w:asciiTheme="minorHAnsi" w:hAnsiTheme="minorHAnsi" w:cstheme="minorHAnsi"/>
        </w:rPr>
        <w:t>from</w:t>
      </w:r>
      <w:r w:rsidR="00CF0212">
        <w:rPr>
          <w:rFonts w:asciiTheme="minorHAnsi" w:hAnsiTheme="minorHAnsi" w:cstheme="minorHAnsi"/>
        </w:rPr>
        <w:t xml:space="preserve"> published texts and my own experience</w:t>
      </w:r>
      <w:r w:rsidR="003833A5">
        <w:rPr>
          <w:rFonts w:asciiTheme="minorHAnsi" w:hAnsiTheme="minorHAnsi" w:cstheme="minorHAnsi"/>
        </w:rPr>
        <w:t xml:space="preserve"> (</w:t>
      </w:r>
      <w:r w:rsidR="003833A5">
        <w:rPr>
          <w:rFonts w:asciiTheme="minorHAnsi" w:hAnsiTheme="minorHAnsi" w:cstheme="minorHAnsi"/>
        </w:rPr>
        <w:fldChar w:fldCharType="begin"/>
      </w:r>
      <w:r w:rsidR="003833A5">
        <w:rPr>
          <w:rFonts w:asciiTheme="minorHAnsi" w:hAnsiTheme="minorHAnsi" w:cstheme="minorHAnsi"/>
        </w:rPr>
        <w:instrText xml:space="preserve"> REF _Ref78321974 \h </w:instrText>
      </w:r>
      <w:r w:rsidR="003833A5">
        <w:rPr>
          <w:rFonts w:asciiTheme="minorHAnsi" w:hAnsiTheme="minorHAnsi" w:cstheme="minorHAnsi"/>
        </w:rPr>
      </w:r>
      <w:r w:rsidR="003833A5">
        <w:rPr>
          <w:rFonts w:asciiTheme="minorHAnsi" w:hAnsiTheme="minorHAnsi" w:cstheme="minorHAnsi"/>
        </w:rPr>
        <w:fldChar w:fldCharType="separate"/>
      </w:r>
      <w:r w:rsidR="003833A5">
        <w:t>Appendix B</w:t>
      </w:r>
      <w:r w:rsidR="003833A5">
        <w:rPr>
          <w:rFonts w:asciiTheme="minorHAnsi" w:hAnsiTheme="minorHAnsi" w:cstheme="minorHAnsi"/>
        </w:rPr>
        <w:fldChar w:fldCharType="end"/>
      </w:r>
      <w:r w:rsidR="003833A5">
        <w:rPr>
          <w:rFonts w:asciiTheme="minorHAnsi" w:hAnsiTheme="minorHAnsi" w:cstheme="minorHAnsi"/>
        </w:rPr>
        <w:t>)</w:t>
      </w:r>
      <w:r w:rsidR="00D357D1">
        <w:rPr>
          <w:rFonts w:asciiTheme="minorHAnsi" w:hAnsiTheme="minorHAnsi" w:cstheme="minorHAnsi"/>
        </w:rPr>
        <w:t xml:space="preserve"> With such small research data gathered from the original research plan, by deciding to bring in the published texts and autoethnography of my own experience, my findings and discussion were, as Katz describes ‘t</w:t>
      </w:r>
      <w:r w:rsidR="00D357D1">
        <w:rPr>
          <w:rFonts w:cs="Calibri"/>
        </w:rPr>
        <w:t>he path from describing how people do things to explaining why they so act must initially be sensed more than articulated because ethnography eschews thoroughly pre-fixed ideas for data gathering…’</w:t>
      </w:r>
      <w:r w:rsidR="00D357D1">
        <w:rPr>
          <w:rStyle w:val="FootnoteReference"/>
          <w:rFonts w:cs="Calibri"/>
        </w:rPr>
        <w:footnoteReference w:id="31"/>
      </w:r>
      <w:r w:rsidR="00EF04A7">
        <w:rPr>
          <w:rFonts w:cs="Calibri"/>
        </w:rPr>
        <w:t xml:space="preserve"> </w:t>
      </w:r>
      <w:r w:rsidR="003833A5">
        <w:rPr>
          <w:rFonts w:cs="Calibri"/>
        </w:rPr>
        <w:t>The case study</w:t>
      </w:r>
      <w:r w:rsidR="00092CCA">
        <w:rPr>
          <w:rFonts w:cs="Calibri"/>
        </w:rPr>
        <w:t xml:space="preserve"> doesn’t compare or analyse results with </w:t>
      </w:r>
      <w:r w:rsidR="007C7F46">
        <w:rPr>
          <w:rFonts w:cs="Calibri"/>
        </w:rPr>
        <w:t xml:space="preserve">other </w:t>
      </w:r>
      <w:r w:rsidR="00092CCA">
        <w:rPr>
          <w:rFonts w:cs="Calibri"/>
        </w:rPr>
        <w:t xml:space="preserve">case studies </w:t>
      </w:r>
      <w:r w:rsidR="007C7F46">
        <w:rPr>
          <w:rFonts w:cs="Calibri"/>
        </w:rPr>
        <w:t>of belief and ritual in solstice observations</w:t>
      </w:r>
      <w:r w:rsidR="00DB34EB">
        <w:rPr>
          <w:rFonts w:cs="Calibri"/>
        </w:rPr>
        <w:t>.</w:t>
      </w:r>
      <w:r w:rsidR="007C7F46">
        <w:rPr>
          <w:rFonts w:cs="Calibri"/>
        </w:rPr>
        <w:t xml:space="preserve"> </w:t>
      </w:r>
      <w:r w:rsidR="00177821">
        <w:rPr>
          <w:rFonts w:cs="Calibri"/>
        </w:rPr>
        <w:t xml:space="preserve">The issues of comparing a local case study to a large one is explored by </w:t>
      </w:r>
      <w:r w:rsidR="002709F6">
        <w:rPr>
          <w:rFonts w:cs="Calibri"/>
        </w:rPr>
        <w:t xml:space="preserve">Davie </w:t>
      </w:r>
      <w:r w:rsidR="00177821">
        <w:rPr>
          <w:rFonts w:cs="Calibri"/>
        </w:rPr>
        <w:t>who seeks to reconcile differences between what was discovered in Liverpool to the findings of her</w:t>
      </w:r>
      <w:r w:rsidR="003833A5">
        <w:rPr>
          <w:rFonts w:cs="Calibri"/>
        </w:rPr>
        <w:t xml:space="preserve"> larger and more</w:t>
      </w:r>
      <w:r w:rsidR="00177821">
        <w:rPr>
          <w:rFonts w:cs="Calibri"/>
        </w:rPr>
        <w:t xml:space="preserve"> </w:t>
      </w:r>
      <w:r w:rsidR="002F1772">
        <w:rPr>
          <w:rFonts w:cs="Calibri"/>
        </w:rPr>
        <w:t>comprehensive</w:t>
      </w:r>
      <w:r w:rsidR="002709F6">
        <w:rPr>
          <w:rFonts w:cs="Calibri"/>
        </w:rPr>
        <w:t xml:space="preserve"> British study</w:t>
      </w:r>
      <w:r w:rsidR="003833A5">
        <w:rPr>
          <w:rFonts w:cs="Calibri"/>
        </w:rPr>
        <w:t>.</w:t>
      </w:r>
      <w:r w:rsidR="001D5DC3">
        <w:rPr>
          <w:rStyle w:val="FootnoteReference"/>
          <w:rFonts w:cs="Calibri"/>
        </w:rPr>
        <w:footnoteReference w:id="32"/>
      </w:r>
      <w:r w:rsidR="00DB34EB">
        <w:rPr>
          <w:rFonts w:cs="Calibri"/>
        </w:rPr>
        <w:t xml:space="preserve"> </w:t>
      </w:r>
      <w:r w:rsidR="00177821">
        <w:rPr>
          <w:rFonts w:cs="Calibri"/>
        </w:rPr>
        <w:t>S</w:t>
      </w:r>
      <w:r w:rsidR="00805E75">
        <w:rPr>
          <w:rFonts w:cs="Calibri"/>
        </w:rPr>
        <w:t xml:space="preserve">he argues that although </w:t>
      </w:r>
      <w:r w:rsidR="00177821">
        <w:rPr>
          <w:rFonts w:cs="Calibri"/>
        </w:rPr>
        <w:t>comparing case studies in this way</w:t>
      </w:r>
      <w:r w:rsidR="001D5DC3">
        <w:rPr>
          <w:rFonts w:cs="Calibri"/>
        </w:rPr>
        <w:t xml:space="preserve"> </w:t>
      </w:r>
      <w:r w:rsidR="00805E75">
        <w:rPr>
          <w:rFonts w:cs="Calibri"/>
        </w:rPr>
        <w:t>is problematic, the nature of the</w:t>
      </w:r>
      <w:r w:rsidR="00077B76">
        <w:rPr>
          <w:rFonts w:cs="Calibri"/>
        </w:rPr>
        <w:t xml:space="preserve"> localised</w:t>
      </w:r>
      <w:r w:rsidR="00805E75">
        <w:rPr>
          <w:rFonts w:cs="Calibri"/>
        </w:rPr>
        <w:t xml:space="preserve"> study and </w:t>
      </w:r>
      <w:r w:rsidR="00077B76">
        <w:rPr>
          <w:rFonts w:cs="Calibri"/>
        </w:rPr>
        <w:t xml:space="preserve">features of that </w:t>
      </w:r>
      <w:r w:rsidR="008A3AE1">
        <w:rPr>
          <w:rFonts w:cs="Calibri"/>
        </w:rPr>
        <w:t xml:space="preserve">specific </w:t>
      </w:r>
      <w:r w:rsidR="00805E75">
        <w:rPr>
          <w:rFonts w:cs="Calibri"/>
        </w:rPr>
        <w:t xml:space="preserve">locality can be studied </w:t>
      </w:r>
      <w:r w:rsidR="008A3AE1">
        <w:rPr>
          <w:rFonts w:cs="Calibri"/>
        </w:rPr>
        <w:t>to explain departures from the findings of the larger study</w:t>
      </w:r>
      <w:r w:rsidR="001D5DC3">
        <w:rPr>
          <w:rFonts w:cs="Calibri"/>
        </w:rPr>
        <w:t xml:space="preserve"> that increase our understanding</w:t>
      </w:r>
      <w:r w:rsidR="00805E75">
        <w:rPr>
          <w:rFonts w:cs="Calibri"/>
        </w:rPr>
        <w:t>.</w:t>
      </w:r>
      <w:r w:rsidR="00805E75">
        <w:rPr>
          <w:rStyle w:val="FootnoteReference"/>
          <w:rFonts w:cs="Calibri"/>
        </w:rPr>
        <w:footnoteReference w:id="33"/>
      </w:r>
    </w:p>
    <w:p w14:paraId="35E146C0" w14:textId="57AB9FEF" w:rsidR="004F1CFE" w:rsidRDefault="00305486" w:rsidP="00305486">
      <w:pPr>
        <w:pStyle w:val="Body"/>
        <w:ind w:firstLine="720"/>
        <w:rPr>
          <w:rFonts w:ascii="Arial" w:hAnsi="Arial"/>
        </w:rPr>
      </w:pPr>
      <w:r>
        <w:rPr>
          <w:rFonts w:ascii="Calibri" w:eastAsia="Calibri" w:hAnsi="Calibri" w:cs="Calibri"/>
          <w:color w:val="auto"/>
          <w:sz w:val="22"/>
          <w:szCs w:val="22"/>
          <w:bdr w:val="none" w:sz="0" w:space="0" w:color="auto"/>
          <w:lang w:val="en-GB" w:eastAsia="en-US"/>
        </w:rPr>
        <w:t xml:space="preserve">I’m an outsider for this </w:t>
      </w:r>
      <w:r w:rsidR="007E0988">
        <w:rPr>
          <w:rFonts w:ascii="Calibri" w:eastAsia="Calibri" w:hAnsi="Calibri" w:cs="Calibri"/>
          <w:color w:val="auto"/>
          <w:sz w:val="22"/>
          <w:szCs w:val="22"/>
          <w:bdr w:val="none" w:sz="0" w:space="0" w:color="auto"/>
          <w:lang w:val="en-GB" w:eastAsia="en-US"/>
        </w:rPr>
        <w:t xml:space="preserve">research </w:t>
      </w:r>
      <w:r>
        <w:rPr>
          <w:rFonts w:ascii="Calibri" w:eastAsia="Calibri" w:hAnsi="Calibri" w:cs="Calibri"/>
          <w:color w:val="auto"/>
          <w:sz w:val="22"/>
          <w:szCs w:val="22"/>
          <w:bdr w:val="none" w:sz="0" w:space="0" w:color="auto"/>
          <w:lang w:val="en-GB" w:eastAsia="en-US"/>
        </w:rPr>
        <w:t>subject and the participants</w:t>
      </w:r>
      <w:r w:rsidR="007E0988">
        <w:rPr>
          <w:rFonts w:ascii="Calibri" w:eastAsia="Calibri" w:hAnsi="Calibri" w:cs="Calibri"/>
          <w:color w:val="auto"/>
          <w:sz w:val="22"/>
          <w:szCs w:val="22"/>
          <w:bdr w:val="none" w:sz="0" w:space="0" w:color="auto"/>
          <w:lang w:val="en-GB" w:eastAsia="en-US"/>
        </w:rPr>
        <w:t xml:space="preserve"> realise it the moment I speak. My Californian accent can be an advantage, as an outsider I think the participants can’t place me in their own bias, unless they don’t particularly like Americans. My roots run deep in Staffordshire, but The Potteries, not the Moorlands. But for this research, asking people to talk about their town and interests, was easy and brought out the storyteller in those that participated. But not being from the culture, in the blood and in the bone, meant that I risked misunderstanding casual speech, and as </w:t>
      </w:r>
      <w:r w:rsidR="007E0988">
        <w:rPr>
          <w:rFonts w:ascii="Calibri" w:eastAsia="Calibri" w:hAnsi="Calibri" w:cs="Calibri"/>
          <w:color w:val="auto"/>
          <w:sz w:val="22"/>
          <w:szCs w:val="22"/>
          <w:bdr w:val="none" w:sz="0" w:space="0" w:color="auto"/>
          <w:lang w:val="en-GB" w:eastAsia="en-US"/>
        </w:rPr>
        <w:lastRenderedPageBreak/>
        <w:t xml:space="preserve">Hufford acknowledges </w:t>
      </w:r>
      <w:r>
        <w:rPr>
          <w:rFonts w:ascii="Calibri" w:eastAsia="Calibri" w:hAnsi="Calibri" w:cs="Calibri"/>
          <w:color w:val="auto"/>
          <w:sz w:val="22"/>
          <w:szCs w:val="22"/>
          <w:bdr w:val="none" w:sz="0" w:space="0" w:color="auto"/>
          <w:lang w:val="en-GB" w:eastAsia="en-US"/>
        </w:rPr>
        <w:t>‘</w:t>
      </w:r>
      <w:r w:rsidRPr="00305486">
        <w:rPr>
          <w:rFonts w:ascii="Calibri" w:eastAsia="Calibri" w:hAnsi="Calibri" w:cs="Calibri"/>
          <w:color w:val="auto"/>
          <w:sz w:val="22"/>
          <w:szCs w:val="22"/>
          <w:bdr w:val="none" w:sz="0" w:space="0" w:color="auto"/>
          <w:lang w:val="en-GB" w:eastAsia="en-US"/>
        </w:rPr>
        <w:t>Uncertainty, and the political importance of knowledge, require reflexivity as a check on the natural tendency for tacit interests to exploit ambiguity</w:t>
      </w:r>
      <w:r>
        <w:rPr>
          <w:rFonts w:ascii="Calibri" w:eastAsia="Calibri" w:hAnsi="Calibri" w:cs="Calibri"/>
          <w:color w:val="auto"/>
          <w:sz w:val="22"/>
          <w:szCs w:val="22"/>
          <w:bdr w:val="none" w:sz="0" w:space="0" w:color="auto"/>
          <w:lang w:val="en-GB" w:eastAsia="en-US"/>
        </w:rPr>
        <w:t>.</w:t>
      </w:r>
      <w:r w:rsidRPr="00305486">
        <w:rPr>
          <w:rFonts w:ascii="Calibri" w:eastAsia="Calibri" w:hAnsi="Calibri" w:cs="Calibri"/>
          <w:color w:val="auto"/>
          <w:sz w:val="22"/>
          <w:szCs w:val="22"/>
          <w:bdr w:val="none" w:sz="0" w:space="0" w:color="auto"/>
          <w:lang w:val="en-GB" w:eastAsia="en-US"/>
        </w:rPr>
        <w:t>’</w:t>
      </w:r>
      <w:r>
        <w:rPr>
          <w:rStyle w:val="FootnoteReference"/>
        </w:rPr>
        <w:footnoteReference w:id="34"/>
      </w:r>
      <w:r w:rsidR="007E0988">
        <w:rPr>
          <w:rFonts w:ascii="Calibri" w:eastAsia="Calibri" w:hAnsi="Calibri" w:cs="Calibri"/>
          <w:color w:val="auto"/>
          <w:sz w:val="22"/>
          <w:szCs w:val="22"/>
          <w:bdr w:val="none" w:sz="0" w:space="0" w:color="auto"/>
          <w:lang w:val="en-GB" w:eastAsia="en-US"/>
        </w:rPr>
        <w:t xml:space="preserve"> </w:t>
      </w:r>
    </w:p>
    <w:p w14:paraId="1C88FE5D" w14:textId="4AD84AF0" w:rsidR="00B91C58" w:rsidRDefault="009509B2">
      <w:pPr>
        <w:pStyle w:val="Heading1"/>
        <w:rPr>
          <w:color w:val="auto"/>
        </w:rPr>
      </w:pPr>
      <w:r>
        <w:rPr>
          <w:color w:val="auto"/>
        </w:rPr>
        <w:t>Findings</w:t>
      </w:r>
      <w:r w:rsidR="003F6E1D">
        <w:rPr>
          <w:color w:val="auto"/>
        </w:rPr>
        <w:t xml:space="preserve"> and discussion (2,600 </w:t>
      </w:r>
      <w:r w:rsidR="00A05D90">
        <w:rPr>
          <w:color w:val="auto"/>
        </w:rPr>
        <w:t>now</w:t>
      </w:r>
      <w:r w:rsidR="00391FC0">
        <w:rPr>
          <w:color w:val="auto"/>
        </w:rPr>
        <w:t xml:space="preserve"> </w:t>
      </w:r>
      <w:r w:rsidR="00BD14B6">
        <w:rPr>
          <w:color w:val="auto"/>
        </w:rPr>
        <w:t>2,</w:t>
      </w:r>
      <w:r w:rsidR="00DC1AD2">
        <w:rPr>
          <w:color w:val="auto"/>
        </w:rPr>
        <w:t>62</w:t>
      </w:r>
      <w:r w:rsidR="00C73B96">
        <w:rPr>
          <w:color w:val="auto"/>
        </w:rPr>
        <w:t>1</w:t>
      </w:r>
      <w:r w:rsidR="003F6E1D">
        <w:rPr>
          <w:color w:val="auto"/>
        </w:rPr>
        <w:t>)</w:t>
      </w:r>
    </w:p>
    <w:p w14:paraId="5F867A26" w14:textId="3A3474E1" w:rsidR="003C7B37" w:rsidRDefault="003C7B37">
      <w:pPr>
        <w:suppressAutoHyphens w:val="0"/>
        <w:rPr>
          <w:rFonts w:ascii="Calibri Light" w:eastAsia="Times New Roman" w:hAnsi="Calibri Light"/>
          <w:color w:val="2F5496"/>
          <w:sz w:val="26"/>
          <w:szCs w:val="26"/>
        </w:rPr>
      </w:pPr>
    </w:p>
    <w:p w14:paraId="15901BC9" w14:textId="30A2575C" w:rsidR="0012677F" w:rsidRDefault="0012677F" w:rsidP="0012677F">
      <w:pPr>
        <w:pStyle w:val="Heading2"/>
      </w:pPr>
      <w:r>
        <w:t>Ritual</w:t>
      </w:r>
      <w:r w:rsidR="00B52841">
        <w:t>s</w:t>
      </w:r>
    </w:p>
    <w:p w14:paraId="101EAFBF" w14:textId="3CD6F48A" w:rsidR="00AB428F" w:rsidRDefault="00575BAF" w:rsidP="00313794">
      <w:pPr>
        <w:spacing w:after="0" w:line="240" w:lineRule="auto"/>
        <w:ind w:firstLine="720"/>
      </w:pPr>
      <w:r>
        <w:t>I</w:t>
      </w:r>
      <w:r w:rsidR="00C67801">
        <w:t>n 1896</w:t>
      </w:r>
      <w:r>
        <w:t xml:space="preserve"> Burne reports</w:t>
      </w:r>
      <w:r w:rsidR="00C67801">
        <w:t xml:space="preserve"> </w:t>
      </w:r>
      <w:r w:rsidR="0049524A">
        <w:t xml:space="preserve">that </w:t>
      </w:r>
      <w:r w:rsidR="006A69C2">
        <w:t xml:space="preserve">‘Staffordshire people everywhere love festivities. The cheery hospitable nature </w:t>
      </w:r>
      <w:r w:rsidR="0049524A">
        <w:t>…</w:t>
      </w:r>
      <w:r w:rsidR="006A69C2">
        <w:t xml:space="preserve"> temper of "goodwill" and friendliness is met with throughout the county; and so is the same racy humour and readiness of speech. A stranger would suppose the people were continually quoting proverbs, but as often as not their epigrammatic sayings are the coinage of their own brain.’</w:t>
      </w:r>
      <w:r w:rsidR="006A69C2">
        <w:rPr>
          <w:rStyle w:val="FootnoteReference"/>
        </w:rPr>
        <w:footnoteReference w:id="35"/>
      </w:r>
      <w:r w:rsidR="00FB4D4A">
        <w:t xml:space="preserve"> </w:t>
      </w:r>
      <w:r w:rsidR="00C84B21">
        <w:t>One of the people I interviewed</w:t>
      </w:r>
      <w:r w:rsidR="00FB4D4A">
        <w:t xml:space="preserve"> </w:t>
      </w:r>
      <w:r w:rsidR="00FB3495">
        <w:t>related a story about a 1970’s double-sunset</w:t>
      </w:r>
      <w:r w:rsidR="00C67801">
        <w:t xml:space="preserve"> </w:t>
      </w:r>
      <w:r w:rsidR="00C84B21">
        <w:t xml:space="preserve">and </w:t>
      </w:r>
      <w:r w:rsidR="00C67801">
        <w:t xml:space="preserve">had this example of ritual </w:t>
      </w:r>
      <w:r w:rsidR="005E127B">
        <w:t>with a</w:t>
      </w:r>
      <w:r w:rsidR="00C67801">
        <w:t xml:space="preserve"> cheeky </w:t>
      </w:r>
      <w:r w:rsidR="005E127B">
        <w:t>twist</w:t>
      </w:r>
      <w:r w:rsidR="00C67801">
        <w:t>, maybe even</w:t>
      </w:r>
      <w:r>
        <w:t xml:space="preserve"> modern </w:t>
      </w:r>
      <w:r w:rsidRPr="00575BAF">
        <w:rPr>
          <w:i/>
          <w:iCs/>
        </w:rPr>
        <w:t>charivari</w:t>
      </w:r>
      <w:r w:rsidR="00FA6B37">
        <w:t>:</w:t>
      </w:r>
      <w:r w:rsidRPr="00575BAF">
        <w:t xml:space="preserve"> </w:t>
      </w:r>
      <w:r>
        <w:t xml:space="preserve">the </w:t>
      </w:r>
      <w:r w:rsidR="00C67801">
        <w:t>‘world-turned-upside down’</w:t>
      </w:r>
      <w:r w:rsidR="00FB4D4A">
        <w:t xml:space="preserve">. </w:t>
      </w:r>
      <w:r w:rsidR="00FA6B37">
        <w:t>Founder</w:t>
      </w:r>
      <w:r>
        <w:t xml:space="preserve"> of a</w:t>
      </w:r>
      <w:r w:rsidR="00FB4D4A">
        <w:t xml:space="preserve"> </w:t>
      </w:r>
      <w:r w:rsidR="00FB3495">
        <w:t xml:space="preserve">monthly meeting of </w:t>
      </w:r>
      <w:r w:rsidR="00FB4D4A">
        <w:t xml:space="preserve">the </w:t>
      </w:r>
      <w:r w:rsidR="00FB3495" w:rsidRPr="00575BAF">
        <w:rPr>
          <w:i/>
          <w:iCs/>
        </w:rPr>
        <w:t>Green Dragon Mysteries Society</w:t>
      </w:r>
      <w:r w:rsidR="0041379B">
        <w:t xml:space="preserve">, </w:t>
      </w:r>
      <w:r w:rsidR="00B963A4">
        <w:t xml:space="preserve">who met </w:t>
      </w:r>
      <w:r w:rsidR="00C84B21">
        <w:t xml:space="preserve">for twelve years </w:t>
      </w:r>
      <w:r w:rsidR="00B963A4">
        <w:t>at</w:t>
      </w:r>
      <w:r w:rsidR="00C84B21">
        <w:t xml:space="preserve"> </w:t>
      </w:r>
      <w:r w:rsidR="00FA6B37">
        <w:t xml:space="preserve">The White Swan, </w:t>
      </w:r>
      <w:r w:rsidR="00C84B21">
        <w:t xml:space="preserve">the oldest pub in Leek. </w:t>
      </w:r>
      <w:r w:rsidR="00FA6B37">
        <w:t>Over a beer they would talk</w:t>
      </w:r>
      <w:r w:rsidR="00B963A4">
        <w:t xml:space="preserve"> about </w:t>
      </w:r>
      <w:r w:rsidR="00FA6B37">
        <w:t xml:space="preserve">history, </w:t>
      </w:r>
      <w:r w:rsidR="00B963A4">
        <w:t>folklore</w:t>
      </w:r>
      <w:r w:rsidR="00FA6B37">
        <w:t xml:space="preserve"> and science fiction</w:t>
      </w:r>
      <w:r w:rsidR="00C84B21">
        <w:t xml:space="preserve">, </w:t>
      </w:r>
      <w:r w:rsidR="00FA6B37">
        <w:t>enjoying</w:t>
      </w:r>
      <w:r w:rsidR="00C84B21">
        <w:t xml:space="preserve"> the camaraderie</w:t>
      </w:r>
      <w:r w:rsidR="00FA6B37">
        <w:t>, inviting speakers and attracting up to 250 people to some special events. S</w:t>
      </w:r>
      <w:r w:rsidR="00C84B21">
        <w:t xml:space="preserve">ometimes they </w:t>
      </w:r>
      <w:r w:rsidR="00FA6B37">
        <w:t>visited local</w:t>
      </w:r>
      <w:r w:rsidR="00C84B21">
        <w:t xml:space="preserve"> sites</w:t>
      </w:r>
      <w:r w:rsidR="00FA6B37">
        <w:t>,</w:t>
      </w:r>
      <w:r w:rsidR="00C84B21">
        <w:t xml:space="preserve"> such as Lud’s Church</w:t>
      </w:r>
      <w:r w:rsidR="00FA6B37">
        <w:t>:</w:t>
      </w:r>
      <w:r w:rsidR="00C84B21">
        <w:t xml:space="preserve"> alleged setting</w:t>
      </w:r>
      <w:r w:rsidR="00AF2829">
        <w:rPr>
          <w:rStyle w:val="FootnoteReference"/>
        </w:rPr>
        <w:footnoteReference w:id="36"/>
      </w:r>
      <w:r w:rsidR="00C84B21">
        <w:t xml:space="preserve"> </w:t>
      </w:r>
      <w:r w:rsidR="00FA6B37">
        <w:t>used in the</w:t>
      </w:r>
      <w:r w:rsidR="00C84B21">
        <w:t xml:space="preserve"> poem ‘</w:t>
      </w:r>
      <w:r w:rsidR="00C84B21" w:rsidRPr="00C84B21">
        <w:rPr>
          <w:i/>
          <w:iCs/>
        </w:rPr>
        <w:t>Sir Gawain and the Green Knight’</w:t>
      </w:r>
      <w:r w:rsidR="00C84B21">
        <w:t xml:space="preserve">. </w:t>
      </w:r>
      <w:r w:rsidR="00FA6B37">
        <w:t>At a</w:t>
      </w:r>
      <w:r w:rsidR="00B963A4">
        <w:t xml:space="preserve"> </w:t>
      </w:r>
      <w:r w:rsidR="0041379B">
        <w:t>meeting</w:t>
      </w:r>
      <w:r w:rsidR="00FA6B37">
        <w:t xml:space="preserve"> held a month</w:t>
      </w:r>
      <w:r w:rsidR="00C84B21">
        <w:t xml:space="preserve"> before the summer solstice, </w:t>
      </w:r>
      <w:r w:rsidR="00FA6B37">
        <w:t>they discussed the visit churchyard to observe the double-sunset</w:t>
      </w:r>
      <w:r w:rsidR="00B963A4">
        <w:t>.</w:t>
      </w:r>
      <w:r w:rsidR="00FB3495">
        <w:t xml:space="preserve"> </w:t>
      </w:r>
      <w:r w:rsidR="00C67801">
        <w:t xml:space="preserve">He </w:t>
      </w:r>
      <w:r w:rsidR="00C84B21">
        <w:t>suggested they</w:t>
      </w:r>
      <w:r w:rsidR="00B963A4">
        <w:t xml:space="preserve"> </w:t>
      </w:r>
      <w:r w:rsidR="00FB3495" w:rsidRPr="00D1126F">
        <w:t>‘do a sun-dance to keep the rain away’</w:t>
      </w:r>
      <w:r w:rsidR="00FB3495">
        <w:t xml:space="preserve">. </w:t>
      </w:r>
      <w:r w:rsidR="00B963A4">
        <w:t xml:space="preserve">At this point </w:t>
      </w:r>
      <w:r w:rsidR="00C84B21">
        <w:t xml:space="preserve">in the re-telling </w:t>
      </w:r>
      <w:r w:rsidR="00B963A4">
        <w:t>he</w:t>
      </w:r>
      <w:r w:rsidR="00FA6B37">
        <w:t xml:space="preserve"> mused,</w:t>
      </w:r>
      <w:r w:rsidR="00FB3495">
        <w:t xml:space="preserve"> ‘don’t know if I should be telling this story</w:t>
      </w:r>
      <w:r w:rsidR="00E150F2">
        <w:t>…</w:t>
      </w:r>
      <w:r w:rsidR="00FB3495">
        <w:t>’, but then laughed</w:t>
      </w:r>
      <w:r w:rsidR="00C67801">
        <w:t xml:space="preserve">, </w:t>
      </w:r>
      <w:r w:rsidR="0041379B">
        <w:t xml:space="preserve">and </w:t>
      </w:r>
      <w:r w:rsidR="00C67801">
        <w:t xml:space="preserve">continued saying </w:t>
      </w:r>
      <w:r w:rsidR="00FB3495">
        <w:t xml:space="preserve">that the local clergy heard of the plan and </w:t>
      </w:r>
      <w:r w:rsidR="00FA6B37">
        <w:t>‘</w:t>
      </w:r>
      <w:r w:rsidR="00FB3495">
        <w:t>wrote a strong letter warning that they should not dance in the churchyard’</w:t>
      </w:r>
      <w:r w:rsidR="00C84B21">
        <w:t>.</w:t>
      </w:r>
      <w:r w:rsidR="00FB3495">
        <w:t xml:space="preserve"> </w:t>
      </w:r>
      <w:r w:rsidR="00C84B21">
        <w:t xml:space="preserve">They </w:t>
      </w:r>
      <w:r w:rsidR="00E150F2">
        <w:t>countered by saying it</w:t>
      </w:r>
      <w:r w:rsidR="00FB3495">
        <w:t xml:space="preserve"> was a ‘native ritual to perform this dance’. </w:t>
      </w:r>
      <w:r w:rsidR="00C84B21">
        <w:t>He</w:t>
      </w:r>
      <w:r w:rsidR="00FB3495">
        <w:t xml:space="preserve"> trailed off again, saying ‘I’m not going to say another word</w:t>
      </w:r>
      <w:r w:rsidR="00E150F2">
        <w:t>…</w:t>
      </w:r>
      <w:r w:rsidR="00FB3495">
        <w:t>’.</w:t>
      </w:r>
      <w:r w:rsidR="00C67801">
        <w:t xml:space="preserve"> Th</w:t>
      </w:r>
      <w:r w:rsidR="00C84B21">
        <w:t>ese</w:t>
      </w:r>
      <w:r w:rsidR="00C67801">
        <w:t xml:space="preserve"> </w:t>
      </w:r>
      <w:r w:rsidR="00C84B21">
        <w:t>were the</w:t>
      </w:r>
      <w:r w:rsidR="00C67801">
        <w:t xml:space="preserve"> time</w:t>
      </w:r>
      <w:r w:rsidR="00C84B21">
        <w:t>s</w:t>
      </w:r>
      <w:r w:rsidR="00C67801">
        <w:t xml:space="preserve"> whe</w:t>
      </w:r>
      <w:r w:rsidR="00C84B21">
        <w:t>n</w:t>
      </w:r>
      <w:r w:rsidR="00C67801">
        <w:t xml:space="preserve"> the Stonehenge Free Festival and hippies were in the news, so </w:t>
      </w:r>
      <w:r w:rsidR="00C84B21">
        <w:t xml:space="preserve">the </w:t>
      </w:r>
      <w:r w:rsidR="00C41F8F">
        <w:t>Leek</w:t>
      </w:r>
      <w:r w:rsidR="00C67801">
        <w:t xml:space="preserve"> hippies</w:t>
      </w:r>
      <w:r w:rsidR="00C84B21">
        <w:t xml:space="preserve"> </w:t>
      </w:r>
      <w:r w:rsidR="00C41F8F">
        <w:t xml:space="preserve">with their </w:t>
      </w:r>
      <w:r w:rsidR="00C84B21">
        <w:t>sun</w:t>
      </w:r>
      <w:r w:rsidR="00313794">
        <w:t>-</w:t>
      </w:r>
      <w:r w:rsidR="00C84B21">
        <w:t>dance</w:t>
      </w:r>
      <w:r w:rsidR="00C67801">
        <w:t xml:space="preserve"> </w:t>
      </w:r>
      <w:r w:rsidR="00433C82">
        <w:t xml:space="preserve">may have been a </w:t>
      </w:r>
      <w:r w:rsidR="00C84B21">
        <w:t>worry to the authority</w:t>
      </w:r>
      <w:r w:rsidR="00433C82">
        <w:t xml:space="preserve"> of the church</w:t>
      </w:r>
      <w:r w:rsidR="00C84B21">
        <w:t xml:space="preserve"> and potentially an unwelcome disruption for other </w:t>
      </w:r>
      <w:r w:rsidR="00E150F2">
        <w:t xml:space="preserve">visitors to </w:t>
      </w:r>
      <w:r w:rsidR="00C84B21">
        <w:t>the site</w:t>
      </w:r>
      <w:r w:rsidR="00C41F8F">
        <w:t>:</w:t>
      </w:r>
      <w:r w:rsidR="00FA6B37">
        <w:t xml:space="preserve"> the double sunset </w:t>
      </w:r>
      <w:r w:rsidR="00C41F8F">
        <w:t>could sometimes</w:t>
      </w:r>
      <w:r w:rsidR="00FA6B37">
        <w:t xml:space="preserve"> attract hundreds of visitors</w:t>
      </w:r>
      <w:r w:rsidR="00C84B21">
        <w:t>.</w:t>
      </w:r>
      <w:r w:rsidR="00C67801">
        <w:t xml:space="preserve"> </w:t>
      </w:r>
      <w:r w:rsidR="00C41F8F">
        <w:t>When I asked, he</w:t>
      </w:r>
      <w:r w:rsidR="00313794">
        <w:t xml:space="preserve"> confirmed </w:t>
      </w:r>
      <w:r w:rsidR="00C67801">
        <w:t xml:space="preserve">the rumour that the </w:t>
      </w:r>
      <w:r w:rsidR="000D53F0">
        <w:t>church had</w:t>
      </w:r>
      <w:r w:rsidR="00C67801">
        <w:t xml:space="preserve"> planted trees </w:t>
      </w:r>
      <w:r w:rsidR="00E150F2">
        <w:t>afterwards</w:t>
      </w:r>
      <w:r w:rsidR="00C67801">
        <w:t xml:space="preserve"> to block</w:t>
      </w:r>
      <w:r w:rsidR="00C41F8F">
        <w:t>-out</w:t>
      </w:r>
      <w:r w:rsidR="00C67801">
        <w:t xml:space="preserve"> the view </w:t>
      </w:r>
      <w:r w:rsidR="00E150F2">
        <w:t>towards Cloud</w:t>
      </w:r>
      <w:r w:rsidR="00C67801">
        <w:t xml:space="preserve">, </w:t>
      </w:r>
      <w:r w:rsidR="00433C82">
        <w:t>but by the</w:t>
      </w:r>
      <w:r w:rsidR="00313794">
        <w:t xml:space="preserve"> time of the</w:t>
      </w:r>
      <w:r w:rsidR="00433C82">
        <w:t xml:space="preserve"> 1999 midsummer solstice, in a story </w:t>
      </w:r>
      <w:r w:rsidR="00E150F2">
        <w:t>told</w:t>
      </w:r>
      <w:r w:rsidR="00433C82">
        <w:t xml:space="preserve"> by </w:t>
      </w:r>
      <w:r w:rsidR="00E150F2">
        <w:t>an</w:t>
      </w:r>
      <w:r w:rsidR="00433C82">
        <w:t xml:space="preserve">other interview subject, the church authorities </w:t>
      </w:r>
      <w:r w:rsidR="00313794">
        <w:t xml:space="preserve">had </w:t>
      </w:r>
      <w:r w:rsidR="00433C82">
        <w:t>agreed to trim the those now-grown</w:t>
      </w:r>
      <w:r w:rsidR="00C41F8F">
        <w:t>-</w:t>
      </w:r>
      <w:r w:rsidR="00433C82">
        <w:t xml:space="preserve">high trees to allow the gathered astronomers and scientific enthusiasts, who </w:t>
      </w:r>
      <w:r w:rsidR="00C41F8F">
        <w:t>visited from</w:t>
      </w:r>
      <w:r w:rsidR="00433C82">
        <w:t xml:space="preserve"> outside the area, to test their theories and make their measurements</w:t>
      </w:r>
      <w:r w:rsidR="00313794">
        <w:t xml:space="preserve"> of the double-sunset</w:t>
      </w:r>
      <w:r w:rsidR="00433C82">
        <w:t>.</w:t>
      </w:r>
      <w:r w:rsidR="00C67801">
        <w:t xml:space="preserve"> </w:t>
      </w:r>
      <w:r w:rsidR="00313794">
        <w:t xml:space="preserve">It wasn’t seen that year. </w:t>
      </w:r>
      <w:r w:rsidR="00C67801">
        <w:t>Th</w:t>
      </w:r>
      <w:r w:rsidR="00433C82">
        <w:t>e</w:t>
      </w:r>
      <w:r w:rsidR="00C67801">
        <w:t xml:space="preserve"> example</w:t>
      </w:r>
      <w:r w:rsidR="0041379B">
        <w:t xml:space="preserve"> </w:t>
      </w:r>
      <w:r w:rsidR="000D53F0">
        <w:t xml:space="preserve">of </w:t>
      </w:r>
      <w:r w:rsidR="00433C82">
        <w:t xml:space="preserve">the 1970s sun-dance </w:t>
      </w:r>
      <w:r w:rsidR="000D53F0">
        <w:t xml:space="preserve">ritual </w:t>
      </w:r>
      <w:r w:rsidR="0041379B">
        <w:t xml:space="preserve">illustrates </w:t>
      </w:r>
      <w:r w:rsidR="00C41F8F">
        <w:t>a</w:t>
      </w:r>
      <w:r w:rsidR="0041379B">
        <w:t xml:space="preserve"> blend of irreverent with the serious</w:t>
      </w:r>
      <w:r w:rsidR="00433C82">
        <w:t>. Serious, because</w:t>
      </w:r>
      <w:r w:rsidR="0041379B">
        <w:t xml:space="preserve"> the weather </w:t>
      </w:r>
      <w:r w:rsidR="00433C82">
        <w:t>did</w:t>
      </w:r>
      <w:r w:rsidR="0041379B">
        <w:t xml:space="preserve"> hinder sightings of the double-sunset for years </w:t>
      </w:r>
      <w:r w:rsidR="00433C82">
        <w:t xml:space="preserve">and </w:t>
      </w:r>
      <w:r w:rsidR="00C41F8F">
        <w:t>for the</w:t>
      </w:r>
      <w:r w:rsidR="0041379B">
        <w:t xml:space="preserve"> </w:t>
      </w:r>
      <w:r w:rsidR="0041379B" w:rsidRPr="00C41F8F">
        <w:rPr>
          <w:i/>
          <w:iCs/>
        </w:rPr>
        <w:t xml:space="preserve">Green Dragon Mysteries Society </w:t>
      </w:r>
      <w:r w:rsidR="0041379B">
        <w:t>to do a ‘sun-dance’ was a practical and fun thing to do</w:t>
      </w:r>
      <w:r w:rsidR="00D4566C">
        <w:t xml:space="preserve">, but was it wasn’t </w:t>
      </w:r>
      <w:r w:rsidR="000D53F0">
        <w:t xml:space="preserve">the </w:t>
      </w:r>
      <w:r w:rsidR="00433C82">
        <w:t xml:space="preserve">traditional </w:t>
      </w:r>
      <w:r w:rsidR="000D53F0">
        <w:t xml:space="preserve">custom </w:t>
      </w:r>
      <w:r w:rsidR="00313794">
        <w:t>they claimed</w:t>
      </w:r>
      <w:r w:rsidR="00C41F8F">
        <w:t xml:space="preserve"> when challenged</w:t>
      </w:r>
      <w:r w:rsidR="00313794">
        <w:t>.</w:t>
      </w:r>
      <w:r w:rsidR="004D3A07">
        <w:t xml:space="preserve"> </w:t>
      </w:r>
      <w:r w:rsidR="00433C82">
        <w:t xml:space="preserve">But it was a performance based on their beliefs that the site and sunset had </w:t>
      </w:r>
      <w:r w:rsidR="006C1223">
        <w:t>been</w:t>
      </w:r>
      <w:r w:rsidR="00433C82">
        <w:t xml:space="preserve"> </w:t>
      </w:r>
      <w:r w:rsidR="006C1223">
        <w:t xml:space="preserve">used from </w:t>
      </w:r>
      <w:r w:rsidR="00433C82">
        <w:t>pre-historic time</w:t>
      </w:r>
      <w:r w:rsidR="006C1223">
        <w:t>s</w:t>
      </w:r>
      <w:r w:rsidR="00433C82">
        <w:t xml:space="preserve"> and </w:t>
      </w:r>
      <w:r w:rsidR="00C41F8F">
        <w:t>exposed their</w:t>
      </w:r>
      <w:r w:rsidR="00433C82">
        <w:t xml:space="preserve"> imagination of what people</w:t>
      </w:r>
      <w:r w:rsidR="006C1223">
        <w:t xml:space="preserve"> from the past</w:t>
      </w:r>
      <w:r w:rsidR="00433C82">
        <w:t xml:space="preserve"> may have done</w:t>
      </w:r>
      <w:r w:rsidR="00313794">
        <w:t>,</w:t>
      </w:r>
      <w:r w:rsidR="00433C82">
        <w:t xml:space="preserve"> </w:t>
      </w:r>
      <w:r w:rsidR="00C41F8F">
        <w:t xml:space="preserve">perhaps </w:t>
      </w:r>
      <w:r w:rsidR="00C41F8F">
        <w:lastRenderedPageBreak/>
        <w:t xml:space="preserve">fuelled by stories of the ritual </w:t>
      </w:r>
      <w:r w:rsidR="00433C82">
        <w:t>performances by their contemporaries</w:t>
      </w:r>
      <w:r w:rsidR="006C1223">
        <w:t xml:space="preserve"> at Stonehenge</w:t>
      </w:r>
      <w:r w:rsidR="00C41F8F">
        <w:t>, expressed by someone who was there as:</w:t>
      </w:r>
      <w:r w:rsidR="006C1223">
        <w:t xml:space="preserve"> 'We come to Stonehenge because in an unstable world it is proper that the people should look to the past in order to learn for the future.... It is right that we should meekly stand in the presence of</w:t>
      </w:r>
      <w:r w:rsidR="006A7CA2">
        <w:t xml:space="preserve"> </w:t>
      </w:r>
      <w:r w:rsidR="006C1223">
        <w:t>God, but it is proper that we should sing and dance and shout for joy .... ‘</w:t>
      </w:r>
      <w:r w:rsidR="006C1223">
        <w:rPr>
          <w:rStyle w:val="FootnoteReference"/>
        </w:rPr>
        <w:footnoteReference w:id="37"/>
      </w:r>
      <w:r w:rsidR="00433C82">
        <w:t xml:space="preserve">. </w:t>
      </w:r>
      <w:r w:rsidR="004D3A07">
        <w:t>Th</w:t>
      </w:r>
      <w:r w:rsidR="006A7CA2">
        <w:t>ese</w:t>
      </w:r>
      <w:r w:rsidR="00D4566C">
        <w:t xml:space="preserve"> behaviour</w:t>
      </w:r>
      <w:r w:rsidR="006A7CA2">
        <w:t>s</w:t>
      </w:r>
      <w:r w:rsidR="004D3A07">
        <w:t xml:space="preserve"> </w:t>
      </w:r>
      <w:r w:rsidR="006C1223">
        <w:t xml:space="preserve">of the irreverent </w:t>
      </w:r>
      <w:r w:rsidR="00C41F8F">
        <w:t xml:space="preserve">and yet still </w:t>
      </w:r>
      <w:r w:rsidR="006C1223">
        <w:t>serious</w:t>
      </w:r>
      <w:r w:rsidR="006A7CA2">
        <w:t xml:space="preserve"> </w:t>
      </w:r>
      <w:r w:rsidR="006A7CA2" w:rsidRPr="00C41F8F">
        <w:rPr>
          <w:i/>
          <w:iCs/>
        </w:rPr>
        <w:t>Green Dragon Mysteries Society</w:t>
      </w:r>
      <w:r w:rsidR="00C41F8F">
        <w:t xml:space="preserve">, </w:t>
      </w:r>
      <w:r w:rsidR="00313794">
        <w:t xml:space="preserve">are </w:t>
      </w:r>
      <w:r w:rsidR="004D3A07">
        <w:t>an echo of</w:t>
      </w:r>
      <w:r w:rsidR="006C1223">
        <w:t xml:space="preserve"> </w:t>
      </w:r>
      <w:r w:rsidR="006A7CA2">
        <w:t>seventeenth century</w:t>
      </w:r>
      <w:r w:rsidR="00C41F8F">
        <w:t xml:space="preserve"> Staffordshire</w:t>
      </w:r>
      <w:r w:rsidR="006A7CA2">
        <w:t xml:space="preserve"> </w:t>
      </w:r>
      <w:r w:rsidR="006C1223">
        <w:t>attitudes</w:t>
      </w:r>
      <w:r w:rsidR="00313794">
        <w:t>.</w:t>
      </w:r>
      <w:r w:rsidR="006C1223">
        <w:t xml:space="preserve"> </w:t>
      </w:r>
      <w:r w:rsidR="00313794">
        <w:t>W</w:t>
      </w:r>
      <w:r w:rsidR="006C1223">
        <w:t>hen</w:t>
      </w:r>
      <w:r w:rsidR="004D3A07">
        <w:t xml:space="preserve"> Dr Robert Plot </w:t>
      </w:r>
      <w:r w:rsidR="006C1223">
        <w:t xml:space="preserve">visited Staffordshire </w:t>
      </w:r>
      <w:r w:rsidR="006A7CA2">
        <w:t xml:space="preserve">to write his natural history, </w:t>
      </w:r>
      <w:r w:rsidR="006C1223">
        <w:t xml:space="preserve">it </w:t>
      </w:r>
      <w:r w:rsidR="00313794">
        <w:t>ha</w:t>
      </w:r>
      <w:r w:rsidR="006C1223">
        <w:t xml:space="preserve">s </w:t>
      </w:r>
      <w:r w:rsidR="00313794">
        <w:t xml:space="preserve">been </w:t>
      </w:r>
      <w:r w:rsidR="006C1223">
        <w:t xml:space="preserve">noted that </w:t>
      </w:r>
      <w:r w:rsidR="004D3A07">
        <w:t>‘it is amusing that although Plot was generally considered both a man of learning and a man of affairs, some of the Staffordshire gentry to whom he addressed his enquiries used to boast of having 'befooled old Plot'. ‘</w:t>
      </w:r>
      <w:r w:rsidR="004D3A07">
        <w:rPr>
          <w:rStyle w:val="FootnoteReference"/>
        </w:rPr>
        <w:footnoteReference w:id="38"/>
      </w:r>
      <w:r w:rsidR="006A7CA2">
        <w:t xml:space="preserve"> Whereas the hippies of Stonehenge had </w:t>
      </w:r>
      <w:r w:rsidR="00313794">
        <w:t xml:space="preserve">their </w:t>
      </w:r>
      <w:r w:rsidR="006A7CA2">
        <w:t>approach to the</w:t>
      </w:r>
      <w:r w:rsidR="00313794">
        <w:t xml:space="preserve"> </w:t>
      </w:r>
      <w:r w:rsidR="006A7CA2">
        <w:t xml:space="preserve">dance, </w:t>
      </w:r>
      <w:r w:rsidR="00313794">
        <w:t xml:space="preserve">perhaps </w:t>
      </w:r>
      <w:r w:rsidR="006A7CA2">
        <w:t xml:space="preserve">the hippies </w:t>
      </w:r>
      <w:r w:rsidR="004B3F89">
        <w:t>in Leek churchyard</w:t>
      </w:r>
      <w:r w:rsidR="006A7CA2">
        <w:t xml:space="preserve"> </w:t>
      </w:r>
      <w:r w:rsidR="004B3F89">
        <w:t>were</w:t>
      </w:r>
      <w:r w:rsidR="006A7CA2">
        <w:t xml:space="preserve"> tongue in cheek?</w:t>
      </w:r>
      <w:r w:rsidR="00313794">
        <w:t xml:space="preserve"> </w:t>
      </w:r>
    </w:p>
    <w:p w14:paraId="53A4A046" w14:textId="05A188D5" w:rsidR="00A75103" w:rsidRPr="00800CDC" w:rsidRDefault="007B13AF" w:rsidP="00A75103">
      <w:pPr>
        <w:spacing w:line="257" w:lineRule="auto"/>
        <w:ind w:firstLine="720"/>
      </w:pPr>
      <w:r>
        <w:t>A</w:t>
      </w:r>
      <w:r w:rsidR="0044727C">
        <w:t xml:space="preserve"> Facebook response to my call </w:t>
      </w:r>
      <w:r w:rsidR="004D3A07">
        <w:t>for</w:t>
      </w:r>
      <w:r w:rsidR="0044727C">
        <w:t xml:space="preserve"> participants to complete the questionnaire</w:t>
      </w:r>
      <w:r>
        <w:t xml:space="preserve"> raised more questions than providing answers but I include it here as a potential example that the hill, the sunset, the tradition (because it ‘copies’ an illustration I had used from Gentlemen’s Magazine</w:t>
      </w:r>
      <w:r>
        <w:rPr>
          <w:rStyle w:val="FootnoteReference"/>
        </w:rPr>
        <w:footnoteReference w:id="39"/>
      </w:r>
      <w:r>
        <w:t xml:space="preserve">), stand as both a material object and subject of meaning for a local person, and was used in a particular way, when they say they ‘had left the rock in Cornwall’ </w:t>
      </w:r>
      <w:r w:rsidR="0044727C">
        <w:t>(</w:t>
      </w:r>
      <w:r w:rsidR="0044727C">
        <w:fldChar w:fldCharType="begin"/>
      </w:r>
      <w:r w:rsidR="0044727C">
        <w:instrText xml:space="preserve"> REF _Ref75771027 \h  \* MERGEFORMAT </w:instrText>
      </w:r>
      <w:r w:rsidR="0044727C">
        <w:fldChar w:fldCharType="separate"/>
      </w:r>
      <w:r w:rsidR="0044727C">
        <w:t xml:space="preserve">Figure </w:t>
      </w:r>
      <w:r w:rsidR="0044727C">
        <w:rPr>
          <w:noProof/>
        </w:rPr>
        <w:t>4</w:t>
      </w:r>
      <w:r w:rsidR="0044727C">
        <w:fldChar w:fldCharType="end"/>
      </w:r>
      <w:r w:rsidR="0044727C">
        <w:t xml:space="preserve">). </w:t>
      </w:r>
      <w:r>
        <w:t>W</w:t>
      </w:r>
      <w:r w:rsidR="0044727C">
        <w:t>as the rock was left as part of social movement</w:t>
      </w:r>
      <w:r w:rsidR="0044727C">
        <w:rPr>
          <w:rStyle w:val="FootnoteReference"/>
        </w:rPr>
        <w:footnoteReference w:id="40"/>
      </w:r>
      <w:r w:rsidR="0044727C">
        <w:t xml:space="preserve"> or was </w:t>
      </w:r>
      <w:r w:rsidR="0080429F">
        <w:t>it</w:t>
      </w:r>
      <w:r w:rsidR="0044727C">
        <w:t xml:space="preserve"> personal to do with identit</w:t>
      </w:r>
      <w:r w:rsidR="00BE4391">
        <w:t>y</w:t>
      </w:r>
      <w:r w:rsidR="0044727C">
        <w:t xml:space="preserve">; why paint the double sunset on a rock and leave it in another place? was it to create a sense of curiosity </w:t>
      </w:r>
      <w:r w:rsidR="00BE4391">
        <w:t>in the finder</w:t>
      </w:r>
      <w:r w:rsidR="0044727C">
        <w:t xml:space="preserve">? </w:t>
      </w:r>
      <w:r w:rsidR="00BE4391">
        <w:t>was it left by mistake</w:t>
      </w:r>
      <w:r w:rsidR="0044727C">
        <w:t>?</w:t>
      </w:r>
      <w:r w:rsidR="00A75103">
        <w:t xml:space="preserve"> </w:t>
      </w:r>
      <w:r w:rsidR="00436553">
        <w:t>Or perhaps a</w:t>
      </w:r>
      <w:r w:rsidR="00A75103">
        <w:t xml:space="preserve"> performance of vernacular religion</w:t>
      </w:r>
      <w:r w:rsidR="00436553">
        <w:t xml:space="preserve"> where</w:t>
      </w:r>
      <w:r w:rsidR="00A75103">
        <w:t xml:space="preserve"> ‘the visible expressions that emerge as a result of ‘place’ and ‘locale’, as well ensuing relationships where people ‘perform’ place.’</w:t>
      </w:r>
      <w:r w:rsidR="00A75103">
        <w:rPr>
          <w:rStyle w:val="FootnoteReference"/>
        </w:rPr>
        <w:footnoteReference w:id="41"/>
      </w:r>
    </w:p>
    <w:p w14:paraId="6617055F" w14:textId="20D9E18B" w:rsidR="0044727C" w:rsidRDefault="00A75103" w:rsidP="0044727C">
      <w:pPr>
        <w:keepNext/>
        <w:spacing w:after="0" w:line="240" w:lineRule="auto"/>
      </w:pPr>
      <w:r>
        <w:rPr>
          <w:noProof/>
        </w:rPr>
        <w:lastRenderedPageBreak/>
        <w:t>o</w:t>
      </w:r>
      <w:r w:rsidR="0044727C">
        <w:rPr>
          <w:noProof/>
        </w:rPr>
        <w:drawing>
          <wp:inline distT="0" distB="0" distL="0" distR="0" wp14:anchorId="68D5DD86" wp14:editId="55F5DA7F">
            <wp:extent cx="3222172" cy="6999221"/>
            <wp:effectExtent l="0" t="0" r="0" b="0"/>
            <wp:docPr id="4" name="Picture 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303327" cy="7175505"/>
                    </a:xfrm>
                    <a:prstGeom prst="rect">
                      <a:avLst/>
                    </a:prstGeom>
                  </pic:spPr>
                </pic:pic>
              </a:graphicData>
            </a:graphic>
          </wp:inline>
        </w:drawing>
      </w:r>
    </w:p>
    <w:p w14:paraId="1C35F045" w14:textId="478C6851" w:rsidR="0044727C" w:rsidRDefault="0044727C" w:rsidP="0044727C">
      <w:pPr>
        <w:pStyle w:val="Caption"/>
      </w:pPr>
      <w:bookmarkStart w:id="2" w:name="_Ref75771027"/>
      <w:r>
        <w:t xml:space="preserve">Figure </w:t>
      </w:r>
      <w:fldSimple w:instr=" SEQ Figure \* ARABIC ">
        <w:r w:rsidR="001741A1">
          <w:rPr>
            <w:noProof/>
          </w:rPr>
          <w:t>1</w:t>
        </w:r>
      </w:fldSimple>
      <w:bookmarkEnd w:id="2"/>
      <w:r>
        <w:t xml:space="preserve"> Facebook entry and rock art post showing similarity between </w:t>
      </w:r>
      <w:r w:rsidR="00AB37A0">
        <w:t>[</w:t>
      </w:r>
      <w:r>
        <w:t>Dr Plot</w:t>
      </w:r>
      <w:r w:rsidR="00AB37A0">
        <w:t>]</w:t>
      </w:r>
      <w:r>
        <w:t xml:space="preserve"> illustration and painted rock left in Cornwall</w:t>
      </w:r>
    </w:p>
    <w:p w14:paraId="337B6ACA" w14:textId="1879F3CD" w:rsidR="00A136C5" w:rsidRDefault="00991AE8" w:rsidP="00AC38E1">
      <w:pPr>
        <w:spacing w:after="0" w:line="240" w:lineRule="auto"/>
        <w:ind w:firstLine="720"/>
        <w:rPr>
          <w:rFonts w:asciiTheme="minorHAnsi" w:hAnsiTheme="minorHAnsi" w:cstheme="minorHAnsi"/>
        </w:rPr>
      </w:pPr>
      <w:r>
        <w:t>I attempted to explore whether</w:t>
      </w:r>
      <w:r w:rsidR="00D4566C">
        <w:t xml:space="preserve"> pilgrimage</w:t>
      </w:r>
      <w:r w:rsidR="00BE4391">
        <w:t xml:space="preserve"> was part of a ritual </w:t>
      </w:r>
      <w:r w:rsidR="00EF6C52">
        <w:t>practice</w:t>
      </w:r>
      <w:r>
        <w:t xml:space="preserve"> performed at the midsummer solstice</w:t>
      </w:r>
      <w:r w:rsidR="003E4DD4">
        <w:t xml:space="preserve">. </w:t>
      </w:r>
      <w:r>
        <w:t xml:space="preserve">When asked about </w:t>
      </w:r>
      <w:r w:rsidR="00EF6C52">
        <w:t xml:space="preserve">feelings or expectations before the </w:t>
      </w:r>
      <w:r w:rsidR="003E4DD4">
        <w:t>attending the event,</w:t>
      </w:r>
      <w:r w:rsidR="00EF6C52">
        <w:t xml:space="preserve"> </w:t>
      </w:r>
      <w:r>
        <w:t>people responded</w:t>
      </w:r>
      <w:r w:rsidR="00EF6C52">
        <w:t xml:space="preserve">: </w:t>
      </w:r>
      <w:r w:rsidR="00756C54">
        <w:t>‘</w:t>
      </w:r>
      <w:r w:rsidR="00756C54" w:rsidRPr="00756C54">
        <w:t>Expected to be thrilled</w:t>
      </w:r>
      <w:r w:rsidR="00756C54">
        <w:t>’</w:t>
      </w:r>
      <w:r w:rsidR="00EF6C52">
        <w:t xml:space="preserve">; </w:t>
      </w:r>
      <w:r w:rsidR="00756C54">
        <w:t>‘</w:t>
      </w:r>
      <w:r w:rsidR="00756C54" w:rsidRPr="00756C54">
        <w:t>I expected to feel happy/excited</w:t>
      </w:r>
      <w:r w:rsidR="00756C54">
        <w:t>’</w:t>
      </w:r>
      <w:r w:rsidR="00AC38E1">
        <w:t>;</w:t>
      </w:r>
      <w:r w:rsidR="00EF6C52">
        <w:t xml:space="preserve"> </w:t>
      </w:r>
      <w:r w:rsidR="00756C54">
        <w:t>‘</w:t>
      </w:r>
      <w:r w:rsidR="00756C54" w:rsidRPr="00756C54">
        <w:t>Expectations were higher than what I actually witnessed</w:t>
      </w:r>
      <w:r w:rsidR="00EF6C52">
        <w:t>’</w:t>
      </w:r>
      <w:r w:rsidR="00AC38E1">
        <w:t xml:space="preserve"> and </w:t>
      </w:r>
      <w:r w:rsidR="00AC38E1">
        <w:rPr>
          <w:rFonts w:asciiTheme="minorHAnsi" w:hAnsiTheme="minorHAnsi" w:cstheme="minorHAnsi"/>
        </w:rPr>
        <w:t>‘</w:t>
      </w:r>
      <w:r w:rsidR="00AC38E1" w:rsidRPr="004A13F1">
        <w:rPr>
          <w:rFonts w:asciiTheme="minorHAnsi" w:hAnsiTheme="minorHAnsi" w:cstheme="minorHAnsi"/>
        </w:rPr>
        <w:t>Not sure what I was expecting to feel. More interested from a scientific point of view rather than mythical.</w:t>
      </w:r>
      <w:r w:rsidR="00AC38E1">
        <w:rPr>
          <w:rFonts w:asciiTheme="minorHAnsi" w:hAnsiTheme="minorHAnsi" w:cstheme="minorHAnsi"/>
        </w:rPr>
        <w:t xml:space="preserve">’ </w:t>
      </w:r>
      <w:r w:rsidR="00AC38E1">
        <w:t xml:space="preserve">When asking about their </w:t>
      </w:r>
      <w:r w:rsidR="00EF6C52">
        <w:t>preparation</w:t>
      </w:r>
      <w:r>
        <w:t>s</w:t>
      </w:r>
      <w:r w:rsidR="00AC38E1">
        <w:t xml:space="preserve">, responses </w:t>
      </w:r>
      <w:r w:rsidR="00EF6C52">
        <w:t xml:space="preserve">revealed mainly </w:t>
      </w:r>
      <w:r w:rsidR="003E4DD4">
        <w:t xml:space="preserve">packing </w:t>
      </w:r>
      <w:r w:rsidR="00AC38E1">
        <w:t xml:space="preserve">items </w:t>
      </w:r>
      <w:r w:rsidR="002624E2">
        <w:t>to aide</w:t>
      </w:r>
      <w:r w:rsidR="00AC38E1">
        <w:t xml:space="preserve"> viewing (compasses, binoculars, sunglasses, and homemade solar filters) and checking the weather</w:t>
      </w:r>
      <w:r w:rsidR="00E90FB7">
        <w:t>.</w:t>
      </w:r>
      <w:r w:rsidR="00EF6C52">
        <w:t xml:space="preserve"> The</w:t>
      </w:r>
      <w:r>
        <w:t>ir</w:t>
      </w:r>
      <w:r w:rsidR="00EF6C52">
        <w:t xml:space="preserve"> </w:t>
      </w:r>
      <w:r w:rsidR="00E90FB7">
        <w:t xml:space="preserve">recall of </w:t>
      </w:r>
      <w:r>
        <w:t>the</w:t>
      </w:r>
      <w:r w:rsidR="00E90FB7">
        <w:t xml:space="preserve"> experience </w:t>
      </w:r>
      <w:r w:rsidR="002624E2">
        <w:t xml:space="preserve">during </w:t>
      </w:r>
      <w:r>
        <w:t>the sunset was</w:t>
      </w:r>
      <w:r w:rsidR="00E90FB7">
        <w:t xml:space="preserve"> </w:t>
      </w:r>
      <w:r w:rsidR="003E4DD4">
        <w:t xml:space="preserve">always </w:t>
      </w:r>
      <w:r w:rsidR="00E90FB7">
        <w:t xml:space="preserve">personal, </w:t>
      </w:r>
      <w:r w:rsidR="003E4DD4">
        <w:t>but some included</w:t>
      </w:r>
      <w:r w:rsidR="002624E2">
        <w:t xml:space="preserve"> snippets of</w:t>
      </w:r>
      <w:r w:rsidR="003E4DD4">
        <w:t xml:space="preserve"> </w:t>
      </w:r>
      <w:r w:rsidR="00E90FB7">
        <w:t xml:space="preserve">camaraderie and </w:t>
      </w:r>
      <w:r w:rsidR="00E90FB7" w:rsidRPr="00E90FB7">
        <w:rPr>
          <w:i/>
          <w:iCs/>
        </w:rPr>
        <w:t>communitas</w:t>
      </w:r>
      <w:r w:rsidR="00E90FB7">
        <w:rPr>
          <w:i/>
          <w:iCs/>
        </w:rPr>
        <w:t xml:space="preserve">: </w:t>
      </w:r>
      <w:r w:rsidR="00E90FB7">
        <w:rPr>
          <w:rFonts w:asciiTheme="minorHAnsi" w:hAnsiTheme="minorHAnsi" w:cstheme="minorHAnsi"/>
        </w:rPr>
        <w:t>‘</w:t>
      </w:r>
      <w:r w:rsidR="00E90FB7" w:rsidRPr="004A13F1">
        <w:t>Thankful that I lived in Leek and had a chance to see something very few people in the world had seen.’</w:t>
      </w:r>
      <w:r w:rsidR="00E90FB7">
        <w:t>; ‘….</w:t>
      </w:r>
      <w:r w:rsidR="00E90FB7" w:rsidRPr="00991AE8">
        <w:t xml:space="preserve">What </w:t>
      </w:r>
      <w:r w:rsidR="00E90FB7" w:rsidRPr="00991AE8">
        <w:lastRenderedPageBreak/>
        <w:t>stays with me most is the peaceful and quietly awesome feeling created by the gentle hub-hub of small groups of people gathering round to view something rare and wonderful….</w:t>
      </w:r>
      <w:r w:rsidR="00E90FB7">
        <w:t xml:space="preserve">’; </w:t>
      </w:r>
      <w:r>
        <w:t>‘</w:t>
      </w:r>
      <w:r w:rsidR="00E90FB7" w:rsidRPr="004A13F1">
        <w:t>As a Leek person all my life, I was just glad I’d finally seen it.</w:t>
      </w:r>
      <w:r w:rsidR="00E90FB7">
        <w:t>’; ‘…</w:t>
      </w:r>
      <w:r w:rsidR="00E90FB7" w:rsidRPr="004A13F1">
        <w:t>felt emotional after years as a child hearing about it’</w:t>
      </w:r>
      <w:r w:rsidR="00E90FB7">
        <w:t>.</w:t>
      </w:r>
      <w:r>
        <w:t xml:space="preserve"> Afterthoughts</w:t>
      </w:r>
      <w:r w:rsidR="00AC38E1">
        <w:t xml:space="preserve"> were </w:t>
      </w:r>
      <w:r w:rsidR="003E4DD4">
        <w:t>elicited, one being</w:t>
      </w:r>
      <w:r w:rsidR="00AC38E1">
        <w:t xml:space="preserve"> </w:t>
      </w:r>
      <w:r w:rsidR="004A13F1">
        <w:rPr>
          <w:rFonts w:asciiTheme="minorHAnsi" w:hAnsiTheme="minorHAnsi" w:cstheme="minorHAnsi"/>
        </w:rPr>
        <w:t>‘</w:t>
      </w:r>
      <w:r w:rsidR="004A13F1" w:rsidRPr="004A13F1">
        <w:rPr>
          <w:rFonts w:asciiTheme="minorHAnsi" w:hAnsiTheme="minorHAnsi" w:cstheme="minorHAnsi"/>
        </w:rPr>
        <w:t xml:space="preserve">The first time I eventually saw the </w:t>
      </w:r>
      <w:r w:rsidR="004A13F1" w:rsidRPr="00447576">
        <w:rPr>
          <w:rFonts w:asciiTheme="minorHAnsi" w:hAnsiTheme="minorHAnsi" w:cstheme="minorHAnsi"/>
        </w:rPr>
        <w:t>whole sunset-sunrise-sunset</w:t>
      </w:r>
      <w:bookmarkStart w:id="3" w:name="_Ref78294931"/>
      <w:r w:rsidR="00447576">
        <w:rPr>
          <w:rStyle w:val="FootnoteReference"/>
          <w:rFonts w:asciiTheme="minorHAnsi" w:hAnsiTheme="minorHAnsi" w:cstheme="minorHAnsi"/>
          <w:b/>
          <w:bCs/>
        </w:rPr>
        <w:footnoteReference w:id="42"/>
      </w:r>
      <w:bookmarkEnd w:id="3"/>
      <w:r w:rsidR="004A13F1" w:rsidRPr="006F5F43">
        <w:rPr>
          <w:rFonts w:asciiTheme="minorHAnsi" w:hAnsiTheme="minorHAnsi" w:cstheme="minorHAnsi"/>
          <w:b/>
          <w:bCs/>
        </w:rPr>
        <w:t xml:space="preserve"> </w:t>
      </w:r>
      <w:r w:rsidR="004A13F1" w:rsidRPr="004A13F1">
        <w:rPr>
          <w:rFonts w:asciiTheme="minorHAnsi" w:hAnsiTheme="minorHAnsi" w:cstheme="minorHAnsi"/>
        </w:rPr>
        <w:t>I was elated - partly due to having attempted to, but failed, to see it a number of times before (due to the sky being hazey or it raining or on one occasion the sun set but the clouds covered it rising and setting again!!!)</w:t>
      </w:r>
      <w:r w:rsidR="004A13F1">
        <w:rPr>
          <w:rFonts w:asciiTheme="minorHAnsi" w:hAnsiTheme="minorHAnsi" w:cstheme="minorHAnsi"/>
        </w:rPr>
        <w:t xml:space="preserve"> </w:t>
      </w:r>
      <w:r w:rsidR="004A13F1" w:rsidRPr="004A13F1">
        <w:rPr>
          <w:rFonts w:asciiTheme="minorHAnsi" w:hAnsiTheme="minorHAnsi" w:cstheme="minorHAnsi"/>
        </w:rPr>
        <w:t>I have always had an interest in ancient traditions so appreciated the feeling of connection to the past which it created in me and I suppose it did also spark an interest in viewing more events such as eclipses.</w:t>
      </w:r>
      <w:r w:rsidR="004A13F1">
        <w:rPr>
          <w:rFonts w:asciiTheme="minorHAnsi" w:hAnsiTheme="minorHAnsi" w:cstheme="minorHAnsi"/>
        </w:rPr>
        <w:t>’</w:t>
      </w:r>
    </w:p>
    <w:p w14:paraId="20BCA858" w14:textId="02CD796D" w:rsidR="00A136C5" w:rsidRDefault="00A136C5" w:rsidP="00447576">
      <w:pPr>
        <w:spacing w:after="0" w:line="240" w:lineRule="auto"/>
        <w:ind w:firstLine="720"/>
      </w:pPr>
      <w:r>
        <w:t xml:space="preserve">Many of the </w:t>
      </w:r>
      <w:r w:rsidR="00EF6C52">
        <w:t>research participants</w:t>
      </w:r>
      <w:r>
        <w:t xml:space="preserve"> commented on a sense of belonging and </w:t>
      </w:r>
      <w:r w:rsidR="00AC38E1">
        <w:t xml:space="preserve">their identification with </w:t>
      </w:r>
      <w:r>
        <w:t xml:space="preserve">Leek and the double-sunset phenomenon and traditional ideas of its historical observance. </w:t>
      </w:r>
      <w:r w:rsidRPr="00686780">
        <w:t>One person</w:t>
      </w:r>
      <w:r>
        <w:t xml:space="preserve">, a storyteller whose family had </w:t>
      </w:r>
      <w:r w:rsidR="00023370">
        <w:t xml:space="preserve">arrived generations ago as squatters in the inhospitable gritstone outcroppings </w:t>
      </w:r>
      <w:r w:rsidR="00AC38E1">
        <w:t>near</w:t>
      </w:r>
      <w:r w:rsidR="00023370">
        <w:t xml:space="preserve"> The Roches</w:t>
      </w:r>
      <w:r>
        <w:t>,</w:t>
      </w:r>
      <w:r w:rsidRPr="00686780">
        <w:t xml:space="preserve"> said he ‘believed that Leek is now a town because of the double-sunset’ and</w:t>
      </w:r>
      <w:r w:rsidR="00023370">
        <w:t xml:space="preserve"> when he was in the churchyard he</w:t>
      </w:r>
      <w:r>
        <w:t xml:space="preserve"> </w:t>
      </w:r>
      <w:r w:rsidR="00023370">
        <w:t xml:space="preserve">liked </w:t>
      </w:r>
      <w:r w:rsidRPr="00686780">
        <w:t>to think</w:t>
      </w:r>
      <w:r w:rsidR="00023370">
        <w:t xml:space="preserve"> that in the distant past</w:t>
      </w:r>
      <w:r w:rsidRPr="00686780">
        <w:t xml:space="preserve"> </w:t>
      </w:r>
      <w:r w:rsidR="00023370">
        <w:t>‘</w:t>
      </w:r>
      <w:r w:rsidRPr="00686780">
        <w:t>there was a guy who figured it out and told people not to worry about the sun going</w:t>
      </w:r>
      <w:r w:rsidR="002624E2">
        <w:t>…</w:t>
      </w:r>
      <w:r>
        <w:t>“</w:t>
      </w:r>
      <w:r w:rsidRPr="00686780">
        <w:t>I’ll</w:t>
      </w:r>
      <w:r w:rsidRPr="00447576">
        <w:t xml:space="preserve"> bring it up for you</w:t>
      </w:r>
      <w:r w:rsidR="00447576">
        <w:rPr>
          <w:b/>
          <w:bCs/>
          <w:color w:val="FF0000"/>
        </w:rPr>
        <w:fldChar w:fldCharType="begin"/>
      </w:r>
      <w:r w:rsidR="00447576">
        <w:rPr>
          <w:b/>
          <w:bCs/>
          <w:color w:val="FF0000"/>
        </w:rPr>
        <w:instrText xml:space="preserve"> NOTEREF _Ref78294931 \f \h </w:instrText>
      </w:r>
      <w:r w:rsidR="00447576">
        <w:rPr>
          <w:b/>
          <w:bCs/>
          <w:color w:val="FF0000"/>
        </w:rPr>
      </w:r>
      <w:r w:rsidR="00447576">
        <w:rPr>
          <w:b/>
          <w:bCs/>
          <w:color w:val="FF0000"/>
        </w:rPr>
        <w:fldChar w:fldCharType="separate"/>
      </w:r>
      <w:r w:rsidR="00447576" w:rsidRPr="00447576">
        <w:rPr>
          <w:rStyle w:val="FootnoteReference"/>
        </w:rPr>
        <w:t>49</w:t>
      </w:r>
      <w:r w:rsidR="00447576">
        <w:rPr>
          <w:b/>
          <w:bCs/>
          <w:color w:val="FF0000"/>
        </w:rPr>
        <w:fldChar w:fldCharType="end"/>
      </w:r>
      <w:r w:rsidRPr="00686780">
        <w:t xml:space="preserve">…I’m the </w:t>
      </w:r>
      <w:r w:rsidR="002624E2">
        <w:t>‘</w:t>
      </w:r>
      <w:r w:rsidRPr="00686780">
        <w:t>great one</w:t>
      </w:r>
      <w:r w:rsidR="002624E2">
        <w:t>’</w:t>
      </w:r>
      <w:r w:rsidRPr="00686780">
        <w:t>!</w:t>
      </w:r>
      <w:r>
        <w:t xml:space="preserve">” Another interviewee, a solar astronomer, said the double-sunset and its link with the monuments, ancient history, and folklore of Leek ‘was the reason I moved here.’ Others, in the Facebook responses and the questionnaires, referred to this ‘unique in the world’ occurrence and how they felt about it: ‘having lived in Leek for so many years, I’m glad I finally got to see it for myself!’ This sense of identity based on the landscape and history of an area is what Fox refers to when he says </w:t>
      </w:r>
      <w:r w:rsidRPr="0023436E">
        <w:t>‘…the landscape all around was a vast repository of memory. Memories of the past, then, comprised part of that local knowledge from which people derived a sense of identity and pride based upon place.</w:t>
      </w:r>
      <w:r>
        <w:t>’</w:t>
      </w:r>
      <w:r>
        <w:rPr>
          <w:rStyle w:val="FootnoteReference"/>
        </w:rPr>
        <w:footnoteReference w:id="43"/>
      </w:r>
      <w:r>
        <w:t xml:space="preserve"> This feeling of belonging was referred to in an article in the local paper </w:t>
      </w:r>
      <w:r w:rsidR="00023370">
        <w:t>about the</w:t>
      </w:r>
      <w:r>
        <w:t xml:space="preserve"> 1977 </w:t>
      </w:r>
      <w:r w:rsidR="003E4DD4">
        <w:t>double sunset</w:t>
      </w:r>
      <w:r>
        <w:t xml:space="preserve">, </w:t>
      </w:r>
      <w:r w:rsidR="003E4DD4">
        <w:t>in it the</w:t>
      </w:r>
      <w:r w:rsidR="00023370">
        <w:t xml:space="preserve"> writer</w:t>
      </w:r>
      <w:r>
        <w:t xml:space="preserve"> describes the phenomenon as ‘the sun just happens to pass temporarily behind an eminence – and there is nothing phenomenal in that’</w:t>
      </w:r>
      <w:r w:rsidR="00AC38E1">
        <w:t>,</w:t>
      </w:r>
      <w:r>
        <w:t xml:space="preserve"> </w:t>
      </w:r>
      <w:r w:rsidR="00AC38E1">
        <w:t>he then</w:t>
      </w:r>
      <w:r>
        <w:t xml:space="preserve"> </w:t>
      </w:r>
      <w:r w:rsidR="00023370">
        <w:t>reflects</w:t>
      </w:r>
      <w:r>
        <w:t xml:space="preserve"> ‘How very unromantic of me! How prosaic!’ He ends his account </w:t>
      </w:r>
      <w:r w:rsidR="00AC38E1">
        <w:t>observing,</w:t>
      </w:r>
      <w:r>
        <w:t xml:space="preserve"> on hearing a group away from the main gathering clapping</w:t>
      </w:r>
      <w:r w:rsidR="00AC38E1">
        <w:t>,</w:t>
      </w:r>
    </w:p>
    <w:p w14:paraId="0092ED19" w14:textId="0246D749" w:rsidR="00A136C5" w:rsidRDefault="00A136C5" w:rsidP="00575BAF">
      <w:pPr>
        <w:spacing w:after="0" w:line="240" w:lineRule="auto"/>
        <w:ind w:left="720"/>
      </w:pPr>
      <w:r w:rsidRPr="00575BAF">
        <w:rPr>
          <w:i/>
          <w:iCs/>
        </w:rPr>
        <w:t>‘...</w:t>
      </w:r>
      <w:r w:rsidR="005E7C4F">
        <w:rPr>
          <w:i/>
          <w:iCs/>
        </w:rPr>
        <w:t>e</w:t>
      </w:r>
      <w:r w:rsidRPr="00575BAF">
        <w:rPr>
          <w:i/>
          <w:iCs/>
        </w:rPr>
        <w:t>vidently some of the persons had seen the rim reappear and had saluted the fact in the usual way the British have when a feat has been accomplished. This is enthusiasm for you! I thought. And as I walked away I still hadn’t seen the “double-sunset”…and I still wondered who the enthusiasts had applauded so unselfconsciously. In a way a little thing like that makes me feel glad to be an Englishman.’</w:t>
      </w:r>
      <w:r>
        <w:rPr>
          <w:rStyle w:val="FootnoteReference"/>
        </w:rPr>
        <w:footnoteReference w:id="44"/>
      </w:r>
    </w:p>
    <w:p w14:paraId="348FA875" w14:textId="77777777" w:rsidR="00575BAF" w:rsidRDefault="00575BAF" w:rsidP="00575BAF">
      <w:pPr>
        <w:spacing w:after="0" w:line="240" w:lineRule="auto"/>
        <w:ind w:firstLine="720"/>
      </w:pPr>
    </w:p>
    <w:p w14:paraId="03E163FD" w14:textId="7A529D34" w:rsidR="0057706A" w:rsidRDefault="00E26FD1" w:rsidP="0057706A">
      <w:pPr>
        <w:pStyle w:val="Heading2"/>
      </w:pPr>
      <w:r>
        <w:t>Material</w:t>
      </w:r>
      <w:r w:rsidR="00B52841">
        <w:t>s</w:t>
      </w:r>
    </w:p>
    <w:p w14:paraId="46BB73CC" w14:textId="2C1CE752" w:rsidR="00027B00" w:rsidRDefault="00027B00" w:rsidP="002B7D52">
      <w:pPr>
        <w:spacing w:after="0" w:line="240" w:lineRule="auto"/>
      </w:pPr>
    </w:p>
    <w:p w14:paraId="38804A9F" w14:textId="1C59459D" w:rsidR="00027B00" w:rsidRDefault="00027B00" w:rsidP="002F0DD9">
      <w:pPr>
        <w:spacing w:after="0" w:line="240" w:lineRule="auto"/>
        <w:ind w:firstLine="720"/>
      </w:pPr>
      <w:r>
        <w:t xml:space="preserve">The earliest documented account of the </w:t>
      </w:r>
      <w:r w:rsidR="002F0DD9">
        <w:t xml:space="preserve">double-sunset </w:t>
      </w:r>
      <w:r>
        <w:t xml:space="preserve">phenomenon was published in 1686 by Dr Robert Plot, Keeper of the Ashmolean Museum and Professor of Chemistry at Oxford University, in his </w:t>
      </w:r>
      <w:r w:rsidRPr="00B038C6">
        <w:rPr>
          <w:i/>
          <w:iCs/>
        </w:rPr>
        <w:t>Natural History of Stafford-shire</w:t>
      </w:r>
      <w:r>
        <w:t xml:space="preserve">. He </w:t>
      </w:r>
      <w:r w:rsidR="002F0DD9">
        <w:t>starts</w:t>
      </w:r>
      <w:r>
        <w:t xml:space="preserve"> his </w:t>
      </w:r>
      <w:r w:rsidR="002F0DD9">
        <w:t>history</w:t>
      </w:r>
      <w:r>
        <w:t xml:space="preserve"> with the Leek double sunset</w:t>
      </w:r>
    </w:p>
    <w:p w14:paraId="636BC563" w14:textId="67E35F1F" w:rsidR="00027B00" w:rsidRPr="0054619F" w:rsidRDefault="008E33B4" w:rsidP="0054619F">
      <w:pPr>
        <w:spacing w:after="0" w:line="240" w:lineRule="auto"/>
        <w:ind w:left="720" w:right="680" w:firstLine="720"/>
        <w:rPr>
          <w:i/>
          <w:iCs/>
        </w:rPr>
      </w:pPr>
      <w:r w:rsidRPr="0054619F">
        <w:rPr>
          <w:i/>
          <w:iCs/>
        </w:rPr>
        <w:t>…</w:t>
      </w:r>
      <w:r w:rsidR="00027B00" w:rsidRPr="0054619F">
        <w:rPr>
          <w:i/>
          <w:iCs/>
        </w:rPr>
        <w:t xml:space="preserve">a pretty rural observation, of late years made by some of the Inhabitants of the Town of Leek in the Moorelands, of the setting of the Sun in the Summer Solstice, near a Hill called the Cloud, about six miles distant, in the confines of Stafford-shire and Cheshire; which appearing almost perpendicular on the Northern side, to such </w:t>
      </w:r>
      <w:r w:rsidR="00027B00" w:rsidRPr="0054619F">
        <w:rPr>
          <w:i/>
          <w:iCs/>
        </w:rPr>
        <w:lastRenderedPageBreak/>
        <w:t>persons as are standing in Leek Church-yard, the Sun seems to nicely at that time of year cut the Edg  of it a setting</w:t>
      </w:r>
      <w:r w:rsidR="00D80664" w:rsidRPr="0054619F">
        <w:rPr>
          <w:i/>
          <w:iCs/>
        </w:rPr>
        <w:t xml:space="preserve"> </w:t>
      </w:r>
      <w:r w:rsidRPr="0054619F">
        <w:rPr>
          <w:i/>
          <w:iCs/>
        </w:rPr>
        <w:t>..</w:t>
      </w:r>
      <w:r w:rsidR="00027B00" w:rsidRPr="0054619F">
        <w:rPr>
          <w:i/>
          <w:iCs/>
        </w:rPr>
        <w:t>.</w:t>
      </w:r>
      <w:r w:rsidR="00027B00" w:rsidRPr="0054619F">
        <w:rPr>
          <w:vertAlign w:val="superscript"/>
        </w:rPr>
        <w:footnoteReference w:id="45"/>
      </w:r>
    </w:p>
    <w:p w14:paraId="3CAE60A8" w14:textId="77777777" w:rsidR="001A66D5" w:rsidRDefault="001A66D5" w:rsidP="001B1E78">
      <w:pPr>
        <w:spacing w:after="0" w:line="240" w:lineRule="auto"/>
      </w:pPr>
    </w:p>
    <w:p w14:paraId="638EF461" w14:textId="5501AF49" w:rsidR="002624E2" w:rsidRDefault="0054619F" w:rsidP="001A66D5">
      <w:pPr>
        <w:spacing w:after="0" w:line="240" w:lineRule="auto"/>
        <w:ind w:firstLine="720"/>
      </w:pPr>
      <w:r>
        <w:t xml:space="preserve">The shared sense of the past and how people would have viewed double-sunset, could be attributed to a belief that the church was built on the site of a more ancient structure such as platforms, stones, and burial chambers. </w:t>
      </w:r>
      <w:r w:rsidR="004B4BCD">
        <w:t>Choosing a place to</w:t>
      </w:r>
      <w:r w:rsidR="003E4DD4">
        <w:t xml:space="preserve"> view the double-sunset can lead to different points of view between the tradition of the churchyard and other places, with one person saying they’re not a</w:t>
      </w:r>
      <w:r w:rsidR="0057706A">
        <w:t xml:space="preserve"> ‘fan of the manufactured viewpoints’</w:t>
      </w:r>
      <w:r w:rsidR="00A05D90">
        <w:t xml:space="preserve">. </w:t>
      </w:r>
      <w:r w:rsidR="003E4DD4">
        <w:t xml:space="preserve">This could be why the tradition has waned, as the view from the churchyard is no longer viable, but without the sense of </w:t>
      </w:r>
      <w:r w:rsidR="004B4BCD">
        <w:t xml:space="preserve">Neolithic or Anglo Saxon </w:t>
      </w:r>
      <w:r w:rsidR="003E4DD4">
        <w:t xml:space="preserve">people </w:t>
      </w:r>
      <w:r w:rsidR="002624E2">
        <w:t>having stood</w:t>
      </w:r>
      <w:r w:rsidR="003E4DD4">
        <w:t xml:space="preserve"> in the place where the modern viewer stands now,</w:t>
      </w:r>
      <w:r w:rsidR="004B4BCD">
        <w:t xml:space="preserve"> travelling to new</w:t>
      </w:r>
      <w:r>
        <w:t>ly discovered</w:t>
      </w:r>
      <w:r w:rsidR="004B4BCD">
        <w:t xml:space="preserve"> sites that are viable </w:t>
      </w:r>
      <w:r w:rsidR="002624E2">
        <w:t xml:space="preserve">places to view a double-sunset over Cloud, </w:t>
      </w:r>
      <w:r w:rsidR="004B4BCD">
        <w:t xml:space="preserve">have no </w:t>
      </w:r>
      <w:r w:rsidR="002624E2">
        <w:t xml:space="preserve">emotional </w:t>
      </w:r>
      <w:r w:rsidR="004B4BCD">
        <w:t>meaning</w:t>
      </w:r>
      <w:r w:rsidR="002624E2">
        <w:t xml:space="preserve"> for these people</w:t>
      </w:r>
      <w:r w:rsidR="004B4BCD">
        <w:t xml:space="preserve">. </w:t>
      </w:r>
      <w:r w:rsidR="002624E2">
        <w:t xml:space="preserve">For others, it can be characterised by this view of response to the Facebook </w:t>
      </w:r>
      <w:r w:rsidR="002624E2" w:rsidRPr="002624E2">
        <w:t xml:space="preserve">posting </w:t>
      </w:r>
      <w:r w:rsidR="004B4BCD" w:rsidRPr="002624E2">
        <w:t xml:space="preserve"> ‘</w:t>
      </w:r>
      <w:r w:rsidR="0049558E" w:rsidRPr="002624E2">
        <w:t>You</w:t>
      </w:r>
      <w:r w:rsidR="004B4BCD" w:rsidRPr="002624E2">
        <w:t xml:space="preserve"> can see it from </w:t>
      </w:r>
      <w:r w:rsidR="0049558E" w:rsidRPr="002624E2">
        <w:t>our</w:t>
      </w:r>
      <w:r w:rsidR="004B4BCD" w:rsidRPr="002624E2">
        <w:t xml:space="preserve"> house</w:t>
      </w:r>
      <w:r w:rsidR="0049558E" w:rsidRPr="002624E2">
        <w:t xml:space="preserve"> not really sure what all the</w:t>
      </w:r>
      <w:r w:rsidR="004B4BCD" w:rsidRPr="002624E2">
        <w:t xml:space="preserve"> fuss </w:t>
      </w:r>
      <w:r w:rsidR="0049558E" w:rsidRPr="002624E2">
        <w:t>is about’</w:t>
      </w:r>
      <w:r w:rsidR="0049558E" w:rsidRPr="002624E2">
        <w:rPr>
          <w:rStyle w:val="FootnoteReference"/>
        </w:rPr>
        <w:footnoteReference w:id="46"/>
      </w:r>
      <w:r w:rsidR="004B4BCD" w:rsidRPr="002624E2">
        <w:t>.</w:t>
      </w:r>
      <w:r w:rsidR="004B4BCD">
        <w:t xml:space="preserve"> </w:t>
      </w:r>
    </w:p>
    <w:p w14:paraId="438B7EE8" w14:textId="0366FA43" w:rsidR="00454489" w:rsidRDefault="0049558E" w:rsidP="00447576">
      <w:pPr>
        <w:spacing w:after="0" w:line="240" w:lineRule="auto"/>
        <w:ind w:firstLine="720"/>
      </w:pPr>
      <w:r>
        <w:t xml:space="preserve">I </w:t>
      </w:r>
      <w:r w:rsidR="004B4BCD">
        <w:t xml:space="preserve">was </w:t>
      </w:r>
      <w:r w:rsidR="002624E2">
        <w:t>taken aback</w:t>
      </w:r>
      <w:r w:rsidR="004B4BCD">
        <w:t xml:space="preserve"> </w:t>
      </w:r>
      <w:r w:rsidR="002624E2">
        <w:t xml:space="preserve">in discovering </w:t>
      </w:r>
      <w:r w:rsidR="004B4BCD">
        <w:t xml:space="preserve">my own assumption that this was a </w:t>
      </w:r>
      <w:r w:rsidR="00BD14B6" w:rsidRPr="00BD14B6">
        <w:rPr>
          <w:i/>
          <w:iCs/>
        </w:rPr>
        <w:t>double-sunset</w:t>
      </w:r>
      <w:r w:rsidR="004B4BCD">
        <w:t>, whereas a few people</w:t>
      </w:r>
      <w:r w:rsidR="00447576">
        <w:fldChar w:fldCharType="begin"/>
      </w:r>
      <w:r w:rsidR="00447576">
        <w:instrText xml:space="preserve"> NOTEREF _Ref78294931 \h </w:instrText>
      </w:r>
      <w:r w:rsidR="00531B9E">
        <w:fldChar w:fldCharType="separate"/>
      </w:r>
      <w:r w:rsidR="00447576">
        <w:fldChar w:fldCharType="end"/>
      </w:r>
      <w:r w:rsidR="00447576">
        <w:fldChar w:fldCharType="begin"/>
      </w:r>
      <w:r w:rsidR="00447576">
        <w:instrText xml:space="preserve"> NOTEREF _Ref78294931 \f \h </w:instrText>
      </w:r>
      <w:r w:rsidR="00447576">
        <w:fldChar w:fldCharType="separate"/>
      </w:r>
      <w:r w:rsidR="00447576" w:rsidRPr="00447576">
        <w:rPr>
          <w:rStyle w:val="FootnoteReference"/>
        </w:rPr>
        <w:t>49</w:t>
      </w:r>
      <w:r w:rsidR="00447576">
        <w:fldChar w:fldCharType="end"/>
      </w:r>
      <w:r w:rsidR="004B4BCD">
        <w:t xml:space="preserve"> </w:t>
      </w:r>
      <w:r w:rsidR="00BD14B6">
        <w:t xml:space="preserve">have </w:t>
      </w:r>
      <w:r w:rsidR="004B4BCD">
        <w:t xml:space="preserve">referred to the phenomenon as including </w:t>
      </w:r>
      <w:r w:rsidR="00BD14B6">
        <w:t>the concept of</w:t>
      </w:r>
      <w:r w:rsidR="004B4BCD">
        <w:t xml:space="preserve"> </w:t>
      </w:r>
      <w:r w:rsidR="004B4BCD" w:rsidRPr="001B1E78">
        <w:rPr>
          <w:i/>
          <w:iCs/>
        </w:rPr>
        <w:t>sunrise</w:t>
      </w:r>
      <w:r w:rsidR="004B4BCD">
        <w:t xml:space="preserve"> between t</w:t>
      </w:r>
      <w:r w:rsidR="001B1E78">
        <w:t xml:space="preserve">he </w:t>
      </w:r>
      <w:r w:rsidR="002624E2">
        <w:t>double-</w:t>
      </w:r>
      <w:r w:rsidR="004B4BCD">
        <w:t xml:space="preserve">sunset. </w:t>
      </w:r>
      <w:r w:rsidR="001B1E78">
        <w:t>A reference to the sun being ‘</w:t>
      </w:r>
      <w:r w:rsidR="001B1E78" w:rsidRPr="00BD14B6">
        <w:rPr>
          <w:i/>
          <w:iCs/>
        </w:rPr>
        <w:t>reborn</w:t>
      </w:r>
      <w:r w:rsidR="001B1E78">
        <w:t>’ is provided in this</w:t>
      </w:r>
      <w:r w:rsidR="004B4BCD">
        <w:t xml:space="preserve"> example </w:t>
      </w:r>
      <w:r w:rsidR="001B1E78">
        <w:t>from</w:t>
      </w:r>
      <w:r w:rsidR="004B4BCD">
        <w:t xml:space="preserve"> fiction, </w:t>
      </w:r>
      <w:r w:rsidR="001B1E78">
        <w:t xml:space="preserve">written by a </w:t>
      </w:r>
      <w:r w:rsidR="004B4BCD">
        <w:t>local</w:t>
      </w:r>
      <w:r w:rsidR="00454489">
        <w:t xml:space="preserve"> author</w:t>
      </w:r>
      <w:r w:rsidR="001B1E78">
        <w:t xml:space="preserve">, </w:t>
      </w:r>
      <w:r w:rsidR="00BD14B6">
        <w:t>in a story that</w:t>
      </w:r>
      <w:r w:rsidR="001B1E78">
        <w:t xml:space="preserve"> tells </w:t>
      </w:r>
      <w:r w:rsidR="00454489">
        <w:t xml:space="preserve">a tale of </w:t>
      </w:r>
      <w:r w:rsidR="001B1E78">
        <w:t>difficult</w:t>
      </w:r>
      <w:r w:rsidR="00454489">
        <w:t xml:space="preserve"> lives spent on the moorlands in a dystopian near-future</w:t>
      </w:r>
      <w:r w:rsidR="001B1E78">
        <w:t xml:space="preserve">, </w:t>
      </w:r>
    </w:p>
    <w:p w14:paraId="71DB79D7" w14:textId="77777777" w:rsidR="001B1E78" w:rsidRDefault="001B1E78" w:rsidP="001B1E78">
      <w:pPr>
        <w:spacing w:after="0" w:line="240" w:lineRule="auto"/>
      </w:pPr>
    </w:p>
    <w:p w14:paraId="5990737B" w14:textId="77777777" w:rsidR="00454489" w:rsidRPr="00313794" w:rsidRDefault="00454489" w:rsidP="001B1E78">
      <w:pPr>
        <w:spacing w:after="0" w:line="240" w:lineRule="auto"/>
        <w:ind w:left="720" w:right="680" w:firstLine="720"/>
        <w:rPr>
          <w:i/>
          <w:iCs/>
        </w:rPr>
      </w:pPr>
      <w:r w:rsidRPr="00313794">
        <w:rPr>
          <w:i/>
          <w:iCs/>
        </w:rPr>
        <w:t>As we watched from the Stones, the sun dipped behind the hill called the Cloud, and shadows stretched across the moor. The Bad crowed in triumph, and we were afraid. Freya was cast down by the tiny hope that had flared in her, only to be extinguished again. Then the sun was reborn. It reappeared between the peaks of the Cloud, before sinking again. This is too much for the Bad, light renewed just as darkness sets in. It fled.</w:t>
      </w:r>
    </w:p>
    <w:p w14:paraId="15AB106D" w14:textId="77777777" w:rsidR="00454489" w:rsidRDefault="00454489" w:rsidP="001B1E78">
      <w:pPr>
        <w:spacing w:after="0" w:line="240" w:lineRule="auto"/>
        <w:ind w:left="720" w:right="680" w:firstLine="720"/>
      </w:pPr>
      <w:r w:rsidRPr="00313794">
        <w:rPr>
          <w:i/>
          <w:iCs/>
        </w:rPr>
        <w:t>Freya held Green and kissed her, and loved her. This was the end of the Crisis, and Foxlowe became stronger and happier. We understood how the Solstice could help us</w:t>
      </w:r>
      <w:r>
        <w:t>.</w:t>
      </w:r>
      <w:r w:rsidRPr="007104CA">
        <w:rPr>
          <w:vertAlign w:val="superscript"/>
        </w:rPr>
        <w:footnoteReference w:id="47"/>
      </w:r>
    </w:p>
    <w:p w14:paraId="5EA1D7CC" w14:textId="77777777" w:rsidR="00454489" w:rsidRDefault="00454489" w:rsidP="00454489">
      <w:pPr>
        <w:spacing w:after="0" w:line="240" w:lineRule="auto"/>
        <w:ind w:firstLine="720"/>
      </w:pPr>
    </w:p>
    <w:p w14:paraId="5B181EC5" w14:textId="501AC9BA" w:rsidR="00894345" w:rsidRDefault="00894345" w:rsidP="001A66D5">
      <w:pPr>
        <w:spacing w:after="0" w:line="240" w:lineRule="auto"/>
        <w:ind w:firstLine="720"/>
      </w:pPr>
      <w:r>
        <w:t xml:space="preserve">The weather was the </w:t>
      </w:r>
      <w:r w:rsidR="00A6209F">
        <w:t xml:space="preserve">most common </w:t>
      </w:r>
      <w:r w:rsidR="00A136C5">
        <w:t>observation</w:t>
      </w:r>
      <w:r w:rsidR="00A6209F">
        <w:t xml:space="preserve"> mentioned</w:t>
      </w:r>
      <w:r>
        <w:t xml:space="preserve"> about the experience in the questionnaires</w:t>
      </w:r>
      <w:r w:rsidR="001A66D5">
        <w:t xml:space="preserve">: what they would tell someone thinking of seeing the sunset: ‘It’s worth seeing if the weather is fit. Don’t expect too much!’; ‘Even though Leek is one of a handful of places in the world where this event can be viewed, it is still rare to be able to see it clearly on the day…..good luck!’; to the preparations they made before going: ‘Checked the weather.’; ‘Checked the weather, and walked to the churchyard.’ and what do you remember thinking during the sunset: ‘The weather was good.’ to feelings after the sunset: ‘The first time I eventually saw the whole sunset-sunrise-sunset I was elated – partly due to having attempted to, but failed, to see it on a number of times before (due to the sky being hazey or it raining or on one occasion the sun set but the clouds covered it rising and setting again!!!)….’ </w:t>
      </w:r>
      <w:r>
        <w:t xml:space="preserve">and </w:t>
      </w:r>
      <w:r w:rsidR="001A66D5">
        <w:t>from the</w:t>
      </w:r>
      <w:r>
        <w:t xml:space="preserve"> documentary evidence</w:t>
      </w:r>
      <w:r w:rsidR="001A66D5">
        <w:t>,</w:t>
      </w:r>
      <w:r w:rsidR="00A6209F">
        <w:t xml:space="preserve"> </w:t>
      </w:r>
      <w:r w:rsidR="0049558E">
        <w:t xml:space="preserve">a 1957 </w:t>
      </w:r>
      <w:r>
        <w:t>Leek Post &amp; Times article</w:t>
      </w:r>
      <w:r w:rsidR="00A6209F">
        <w:t xml:space="preserve"> </w:t>
      </w:r>
      <w:r>
        <w:t>(</w:t>
      </w:r>
      <w:r>
        <w:fldChar w:fldCharType="begin"/>
      </w:r>
      <w:r>
        <w:instrText xml:space="preserve"> REF _Ref77505200 \h </w:instrText>
      </w:r>
      <w:r>
        <w:fldChar w:fldCharType="separate"/>
      </w:r>
      <w:r>
        <w:t xml:space="preserve">Figure </w:t>
      </w:r>
      <w:r>
        <w:rPr>
          <w:noProof/>
        </w:rPr>
        <w:t>6</w:t>
      </w:r>
      <w:r>
        <w:fldChar w:fldCharType="end"/>
      </w:r>
      <w:r>
        <w:t xml:space="preserve">) </w:t>
      </w:r>
      <w:r w:rsidR="00A6209F">
        <w:t>the author says</w:t>
      </w:r>
      <w:r>
        <w:t xml:space="preserve"> ‘as for so many years past, the clouds rolled up</w:t>
      </w:r>
      <w:r w:rsidR="0049558E">
        <w:rPr>
          <w:rStyle w:val="FootnoteReference"/>
        </w:rPr>
        <w:footnoteReference w:id="48"/>
      </w:r>
      <w:r>
        <w:t>.’ Similar to my own experience</w:t>
      </w:r>
      <w:r w:rsidR="00BD14B6">
        <w:t xml:space="preserve"> (</w:t>
      </w:r>
      <w:r w:rsidR="00BD14B6">
        <w:fldChar w:fldCharType="begin"/>
      </w:r>
      <w:r w:rsidR="00BD14B6">
        <w:instrText xml:space="preserve"> REF _Ref78292329 \h </w:instrText>
      </w:r>
      <w:r w:rsidR="00BD14B6">
        <w:fldChar w:fldCharType="separate"/>
      </w:r>
      <w:r w:rsidR="00BD14B6">
        <w:t>Appendix 2</w:t>
      </w:r>
      <w:r w:rsidR="00BD14B6">
        <w:fldChar w:fldCharType="end"/>
      </w:r>
      <w:r w:rsidR="00BD14B6">
        <w:t>)</w:t>
      </w:r>
      <w:r>
        <w:t>, the article describes the sun shining ‘through streaks of cloud and five minutes before its time for setting it began to drop behind a thick bank of cloud’.</w:t>
      </w:r>
    </w:p>
    <w:p w14:paraId="36710840" w14:textId="77777777" w:rsidR="00A6209F" w:rsidRPr="003C7B37" w:rsidRDefault="00A6209F" w:rsidP="00A6209F">
      <w:pPr>
        <w:spacing w:after="0" w:line="240" w:lineRule="auto"/>
        <w:ind w:firstLine="720"/>
      </w:pPr>
    </w:p>
    <w:p w14:paraId="3A2EE545" w14:textId="341E6188" w:rsidR="00EF04A7" w:rsidRDefault="003C7B37" w:rsidP="00EF04A7">
      <w:r>
        <w:rPr>
          <w:noProof/>
        </w:rPr>
        <w:lastRenderedPageBreak/>
        <w:drawing>
          <wp:inline distT="0" distB="0" distL="0" distR="0" wp14:anchorId="4247C69C" wp14:editId="1FC7E28B">
            <wp:extent cx="5731510" cy="4813076"/>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813076"/>
                    </a:xfrm>
                    <a:prstGeom prst="rect">
                      <a:avLst/>
                    </a:prstGeom>
                  </pic:spPr>
                </pic:pic>
              </a:graphicData>
            </a:graphic>
          </wp:inline>
        </w:drawing>
      </w:r>
    </w:p>
    <w:p w14:paraId="45591472" w14:textId="0C90739A" w:rsidR="00894345" w:rsidRDefault="00894345" w:rsidP="00894345">
      <w:pPr>
        <w:pStyle w:val="Caption"/>
      </w:pPr>
      <w:bookmarkStart w:id="4" w:name="_Ref77505200"/>
      <w:r>
        <w:t xml:space="preserve">Figure </w:t>
      </w:r>
      <w:fldSimple w:instr=" SEQ Figure \* ARABIC ">
        <w:r w:rsidR="001741A1">
          <w:rPr>
            <w:noProof/>
          </w:rPr>
          <w:t>5</w:t>
        </w:r>
      </w:fldSimple>
      <w:bookmarkEnd w:id="4"/>
      <w:r>
        <w:t xml:space="preserve"> </w:t>
      </w:r>
      <w:r w:rsidR="008E33B4">
        <w:t xml:space="preserve">‘Double Sunset Clouded-Out’ </w:t>
      </w:r>
      <w:r>
        <w:t>Leek Post &amp; Times account of 1957 double-sunset</w:t>
      </w:r>
    </w:p>
    <w:p w14:paraId="7F999A56" w14:textId="58597AA5" w:rsidR="00EF04A7" w:rsidRDefault="00EF04A7" w:rsidP="00EF04A7">
      <w:r>
        <w:t>Eve</w:t>
      </w:r>
      <w:r>
        <w:t>ry day in Leek someone is sitting on a bench depicting the double sunset. Do they know why the chicken is there too?</w:t>
      </w:r>
    </w:p>
    <w:p w14:paraId="1CAFA294" w14:textId="18FCD41F" w:rsidR="00EF04A7" w:rsidRDefault="00EF04A7" w:rsidP="00EF04A7"/>
    <w:p w14:paraId="36626043" w14:textId="556A2376" w:rsidR="00EF04A7" w:rsidRDefault="00EF04A7">
      <w:pPr>
        <w:suppressAutoHyphens w:val="0"/>
      </w:pPr>
      <w:r>
        <w:br w:type="page"/>
      </w:r>
    </w:p>
    <w:p w14:paraId="778C842B" w14:textId="2F8168FE" w:rsidR="00B91C58" w:rsidRDefault="00EF04A7" w:rsidP="00EF04A7">
      <w:pPr>
        <w:pStyle w:val="Heading2"/>
      </w:pPr>
      <w:r>
        <w:rPr>
          <w:noProof/>
        </w:rPr>
        <w:lastRenderedPageBreak/>
        <w:drawing>
          <wp:anchor distT="0" distB="0" distL="114300" distR="114300" simplePos="0" relativeHeight="251662336" behindDoc="1" locked="0" layoutInCell="1" allowOverlap="1" wp14:anchorId="3B0A094C" wp14:editId="782505EC">
            <wp:simplePos x="0" y="0"/>
            <wp:positionH relativeFrom="column">
              <wp:posOffset>-147955</wp:posOffset>
            </wp:positionH>
            <wp:positionV relativeFrom="paragraph">
              <wp:posOffset>0</wp:posOffset>
            </wp:positionV>
            <wp:extent cx="2313305" cy="4114800"/>
            <wp:effectExtent l="0" t="0" r="0" b="0"/>
            <wp:wrapSquare wrapText="bothSides"/>
            <wp:docPr id="6" name="Picture 6" descr="A picture containing ground, outdoor,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ound, outdoor, st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13305" cy="4114800"/>
                    </a:xfrm>
                    <a:prstGeom prst="rect">
                      <a:avLst/>
                    </a:prstGeom>
                  </pic:spPr>
                </pic:pic>
              </a:graphicData>
            </a:graphic>
            <wp14:sizeRelH relativeFrom="page">
              <wp14:pctWidth>0</wp14:pctWidth>
            </wp14:sizeRelH>
            <wp14:sizeRelV relativeFrom="page">
              <wp14:pctHeight>0</wp14:pctHeight>
            </wp14:sizeRelV>
          </wp:anchor>
        </w:drawing>
      </w:r>
      <w:r w:rsidR="009509B2">
        <w:t>Conclusion</w:t>
      </w:r>
      <w:r w:rsidR="003F6E1D">
        <w:t xml:space="preserve"> (300 words</w:t>
      </w:r>
      <w:r w:rsidR="00A05D90">
        <w:t xml:space="preserve"> now </w:t>
      </w:r>
      <w:r w:rsidR="00DC1AD2">
        <w:t>5</w:t>
      </w:r>
      <w:r w:rsidR="00C73B96">
        <w:t>07</w:t>
      </w:r>
      <w:r w:rsidR="003F6E1D">
        <w:t>)</w:t>
      </w:r>
    </w:p>
    <w:p w14:paraId="6470A5E1" w14:textId="33E929AC" w:rsidR="00581031" w:rsidRDefault="00CC5B43" w:rsidP="00C73B96">
      <w:pPr>
        <w:spacing w:after="0" w:line="240" w:lineRule="auto"/>
        <w:ind w:firstLine="720"/>
      </w:pPr>
      <w:r>
        <w:t>Dundes suggests that ‘If one holds a holistic concept of culture and if one accepts the notion of the all-pervasiveness of worldview within a given culture, then in theory one could begin anywhere, with any bit of cultural material, in the search for worldview.’</w:t>
      </w:r>
      <w:r>
        <w:rPr>
          <w:rStyle w:val="FootnoteReference"/>
        </w:rPr>
        <w:footnoteReference w:id="49"/>
      </w:r>
      <w:r>
        <w:t xml:space="preserve"> Then perhaps the midsummer solstice observance in Leek, as it changes through millennia, can be used </w:t>
      </w:r>
      <w:r w:rsidR="00C73B96">
        <w:t xml:space="preserve">as a case study </w:t>
      </w:r>
      <w:r>
        <w:t>to understand the cosmology of English people</w:t>
      </w:r>
      <w:r w:rsidR="00C73B96">
        <w:t xml:space="preserve"> more generally</w:t>
      </w:r>
      <w:r>
        <w:t>.</w:t>
      </w:r>
      <w:r w:rsidR="001A66D5" w:rsidRPr="001A66D5">
        <w:t xml:space="preserve"> </w:t>
      </w:r>
      <w:r w:rsidR="001A66D5">
        <w:t xml:space="preserve">But beyond the evidence </w:t>
      </w:r>
      <w:r w:rsidR="00C73B96">
        <w:t>displayed for the almost universal need to</w:t>
      </w:r>
      <w:r w:rsidR="001A66D5">
        <w:t xml:space="preserve"> belong, has this research discovered a shared cosmology for the people of Leek </w:t>
      </w:r>
      <w:r w:rsidR="00C73B96">
        <w:t>through the material of the</w:t>
      </w:r>
      <w:r w:rsidR="001A66D5">
        <w:t xml:space="preserve"> double-sunset?</w:t>
      </w:r>
    </w:p>
    <w:p w14:paraId="0DB02F26" w14:textId="7BC2FAD6" w:rsidR="00DC1AD2" w:rsidRDefault="00EF04A7" w:rsidP="00EF04A7">
      <w:pPr>
        <w:spacing w:after="0" w:line="240" w:lineRule="auto"/>
        <w:ind w:firstLine="720"/>
      </w:pPr>
      <w:r>
        <w:rPr>
          <w:noProof/>
        </w:rPr>
        <mc:AlternateContent>
          <mc:Choice Requires="wps">
            <w:drawing>
              <wp:anchor distT="0" distB="0" distL="114300" distR="114300" simplePos="0" relativeHeight="251664384" behindDoc="1" locked="0" layoutInCell="1" allowOverlap="1" wp14:anchorId="42C2E495" wp14:editId="1E6D7C28">
                <wp:simplePos x="0" y="0"/>
                <wp:positionH relativeFrom="column">
                  <wp:posOffset>-87406</wp:posOffset>
                </wp:positionH>
                <wp:positionV relativeFrom="paragraph">
                  <wp:posOffset>1199441</wp:posOffset>
                </wp:positionV>
                <wp:extent cx="221742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2217420" cy="635"/>
                        </a:xfrm>
                        <a:prstGeom prst="rect">
                          <a:avLst/>
                        </a:prstGeom>
                        <a:solidFill>
                          <a:prstClr val="white"/>
                        </a:solidFill>
                        <a:ln>
                          <a:noFill/>
                        </a:ln>
                      </wps:spPr>
                      <wps:txbx>
                        <w:txbxContent>
                          <w:p w14:paraId="25566CD3" w14:textId="77777777" w:rsidR="00EF04A7" w:rsidRPr="009E325F" w:rsidRDefault="00EF04A7" w:rsidP="00EF04A7">
                            <w:pPr>
                              <w:pStyle w:val="Caption"/>
                              <w:rPr>
                                <w:noProof/>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Leek bench showing double-sunset in Staffordshire knot alongside cockerel representing Cock's Low round barrow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2C2E495" id="_x0000_t202" coordsize="21600,21600" o:spt="202" path="m,l,21600r21600,l21600,xe">
                <v:stroke joinstyle="miter"/>
                <v:path gradientshapeok="t" o:connecttype="rect"/>
              </v:shapetype>
              <v:shape id="Text Box 9" o:spid="_x0000_s1026" type="#_x0000_t202" style="position:absolute;left:0;text-align:left;margin-left:-6.9pt;margin-top:94.45pt;width:174.6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" stroked="f">
                <v:textbox style="mso-fit-shape-to-text:t" inset="0,0,0,0">
                  <w:txbxContent>
                    <w:p w14:paraId="25566CD3" w14:textId="77777777" w:rsidR="00EF04A7" w:rsidRPr="009E325F" w:rsidRDefault="00EF04A7" w:rsidP="00EF04A7">
                      <w:pPr>
                        <w:pStyle w:val="Caption"/>
                        <w:rPr>
                          <w:noProof/>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Leek bench showing double-sunset in Staffordshire knot alongside cockerel representing Cock's Low round barrow</w:t>
                      </w:r>
                    </w:p>
                  </w:txbxContent>
                </v:textbox>
                <w10:wrap type="tight"/>
              </v:shape>
            </w:pict>
          </mc:Fallback>
        </mc:AlternateContent>
      </w:r>
      <w:r w:rsidR="00581031">
        <w:t>The research responses could not reliably be considered to represent either</w:t>
      </w:r>
      <w:r w:rsidR="00581031" w:rsidRPr="005C2805">
        <w:rPr>
          <w:i/>
          <w:iCs/>
        </w:rPr>
        <w:t xml:space="preserve"> camaraderie</w:t>
      </w:r>
      <w:r w:rsidR="00581031">
        <w:t xml:space="preserve"> or </w:t>
      </w:r>
      <w:r w:rsidR="00581031" w:rsidRPr="005C2805">
        <w:rPr>
          <w:i/>
          <w:iCs/>
        </w:rPr>
        <w:t>communitas</w:t>
      </w:r>
      <w:r w:rsidR="00581031">
        <w:t>, a distinction made by Juschka.</w:t>
      </w:r>
      <w:r w:rsidR="00581031">
        <w:rPr>
          <w:rStyle w:val="FootnoteReference"/>
        </w:rPr>
        <w:footnoteReference w:id="50"/>
      </w:r>
      <w:r w:rsidR="00581031">
        <w:t xml:space="preserve"> Although one said </w:t>
      </w:r>
      <w:r w:rsidR="00581031" w:rsidRPr="00B126C9">
        <w:t>‘</w:t>
      </w:r>
      <w:r w:rsidR="00581031">
        <w:t>…</w:t>
      </w:r>
      <w:r w:rsidR="00581031" w:rsidRPr="00B126C9">
        <w:t xml:space="preserve"> awesome feeling created by the gentle hub-hub </w:t>
      </w:r>
      <w:r w:rsidR="00581031">
        <w:t>… of</w:t>
      </w:r>
      <w:r w:rsidR="00581031" w:rsidRPr="00B126C9">
        <w:t xml:space="preserve"> people gathering round to view something rare and wonderful.’ </w:t>
      </w:r>
      <w:r w:rsidR="00581031">
        <w:t xml:space="preserve"> Like the storyteller cited above, most of the others agreed with having identified with or imagined how people in the past would have been where they were trying to see the double-sunset at midsummer, but one person disagreed. </w:t>
      </w:r>
      <w:r w:rsidR="00C73B96">
        <w:t xml:space="preserve">So people are different in this </w:t>
      </w:r>
      <w:r>
        <w:t>regard. I</w:t>
      </w:r>
      <w:r w:rsidR="001B1E78">
        <w:t xml:space="preserve"> was also struck by my own assumption that this was a </w:t>
      </w:r>
      <w:r w:rsidR="001B1E78" w:rsidRPr="001B1E78">
        <w:rPr>
          <w:i/>
          <w:iCs/>
        </w:rPr>
        <w:t>sunset</w:t>
      </w:r>
      <w:r w:rsidR="001B1E78">
        <w:t xml:space="preserve">, albeit a special one, whereas a few people referred to the phenomenon as including a </w:t>
      </w:r>
      <w:r w:rsidR="001B1E78" w:rsidRPr="001B1E78">
        <w:rPr>
          <w:i/>
          <w:iCs/>
        </w:rPr>
        <w:t>sunrise</w:t>
      </w:r>
      <w:r w:rsidR="001B1E78">
        <w:t xml:space="preserve"> between the sunsets. This way of looking at the phenomenon could be analysed further, to understand the differing cosmology or folk ideas</w:t>
      </w:r>
      <w:r w:rsidR="00C73B96">
        <w:t xml:space="preserve"> behind them,</w:t>
      </w:r>
      <w:r w:rsidR="001B1E78">
        <w:t xml:space="preserve"> if they </w:t>
      </w:r>
      <w:r>
        <w:t>exist. What</w:t>
      </w:r>
      <w:r w:rsidR="00DC1AD2">
        <w:t xml:space="preserve"> I found curious was that, even though on a clear midsummer solstice day with every promise that the double-sunset could be seen, people would turn up knowing they could be disappointed at the last few minutes by the weather. And in some cases, they would return again in another year to try again, checking the weather, </w:t>
      </w:r>
      <w:r w:rsidR="00C73B96">
        <w:t>and hoping for the best</w:t>
      </w:r>
      <w:r w:rsidR="00DC1AD2">
        <w:t>. Alexandra Harris says ‘weather is one of the most powerful threads holding us together: it is what we share with everyone else who is in it, or under it’</w:t>
      </w:r>
      <w:r w:rsidR="00DC1AD2">
        <w:rPr>
          <w:rStyle w:val="FootnoteReference"/>
        </w:rPr>
        <w:footnoteReference w:id="51"/>
      </w:r>
      <w:r w:rsidR="00DC1AD2">
        <w:t xml:space="preserve"> and for an event such as the double-sunset, full of local history, mystery, science and located in England, known for its obsession with weather, in a region, the Staffordshire Moorlands, characterised by its weather and stark landscapes, people appeared to accept defeat by the weather on the day, remained good-humoured, created a tongue-in-cheek ritual of a sun-dance to ensure the next attempt would be successful. This acceptance echoes what Ingold argues which is ‘the knowledge of nature was forged in movement, in the course of going about in it. This knowledge was performative in the strict sense that it was formed through the comings and goings of inhabitants’.</w:t>
      </w:r>
      <w:r w:rsidR="00DC1AD2">
        <w:rPr>
          <w:rStyle w:val="FootnoteReference"/>
        </w:rPr>
        <w:footnoteReference w:id="52"/>
      </w:r>
    </w:p>
    <w:p w14:paraId="126A080B" w14:textId="08C346F2" w:rsidR="00CC5B43" w:rsidRDefault="00CC5B43">
      <w:pPr>
        <w:suppressAutoHyphens w:val="0"/>
      </w:pPr>
      <w:r>
        <w:br w:type="page"/>
      </w:r>
    </w:p>
    <w:p w14:paraId="3A1A4EAF" w14:textId="77777777" w:rsidR="00B91C58" w:rsidRDefault="009509B2">
      <w:pPr>
        <w:pStyle w:val="Heading1"/>
        <w:rPr>
          <w:color w:val="auto"/>
        </w:rPr>
      </w:pPr>
      <w:r>
        <w:rPr>
          <w:color w:val="auto"/>
        </w:rPr>
        <w:lastRenderedPageBreak/>
        <w:t>Bibliography</w:t>
      </w:r>
    </w:p>
    <w:p w14:paraId="1E496452" w14:textId="77777777" w:rsidR="00B91C58" w:rsidRDefault="00B91C58"/>
    <w:p w14:paraId="3D4EAAA5" w14:textId="1ABD8B97" w:rsidR="009169A9" w:rsidRDefault="009169A9">
      <w:r>
        <w:t>Billington, Sandra, The Midsummer Solstice As It Was, Or Was Not, Observed in Pagan Germany, Scandinavia and Anglo-Saxon England,</w:t>
      </w:r>
      <w:r w:rsidRPr="009169A9">
        <w:rPr>
          <w:i/>
          <w:iCs/>
        </w:rPr>
        <w:t xml:space="preserve"> Folklore</w:t>
      </w:r>
      <w:r>
        <w:t xml:space="preserve"> , (2008), 119: 1, pp. 41-57</w:t>
      </w:r>
    </w:p>
    <w:p w14:paraId="74A0E469" w14:textId="27AED0DE" w:rsidR="005C2DA0" w:rsidRDefault="005C2DA0">
      <w:r>
        <w:t xml:space="preserve">Bird, S Elizabeth, </w:t>
      </w:r>
      <w:r w:rsidR="003B2C1B">
        <w:t>‘</w:t>
      </w:r>
      <w:r>
        <w:t>Derbyshire Well Dressing: An Annual Folk Festival</w:t>
      </w:r>
      <w:r w:rsidR="003B2C1B">
        <w:t>’</w:t>
      </w:r>
      <w:r>
        <w:t xml:space="preserve">, </w:t>
      </w:r>
      <w:r w:rsidR="003B2C1B">
        <w:t>The Journal of Cultural Geography, (1983) 3:2, pg. 61-82</w:t>
      </w:r>
    </w:p>
    <w:p w14:paraId="788FA57E" w14:textId="5FE07A4F" w:rsidR="001840D4" w:rsidRDefault="001840D4">
      <w:r>
        <w:t>Bowman, Marion. Belief, Legend and Perceptions of the Sacred in Contemporary Bath, Folklore , 1998, Vol. 109 (1998), pp. 25-31</w:t>
      </w:r>
    </w:p>
    <w:p w14:paraId="7A98E29F" w14:textId="77777777" w:rsidR="006A69C2" w:rsidRDefault="006A69C2" w:rsidP="006A69C2">
      <w:r>
        <w:t>Burne, C.S., Staffordshire Folk and Their Lore, Folklore , Dec., 1896, Vol. 7, No. 4 (Dec., 1896), pp. 366-386</w:t>
      </w:r>
    </w:p>
    <w:p w14:paraId="41C10157" w14:textId="619B3546" w:rsidR="00505F61" w:rsidRDefault="00505F61">
      <w:r>
        <w:t>Cusack, Carole M. Charmed Circle: Stonehenge, Contemporary Paganism, and Alternative Archaeology, Numen , 2012, 59: 2/3, Alternative Archaeology (2012), pp. 138-155</w:t>
      </w:r>
    </w:p>
    <w:p w14:paraId="1A57B5A5" w14:textId="31E02E0B" w:rsidR="006A7CA2" w:rsidRDefault="006A7CA2">
      <w:r w:rsidRPr="006C1223">
        <w:rPr>
          <w:highlight w:val="yellow"/>
        </w:rPr>
        <w:t>Sid Rawle</w:t>
      </w:r>
      <w:r>
        <w:rPr>
          <w:highlight w:val="yellow"/>
        </w:rPr>
        <w:t xml:space="preserve"> (1978)</w:t>
      </w:r>
      <w:r w:rsidRPr="006C1223">
        <w:rPr>
          <w:highlight w:val="yellow"/>
        </w:rPr>
        <w:t xml:space="preserve"> quoted in </w:t>
      </w:r>
      <w:r>
        <w:rPr>
          <w:highlight w:val="yellow"/>
        </w:rPr>
        <w:t xml:space="preserve">Christopher </w:t>
      </w:r>
      <w:r w:rsidRPr="006C1223">
        <w:rPr>
          <w:highlight w:val="yellow"/>
        </w:rPr>
        <w:t>Chipp</w:t>
      </w:r>
      <w:r>
        <w:rPr>
          <w:highlight w:val="yellow"/>
        </w:rPr>
        <w:t>i</w:t>
      </w:r>
      <w:r w:rsidRPr="006C1223">
        <w:rPr>
          <w:highlight w:val="yellow"/>
        </w:rPr>
        <w:t>ndale</w:t>
      </w:r>
      <w:r>
        <w:t>, Stoned Henge: Events and Issues at the Summer Solstice, 1985, World Archaeology , (1986) 18:1, Perspectives in World Archaeology, pp. 38-58 (p.44).</w:t>
      </w:r>
    </w:p>
    <w:p w14:paraId="367C10A5" w14:textId="578FB733" w:rsidR="00DB34EB" w:rsidRDefault="00DB34EB" w:rsidP="00DB34EB">
      <w:r>
        <w:t xml:space="preserve">Davie, Grace. Believing Without Belonging. A Liverpool Case Study, </w:t>
      </w:r>
      <w:r w:rsidRPr="00DB34EB">
        <w:t>Archives de sciences sociales des religions</w:t>
      </w:r>
      <w:r>
        <w:t xml:space="preserve"> , Jan. - Mar., 1993, 38e Année, No. 81 (Jan. - Mar., 1993), pp. 79-89</w:t>
      </w:r>
    </w:p>
    <w:p w14:paraId="3F740ECC" w14:textId="55B2B6D4" w:rsidR="00DB34EB" w:rsidRDefault="00DB34EB" w:rsidP="00DB34EB">
      <w:r w:rsidRPr="00DB34EB">
        <w:rPr>
          <w:highlight w:val="yellow"/>
        </w:rPr>
        <w:t xml:space="preserve">Davie Grace, Believing Without Belonging: Is This The Future Of Religion In Britain?, </w:t>
      </w:r>
      <w:r w:rsidRPr="00DB34EB">
        <w:rPr>
          <w:i/>
          <w:iCs/>
          <w:highlight w:val="yellow"/>
        </w:rPr>
        <w:t>Social Compass</w:t>
      </w:r>
      <w:r w:rsidRPr="00DB34EB">
        <w:rPr>
          <w:highlight w:val="yellow"/>
        </w:rPr>
        <w:t>, 37:4 (1990), (pg. 445-469)</w:t>
      </w:r>
      <w:r>
        <w:t xml:space="preserve"> – NO QUOTES USED</w:t>
      </w:r>
    </w:p>
    <w:p w14:paraId="3DAD7289" w14:textId="751C4DDA" w:rsidR="00B91C58" w:rsidRDefault="009509B2">
      <w:r>
        <w:t xml:space="preserve">Dundes, Alan, ‘Folk Ideas As Units Of Worldview’, </w:t>
      </w:r>
      <w:r>
        <w:rPr>
          <w:i/>
          <w:iCs/>
        </w:rPr>
        <w:t>The Journal of American Folklore</w:t>
      </w:r>
      <w:r>
        <w:t>, 84.331, (1971) 93-103</w:t>
      </w:r>
    </w:p>
    <w:p w14:paraId="5A86B92D" w14:textId="76EFF7F7" w:rsidR="00710B60" w:rsidRDefault="00710B60">
      <w:r>
        <w:t>Dundes, Alan. Metafolklore And Oral Literary Criticism, The Monist, (1966) 50:4, Symbol and Myth, pp. 505-516</w:t>
      </w:r>
    </w:p>
    <w:p w14:paraId="108DC52C" w14:textId="77777777" w:rsidR="007B13AF" w:rsidRDefault="00410EEB" w:rsidP="007B13AF">
      <w:r>
        <w:t xml:space="preserve">Dundes, Alan, ‘Thinking Ahead: A Folkloristic Reflection of the Future Orientation in American Worldview’ </w:t>
      </w:r>
      <w:r w:rsidRPr="00410EEB">
        <w:rPr>
          <w:i/>
          <w:iCs/>
        </w:rPr>
        <w:t>Anthropological Quarterly</w:t>
      </w:r>
      <w:r>
        <w:t xml:space="preserve"> , (1969) 42.2, pp. 53-72</w:t>
      </w:r>
    </w:p>
    <w:p w14:paraId="10F1A610" w14:textId="1B37A775" w:rsidR="009E3B8B" w:rsidRPr="009E3B8B" w:rsidRDefault="009E3B8B" w:rsidP="007B13AF">
      <w:r w:rsidRPr="009E3B8B">
        <w:t>Gentleman's Magazine</w:t>
      </w:r>
      <w:r>
        <w:t xml:space="preserve">, Vol VIII, </w:t>
      </w:r>
      <w:r w:rsidR="004D3A07">
        <w:t xml:space="preserve">July </w:t>
      </w:r>
      <w:r>
        <w:t>1738</w:t>
      </w:r>
      <w:r w:rsidR="004D3A07">
        <w:t>, pg. 638</w:t>
      </w:r>
    </w:p>
    <w:p w14:paraId="42A58A22" w14:textId="1998AB55" w:rsidR="000A13EF" w:rsidRDefault="000A13EF" w:rsidP="000A13EF">
      <w:r w:rsidRPr="000A13EF">
        <w:t xml:space="preserve">Grimes, Ronald, “Performance is Currency in the Deep World‘s Gift Economy: An Incantatory Riff for a Global Medicine Show”. Interdisciplinary Studies in Literature and Environment. </w:t>
      </w:r>
      <w:r>
        <w:t>(2002)</w:t>
      </w:r>
      <w:r w:rsidRPr="000A13EF">
        <w:t xml:space="preserve"> 9</w:t>
      </w:r>
      <w:r>
        <w:t>:</w:t>
      </w:r>
      <w:r w:rsidRPr="000A13EF">
        <w:t>1, pp. 150-163.</w:t>
      </w:r>
    </w:p>
    <w:p w14:paraId="534E6380" w14:textId="4A3DC211" w:rsidR="004F6CF8" w:rsidRDefault="004F6CF8">
      <w:r w:rsidRPr="0094696B">
        <w:rPr>
          <w:highlight w:val="yellow"/>
        </w:rPr>
        <w:t>Haden, David. The Folk-Lore Of North Staffordshire: An Annotated Bibliography, version 1.</w:t>
      </w:r>
      <w:r w:rsidR="006C3588" w:rsidRPr="0094696B">
        <w:rPr>
          <w:highlight w:val="yellow"/>
        </w:rPr>
        <w:t>5</w:t>
      </w:r>
      <w:r w:rsidRPr="0094696B">
        <w:rPr>
          <w:highlight w:val="yellow"/>
        </w:rPr>
        <w:t xml:space="preserve"> (20</w:t>
      </w:r>
      <w:r w:rsidR="006C3588" w:rsidRPr="0094696B">
        <w:rPr>
          <w:highlight w:val="yellow"/>
        </w:rPr>
        <w:t>20</w:t>
      </w:r>
      <w:r w:rsidRPr="0094696B">
        <w:rPr>
          <w:highlight w:val="yellow"/>
        </w:rPr>
        <w:t xml:space="preserve">) </w:t>
      </w:r>
      <w:r w:rsidR="006C3588" w:rsidRPr="0094696B">
        <w:rPr>
          <w:highlight w:val="yellow"/>
        </w:rPr>
        <w:t>https://potbanks.files.wordpress.com/2019/12/staffordshire_folklore_15.pdf</w:t>
      </w:r>
      <w:r w:rsidRPr="0094696B">
        <w:rPr>
          <w:highlight w:val="yellow"/>
        </w:rPr>
        <w:t xml:space="preserve"> </w:t>
      </w:r>
      <w:r w:rsidR="006C3588" w:rsidRPr="0094696B">
        <w:rPr>
          <w:highlight w:val="yellow"/>
        </w:rPr>
        <w:t>[accessed 08 April 2021]</w:t>
      </w:r>
    </w:p>
    <w:p w14:paraId="32B040AC" w14:textId="38F77A01" w:rsidR="0094696B" w:rsidRDefault="0094696B">
      <w:r>
        <w:t xml:space="preserve">Harris, Alexandra, </w:t>
      </w:r>
      <w:r w:rsidRPr="001E5F94">
        <w:rPr>
          <w:i/>
          <w:iCs/>
        </w:rPr>
        <w:t>Weatherland: Writers And Artists Under English Skies</w:t>
      </w:r>
      <w:r>
        <w:t>. (London: Thames &amp; Hudson, 2016)</w:t>
      </w:r>
    </w:p>
    <w:p w14:paraId="726DE1ED" w14:textId="6C60BE05" w:rsidR="002B4618" w:rsidRDefault="002B4618">
      <w:pPr>
        <w:rPr>
          <w:rFonts w:asciiTheme="minorHAnsi" w:hAnsiTheme="minorHAnsi" w:cstheme="minorHAnsi"/>
        </w:rPr>
      </w:pPr>
      <w:r w:rsidRPr="002371ED">
        <w:rPr>
          <w:rFonts w:asciiTheme="minorHAnsi" w:hAnsiTheme="minorHAnsi" w:cstheme="minorHAnsi"/>
        </w:rPr>
        <w:t>Hennink, Monique</w:t>
      </w:r>
      <w:r>
        <w:rPr>
          <w:rFonts w:asciiTheme="minorHAnsi" w:hAnsiTheme="minorHAnsi" w:cstheme="minorHAnsi"/>
        </w:rPr>
        <w:t xml:space="preserve">; </w:t>
      </w:r>
      <w:r w:rsidRPr="002371ED">
        <w:rPr>
          <w:rFonts w:asciiTheme="minorHAnsi" w:hAnsiTheme="minorHAnsi" w:cstheme="minorHAnsi"/>
        </w:rPr>
        <w:t>Hutter</w:t>
      </w:r>
      <w:r>
        <w:rPr>
          <w:rFonts w:asciiTheme="minorHAnsi" w:hAnsiTheme="minorHAnsi" w:cstheme="minorHAnsi"/>
        </w:rPr>
        <w:t xml:space="preserve">, </w:t>
      </w:r>
      <w:r w:rsidRPr="002371ED">
        <w:rPr>
          <w:rFonts w:asciiTheme="minorHAnsi" w:hAnsiTheme="minorHAnsi" w:cstheme="minorHAnsi"/>
        </w:rPr>
        <w:t>Inge and Bailey</w:t>
      </w:r>
      <w:r>
        <w:rPr>
          <w:rFonts w:asciiTheme="minorHAnsi" w:hAnsiTheme="minorHAnsi" w:cstheme="minorHAnsi"/>
        </w:rPr>
        <w:t xml:space="preserve">, </w:t>
      </w:r>
      <w:r w:rsidRPr="002371ED">
        <w:rPr>
          <w:rFonts w:asciiTheme="minorHAnsi" w:hAnsiTheme="minorHAnsi" w:cstheme="minorHAnsi"/>
        </w:rPr>
        <w:t>Ajay</w:t>
      </w:r>
      <w:r>
        <w:rPr>
          <w:rFonts w:asciiTheme="minorHAnsi" w:hAnsiTheme="minorHAnsi" w:cstheme="minorHAnsi"/>
        </w:rPr>
        <w:t xml:space="preserve">. </w:t>
      </w:r>
      <w:r w:rsidRPr="002371ED">
        <w:rPr>
          <w:rFonts w:asciiTheme="minorHAnsi" w:hAnsiTheme="minorHAnsi" w:cstheme="minorHAnsi"/>
          <w:i/>
          <w:iCs/>
        </w:rPr>
        <w:t>Qualitative Research Methods</w:t>
      </w:r>
      <w:r w:rsidRPr="002371ED">
        <w:rPr>
          <w:rFonts w:asciiTheme="minorHAnsi" w:hAnsiTheme="minorHAnsi" w:cstheme="minorHAnsi"/>
        </w:rPr>
        <w:t>, 2</w:t>
      </w:r>
      <w:r w:rsidRPr="002371ED">
        <w:rPr>
          <w:rFonts w:asciiTheme="minorHAnsi" w:hAnsiTheme="minorHAnsi" w:cstheme="minorHAnsi"/>
          <w:vertAlign w:val="superscript"/>
        </w:rPr>
        <w:t>nd</w:t>
      </w:r>
      <w:r w:rsidRPr="002371ED">
        <w:rPr>
          <w:rFonts w:asciiTheme="minorHAnsi" w:hAnsiTheme="minorHAnsi" w:cstheme="minorHAnsi"/>
        </w:rPr>
        <w:t xml:space="preserve"> edn. (London: SAGE, 2020), p.17</w:t>
      </w:r>
    </w:p>
    <w:p w14:paraId="5666A8F2" w14:textId="4B51DE53" w:rsidR="00DB34EB" w:rsidRDefault="00DB34EB">
      <w:r>
        <w:t xml:space="preserve">Hufford, David J, The Scholarly Voice And The Personal Voice: Reflexivity In Belief Studies, </w:t>
      </w:r>
      <w:r w:rsidRPr="00340766">
        <w:rPr>
          <w:i/>
          <w:iCs/>
        </w:rPr>
        <w:t>Western Folklore</w:t>
      </w:r>
      <w:r>
        <w:t xml:space="preserve"> , (1995), 54: 1, Reflexivity and the Study of Belief (Jan., 1995), pp. 57-76</w:t>
      </w:r>
    </w:p>
    <w:p w14:paraId="091051D5" w14:textId="52431448" w:rsidR="00350714" w:rsidRDefault="00350714">
      <w:r>
        <w:lastRenderedPageBreak/>
        <w:t>Hymes, Dell, Folklore's Nature and the Sun's Myth, The Journal of American Folklore , (1975), 88: 350 pp. 345-369</w:t>
      </w:r>
    </w:p>
    <w:p w14:paraId="51119919" w14:textId="0690A473" w:rsidR="00E1673E" w:rsidRDefault="000D3996" w:rsidP="00E1673E">
      <w:pPr>
        <w:spacing w:after="0" w:line="240" w:lineRule="auto"/>
      </w:pPr>
      <w:r>
        <w:t xml:space="preserve">Ingold, </w:t>
      </w:r>
      <w:r w:rsidR="00E1673E">
        <w:t xml:space="preserve">Tim, ‘Earth, Sky, Wind, and Weather’ </w:t>
      </w:r>
      <w:r w:rsidR="00E1673E" w:rsidRPr="006A40F6">
        <w:t>The Journal of the Royal Anthropological Institute</w:t>
      </w:r>
    </w:p>
    <w:p w14:paraId="1A913E59" w14:textId="12674454" w:rsidR="00E1673E" w:rsidRPr="00B75B06" w:rsidRDefault="00E1673E" w:rsidP="00E1673E">
      <w:pPr>
        <w:spacing w:after="0" w:line="240" w:lineRule="auto"/>
      </w:pPr>
      <w:r w:rsidRPr="00B75B06">
        <w:t>(2007) 13, pp. S19-S3</w:t>
      </w:r>
      <w:r w:rsidR="00D4772A" w:rsidRPr="00B75B06">
        <w:t>8</w:t>
      </w:r>
    </w:p>
    <w:p w14:paraId="1EB50A48" w14:textId="225835BD" w:rsidR="00D4772A" w:rsidRPr="00B75B06" w:rsidRDefault="00D4772A" w:rsidP="00E1673E">
      <w:pPr>
        <w:spacing w:after="0" w:line="240" w:lineRule="auto"/>
      </w:pPr>
    </w:p>
    <w:p w14:paraId="2D125560" w14:textId="50BF9260" w:rsidR="00D4772A" w:rsidRPr="00D4772A" w:rsidRDefault="00D4772A" w:rsidP="00E1673E">
      <w:pPr>
        <w:spacing w:after="0" w:line="240" w:lineRule="auto"/>
      </w:pPr>
      <w:r w:rsidRPr="00BE3C09">
        <w:t>Ingold</w:t>
      </w:r>
      <w:r>
        <w:t>, Tim. Dreaming of dragons: on the imagination of real life, The Journal of the Royal Anthropological Institute, (2013), Vol. 19:4, pp. 734-752</w:t>
      </w:r>
    </w:p>
    <w:p w14:paraId="466F2CC5" w14:textId="77777777" w:rsidR="00AB4328" w:rsidRDefault="00AB4328" w:rsidP="00AB4328">
      <w:pPr>
        <w:spacing w:after="0" w:line="240" w:lineRule="auto"/>
      </w:pPr>
    </w:p>
    <w:p w14:paraId="3F6FB1A8" w14:textId="0BD1F790" w:rsidR="00AB4328" w:rsidRDefault="00AB4328" w:rsidP="00AB4328">
      <w:pPr>
        <w:spacing w:after="0" w:line="240" w:lineRule="auto"/>
      </w:pPr>
      <w:r>
        <w:t>Juschka, Darlene M. Whose Turn is it to Cook? Communitas and Pilgrimage Questioned. Mosaic: An Interdisciplinary Critical Journal , 2003, 36:4, a special issue: PILGRIMAGE (December 2003), pp. 189-204</w:t>
      </w:r>
    </w:p>
    <w:p w14:paraId="6EB4B587" w14:textId="77777777" w:rsidR="00AB4328" w:rsidRDefault="00AB4328" w:rsidP="00B76548">
      <w:pPr>
        <w:pStyle w:val="FootnoteText"/>
        <w:rPr>
          <w:sz w:val="22"/>
          <w:szCs w:val="22"/>
        </w:rPr>
      </w:pPr>
    </w:p>
    <w:p w14:paraId="64E10D5C" w14:textId="4D9A04FA" w:rsidR="002B4618" w:rsidRDefault="002B4618" w:rsidP="002B4618">
      <w:pPr>
        <w:spacing w:after="0" w:line="240" w:lineRule="auto"/>
      </w:pPr>
      <w:r w:rsidRPr="00234D10">
        <w:t>Katz</w:t>
      </w:r>
      <w:r>
        <w:t xml:space="preserve">, </w:t>
      </w:r>
      <w:r w:rsidRPr="00234D10">
        <w:t>Jack</w:t>
      </w:r>
      <w:r>
        <w:t>.</w:t>
      </w:r>
      <w:r w:rsidRPr="00234D10">
        <w:t xml:space="preserve"> From Luminous Description T</w:t>
      </w:r>
      <w:r>
        <w:t xml:space="preserve">o Causal Inference In Ethnography (Part 1), </w:t>
      </w:r>
      <w:r w:rsidRPr="002B4618">
        <w:t>Ethnography</w:t>
      </w:r>
      <w:r>
        <w:t xml:space="preserve">, 2:4 (2001) p 443-473 </w:t>
      </w:r>
    </w:p>
    <w:p w14:paraId="78C62B0A" w14:textId="77777777" w:rsidR="002B4618" w:rsidRDefault="002B4618" w:rsidP="00B76548">
      <w:pPr>
        <w:pStyle w:val="FootnoteText"/>
      </w:pPr>
    </w:p>
    <w:p w14:paraId="7333DA9B" w14:textId="47114AE7" w:rsidR="00B91C58" w:rsidRDefault="009509B2" w:rsidP="00B76548">
      <w:pPr>
        <w:pStyle w:val="FootnoteText"/>
        <w:rPr>
          <w:sz w:val="22"/>
          <w:szCs w:val="22"/>
        </w:rPr>
      </w:pPr>
      <w:r w:rsidRPr="00B75B06">
        <w:rPr>
          <w:sz w:val="22"/>
          <w:szCs w:val="22"/>
        </w:rPr>
        <w:t xml:space="preserve">Kent, Jeff. </w:t>
      </w:r>
      <w:r>
        <w:rPr>
          <w:i/>
          <w:iCs/>
          <w:sz w:val="22"/>
          <w:szCs w:val="22"/>
        </w:rPr>
        <w:t>The Mysterious Double Sunset</w:t>
      </w:r>
      <w:r>
        <w:rPr>
          <w:sz w:val="22"/>
          <w:szCs w:val="22"/>
        </w:rPr>
        <w:t>, (Stafford: Witan, 2001) p.68</w:t>
      </w:r>
    </w:p>
    <w:p w14:paraId="7D734AFE" w14:textId="4B10F2A0" w:rsidR="004D3A07" w:rsidRDefault="004D3A07" w:rsidP="00B76548">
      <w:pPr>
        <w:pStyle w:val="FootnoteText"/>
        <w:rPr>
          <w:sz w:val="22"/>
          <w:szCs w:val="22"/>
        </w:rPr>
      </w:pPr>
    </w:p>
    <w:p w14:paraId="6438C3CE" w14:textId="413C18E0" w:rsidR="004D3A07" w:rsidRDefault="004D3A07" w:rsidP="004D3A07">
      <w:pPr>
        <w:spacing w:after="0" w:line="240" w:lineRule="auto"/>
      </w:pPr>
      <w:r>
        <w:t>Mendyk, S. Robert Plot: Britain's 'Genial Father of County Natural Histories', Notes and Records of the Royal Society of London , Apr., 1985, Vol. 39, No. 2 (Apr., 1985), pp. 159-177</w:t>
      </w:r>
    </w:p>
    <w:p w14:paraId="0F3160E7" w14:textId="77777777" w:rsidR="00B76548" w:rsidRDefault="00B76548" w:rsidP="00B76548">
      <w:pPr>
        <w:pStyle w:val="FootnoteText"/>
      </w:pPr>
    </w:p>
    <w:p w14:paraId="71773F76" w14:textId="143E0EC9" w:rsidR="00F62D96" w:rsidRDefault="00F62D96">
      <w:r w:rsidRPr="000D3996">
        <w:t xml:space="preserve">Mussik, Reinhard, ‘An Investigation of Internet Solstice Celebrations of Supposed Prehistoric Sacred Places’, </w:t>
      </w:r>
      <w:r w:rsidRPr="000D3996">
        <w:rPr>
          <w:i/>
          <w:iCs/>
        </w:rPr>
        <w:t>Culture and Cosmos</w:t>
      </w:r>
      <w:r w:rsidRPr="000D3996">
        <w:t>, 22.1 (2018) pp. 65-88</w:t>
      </w:r>
    </w:p>
    <w:p w14:paraId="2BC9F6E2" w14:textId="33759B83" w:rsidR="005904BB" w:rsidRDefault="005904BB">
      <w:r>
        <w:t xml:space="preserve">Oring, Elliott, Generating Lives: The Construction of an Autobiography, </w:t>
      </w:r>
      <w:r w:rsidRPr="005904BB">
        <w:rPr>
          <w:i/>
          <w:iCs/>
        </w:rPr>
        <w:t>Journal of Folklore Research</w:t>
      </w:r>
      <w:r>
        <w:t xml:space="preserve"> , (1987), 24: 3, pp. 241-262</w:t>
      </w:r>
    </w:p>
    <w:p w14:paraId="00A68A37" w14:textId="29852AAE" w:rsidR="00B06378" w:rsidRDefault="009509B2" w:rsidP="00624A0D">
      <w:r>
        <w:t xml:space="preserve">Plot, Robert, </w:t>
      </w:r>
      <w:r>
        <w:rPr>
          <w:i/>
          <w:iCs/>
        </w:rPr>
        <w:t xml:space="preserve">The Natural History </w:t>
      </w:r>
      <w:r w:rsidR="00F62D96">
        <w:rPr>
          <w:i/>
          <w:iCs/>
        </w:rPr>
        <w:t>O</w:t>
      </w:r>
      <w:r>
        <w:rPr>
          <w:i/>
          <w:iCs/>
        </w:rPr>
        <w:t xml:space="preserve">f Stafford-shire </w:t>
      </w:r>
      <w:r w:rsidRPr="002B4618">
        <w:t xml:space="preserve">(Oxford: </w:t>
      </w:r>
      <w:r w:rsidR="00F62D96" w:rsidRPr="002B4618">
        <w:t>The</w:t>
      </w:r>
      <w:r w:rsidRPr="002B4618">
        <w:t xml:space="preserve"> T</w:t>
      </w:r>
      <w:r w:rsidR="00F62D96" w:rsidRPr="002B4618">
        <w:t>heater</w:t>
      </w:r>
      <w:r w:rsidRPr="002B4618">
        <w:t>, 1686)</w:t>
      </w:r>
    </w:p>
    <w:p w14:paraId="74C31A93" w14:textId="01B81E15" w:rsidR="006A7CA2" w:rsidRPr="006A7CA2" w:rsidRDefault="006A7CA2" w:rsidP="006A7CA2">
      <w:r>
        <w:t>Rawle, S. 1978. Letter to the Times, 28 June, quoted by M. Balfour, Stonehenge and its Mysteries (London: Macdonald &amp; Jane's), 171, cited</w:t>
      </w:r>
      <w:r w:rsidRPr="006C1223">
        <w:rPr>
          <w:highlight w:val="yellow"/>
        </w:rPr>
        <w:t xml:space="preserve"> in </w:t>
      </w:r>
      <w:r>
        <w:rPr>
          <w:highlight w:val="yellow"/>
        </w:rPr>
        <w:t xml:space="preserve">Christopher </w:t>
      </w:r>
      <w:r w:rsidRPr="006C1223">
        <w:rPr>
          <w:highlight w:val="yellow"/>
        </w:rPr>
        <w:t>Chipp</w:t>
      </w:r>
      <w:r>
        <w:rPr>
          <w:highlight w:val="yellow"/>
        </w:rPr>
        <w:t>i</w:t>
      </w:r>
      <w:r w:rsidRPr="006C1223">
        <w:rPr>
          <w:highlight w:val="yellow"/>
        </w:rPr>
        <w:t>ndale</w:t>
      </w:r>
      <w:r>
        <w:t>, Stoned Henge: Events and Issues at the Summer Solstice, 1985, World Archaeology , (1986) 18:1, Perspectives in World Archaeology, pp. 38-58 (p.44).</w:t>
      </w:r>
    </w:p>
    <w:p w14:paraId="189E514D" w14:textId="7F16B7F7" w:rsidR="00026ABB" w:rsidRDefault="00BE3618">
      <w:r>
        <w:t>Turner, Victor, The Center out There: Pilgrim's Goal, History of Religions , Feb., 1973, Vol. 12, No. 3 (Feb., 1973), pp. 191-230 (pg. 216)</w:t>
      </w:r>
    </w:p>
    <w:p w14:paraId="3948B271" w14:textId="74905F15" w:rsidR="00B91C58" w:rsidRDefault="009509B2">
      <w:r>
        <w:t>Stake</w:t>
      </w:r>
      <w:r w:rsidR="00506985">
        <w:t>,</w:t>
      </w:r>
      <w:r w:rsidR="00DB34EB">
        <w:t xml:space="preserve"> R</w:t>
      </w:r>
      <w:r w:rsidR="00257CD5">
        <w:t xml:space="preserve">obert </w:t>
      </w:r>
      <w:r w:rsidR="00DB34EB">
        <w:t xml:space="preserve">E., </w:t>
      </w:r>
      <w:r w:rsidR="00506985">
        <w:t>The Art Of Case Study</w:t>
      </w:r>
      <w:r w:rsidR="00DB34EB">
        <w:t xml:space="preserve"> Research, (SAGE</w:t>
      </w:r>
      <w:r w:rsidR="00257CD5">
        <w:t>: 1995</w:t>
      </w:r>
      <w:r w:rsidR="00DB34EB">
        <w:t>) Chapter 3: The Nature Of Qualitative Research, pgs. 35-48 (scanned extract)</w:t>
      </w:r>
    </w:p>
    <w:p w14:paraId="6FD76E3F" w14:textId="560EE6F8" w:rsidR="00B62BB6" w:rsidRDefault="00B62BB6">
      <w:r w:rsidRPr="00B62BB6">
        <w:t>Tilley</w:t>
      </w:r>
      <w:r>
        <w:t>,</w:t>
      </w:r>
      <w:r w:rsidRPr="00B62BB6">
        <w:t xml:space="preserve"> Christopher</w:t>
      </w:r>
      <w:r>
        <w:t>,</w:t>
      </w:r>
      <w:r w:rsidRPr="00B62BB6">
        <w:t xml:space="preserve"> </w:t>
      </w:r>
      <w:r>
        <w:t>‘</w:t>
      </w:r>
      <w:r w:rsidRPr="00B62BB6">
        <w:t>The Powers of Rocks: Topography and Monument Construction on Bodmin Moor</w:t>
      </w:r>
      <w:r>
        <w:t>’</w:t>
      </w:r>
      <w:r w:rsidRPr="00B62BB6">
        <w:t xml:space="preserve"> World Archaeology , Oct., 1996, Vol. 28, No. 2, Sacred Geography (Oct., 1996), pp. 161-176 </w:t>
      </w:r>
    </w:p>
    <w:p w14:paraId="157F01CA" w14:textId="56F213C2" w:rsidR="003B7633" w:rsidRDefault="003B7633" w:rsidP="00A05D90">
      <w:r w:rsidRPr="003B7633">
        <w:t>Wallis</w:t>
      </w:r>
      <w:r>
        <w:t xml:space="preserve">, </w:t>
      </w:r>
      <w:r w:rsidRPr="003B7633">
        <w:t>Robert J. and Blain</w:t>
      </w:r>
      <w:r>
        <w:t>,</w:t>
      </w:r>
      <w:r w:rsidRPr="003B7633">
        <w:t xml:space="preserve"> Jenny</w:t>
      </w:r>
      <w:r>
        <w:t>,</w:t>
      </w:r>
      <w:r w:rsidRPr="003B7633">
        <w:t xml:space="preserve"> Sites, Sacredness, and Stories: Interactions of Archaeology and Contemporary Paganism, Folklore , (2003), 114: 3, pp. 307-321</w:t>
      </w:r>
    </w:p>
    <w:p w14:paraId="01D5A6E0" w14:textId="08D3842E" w:rsidR="00B9360F" w:rsidRDefault="003F0483" w:rsidP="00B9360F">
      <w:r>
        <w:t>Whitehead, Amy. The Goddess and the Virgin: Materiality in Western Europe, The Pomegranate 10.2 (2008) 163-183</w:t>
      </w:r>
    </w:p>
    <w:p w14:paraId="19EC422F" w14:textId="1ECAF5D7" w:rsidR="00DB34EB" w:rsidRDefault="00DB34EB">
      <w:pPr>
        <w:suppressAutoHyphens w:val="0"/>
      </w:pPr>
      <w:r>
        <w:br w:type="page"/>
      </w:r>
    </w:p>
    <w:p w14:paraId="74CCD749" w14:textId="4744F40F" w:rsidR="00D357D1" w:rsidRDefault="001B5333" w:rsidP="001B5333">
      <w:pPr>
        <w:pStyle w:val="Heading1"/>
      </w:pPr>
      <w:r>
        <w:lastRenderedPageBreak/>
        <w:t>Appendix</w:t>
      </w:r>
      <w:r w:rsidR="00D357D1">
        <w:t xml:space="preserve"> A</w:t>
      </w:r>
      <w:r>
        <w:t xml:space="preserve"> </w:t>
      </w:r>
    </w:p>
    <w:p w14:paraId="2C2F8E7D" w14:textId="7DB3C656" w:rsidR="001B5333" w:rsidRDefault="00DC1AD2" w:rsidP="00D357D1">
      <w:pPr>
        <w:pStyle w:val="Heading2"/>
      </w:pPr>
      <w:r>
        <w:t>Leek</w:t>
      </w:r>
      <w:r w:rsidR="001B5333">
        <w:t xml:space="preserve"> (53</w:t>
      </w:r>
      <w:r w:rsidR="00C56D3B">
        <w:t>3</w:t>
      </w:r>
      <w:r w:rsidR="001B5333">
        <w:t xml:space="preserve"> words)</w:t>
      </w:r>
    </w:p>
    <w:p w14:paraId="0DA8789D" w14:textId="1CEA0FE6" w:rsidR="001A66D5" w:rsidRDefault="001B5333" w:rsidP="001B5333">
      <w:pPr>
        <w:spacing w:after="120" w:line="240" w:lineRule="auto"/>
        <w:ind w:firstLine="720"/>
      </w:pPr>
      <w:r>
        <w:t>The market town of Leek, chartered in the 13</w:t>
      </w:r>
      <w:r w:rsidRPr="00511B2A">
        <w:rPr>
          <w:vertAlign w:val="superscript"/>
        </w:rPr>
        <w:t>th</w:t>
      </w:r>
      <w:r>
        <w:t xml:space="preserve"> century, was within the Leek &amp; Lowe parish until changes in administrative government renamed the region the Staffordshire Moorlands. It is on the western border of the Peak District National Park and is surrounded by moorlands, gritstone outcroppings, a series of hills: the five clouds </w:t>
      </w:r>
      <w:r w:rsidR="00C56D3B">
        <w:t>and</w:t>
      </w:r>
      <w:r>
        <w:t xml:space="preserve"> villages set in an semi-agricultural, post-industrial countryside. At the 2011 census the population of Leek was around 20,000. The population is predominantly white English. It consistently votes conservative in local and national elections. Leek has five main churches, Catholic, three Anglican and a Methodist. Leek was next to the site of </w:t>
      </w:r>
      <w:r w:rsidRPr="00511B2A">
        <w:t>Dieulacres Abbey</w:t>
      </w:r>
      <w:r>
        <w:t>, the Cistercian monks changed the course of the Churnet river that loops around Leek and are considered by some to have produced the Pearl manuscript that contains the poem ‘</w:t>
      </w:r>
      <w:r w:rsidRPr="00C56D3B">
        <w:rPr>
          <w:i/>
          <w:iCs/>
        </w:rPr>
        <w:t>Sir Gawain and the Green Knight’</w:t>
      </w:r>
      <w:r>
        <w:t>, thought by some to refer to a local gritstone feature, ‘Lud’s Church</w:t>
      </w:r>
      <w:r w:rsidR="00C56D3B">
        <w:t xml:space="preserve"> (Ludchurch)’</w:t>
      </w:r>
      <w:r>
        <w:t xml:space="preserve"> near </w:t>
      </w:r>
      <w:r w:rsidR="00C56D3B">
        <w:t xml:space="preserve">to </w:t>
      </w:r>
      <w:r>
        <w:t xml:space="preserve">the River Dane and The Roches. </w:t>
      </w:r>
      <w:r w:rsidR="00C56D3B">
        <w:t>Some n</w:t>
      </w:r>
      <w:r>
        <w:t>earby settlements bear</w:t>
      </w:r>
      <w:r w:rsidR="00C56D3B">
        <w:t xml:space="preserve"> </w:t>
      </w:r>
      <w:r>
        <w:t xml:space="preserve">Danish names, and are sited in areas with poor soil, giving rise to the theory that migration westwards by Scandinavians from the Danelaw settled within the borders of the Anglo-Saxon kingdom of Mercia. The oldest church, St Edward the Confessor, the traditional site for viewing the double-sunset at midsummer solstice, is positioned at the highest point of the town, which is situated on sandstone. The churchyard contains fragments of </w:t>
      </w:r>
      <w:r w:rsidR="00C56D3B">
        <w:t>six</w:t>
      </w:r>
      <w:r>
        <w:t xml:space="preserve"> Anglo-Saxon stone crosses, one bearing </w:t>
      </w:r>
      <w:r w:rsidR="00C56D3B">
        <w:t xml:space="preserve">unintelligible remnants of </w:t>
      </w:r>
      <w:r>
        <w:t xml:space="preserve">runic script. Three streams ran through the town, one from the site of the churchyard and the others from a marsh which is now the site of a large World War I monument. The </w:t>
      </w:r>
      <w:r w:rsidR="00C56D3B">
        <w:t>town’s name</w:t>
      </w:r>
      <w:r>
        <w:t xml:space="preserve"> is sometimes considered to be derived from Danish, Leek (le Kirkebrok) the brook near the church</w:t>
      </w:r>
      <w:r w:rsidR="00C56D3B">
        <w:t>, or other derivations relating to brooks</w:t>
      </w:r>
      <w:r>
        <w:t>. A round barrow, Cock or Cattes Low, estimated to</w:t>
      </w:r>
      <w:r w:rsidR="00C56D3B">
        <w:t xml:space="preserve"> have</w:t>
      </w:r>
      <w:r>
        <w:t xml:space="preserve"> be</w:t>
      </w:r>
      <w:r w:rsidR="00C56D3B">
        <w:t>en</w:t>
      </w:r>
      <w:r>
        <w:t xml:space="preserve"> 18’ high and 120’ in diameter was located to the northwest of the church, and was completely demolished in 1907 to make way for a mill, which was demolished in the 1970s and is now the site of a recreation ground. In the </w:t>
      </w:r>
      <w:r w:rsidR="00C56D3B">
        <w:t xml:space="preserve">Late </w:t>
      </w:r>
      <w:r>
        <w:t xml:space="preserve">Bronze Age the moors </w:t>
      </w:r>
      <w:r w:rsidR="00C56D3B">
        <w:t xml:space="preserve">nearby </w:t>
      </w:r>
      <w:r>
        <w:t xml:space="preserve">were a major copper mining region for Britain and Ireland. The nearby boundaries of Staffordshire are sited at the watershed where rivers that flowed east or west change direction, and the gritstone outcrop, The Cloud, is located near this watershed on the edge of the Cheshire Plain, a basin created by glaciers that would flood. Leek was known for silk </w:t>
      </w:r>
      <w:r w:rsidR="00C56D3B">
        <w:t>weaving</w:t>
      </w:r>
      <w:r>
        <w:t xml:space="preserve"> from the 17</w:t>
      </w:r>
      <w:r w:rsidRPr="005A0EF7">
        <w:rPr>
          <w:vertAlign w:val="superscript"/>
        </w:rPr>
        <w:t>th</w:t>
      </w:r>
      <w:r>
        <w:t xml:space="preserve"> Century and in the 19</w:t>
      </w:r>
      <w:r w:rsidRPr="005A0EF7">
        <w:rPr>
          <w:vertAlign w:val="superscript"/>
        </w:rPr>
        <w:t>th</w:t>
      </w:r>
      <w:r>
        <w:t xml:space="preserve"> Century industrialised</w:t>
      </w:r>
      <w:r w:rsidR="00C56D3B">
        <w:t xml:space="preserve"> and was known for</w:t>
      </w:r>
      <w:r>
        <w:t xml:space="preserve"> producing the black material used by Queen Victoria for her mourning. William Morris came to learn </w:t>
      </w:r>
      <w:r w:rsidR="00C56D3B">
        <w:t>the town’s</w:t>
      </w:r>
      <w:r>
        <w:t xml:space="preserve"> dyers’ skills and the qualities of the water that flowed through the  town to produce them.  Pre-Raphaelite artists decorated the Arts &amp; Crafts Grade I listed All Saints Church and designed its stained glass windows. Master canal builder and engineer James Brindley, born nearby in a local Derbyshire town, spent most of his life in Leek, and designed the canal system that took the lime produced in the region to other centres of the industrialised midlands.</w:t>
      </w:r>
    </w:p>
    <w:p w14:paraId="78ACE9CE" w14:textId="77777777" w:rsidR="001A66D5" w:rsidRDefault="001A66D5">
      <w:pPr>
        <w:suppressAutoHyphens w:val="0"/>
      </w:pPr>
      <w:r>
        <w:br w:type="page"/>
      </w:r>
    </w:p>
    <w:p w14:paraId="35E60C24" w14:textId="6EE5594F" w:rsidR="00D357D1" w:rsidRDefault="0054619F" w:rsidP="007220BB">
      <w:pPr>
        <w:pStyle w:val="Heading1"/>
      </w:pPr>
      <w:bookmarkStart w:id="5" w:name="_Ref78292329"/>
      <w:bookmarkStart w:id="6" w:name="_Ref78321974"/>
      <w:bookmarkStart w:id="7" w:name="_Ref78321664"/>
      <w:r>
        <w:lastRenderedPageBreak/>
        <w:t>Appendix</w:t>
      </w:r>
      <w:bookmarkEnd w:id="5"/>
      <w:r w:rsidR="00D357D1">
        <w:t xml:space="preserve"> B</w:t>
      </w:r>
      <w:bookmarkEnd w:id="6"/>
      <w:r w:rsidR="00DC1AD2">
        <w:t xml:space="preserve"> </w:t>
      </w:r>
    </w:p>
    <w:p w14:paraId="428DC36F" w14:textId="65D4F5C9" w:rsidR="0054619F" w:rsidRDefault="00DC1AD2" w:rsidP="00D357D1">
      <w:pPr>
        <w:pStyle w:val="Heading2"/>
      </w:pPr>
      <w:r>
        <w:t>Autoethnography account of double-sunset</w:t>
      </w:r>
      <w:r w:rsidR="008D50B5">
        <w:t xml:space="preserve"> (256 words)</w:t>
      </w:r>
      <w:bookmarkEnd w:id="7"/>
    </w:p>
    <w:p w14:paraId="3B56D0DD" w14:textId="7A9CF8EB" w:rsidR="0054619F" w:rsidRDefault="001A66D5" w:rsidP="000E7BE5">
      <w:pPr>
        <w:spacing w:after="0" w:line="240" w:lineRule="auto"/>
        <w:ind w:firstLine="720"/>
      </w:pPr>
      <w:r>
        <w:t>We stopped on the way to talk to</w:t>
      </w:r>
      <w:r w:rsidR="007220BB">
        <w:t xml:space="preserve"> the</w:t>
      </w:r>
      <w:r>
        <w:t xml:space="preserve"> neighbours, their 11-year old</w:t>
      </w:r>
      <w:r w:rsidR="008D50B5">
        <w:t>,</w:t>
      </w:r>
      <w:r>
        <w:t xml:space="preserve"> Leek-born son was excited to hear</w:t>
      </w:r>
      <w:r w:rsidR="007220BB">
        <w:t xml:space="preserve"> there was such a thing as a double-sunset and </w:t>
      </w:r>
      <w:r w:rsidR="000E7BE5">
        <w:t xml:space="preserve">about </w:t>
      </w:r>
      <w:r w:rsidR="007220BB">
        <w:t xml:space="preserve">our plan to watch it from </w:t>
      </w:r>
      <w:r w:rsidR="00F03D7D">
        <w:t xml:space="preserve">the </w:t>
      </w:r>
      <w:r w:rsidR="000E7BE5">
        <w:t>R</w:t>
      </w:r>
      <w:r w:rsidR="00F03D7D">
        <w:t>ec</w:t>
      </w:r>
      <w:r>
        <w:t xml:space="preserve">. ‘Wow! </w:t>
      </w:r>
      <w:r w:rsidR="00F03D7D">
        <w:t>m</w:t>
      </w:r>
      <w:r>
        <w:t>um can we go too</w:t>
      </w:r>
      <w:r w:rsidR="00F03D7D">
        <w:t>, can we go please</w:t>
      </w:r>
      <w:r w:rsidR="007220BB">
        <w:t>…please</w:t>
      </w:r>
      <w:r w:rsidR="00F03D7D">
        <w:t>?” When we arrived</w:t>
      </w:r>
      <w:r w:rsidR="008C423D">
        <w:t>, without the neighbours,</w:t>
      </w:r>
      <w:r w:rsidR="00F03D7D">
        <w:t xml:space="preserve"> and looked across to Cloud, t</w:t>
      </w:r>
      <w:r w:rsidR="0054619F">
        <w:t>he sky</w:t>
      </w:r>
      <w:r w:rsidR="007220BB">
        <w:t xml:space="preserve"> was mostly</w:t>
      </w:r>
      <w:r w:rsidR="0054619F">
        <w:t xml:space="preserve"> clear,</w:t>
      </w:r>
      <w:r w:rsidR="007220BB">
        <w:t xml:space="preserve"> the sun bright</w:t>
      </w:r>
      <w:r w:rsidR="0054619F">
        <w:t xml:space="preserve"> and </w:t>
      </w:r>
      <w:r w:rsidR="00F03D7D">
        <w:t>I realised I had forgotten to bring the paper</w:t>
      </w:r>
      <w:r w:rsidR="0054619F">
        <w:t xml:space="preserve"> solar glasses </w:t>
      </w:r>
      <w:r w:rsidR="00F03D7D">
        <w:t xml:space="preserve">I had purchased </w:t>
      </w:r>
      <w:r w:rsidR="008C423D">
        <w:t xml:space="preserve">online </w:t>
      </w:r>
      <w:r w:rsidR="0054619F">
        <w:t>a few weeks before</w:t>
      </w:r>
      <w:r w:rsidR="00F03D7D">
        <w:t xml:space="preserve">. </w:t>
      </w:r>
      <w:r w:rsidR="007220BB">
        <w:t>The</w:t>
      </w:r>
      <w:r w:rsidR="0054619F">
        <w:t xml:space="preserve"> sun</w:t>
      </w:r>
      <w:r w:rsidR="00F03D7D">
        <w:t xml:space="preserve"> appeared so large</w:t>
      </w:r>
      <w:r w:rsidR="0054619F">
        <w:t xml:space="preserve"> and </w:t>
      </w:r>
      <w:r w:rsidR="007220BB">
        <w:t xml:space="preserve">I </w:t>
      </w:r>
      <w:r w:rsidR="0054619F">
        <w:t>wondered how could it possibly appear to set behind the small</w:t>
      </w:r>
      <w:r w:rsidR="000E7BE5">
        <w:t xml:space="preserve"> sphinx of</w:t>
      </w:r>
      <w:r w:rsidR="0054619F">
        <w:t xml:space="preserve"> hill below it (</w:t>
      </w:r>
      <w:r w:rsidR="0054619F">
        <w:fldChar w:fldCharType="begin"/>
      </w:r>
      <w:r w:rsidR="0054619F">
        <w:instrText xml:space="preserve"> REF _Ref77515400 \h </w:instrText>
      </w:r>
      <w:r w:rsidR="0054619F">
        <w:fldChar w:fldCharType="separate"/>
      </w:r>
      <w:r w:rsidR="0054619F">
        <w:t xml:space="preserve">Figure </w:t>
      </w:r>
      <w:r w:rsidR="0054619F">
        <w:rPr>
          <w:noProof/>
        </w:rPr>
        <w:t>2</w:t>
      </w:r>
      <w:r w:rsidR="0054619F">
        <w:fldChar w:fldCharType="end"/>
      </w:r>
      <w:r w:rsidR="0054619F">
        <w:t xml:space="preserve">). Cloud was a hill I had looked at from many </w:t>
      </w:r>
      <w:r w:rsidR="000E7BE5">
        <w:t>places</w:t>
      </w:r>
      <w:r w:rsidR="0054619F">
        <w:t xml:space="preserve"> around the town and its vicinity for the past few years, I </w:t>
      </w:r>
      <w:r w:rsidR="008D50B5">
        <w:t xml:space="preserve">absolutely </w:t>
      </w:r>
      <w:r w:rsidR="0054619F">
        <w:t xml:space="preserve">loved that hill, with its solitary familiar </w:t>
      </w:r>
      <w:r w:rsidR="008D50B5">
        <w:t xml:space="preserve">crouching </w:t>
      </w:r>
      <w:r w:rsidR="0054619F">
        <w:t>shape on the horizon,</w:t>
      </w:r>
      <w:r w:rsidR="000E7BE5">
        <w:t xml:space="preserve"> the way it</w:t>
      </w:r>
      <w:r w:rsidR="0054619F">
        <w:t xml:space="preserve"> chang</w:t>
      </w:r>
      <w:r w:rsidR="000E7BE5">
        <w:t>ed</w:t>
      </w:r>
      <w:r w:rsidR="0054619F">
        <w:t xml:space="preserve"> size from place to place, the sky above it or </w:t>
      </w:r>
      <w:r w:rsidR="008D50B5">
        <w:t xml:space="preserve">the weather </w:t>
      </w:r>
      <w:r w:rsidR="0054619F">
        <w:t>on it,  its name, so abrupt and solitary</w:t>
      </w:r>
      <w:r w:rsidR="008D50B5">
        <w:t xml:space="preserve"> and odd to my California ears</w:t>
      </w:r>
      <w:r w:rsidR="0054619F">
        <w:t>, its promise of</w:t>
      </w:r>
      <w:r w:rsidR="00F03D7D">
        <w:t xml:space="preserve"> pre-history</w:t>
      </w:r>
      <w:r w:rsidR="0054619F">
        <w:t xml:space="preserve"> </w:t>
      </w:r>
      <w:r w:rsidR="008D50B5">
        <w:t xml:space="preserve">mystery and </w:t>
      </w:r>
      <w:r w:rsidR="00F03D7D">
        <w:t xml:space="preserve">meaning and </w:t>
      </w:r>
      <w:r w:rsidR="008D50B5">
        <w:t xml:space="preserve">the </w:t>
      </w:r>
      <w:r w:rsidR="0054619F">
        <w:t>double-sunset.</w:t>
      </w:r>
      <w:r w:rsidR="007220BB">
        <w:t xml:space="preserve"> But tonight the sun was the star.</w:t>
      </w:r>
      <w:r w:rsidR="0054619F">
        <w:t xml:space="preserve"> </w:t>
      </w:r>
      <w:r w:rsidR="00F03D7D">
        <w:t>A</w:t>
      </w:r>
      <w:r w:rsidR="000E7BE5">
        <w:t>nd a</w:t>
      </w:r>
      <w:r w:rsidR="00F03D7D">
        <w:t xml:space="preserve">s we waited </w:t>
      </w:r>
      <w:r w:rsidR="007220BB">
        <w:t>it</w:t>
      </w:r>
      <w:r w:rsidR="00F03D7D">
        <w:t xml:space="preserve"> started break down within the clouds into a liquid golden path leading to the headland of the hill.</w:t>
      </w:r>
      <w:r w:rsidR="0054619F">
        <w:t xml:space="preserve"> (</w:t>
      </w:r>
      <w:r w:rsidR="0054619F">
        <w:fldChar w:fldCharType="begin"/>
      </w:r>
      <w:r w:rsidR="0054619F">
        <w:instrText xml:space="preserve"> REF _Ref77515575 \h </w:instrText>
      </w:r>
      <w:r w:rsidR="0054619F">
        <w:fldChar w:fldCharType="separate"/>
      </w:r>
      <w:r w:rsidR="0054619F">
        <w:t xml:space="preserve">Figure </w:t>
      </w:r>
      <w:r w:rsidR="0054619F">
        <w:rPr>
          <w:noProof/>
        </w:rPr>
        <w:t>3</w:t>
      </w:r>
      <w:r w:rsidR="0054619F">
        <w:fldChar w:fldCharType="end"/>
      </w:r>
      <w:r w:rsidR="0054619F">
        <w:t>)</w:t>
      </w:r>
      <w:r w:rsidR="00F03D7D">
        <w:t xml:space="preserve">. </w:t>
      </w:r>
      <w:r w:rsidR="008C423D">
        <w:t>A</w:t>
      </w:r>
      <w:r w:rsidR="00F03D7D">
        <w:t xml:space="preserve">s </w:t>
      </w:r>
      <w:r w:rsidR="000E7BE5">
        <w:t>it</w:t>
      </w:r>
      <w:r w:rsidR="00F03D7D">
        <w:t xml:space="preserve"> </w:t>
      </w:r>
      <w:r w:rsidR="007220BB">
        <w:t xml:space="preserve">was </w:t>
      </w:r>
      <w:r w:rsidR="00F03D7D">
        <w:t xml:space="preserve">swallowed-up in the </w:t>
      </w:r>
      <w:r w:rsidR="0054619F">
        <w:t xml:space="preserve"> clouds to create</w:t>
      </w:r>
      <w:r w:rsidR="00F03D7D">
        <w:t xml:space="preserve"> a vision of</w:t>
      </w:r>
      <w:r w:rsidR="0054619F">
        <w:t xml:space="preserve"> Jupiter</w:t>
      </w:r>
      <w:r w:rsidR="008C423D">
        <w:t>, we realised we would not be seeing the sunset</w:t>
      </w:r>
      <w:r w:rsidR="0054619F">
        <w:t xml:space="preserve">. </w:t>
      </w:r>
      <w:r w:rsidR="007220BB">
        <w:t>But here</w:t>
      </w:r>
      <w:r w:rsidR="0054619F">
        <w:t xml:space="preserve"> was a bonus</w:t>
      </w:r>
      <w:r w:rsidR="008C423D">
        <w:t>:</w:t>
      </w:r>
      <w:r w:rsidR="0054619F">
        <w:t xml:space="preserve"> an inexplicable short vertical shaft of white light </w:t>
      </w:r>
      <w:r w:rsidR="008C423D">
        <w:t xml:space="preserve">shone </w:t>
      </w:r>
      <w:r w:rsidR="0054619F">
        <w:t xml:space="preserve">in the sky </w:t>
      </w:r>
      <w:r w:rsidR="008C423D">
        <w:t>(</w:t>
      </w:r>
      <w:r w:rsidR="008C423D">
        <w:fldChar w:fldCharType="begin"/>
      </w:r>
      <w:r w:rsidR="008C423D">
        <w:instrText xml:space="preserve"> REF _Ref77511994 \h </w:instrText>
      </w:r>
      <w:r w:rsidR="008C423D">
        <w:fldChar w:fldCharType="separate"/>
      </w:r>
      <w:r w:rsidR="008C423D">
        <w:t xml:space="preserve">Figure </w:t>
      </w:r>
      <w:r w:rsidR="008C423D">
        <w:rPr>
          <w:noProof/>
        </w:rPr>
        <w:t>4</w:t>
      </w:r>
      <w:r w:rsidR="008C423D">
        <w:fldChar w:fldCharType="end"/>
      </w:r>
      <w:r w:rsidR="008C423D">
        <w:t xml:space="preserve">), </w:t>
      </w:r>
      <w:r w:rsidR="0054619F">
        <w:t xml:space="preserve">before we turned away to home…divining </w:t>
      </w:r>
      <w:r w:rsidR="006A5FE6">
        <w:t xml:space="preserve">the </w:t>
      </w:r>
      <w:r w:rsidR="008C423D">
        <w:t xml:space="preserve">sunset </w:t>
      </w:r>
      <w:r w:rsidR="0054619F">
        <w:t>contrail</w:t>
      </w:r>
      <w:r w:rsidR="008C423D">
        <w:t xml:space="preserve">, </w:t>
      </w:r>
      <w:r w:rsidR="00F03D7D">
        <w:t xml:space="preserve">pointing </w:t>
      </w:r>
      <w:r w:rsidR="006A5FE6">
        <w:t>ou</w:t>
      </w:r>
      <w:r w:rsidR="008C423D">
        <w:t>t</w:t>
      </w:r>
      <w:r w:rsidR="00F03D7D">
        <w:t xml:space="preserve"> the Bridestones</w:t>
      </w:r>
      <w:r w:rsidR="0054619F">
        <w:t>?</w:t>
      </w:r>
    </w:p>
    <w:p w14:paraId="730653B1" w14:textId="77777777" w:rsidR="000E7BE5" w:rsidRDefault="000E7BE5" w:rsidP="000E7BE5">
      <w:pPr>
        <w:spacing w:after="0" w:line="240" w:lineRule="auto"/>
        <w:ind w:firstLine="720"/>
      </w:pPr>
    </w:p>
    <w:p w14:paraId="0C977DCA" w14:textId="77777777" w:rsidR="0054619F" w:rsidRDefault="0054619F" w:rsidP="0054619F">
      <w:r>
        <w:rPr>
          <w:noProof/>
        </w:rPr>
        <w:drawing>
          <wp:inline distT="0" distB="0" distL="0" distR="0" wp14:anchorId="64A9BE0E" wp14:editId="54FFEF89">
            <wp:extent cx="5732206" cy="2501569"/>
            <wp:effectExtent l="0" t="0" r="1905" b="0"/>
            <wp:docPr id="7" name="Picture 7" descr="A picture containing sky, outdoor, grass,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ky, outdoor, grass, tre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78304" cy="2521686"/>
                    </a:xfrm>
                    <a:prstGeom prst="rect">
                      <a:avLst/>
                    </a:prstGeom>
                  </pic:spPr>
                </pic:pic>
              </a:graphicData>
            </a:graphic>
          </wp:inline>
        </w:drawing>
      </w:r>
    </w:p>
    <w:p w14:paraId="2AC15725" w14:textId="77777777" w:rsidR="0054619F" w:rsidRDefault="0054619F" w:rsidP="0054619F">
      <w:pPr>
        <w:pStyle w:val="Caption"/>
      </w:pPr>
      <w:bookmarkStart w:id="8" w:name="_Ref77515400"/>
      <w:r>
        <w:t xml:space="preserve">Figure </w:t>
      </w:r>
      <w:r w:rsidR="00531B9E">
        <w:fldChar w:fldCharType="begin"/>
      </w:r>
      <w:r w:rsidR="00531B9E">
        <w:instrText xml:space="preserve"> SEQ Figure \* ARABIC </w:instrText>
      </w:r>
      <w:r w:rsidR="00531B9E">
        <w:fldChar w:fldCharType="separate"/>
      </w:r>
      <w:r>
        <w:rPr>
          <w:noProof/>
        </w:rPr>
        <w:t>2</w:t>
      </w:r>
      <w:r w:rsidR="00531B9E">
        <w:rPr>
          <w:noProof/>
        </w:rPr>
        <w:fldChar w:fldCharType="end"/>
      </w:r>
      <w:bookmarkEnd w:id="8"/>
      <w:r>
        <w:t xml:space="preserve"> Sunset over Cloud - 22 June 2021, 21:20, (J. Zielstra)</w:t>
      </w:r>
    </w:p>
    <w:p w14:paraId="5638F916" w14:textId="77777777" w:rsidR="0054619F" w:rsidRPr="00576FD6" w:rsidRDefault="0054619F" w:rsidP="0054619F">
      <w:r>
        <w:rPr>
          <w:noProof/>
        </w:rPr>
        <w:drawing>
          <wp:inline distT="0" distB="0" distL="0" distR="0" wp14:anchorId="45416052" wp14:editId="23BA1B53">
            <wp:extent cx="5781368" cy="1660878"/>
            <wp:effectExtent l="0" t="0" r="0" b="0"/>
            <wp:docPr id="10" name="Picture 10" descr="A picture containing nature, outdoor, sunse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nature, outdoor, sunset, night sk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38331" cy="1677242"/>
                    </a:xfrm>
                    <a:prstGeom prst="rect">
                      <a:avLst/>
                    </a:prstGeom>
                  </pic:spPr>
                </pic:pic>
              </a:graphicData>
            </a:graphic>
          </wp:inline>
        </w:drawing>
      </w:r>
    </w:p>
    <w:p w14:paraId="62B8A83E" w14:textId="271C221A" w:rsidR="0054619F" w:rsidRDefault="0054619F" w:rsidP="0054619F">
      <w:pPr>
        <w:pStyle w:val="Caption"/>
        <w:rPr>
          <w:i w:val="0"/>
          <w:iCs w:val="0"/>
        </w:rPr>
      </w:pPr>
      <w:bookmarkStart w:id="9" w:name="_Ref77515575"/>
      <w:r>
        <w:t xml:space="preserve">Figure </w:t>
      </w:r>
      <w:r w:rsidR="00531B9E">
        <w:fldChar w:fldCharType="begin"/>
      </w:r>
      <w:r w:rsidR="00531B9E">
        <w:instrText xml:space="preserve"> SEQ Figure \* ARABIC </w:instrText>
      </w:r>
      <w:r w:rsidR="00531B9E">
        <w:fldChar w:fldCharType="separate"/>
      </w:r>
      <w:r>
        <w:rPr>
          <w:noProof/>
        </w:rPr>
        <w:t>3</w:t>
      </w:r>
      <w:r w:rsidR="00531B9E">
        <w:rPr>
          <w:noProof/>
        </w:rPr>
        <w:fldChar w:fldCharType="end"/>
      </w:r>
      <w:bookmarkEnd w:id="9"/>
      <w:r>
        <w:t xml:space="preserve"> Sunset over Cloud - 22 June 2021, 21:28 (J. Zielstra)</w:t>
      </w:r>
    </w:p>
    <w:p w14:paraId="611B37E6" w14:textId="77777777" w:rsidR="0054619F" w:rsidRDefault="0054619F" w:rsidP="0054619F">
      <w:pPr>
        <w:rPr>
          <w:i/>
          <w:iCs/>
        </w:rPr>
      </w:pPr>
      <w:r>
        <w:rPr>
          <w:i/>
          <w:iCs/>
          <w:noProof/>
        </w:rPr>
        <w:lastRenderedPageBreak/>
        <w:drawing>
          <wp:inline distT="0" distB="0" distL="0" distR="0" wp14:anchorId="719ED550" wp14:editId="1EA8A4B3">
            <wp:extent cx="5830529" cy="2450812"/>
            <wp:effectExtent l="0" t="0" r="0" b="6985"/>
            <wp:docPr id="12" name="Picture 12" descr="A grassy field with trees and mountains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ssy field with trees and mountains in the background&#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59586" cy="2463026"/>
                    </a:xfrm>
                    <a:prstGeom prst="rect">
                      <a:avLst/>
                    </a:prstGeom>
                  </pic:spPr>
                </pic:pic>
              </a:graphicData>
            </a:graphic>
          </wp:inline>
        </w:drawing>
      </w:r>
    </w:p>
    <w:p w14:paraId="6C3C698A" w14:textId="1826D4FB" w:rsidR="0054619F" w:rsidRDefault="0054619F" w:rsidP="0054619F">
      <w:pPr>
        <w:pStyle w:val="Caption"/>
      </w:pPr>
      <w:bookmarkStart w:id="10" w:name="_Ref77511994"/>
      <w:r>
        <w:t xml:space="preserve">Figure </w:t>
      </w:r>
      <w:r w:rsidR="00531B9E">
        <w:fldChar w:fldCharType="begin"/>
      </w:r>
      <w:r w:rsidR="00531B9E">
        <w:instrText xml:space="preserve"> SEQ Figure \* ARABIC </w:instrText>
      </w:r>
      <w:r w:rsidR="00531B9E">
        <w:fldChar w:fldCharType="separate"/>
      </w:r>
      <w:r>
        <w:rPr>
          <w:noProof/>
        </w:rPr>
        <w:t>4</w:t>
      </w:r>
      <w:r w:rsidR="00531B9E">
        <w:rPr>
          <w:noProof/>
        </w:rPr>
        <w:fldChar w:fldCharType="end"/>
      </w:r>
      <w:bookmarkEnd w:id="10"/>
      <w:r>
        <w:t xml:space="preserve"> Sunset over Cloud</w:t>
      </w:r>
      <w:r w:rsidR="007220BB">
        <w:rPr>
          <w:rStyle w:val="FootnoteReference"/>
        </w:rPr>
        <w:footnoteReference w:id="53"/>
      </w:r>
      <w:r>
        <w:t xml:space="preserve"> - 22 June 2021, 21:32 (J. Zielstra)</w:t>
      </w:r>
    </w:p>
    <w:p w14:paraId="24C568D1" w14:textId="4452E647" w:rsidR="00C05AB1" w:rsidRDefault="00C05AB1" w:rsidP="00C05AB1"/>
    <w:p w14:paraId="3B590F27" w14:textId="62A73171" w:rsidR="00C05AB1" w:rsidRDefault="00C05AB1" w:rsidP="00C05AB1"/>
    <w:sectPr w:rsidR="00C05AB1">
      <w:footerReference w:type="even" r:id="rId14"/>
      <w:footerReference w:type="default" r:id="rId15"/>
      <w:footerReference w:type="firs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960B2" w14:textId="77777777" w:rsidR="00531B9E" w:rsidRDefault="00531B9E">
      <w:pPr>
        <w:spacing w:after="0" w:line="240" w:lineRule="auto"/>
      </w:pPr>
      <w:r>
        <w:separator/>
      </w:r>
    </w:p>
  </w:endnote>
  <w:endnote w:type="continuationSeparator" w:id="0">
    <w:p w14:paraId="0D4D6F83" w14:textId="77777777" w:rsidR="00531B9E" w:rsidRDefault="00531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0C8B3" w14:textId="77777777" w:rsidR="002779AD" w:rsidRDefault="002779AD">
    <w:pPr>
      <w:spacing w:after="0"/>
      <w:ind w:left="-691"/>
    </w:pPr>
    <w:r>
      <w:rPr>
        <w:rFonts w:ascii="Times New Roman" w:eastAsia="Times New Roman" w:hAnsi="Times New Roman"/>
        <w:sz w:val="24"/>
      </w:rPr>
      <w:t>6/28/2021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521225"/>
      <w:docPartObj>
        <w:docPartGallery w:val="Page Numbers (Bottom of Page)"/>
        <w:docPartUnique/>
      </w:docPartObj>
    </w:sdtPr>
    <w:sdtEndPr>
      <w:rPr>
        <w:noProof/>
      </w:rPr>
    </w:sdtEndPr>
    <w:sdtContent>
      <w:p w14:paraId="4082BD24" w14:textId="55D4ECCD" w:rsidR="00FC5CCD" w:rsidRDefault="00FC5CCD">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03248" w14:textId="77777777" w:rsidR="002779AD" w:rsidRDefault="002779AD">
    <w:pPr>
      <w:spacing w:after="0"/>
      <w:ind w:left="-691"/>
    </w:pPr>
    <w:r>
      <w:rPr>
        <w:rFonts w:ascii="Times New Roman" w:eastAsia="Times New Roman" w:hAnsi="Times New Roman"/>
        <w:sz w:val="24"/>
      </w:rPr>
      <w:t>6/28/2021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DDF55" w14:textId="77777777" w:rsidR="00531B9E" w:rsidRDefault="00531B9E">
      <w:pPr>
        <w:spacing w:after="0" w:line="240" w:lineRule="auto"/>
      </w:pPr>
      <w:r>
        <w:rPr>
          <w:color w:val="000000"/>
        </w:rPr>
        <w:separator/>
      </w:r>
    </w:p>
  </w:footnote>
  <w:footnote w:type="continuationSeparator" w:id="0">
    <w:p w14:paraId="5A54623C" w14:textId="77777777" w:rsidR="00531B9E" w:rsidRDefault="00531B9E">
      <w:pPr>
        <w:spacing w:after="0" w:line="240" w:lineRule="auto"/>
      </w:pPr>
      <w:r>
        <w:continuationSeparator/>
      </w:r>
    </w:p>
  </w:footnote>
  <w:footnote w:id="1">
    <w:p w14:paraId="59B885F9" w14:textId="77777777" w:rsidR="000157E0" w:rsidRPr="00D4772A" w:rsidRDefault="000157E0" w:rsidP="000157E0">
      <w:pPr>
        <w:spacing w:after="0" w:line="240" w:lineRule="auto"/>
        <w:rPr>
          <w:sz w:val="20"/>
          <w:szCs w:val="20"/>
        </w:rPr>
      </w:pPr>
      <w:r>
        <w:rPr>
          <w:rStyle w:val="FootnoteReference"/>
        </w:rPr>
        <w:footnoteRef/>
      </w:r>
      <w:r>
        <w:t xml:space="preserve"> </w:t>
      </w:r>
      <w:r w:rsidRPr="00D4772A">
        <w:rPr>
          <w:sz w:val="20"/>
          <w:szCs w:val="20"/>
        </w:rPr>
        <w:t>Tim Ingold, ‘Earth, Sky, Wind, and Weather’ The Journal of the Royal Anthropological Institute</w:t>
      </w:r>
    </w:p>
    <w:p w14:paraId="25F986C1" w14:textId="16F89599" w:rsidR="000157E0" w:rsidRDefault="000157E0" w:rsidP="000157E0">
      <w:pPr>
        <w:pStyle w:val="FootnoteText"/>
      </w:pPr>
      <w:r w:rsidRPr="00B75B06">
        <w:t>(2007) 13, pp. S19-S38 (</w:t>
      </w:r>
      <w:r w:rsidRPr="00D4772A">
        <w:t>pg. S34)</w:t>
      </w:r>
    </w:p>
  </w:footnote>
  <w:footnote w:id="2">
    <w:p w14:paraId="460902AA" w14:textId="77777777" w:rsidR="00874262" w:rsidRDefault="00874262" w:rsidP="00874262">
      <w:pPr>
        <w:pStyle w:val="FootnoteText"/>
      </w:pPr>
      <w:r>
        <w:rPr>
          <w:rStyle w:val="FootnoteReference"/>
        </w:rPr>
        <w:footnoteRef/>
      </w:r>
      <w:r>
        <w:t xml:space="preserve"> </w:t>
      </w:r>
      <w:r w:rsidRPr="00293319">
        <w:t>Alan Dundes</w:t>
      </w:r>
      <w:r>
        <w:t xml:space="preserve">, ‘Folk Ideas as Units of Worldview’, </w:t>
      </w:r>
      <w:r w:rsidRPr="008C6AD1">
        <w:rPr>
          <w:i/>
          <w:iCs/>
        </w:rPr>
        <w:t>The Journal of American Folklore</w:t>
      </w:r>
      <w:r>
        <w:t>, Jan. - Mar., 1971, Vol. 84, No. 331, Toward New Perspectives in Folklore (Jan. - Mar., 1971), pp. 93-103 (</w:t>
      </w:r>
      <w:r w:rsidRPr="00293319">
        <w:t>p.95</w:t>
      </w:r>
      <w:r>
        <w:t xml:space="preserve">)  </w:t>
      </w:r>
    </w:p>
  </w:footnote>
  <w:footnote w:id="3">
    <w:p w14:paraId="7709658C" w14:textId="77777777" w:rsidR="0083344C" w:rsidRDefault="0083344C" w:rsidP="0083344C">
      <w:pPr>
        <w:pStyle w:val="FootnoteText"/>
      </w:pPr>
      <w:r>
        <w:rPr>
          <w:rStyle w:val="FootnoteReference"/>
        </w:rPr>
        <w:footnoteRef/>
      </w:r>
      <w:r>
        <w:t xml:space="preserve"> </w:t>
      </w:r>
      <w:r w:rsidRPr="00575DD7">
        <w:t>Sandra Billington, The Midsummer Solstice As It Was, Or Was Not, Observed in Pagan Germany, Scandinavia and Anglo-Saxon England, Folklore , (2008), 119: 1, pp. 41-57</w:t>
      </w:r>
      <w:r>
        <w:t xml:space="preserve"> (p 41).</w:t>
      </w:r>
    </w:p>
  </w:footnote>
  <w:footnote w:id="4">
    <w:p w14:paraId="55077DAC" w14:textId="3B07E235" w:rsidR="00A36786" w:rsidRDefault="00A36786" w:rsidP="00A36786">
      <w:pPr>
        <w:pStyle w:val="FootnoteText"/>
      </w:pPr>
      <w:r>
        <w:rPr>
          <w:rStyle w:val="FootnoteReference"/>
        </w:rPr>
        <w:footnoteRef/>
      </w:r>
      <w:r>
        <w:t xml:space="preserve"> </w:t>
      </w:r>
      <w:r w:rsidR="000265B4" w:rsidRPr="00575DD7">
        <w:t>Billington, The Midsummer Solstice As It Was</w:t>
      </w:r>
      <w:r w:rsidR="000265B4">
        <w:t>…</w:t>
      </w:r>
      <w:r w:rsidR="000265B4" w:rsidRPr="00575DD7">
        <w:t xml:space="preserve">, </w:t>
      </w:r>
      <w:r>
        <w:t>(p 52).</w:t>
      </w:r>
    </w:p>
  </w:footnote>
  <w:footnote w:id="5">
    <w:p w14:paraId="744D6841" w14:textId="77777777" w:rsidR="0042180B" w:rsidRPr="007C38B4" w:rsidRDefault="0042180B" w:rsidP="0042180B">
      <w:pPr>
        <w:spacing w:after="0" w:line="240" w:lineRule="auto"/>
        <w:rPr>
          <w:highlight w:val="yellow"/>
        </w:rPr>
      </w:pPr>
      <w:r>
        <w:rPr>
          <w:rStyle w:val="FootnoteReference"/>
        </w:rPr>
        <w:footnoteRef/>
      </w:r>
      <w:r>
        <w:t xml:space="preserve"> </w:t>
      </w:r>
      <w:r w:rsidRPr="007C38B4">
        <w:rPr>
          <w:sz w:val="20"/>
          <w:szCs w:val="20"/>
        </w:rPr>
        <w:t>Robert J. Wallis and Jenny Blain, Sites, Sacredness, and Stories: Interactions of Archaeology and Contemporary Paganism</w:t>
      </w:r>
      <w:r>
        <w:rPr>
          <w:sz w:val="20"/>
          <w:szCs w:val="20"/>
        </w:rPr>
        <w:t xml:space="preserve">, </w:t>
      </w:r>
      <w:r w:rsidRPr="007C38B4">
        <w:rPr>
          <w:sz w:val="20"/>
          <w:szCs w:val="20"/>
        </w:rPr>
        <w:t xml:space="preserve">Folklore , </w:t>
      </w:r>
      <w:r>
        <w:rPr>
          <w:sz w:val="20"/>
          <w:szCs w:val="20"/>
        </w:rPr>
        <w:t>(</w:t>
      </w:r>
      <w:r w:rsidRPr="007C38B4">
        <w:rPr>
          <w:sz w:val="20"/>
          <w:szCs w:val="20"/>
        </w:rPr>
        <w:t>2003</w:t>
      </w:r>
      <w:r>
        <w:rPr>
          <w:sz w:val="20"/>
          <w:szCs w:val="20"/>
        </w:rPr>
        <w:t>)</w:t>
      </w:r>
      <w:r w:rsidRPr="007C38B4">
        <w:rPr>
          <w:sz w:val="20"/>
          <w:szCs w:val="20"/>
        </w:rPr>
        <w:t>, 114</w:t>
      </w:r>
      <w:r>
        <w:rPr>
          <w:sz w:val="20"/>
          <w:szCs w:val="20"/>
        </w:rPr>
        <w:t>:</w:t>
      </w:r>
      <w:r w:rsidRPr="007C38B4">
        <w:rPr>
          <w:sz w:val="20"/>
          <w:szCs w:val="20"/>
        </w:rPr>
        <w:t xml:space="preserve"> 3, pp. 307-321 (pg. 316)</w:t>
      </w:r>
    </w:p>
  </w:footnote>
  <w:footnote w:id="6">
    <w:p w14:paraId="3400CA66" w14:textId="77777777" w:rsidR="00D7775A" w:rsidRDefault="00D7775A" w:rsidP="00D7775A">
      <w:pPr>
        <w:spacing w:after="0" w:line="240" w:lineRule="auto"/>
      </w:pPr>
      <w:r>
        <w:rPr>
          <w:rStyle w:val="FootnoteReference"/>
        </w:rPr>
        <w:footnoteRef/>
      </w:r>
      <w:r>
        <w:t xml:space="preserve"> </w:t>
      </w:r>
      <w:r w:rsidRPr="00300A2D">
        <w:rPr>
          <w:sz w:val="20"/>
          <w:szCs w:val="20"/>
        </w:rPr>
        <w:t xml:space="preserve">Ronald Hutton, </w:t>
      </w:r>
      <w:r>
        <w:rPr>
          <w:sz w:val="20"/>
          <w:szCs w:val="20"/>
        </w:rPr>
        <w:t xml:space="preserve">‘The Midsummer Fires’ in </w:t>
      </w:r>
      <w:r w:rsidRPr="00300A2D">
        <w:rPr>
          <w:i/>
          <w:iCs/>
          <w:sz w:val="20"/>
          <w:szCs w:val="20"/>
        </w:rPr>
        <w:t>Stations of the Sun: A History Of The Ritual Year In Britain</w:t>
      </w:r>
      <w:r w:rsidRPr="00300A2D">
        <w:rPr>
          <w:sz w:val="20"/>
          <w:szCs w:val="20"/>
        </w:rPr>
        <w:t xml:space="preserve">, </w:t>
      </w:r>
      <w:r>
        <w:rPr>
          <w:sz w:val="20"/>
          <w:szCs w:val="20"/>
        </w:rPr>
        <w:t xml:space="preserve">Oxford Scholarship Online, </w:t>
      </w:r>
      <w:r w:rsidRPr="00300A2D">
        <w:rPr>
          <w:sz w:val="20"/>
          <w:szCs w:val="20"/>
        </w:rPr>
        <w:t>2011 (</w:t>
      </w:r>
      <w:r>
        <w:rPr>
          <w:sz w:val="20"/>
          <w:szCs w:val="20"/>
        </w:rPr>
        <w:t>Print University of Oxford Press, 1996) Chapter x,</w:t>
      </w:r>
      <w:r w:rsidRPr="00300A2D">
        <w:rPr>
          <w:sz w:val="20"/>
          <w:szCs w:val="20"/>
        </w:rPr>
        <w:t xml:space="preserve"> pg. 18</w:t>
      </w:r>
    </w:p>
  </w:footnote>
  <w:footnote w:id="7">
    <w:p w14:paraId="1F6A7328" w14:textId="5A4EC0F8" w:rsidR="00AF4A71" w:rsidRPr="00FB25A3" w:rsidRDefault="00AF4A71">
      <w:pPr>
        <w:pStyle w:val="FootnoteText"/>
      </w:pPr>
      <w:r>
        <w:rPr>
          <w:rStyle w:val="FootnoteReference"/>
        </w:rPr>
        <w:footnoteRef/>
      </w:r>
      <w:r w:rsidRPr="00FB25A3">
        <w:t xml:space="preserve"> </w:t>
      </w:r>
      <w:r w:rsidR="00FB25A3">
        <w:t xml:space="preserve">Martin Ingram, Ridings, Rough Music and the "Reform of Popular Culture" in Early Modern England, </w:t>
      </w:r>
      <w:r w:rsidR="00FB25A3" w:rsidRPr="00FB25A3">
        <w:rPr>
          <w:i/>
          <w:iCs/>
        </w:rPr>
        <w:t>Past &amp; Present</w:t>
      </w:r>
      <w:r w:rsidR="00FB25A3">
        <w:t xml:space="preserve"> , (1984), 105, pp. 79-113</w:t>
      </w:r>
      <w:r w:rsidRPr="00FB25A3">
        <w:t xml:space="preserve">, </w:t>
      </w:r>
      <w:r w:rsidR="00FB25A3">
        <w:t>(p 96).</w:t>
      </w:r>
    </w:p>
  </w:footnote>
  <w:footnote w:id="8">
    <w:p w14:paraId="2005E75E" w14:textId="77777777" w:rsidR="00847837" w:rsidRDefault="00847837" w:rsidP="00847837">
      <w:pPr>
        <w:pStyle w:val="FootnoteText"/>
      </w:pPr>
      <w:r>
        <w:rPr>
          <w:rStyle w:val="FootnoteReference"/>
        </w:rPr>
        <w:footnoteRef/>
      </w:r>
      <w:r>
        <w:t xml:space="preserve"> Victor Turner, The Center out There: Pilgrim's Goal, History of Religions , Feb., 1973, Vol. 12, No. 3 (Feb., 1973), pp. 191-230 (pg. 216)</w:t>
      </w:r>
    </w:p>
  </w:footnote>
  <w:footnote w:id="9">
    <w:p w14:paraId="18CFB8C2" w14:textId="77777777" w:rsidR="00A84B59" w:rsidRDefault="00A84B59" w:rsidP="00A84B59">
      <w:pPr>
        <w:spacing w:after="0" w:line="240" w:lineRule="auto"/>
      </w:pPr>
      <w:r>
        <w:rPr>
          <w:rStyle w:val="FootnoteReference"/>
        </w:rPr>
        <w:footnoteRef/>
      </w:r>
      <w:r>
        <w:t xml:space="preserve"> </w:t>
      </w:r>
      <w:r w:rsidRPr="00CA3EE6">
        <w:rPr>
          <w:sz w:val="20"/>
          <w:szCs w:val="20"/>
        </w:rPr>
        <w:t>Darlene M.</w:t>
      </w:r>
      <w:r>
        <w:rPr>
          <w:sz w:val="20"/>
          <w:szCs w:val="20"/>
        </w:rPr>
        <w:t xml:space="preserve"> </w:t>
      </w:r>
      <w:r w:rsidRPr="00CA3EE6">
        <w:rPr>
          <w:sz w:val="20"/>
          <w:szCs w:val="20"/>
        </w:rPr>
        <w:t>Juschka, Whose Turn is it to Cook? Communitas and Pilgrimage Questioned. Mosaic: An Interdisciplinary Critical Journal , 2003, 36:4, a special issue: PILGRIMAGE (December 2003), pp. 189-204</w:t>
      </w:r>
      <w:r>
        <w:rPr>
          <w:sz w:val="20"/>
          <w:szCs w:val="20"/>
        </w:rPr>
        <w:t xml:space="preserve"> (p. 191)</w:t>
      </w:r>
    </w:p>
  </w:footnote>
  <w:footnote w:id="10">
    <w:p w14:paraId="0550E9F2" w14:textId="77621D8F" w:rsidR="00577038" w:rsidRDefault="00577038">
      <w:pPr>
        <w:pStyle w:val="FootnoteText"/>
      </w:pPr>
      <w:r>
        <w:rPr>
          <w:rStyle w:val="FootnoteReference"/>
        </w:rPr>
        <w:footnoteRef/>
      </w:r>
      <w:r>
        <w:t xml:space="preserve"> Darlene M. Juschka, </w:t>
      </w:r>
      <w:r w:rsidR="00B91DAB" w:rsidRPr="00CA3EE6">
        <w:t>Whose Turn is it to Cook? Communitas and Pilgrimage Questioned. Mosaic: An Interdisciplinary Critical Journal , 2003, 36:4, a special issue: PILGRIMAGE (December 2003), pp. 189-204</w:t>
      </w:r>
      <w:r w:rsidR="00B91DAB">
        <w:t xml:space="preserve"> (</w:t>
      </w:r>
      <w:r>
        <w:t>pg 201-</w:t>
      </w:r>
      <w:r w:rsidR="00B91DAB">
        <w:t>202)</w:t>
      </w:r>
    </w:p>
  </w:footnote>
  <w:footnote w:id="11">
    <w:p w14:paraId="47946738" w14:textId="77777777" w:rsidR="00E26FD1" w:rsidRDefault="00E26FD1" w:rsidP="00E26FD1">
      <w:pPr>
        <w:spacing w:after="0" w:line="240" w:lineRule="auto"/>
      </w:pPr>
      <w:r>
        <w:rPr>
          <w:rStyle w:val="FootnoteReference"/>
        </w:rPr>
        <w:footnoteRef/>
      </w:r>
      <w:r>
        <w:t xml:space="preserve"> </w:t>
      </w:r>
      <w:r w:rsidRPr="00847837">
        <w:rPr>
          <w:sz w:val="20"/>
          <w:szCs w:val="20"/>
        </w:rPr>
        <w:t>Amy Whitehead, The Goddess and the Virgin: Materiality in Western Europe, The Pomegranate 10.2 (2008) 163-183</w:t>
      </w:r>
      <w:r>
        <w:rPr>
          <w:sz w:val="20"/>
          <w:szCs w:val="20"/>
        </w:rPr>
        <w:t xml:space="preserve"> </w:t>
      </w:r>
      <w:r w:rsidRPr="00847837">
        <w:rPr>
          <w:sz w:val="20"/>
          <w:szCs w:val="20"/>
        </w:rPr>
        <w:t>(pg. 163)</w:t>
      </w:r>
    </w:p>
  </w:footnote>
  <w:footnote w:id="12">
    <w:p w14:paraId="23489A0D" w14:textId="77777777" w:rsidR="00E26FD1" w:rsidRDefault="00E26FD1" w:rsidP="00E26FD1">
      <w:pPr>
        <w:pStyle w:val="FootnoteText"/>
      </w:pPr>
      <w:r>
        <w:rPr>
          <w:rStyle w:val="FootnoteReference"/>
        </w:rPr>
        <w:footnoteRef/>
      </w:r>
      <w:r>
        <w:t xml:space="preserve"> </w:t>
      </w:r>
      <w:r w:rsidRPr="00847837">
        <w:t>Amy Whitehead, The Goddess and the Virgin: Materiality in Western Europe, The Pomegranate 10.2 (2008) 163-183</w:t>
      </w:r>
      <w:r>
        <w:t xml:space="preserve"> </w:t>
      </w:r>
      <w:r w:rsidRPr="00847837">
        <w:t>(pg. 16</w:t>
      </w:r>
      <w:r>
        <w:t>6</w:t>
      </w:r>
      <w:r w:rsidRPr="00847837">
        <w:t>)</w:t>
      </w:r>
    </w:p>
  </w:footnote>
  <w:footnote w:id="13">
    <w:p w14:paraId="61D2B11C" w14:textId="19C6EADE" w:rsidR="00A265BC" w:rsidRDefault="00A265BC" w:rsidP="00A265BC">
      <w:pPr>
        <w:spacing w:after="0" w:line="240" w:lineRule="auto"/>
      </w:pPr>
      <w:r>
        <w:rPr>
          <w:rStyle w:val="FootnoteReference"/>
        </w:rPr>
        <w:footnoteRef/>
      </w:r>
      <w:r>
        <w:t xml:space="preserve"> </w:t>
      </w:r>
      <w:r w:rsidR="00847837" w:rsidRPr="00E1673E">
        <w:rPr>
          <w:sz w:val="20"/>
          <w:szCs w:val="20"/>
        </w:rPr>
        <w:t xml:space="preserve">Christopher </w:t>
      </w:r>
      <w:r w:rsidRPr="00E1673E">
        <w:rPr>
          <w:sz w:val="20"/>
          <w:szCs w:val="20"/>
        </w:rPr>
        <w:t xml:space="preserve">Tilley, ‘The Powers of Rocks: Topography and Monument Construction on Bodmin Moor’ World Archaeology , Oct., 1996, Vol. 28, No. 2, Sacred Geography (Oct., 1996), pp. 161-176 </w:t>
      </w:r>
      <w:r>
        <w:rPr>
          <w:sz w:val="20"/>
          <w:szCs w:val="20"/>
        </w:rPr>
        <w:t>(p. 173).</w:t>
      </w:r>
    </w:p>
  </w:footnote>
  <w:footnote w:id="14">
    <w:p w14:paraId="6E21061E" w14:textId="48BAA965" w:rsidR="00B565B8" w:rsidRDefault="00B565B8" w:rsidP="00B565B8">
      <w:pPr>
        <w:spacing w:after="0" w:line="240" w:lineRule="auto"/>
      </w:pPr>
      <w:r>
        <w:rPr>
          <w:rStyle w:val="FootnoteReference"/>
        </w:rPr>
        <w:footnoteRef/>
      </w:r>
      <w:r>
        <w:t xml:space="preserve"> </w:t>
      </w:r>
      <w:r w:rsidRPr="001840D4">
        <w:rPr>
          <w:sz w:val="20"/>
          <w:szCs w:val="20"/>
        </w:rPr>
        <w:t>Marion Bowman, Belief, Legend and Perceptions of the Sacred in Contemporary Bath, Folklore , 1998, Vol. 109 (1998), pp. 25-31</w:t>
      </w:r>
      <w:r>
        <w:rPr>
          <w:sz w:val="20"/>
          <w:szCs w:val="20"/>
        </w:rPr>
        <w:t xml:space="preserve"> (pg. 28)</w:t>
      </w:r>
    </w:p>
  </w:footnote>
  <w:footnote w:id="15">
    <w:p w14:paraId="434A4D28" w14:textId="77777777" w:rsidR="00505F61" w:rsidRDefault="00505F61" w:rsidP="00505F61">
      <w:pPr>
        <w:pStyle w:val="FootnoteText"/>
      </w:pPr>
      <w:r>
        <w:rPr>
          <w:rStyle w:val="FootnoteReference"/>
        </w:rPr>
        <w:footnoteRef/>
      </w:r>
      <w:r>
        <w:t xml:space="preserve"> Carole M Cusack, Charmed Circle: Stonehenge, Contemporary Paganism, and Alternative Archaeology, Numen , 2012, 59: 2/3, Alternative Archaeology (2012), pp. 138-155 (pg. 148)</w:t>
      </w:r>
    </w:p>
  </w:footnote>
  <w:footnote w:id="16">
    <w:p w14:paraId="7356218B" w14:textId="77777777" w:rsidR="00DC053A" w:rsidRDefault="00DC053A" w:rsidP="00DC053A">
      <w:pPr>
        <w:pStyle w:val="FootnoteText"/>
      </w:pPr>
      <w:r>
        <w:rPr>
          <w:rStyle w:val="FootnoteReference"/>
        </w:rPr>
        <w:footnoteRef/>
      </w:r>
      <w:r>
        <w:t xml:space="preserve"> Reinhard Mussik, ‘An Investigation of Internet Solstice Celebrations of Supposed Prehistoric Sacred Places’, Culture and Cosmos, 22:1, (2018), pp. 65-88 (p. 82)</w:t>
      </w:r>
    </w:p>
  </w:footnote>
  <w:footnote w:id="17">
    <w:p w14:paraId="76F7C01E" w14:textId="6281D1CC" w:rsidR="00031A4E" w:rsidRPr="0014028D" w:rsidRDefault="00031A4E">
      <w:pPr>
        <w:pStyle w:val="FootnoteText"/>
      </w:pPr>
      <w:r>
        <w:rPr>
          <w:rStyle w:val="FootnoteReference"/>
        </w:rPr>
        <w:footnoteRef/>
      </w:r>
      <w:r w:rsidRPr="0014028D">
        <w:t xml:space="preserve"> Jerome A Voss, Antiquity Imagined: Cultural Values In Archaeological Folklore, </w:t>
      </w:r>
      <w:r w:rsidRPr="0014028D">
        <w:rPr>
          <w:i/>
          <w:iCs/>
        </w:rPr>
        <w:t>Folklore</w:t>
      </w:r>
      <w:r w:rsidRPr="0014028D">
        <w:t xml:space="preserve"> , 98: 1 (1987), pp. 80-90 (pg</w:t>
      </w:r>
      <w:r w:rsidR="000A13EF">
        <w:t>.</w:t>
      </w:r>
      <w:r w:rsidRPr="0014028D">
        <w:t xml:space="preserve"> 81)</w:t>
      </w:r>
    </w:p>
  </w:footnote>
  <w:footnote w:id="18">
    <w:p w14:paraId="42FD0B44" w14:textId="77777777" w:rsidR="002423B7" w:rsidRDefault="002423B7" w:rsidP="002423B7">
      <w:pPr>
        <w:pStyle w:val="FootnoteText"/>
      </w:pPr>
      <w:r>
        <w:rPr>
          <w:rStyle w:val="FootnoteReference"/>
        </w:rPr>
        <w:footnoteRef/>
      </w:r>
      <w:r>
        <w:t xml:space="preserve"> Tim </w:t>
      </w:r>
      <w:r w:rsidRPr="00BE3C09">
        <w:t>Ingold</w:t>
      </w:r>
      <w:r>
        <w:t>, Dreaming of dragons: on the imagination of real life, The Journal of the Royal Anthropological Institute, (2013), Vol. 19:4, pp. 734-752 (pgs. 742-743).</w:t>
      </w:r>
    </w:p>
  </w:footnote>
  <w:footnote w:id="19">
    <w:p w14:paraId="5F4403B1" w14:textId="7F6E1E38" w:rsidR="00D4772A" w:rsidRPr="00D4772A" w:rsidRDefault="00D4772A" w:rsidP="00D4772A">
      <w:pPr>
        <w:spacing w:after="0" w:line="240" w:lineRule="auto"/>
        <w:rPr>
          <w:sz w:val="20"/>
          <w:szCs w:val="20"/>
        </w:rPr>
      </w:pPr>
      <w:r>
        <w:rPr>
          <w:rStyle w:val="FootnoteReference"/>
        </w:rPr>
        <w:footnoteRef/>
      </w:r>
      <w:r>
        <w:t xml:space="preserve"> </w:t>
      </w:r>
      <w:r w:rsidRPr="00D4772A">
        <w:rPr>
          <w:sz w:val="20"/>
          <w:szCs w:val="20"/>
        </w:rPr>
        <w:t>Tim Ingold, ‘Earth, Sky, Wind, and Weather’ The Journal of the Royal Anthropological Institute</w:t>
      </w:r>
    </w:p>
    <w:p w14:paraId="7DFBA07A" w14:textId="7C496311" w:rsidR="00D4772A" w:rsidRPr="00B75B06" w:rsidRDefault="00D4772A" w:rsidP="00D4772A">
      <w:pPr>
        <w:spacing w:after="0" w:line="240" w:lineRule="auto"/>
      </w:pPr>
      <w:r w:rsidRPr="00B75B06">
        <w:rPr>
          <w:sz w:val="20"/>
          <w:szCs w:val="20"/>
        </w:rPr>
        <w:t>(2007) 13, pp. S19-S38 (</w:t>
      </w:r>
      <w:r w:rsidRPr="00D4772A">
        <w:rPr>
          <w:sz w:val="20"/>
          <w:szCs w:val="20"/>
        </w:rPr>
        <w:t>pg. S34)</w:t>
      </w:r>
    </w:p>
  </w:footnote>
  <w:footnote w:id="20">
    <w:p w14:paraId="54383233" w14:textId="77777777" w:rsidR="00CC4E56" w:rsidRPr="001E5F94" w:rsidRDefault="00CC4E56" w:rsidP="00CC4E56">
      <w:pPr>
        <w:pStyle w:val="FootnoteText"/>
      </w:pPr>
      <w:r>
        <w:rPr>
          <w:rStyle w:val="FootnoteReference"/>
        </w:rPr>
        <w:footnoteRef/>
      </w:r>
      <w:r>
        <w:t xml:space="preserve"> Alexandra Harris, </w:t>
      </w:r>
      <w:r w:rsidRPr="001E5F94">
        <w:rPr>
          <w:i/>
          <w:iCs/>
        </w:rPr>
        <w:t>Weatherland: Writers And Artists Under English Skies</w:t>
      </w:r>
      <w:r>
        <w:t>. (London: Thames &amp; Hudson, 2016) p.77</w:t>
      </w:r>
    </w:p>
  </w:footnote>
  <w:footnote w:id="21">
    <w:p w14:paraId="0AEAB974" w14:textId="77777777" w:rsidR="00CC4E56" w:rsidRDefault="00CC4E56" w:rsidP="00CC4E56">
      <w:pPr>
        <w:pStyle w:val="FootnoteText"/>
      </w:pPr>
      <w:r>
        <w:rPr>
          <w:rStyle w:val="FootnoteReference"/>
        </w:rPr>
        <w:footnoteRef/>
      </w:r>
      <w:r>
        <w:t xml:space="preserve"> </w:t>
      </w:r>
      <w:r w:rsidRPr="00552FA2">
        <w:rPr>
          <w:i/>
          <w:iCs/>
        </w:rPr>
        <w:t>Sir Gawain and the Green Knight</w:t>
      </w:r>
      <w:r>
        <w:t xml:space="preserve"> trans. Simon Armitage, rev. ed. (London: Faber &amp; Faber, 2018) lines 2079-2081, p. 124</w:t>
      </w:r>
    </w:p>
  </w:footnote>
  <w:footnote w:id="22">
    <w:p w14:paraId="694F8E28" w14:textId="78C6D721" w:rsidR="00F0443B" w:rsidRDefault="00F0443B">
      <w:pPr>
        <w:pStyle w:val="FootnoteText"/>
      </w:pPr>
      <w:r>
        <w:rPr>
          <w:rStyle w:val="FootnoteReference"/>
        </w:rPr>
        <w:footnoteRef/>
      </w:r>
      <w:r>
        <w:t xml:space="preserve"> Amy Whitehead, pg. 167</w:t>
      </w:r>
    </w:p>
  </w:footnote>
  <w:footnote w:id="23">
    <w:p w14:paraId="29373526" w14:textId="77777777" w:rsidR="00B21D07" w:rsidRDefault="00B21D07" w:rsidP="00B21D07">
      <w:pPr>
        <w:spacing w:after="0" w:line="240" w:lineRule="auto"/>
      </w:pPr>
      <w:r>
        <w:rPr>
          <w:rStyle w:val="FootnoteReference"/>
        </w:rPr>
        <w:footnoteRef/>
      </w:r>
      <w:r>
        <w:t xml:space="preserve"> </w:t>
      </w:r>
      <w:r w:rsidRPr="000A13EF">
        <w:rPr>
          <w:sz w:val="20"/>
          <w:szCs w:val="20"/>
        </w:rPr>
        <w:t>Ronald Grimes, “Performance is Currency in the Deep World‘s Gift Economy: An Incantatory Riff for a Global Medicine Show”. Interdisciplinary Studies in Literature and Environment. (2002) 9:1, pp. 150-163.</w:t>
      </w:r>
      <w:r>
        <w:rPr>
          <w:sz w:val="20"/>
          <w:szCs w:val="20"/>
        </w:rPr>
        <w:t xml:space="preserve"> (pg. 154-155)</w:t>
      </w:r>
    </w:p>
  </w:footnote>
  <w:footnote w:id="24">
    <w:p w14:paraId="42273E0B" w14:textId="77777777" w:rsidR="00264526" w:rsidRDefault="00264526" w:rsidP="00264526">
      <w:pPr>
        <w:pStyle w:val="FootnoteText"/>
      </w:pPr>
      <w:r>
        <w:rPr>
          <w:rStyle w:val="FootnoteReference"/>
        </w:rPr>
        <w:footnoteRef/>
      </w:r>
      <w:r>
        <w:t xml:space="preserve"> Dell Hymes, Folklore's Nature and the Sun's Myth, The Journal of American Folklore , (1975), 88: 350 pp. 345-369 (p.354)</w:t>
      </w:r>
    </w:p>
  </w:footnote>
  <w:footnote w:id="25">
    <w:p w14:paraId="212C879D" w14:textId="77777777" w:rsidR="00264526" w:rsidRDefault="00264526" w:rsidP="00264526">
      <w:pPr>
        <w:pStyle w:val="FootnoteText"/>
      </w:pPr>
      <w:r>
        <w:rPr>
          <w:rStyle w:val="FootnoteReference"/>
        </w:rPr>
        <w:footnoteRef/>
      </w:r>
      <w:r>
        <w:t xml:space="preserve"> Alan Dundes, Metafolklore And Oral Literary Criticism, The Monist, (1966) 50:4, Symbol and Myth, pp. 505-516 (pg. 508)</w:t>
      </w:r>
    </w:p>
  </w:footnote>
  <w:footnote w:id="26">
    <w:p w14:paraId="6880777A" w14:textId="77777777" w:rsidR="00264526" w:rsidRDefault="00264526" w:rsidP="00264526">
      <w:pPr>
        <w:spacing w:after="0" w:line="240" w:lineRule="auto"/>
      </w:pPr>
      <w:r>
        <w:rPr>
          <w:rStyle w:val="FootnoteReference"/>
        </w:rPr>
        <w:footnoteRef/>
      </w:r>
      <w:r>
        <w:t xml:space="preserve"> </w:t>
      </w:r>
      <w:r w:rsidRPr="006C5197">
        <w:rPr>
          <w:sz w:val="20"/>
          <w:szCs w:val="20"/>
        </w:rPr>
        <w:t>Adam Fox, Remembering the Past in Early Modern England: Oral and Written Tradition Transactions of the Royal Historical Society , 1999, Vol. 9 (1999), pp. 233-256</w:t>
      </w:r>
      <w:r>
        <w:rPr>
          <w:sz w:val="20"/>
          <w:szCs w:val="20"/>
        </w:rPr>
        <w:t xml:space="preserve"> (p.234-235).</w:t>
      </w:r>
    </w:p>
  </w:footnote>
  <w:footnote w:id="27">
    <w:p w14:paraId="722AA216" w14:textId="6A202B3F" w:rsidR="003B2C1B" w:rsidRDefault="003B2C1B" w:rsidP="003B2C1B">
      <w:pPr>
        <w:spacing w:after="0" w:line="240" w:lineRule="auto"/>
      </w:pPr>
      <w:r>
        <w:rPr>
          <w:rStyle w:val="FootnoteReference"/>
        </w:rPr>
        <w:footnoteRef/>
      </w:r>
      <w:r>
        <w:t xml:space="preserve"> </w:t>
      </w:r>
      <w:r w:rsidRPr="003B2C1B">
        <w:rPr>
          <w:sz w:val="20"/>
          <w:szCs w:val="20"/>
        </w:rPr>
        <w:t>S Elizabeth</w:t>
      </w:r>
      <w:r>
        <w:rPr>
          <w:sz w:val="20"/>
          <w:szCs w:val="20"/>
        </w:rPr>
        <w:t xml:space="preserve"> Bird</w:t>
      </w:r>
      <w:r w:rsidRPr="003B2C1B">
        <w:rPr>
          <w:sz w:val="20"/>
          <w:szCs w:val="20"/>
        </w:rPr>
        <w:t>, ‘Derbyshire Well Dressing: An Annual Folk Festival’, The Journal of Cultural Geography, (1983) 3:2, pg. 61-82</w:t>
      </w:r>
      <w:r>
        <w:rPr>
          <w:sz w:val="20"/>
          <w:szCs w:val="20"/>
        </w:rPr>
        <w:t xml:space="preserve"> (p.65).</w:t>
      </w:r>
    </w:p>
  </w:footnote>
  <w:footnote w:id="28">
    <w:p w14:paraId="3B862A27" w14:textId="4F64D3DA" w:rsidR="00780BD9" w:rsidRPr="0000150B" w:rsidRDefault="00780BD9" w:rsidP="0000150B">
      <w:pPr>
        <w:spacing w:after="0" w:line="240" w:lineRule="auto"/>
      </w:pPr>
      <w:r w:rsidRPr="002371ED">
        <w:rPr>
          <w:rStyle w:val="FootnoteReference"/>
          <w:rFonts w:asciiTheme="minorHAnsi" w:hAnsiTheme="minorHAnsi" w:cstheme="minorHAnsi"/>
        </w:rPr>
        <w:footnoteRef/>
      </w:r>
      <w:r w:rsidRPr="002371ED">
        <w:rPr>
          <w:rFonts w:asciiTheme="minorHAnsi" w:hAnsiTheme="minorHAnsi" w:cstheme="minorHAnsi"/>
        </w:rPr>
        <w:t xml:space="preserve"> </w:t>
      </w:r>
      <w:r w:rsidR="0000150B" w:rsidRPr="0000150B">
        <w:rPr>
          <w:rFonts w:asciiTheme="minorHAnsi" w:hAnsiTheme="minorHAnsi" w:cstheme="minorHAnsi"/>
          <w:sz w:val="20"/>
          <w:szCs w:val="20"/>
        </w:rPr>
        <w:t xml:space="preserve">Robert E. Stake, The Art Of Case Study Research, (SAGE: 1995) Chapter 3: The Nature Of Qualitative Research, pgs. 35-48 (scanned extract) </w:t>
      </w:r>
      <w:r w:rsidRPr="0000150B">
        <w:rPr>
          <w:rFonts w:asciiTheme="minorHAnsi" w:hAnsiTheme="minorHAnsi" w:cstheme="minorHAnsi"/>
          <w:sz w:val="20"/>
          <w:szCs w:val="20"/>
        </w:rPr>
        <w:t>p.38.</w:t>
      </w:r>
    </w:p>
  </w:footnote>
  <w:footnote w:id="29">
    <w:p w14:paraId="0C8317CF" w14:textId="7AEF0DA1" w:rsidR="00597449" w:rsidRPr="002371ED" w:rsidRDefault="00597449">
      <w:pPr>
        <w:pStyle w:val="FootnoteText"/>
        <w:rPr>
          <w:rFonts w:asciiTheme="minorHAnsi" w:hAnsiTheme="minorHAnsi" w:cstheme="minorHAnsi"/>
        </w:rPr>
      </w:pPr>
      <w:r w:rsidRPr="002371ED">
        <w:rPr>
          <w:rStyle w:val="FootnoteReference"/>
          <w:rFonts w:asciiTheme="minorHAnsi" w:hAnsiTheme="minorHAnsi" w:cstheme="minorHAnsi"/>
        </w:rPr>
        <w:footnoteRef/>
      </w:r>
      <w:r w:rsidRPr="002371ED">
        <w:rPr>
          <w:rFonts w:asciiTheme="minorHAnsi" w:hAnsiTheme="minorHAnsi" w:cstheme="minorHAnsi"/>
        </w:rPr>
        <w:t xml:space="preserve"> Monique Hennink, Inge Hutter and Ajay Bailey, </w:t>
      </w:r>
      <w:r w:rsidRPr="002371ED">
        <w:rPr>
          <w:rFonts w:asciiTheme="minorHAnsi" w:hAnsiTheme="minorHAnsi" w:cstheme="minorHAnsi"/>
          <w:i/>
          <w:iCs/>
        </w:rPr>
        <w:t>Qualitative Research Methods</w:t>
      </w:r>
      <w:r w:rsidRPr="002371ED">
        <w:rPr>
          <w:rFonts w:asciiTheme="minorHAnsi" w:hAnsiTheme="minorHAnsi" w:cstheme="minorHAnsi"/>
        </w:rPr>
        <w:t>, 2</w:t>
      </w:r>
      <w:r w:rsidRPr="002371ED">
        <w:rPr>
          <w:rFonts w:asciiTheme="minorHAnsi" w:hAnsiTheme="minorHAnsi" w:cstheme="minorHAnsi"/>
          <w:vertAlign w:val="superscript"/>
        </w:rPr>
        <w:t>nd</w:t>
      </w:r>
      <w:r w:rsidRPr="002371ED">
        <w:rPr>
          <w:rFonts w:asciiTheme="minorHAnsi" w:hAnsiTheme="minorHAnsi" w:cstheme="minorHAnsi"/>
        </w:rPr>
        <w:t xml:space="preserve"> edn. (London: SAGE, 2020), p.17.</w:t>
      </w:r>
    </w:p>
  </w:footnote>
  <w:footnote w:id="30">
    <w:p w14:paraId="2E042927" w14:textId="19BAF3B7" w:rsidR="007C7F46" w:rsidRPr="002371ED" w:rsidRDefault="007C7F46" w:rsidP="007C7F46">
      <w:pPr>
        <w:pStyle w:val="Body"/>
        <w:rPr>
          <w:rFonts w:asciiTheme="minorHAnsi" w:hAnsiTheme="minorHAnsi" w:cstheme="minorHAnsi"/>
        </w:rPr>
      </w:pPr>
      <w:r w:rsidRPr="002371ED">
        <w:rPr>
          <w:rStyle w:val="FootnoteReference"/>
          <w:rFonts w:asciiTheme="minorHAnsi" w:hAnsiTheme="minorHAnsi" w:cstheme="minorHAnsi"/>
        </w:rPr>
        <w:footnoteRef/>
      </w:r>
      <w:r w:rsidRPr="002371ED">
        <w:rPr>
          <w:rFonts w:asciiTheme="minorHAnsi" w:hAnsiTheme="minorHAnsi" w:cstheme="minorHAnsi"/>
        </w:rPr>
        <w:t xml:space="preserve"> Hennink, Hutter and Bailey, </w:t>
      </w:r>
      <w:r w:rsidRPr="002371ED">
        <w:rPr>
          <w:rFonts w:asciiTheme="minorHAnsi" w:hAnsiTheme="minorHAnsi" w:cstheme="minorHAnsi"/>
          <w:i/>
          <w:iCs/>
        </w:rPr>
        <w:t>Qualitative Research Methods</w:t>
      </w:r>
      <w:r w:rsidRPr="002371ED">
        <w:rPr>
          <w:rFonts w:asciiTheme="minorHAnsi" w:hAnsiTheme="minorHAnsi" w:cstheme="minorHAnsi"/>
        </w:rPr>
        <w:t>, p. 92</w:t>
      </w:r>
    </w:p>
  </w:footnote>
  <w:footnote w:id="31">
    <w:p w14:paraId="65895C75" w14:textId="77777777" w:rsidR="00D357D1" w:rsidRPr="00234D10" w:rsidRDefault="00D357D1" w:rsidP="00D357D1">
      <w:pPr>
        <w:pStyle w:val="FootnoteText"/>
      </w:pPr>
      <w:r>
        <w:rPr>
          <w:rStyle w:val="FootnoteReference"/>
        </w:rPr>
        <w:footnoteRef/>
      </w:r>
      <w:r w:rsidRPr="00234D10">
        <w:t xml:space="preserve"> Jack Katz, From Luminous Description T</w:t>
      </w:r>
      <w:r>
        <w:t xml:space="preserve">o Causal Inference In Ethnography (Part 1), </w:t>
      </w:r>
      <w:r w:rsidRPr="00234D10">
        <w:rPr>
          <w:i/>
          <w:iCs/>
        </w:rPr>
        <w:t>Ethnography</w:t>
      </w:r>
      <w:r>
        <w:t>, 2:4 (2001) p 443-473 (pg. 446)</w:t>
      </w:r>
    </w:p>
  </w:footnote>
  <w:footnote w:id="32">
    <w:p w14:paraId="64C55D00" w14:textId="01DC62FB" w:rsidR="001D5DC3" w:rsidRDefault="001D5DC3">
      <w:pPr>
        <w:pStyle w:val="FootnoteText"/>
      </w:pPr>
      <w:r>
        <w:rPr>
          <w:rStyle w:val="FootnoteReference"/>
        </w:rPr>
        <w:footnoteRef/>
      </w:r>
      <w:r>
        <w:t xml:space="preserve"> </w:t>
      </w:r>
      <w:r w:rsidRPr="007E0988">
        <w:t xml:space="preserve">Grace Davie, Believing Without Belonging: Is This The Future Of Religion In Britain?, </w:t>
      </w:r>
      <w:r w:rsidRPr="007E0988">
        <w:rPr>
          <w:i/>
          <w:iCs/>
        </w:rPr>
        <w:t>Social Compass</w:t>
      </w:r>
      <w:r w:rsidRPr="007E0988">
        <w:t>, 37:4 (1990), (pg. 445-469)</w:t>
      </w:r>
    </w:p>
  </w:footnote>
  <w:footnote w:id="33">
    <w:p w14:paraId="49F9EB5E" w14:textId="01A5F28A" w:rsidR="00805E75" w:rsidRDefault="00805E75">
      <w:pPr>
        <w:pStyle w:val="FootnoteText"/>
      </w:pPr>
      <w:r>
        <w:rPr>
          <w:rStyle w:val="FootnoteReference"/>
        </w:rPr>
        <w:footnoteRef/>
      </w:r>
      <w:r>
        <w:t xml:space="preserve"> </w:t>
      </w:r>
      <w:r w:rsidR="001D5DC3">
        <w:t xml:space="preserve">Grace Davie, </w:t>
      </w:r>
      <w:r>
        <w:t xml:space="preserve">Believing </w:t>
      </w:r>
      <w:r w:rsidR="001D5DC3">
        <w:t>W</w:t>
      </w:r>
      <w:r>
        <w:t>ithout Belonging. A Liverpool Case Study</w:t>
      </w:r>
      <w:r w:rsidR="001D5DC3">
        <w:t xml:space="preserve">, </w:t>
      </w:r>
      <w:r w:rsidRPr="001D5DC3">
        <w:rPr>
          <w:i/>
          <w:iCs/>
        </w:rPr>
        <w:t xml:space="preserve">Archives </w:t>
      </w:r>
      <w:r w:rsidR="001D5DC3">
        <w:rPr>
          <w:i/>
          <w:iCs/>
        </w:rPr>
        <w:t>d</w:t>
      </w:r>
      <w:r w:rsidRPr="001D5DC3">
        <w:rPr>
          <w:i/>
          <w:iCs/>
        </w:rPr>
        <w:t>e sciences sociales des religions</w:t>
      </w:r>
      <w:r>
        <w:t xml:space="preserve"> , Jan. - Mar., 1993, 38e Année, No. 81 (Jan. - Mar., 1993), pp. 79-89 (p.80)</w:t>
      </w:r>
    </w:p>
  </w:footnote>
  <w:footnote w:id="34">
    <w:p w14:paraId="228D3072" w14:textId="127E78CB" w:rsidR="00305486" w:rsidRPr="00305486" w:rsidRDefault="00305486" w:rsidP="00305486">
      <w:pPr>
        <w:rPr>
          <w:sz w:val="20"/>
          <w:szCs w:val="20"/>
        </w:rPr>
      </w:pPr>
      <w:r>
        <w:rPr>
          <w:rStyle w:val="FootnoteReference"/>
        </w:rPr>
        <w:footnoteRef/>
      </w:r>
      <w:r>
        <w:t xml:space="preserve"> </w:t>
      </w:r>
      <w:r w:rsidRPr="00305486">
        <w:rPr>
          <w:sz w:val="20"/>
          <w:szCs w:val="20"/>
        </w:rPr>
        <w:t>Hufford, David J, The Scholarly Voice And The Personal Voice: Reflexivity In Belief Studies, Western Folklore , (1995), 54: 1, Reflexivity and the Study of Belief (Jan., 1995), pp. 57-76</w:t>
      </w:r>
      <w:r>
        <w:rPr>
          <w:sz w:val="20"/>
          <w:szCs w:val="20"/>
        </w:rPr>
        <w:t xml:space="preserve"> (pg. 60)</w:t>
      </w:r>
    </w:p>
    <w:p w14:paraId="42BB1E29" w14:textId="1D8844BB" w:rsidR="00305486" w:rsidRDefault="00305486">
      <w:pPr>
        <w:pStyle w:val="FootnoteText"/>
      </w:pPr>
    </w:p>
  </w:footnote>
  <w:footnote w:id="35">
    <w:p w14:paraId="09FBBB52" w14:textId="004A6D1B" w:rsidR="006A69C2" w:rsidRDefault="006A69C2" w:rsidP="006A69C2">
      <w:pPr>
        <w:spacing w:after="0" w:line="240" w:lineRule="auto"/>
      </w:pPr>
      <w:r>
        <w:rPr>
          <w:rStyle w:val="FootnoteReference"/>
        </w:rPr>
        <w:footnoteRef/>
      </w:r>
      <w:r>
        <w:t xml:space="preserve"> </w:t>
      </w:r>
      <w:r w:rsidRPr="006A69C2">
        <w:rPr>
          <w:sz w:val="20"/>
          <w:szCs w:val="20"/>
        </w:rPr>
        <w:t>C.S.</w:t>
      </w:r>
      <w:r>
        <w:rPr>
          <w:sz w:val="20"/>
          <w:szCs w:val="20"/>
        </w:rPr>
        <w:t xml:space="preserve"> </w:t>
      </w:r>
      <w:r w:rsidRPr="006A69C2">
        <w:rPr>
          <w:sz w:val="20"/>
          <w:szCs w:val="20"/>
        </w:rPr>
        <w:t>Burne, Staffordshire Folk and Their Lore, Folklore , Dec., 1896, Vol. 7, No. 4 (Dec., 1896), pp. 366-386</w:t>
      </w:r>
      <w:r>
        <w:rPr>
          <w:sz w:val="20"/>
          <w:szCs w:val="20"/>
        </w:rPr>
        <w:t xml:space="preserve"> (pg.377)</w:t>
      </w:r>
    </w:p>
  </w:footnote>
  <w:footnote w:id="36">
    <w:p w14:paraId="5063A25F" w14:textId="71611FD3" w:rsidR="00AF2829" w:rsidRDefault="00AF2829">
      <w:pPr>
        <w:pStyle w:val="FootnoteText"/>
      </w:pPr>
      <w:r>
        <w:rPr>
          <w:rStyle w:val="FootnoteReference"/>
        </w:rPr>
        <w:footnoteRef/>
      </w:r>
      <w:r>
        <w:t xml:space="preserve"> </w:t>
      </w:r>
      <w:r w:rsidR="007F443F">
        <w:t>Simon Armitage writes</w:t>
      </w:r>
      <w:r w:rsidR="007F443F">
        <w:rPr>
          <w:rFonts w:ascii="Arial" w:hAnsi="Arial" w:cs="Arial"/>
          <w:color w:val="000000"/>
          <w:sz w:val="21"/>
          <w:szCs w:val="21"/>
          <w:shd w:val="clear" w:color="auto" w:fill="FFFFFF"/>
        </w:rPr>
        <w:t> ‘</w:t>
      </w:r>
      <w:r w:rsidR="007F443F" w:rsidRPr="007F443F">
        <w:t>Lud’s Church, a natural fissure in the rocks near the village of Flash in Derbyshire, has been proposed as the site of the Green Chapel. ‘Hit had a hole on the ende and on anyther syde, / And overgrowen with gres in glodes aywhere, / And all was holw inwith, nobot an olde cave / Or a crevisse of an olde cragge’ (ll. 2180–84). It may or may not be the place, but to stand in that mossy cleft, which cannot have changed much over the centuries, is to believe that the author had an actual landscape in mind when he conceived the poem and lured his young protagonist into a northern region to legitimise his vocabulary and make good use of his surrounding geography</w:t>
      </w:r>
      <w:r w:rsidR="007F443F">
        <w:t xml:space="preserve">.’ </w:t>
      </w:r>
      <w:hyperlink r:id="rId1" w:history="1">
        <w:r w:rsidR="007F443F" w:rsidRPr="00F97946">
          <w:rPr>
            <w:rStyle w:val="Hyperlink"/>
          </w:rPr>
          <w:t>https://www.bl.uk/medieval-literature/articles/sir-gawain-and-the-green-knight-an-introduction</w:t>
        </w:r>
      </w:hyperlink>
      <w:r w:rsidR="007F443F">
        <w:t xml:space="preserve"> [accessed 27 July 2021]</w:t>
      </w:r>
    </w:p>
  </w:footnote>
  <w:footnote w:id="37">
    <w:p w14:paraId="08947E2E" w14:textId="1F376E4F" w:rsidR="006C1223" w:rsidRDefault="006C1223" w:rsidP="006A7CA2">
      <w:pPr>
        <w:spacing w:after="0" w:line="240" w:lineRule="auto"/>
      </w:pPr>
      <w:r>
        <w:rPr>
          <w:rStyle w:val="FootnoteReference"/>
        </w:rPr>
        <w:footnoteRef/>
      </w:r>
      <w:r>
        <w:t xml:space="preserve"> </w:t>
      </w:r>
      <w:r w:rsidR="006A7CA2" w:rsidRPr="006A7CA2">
        <w:rPr>
          <w:sz w:val="20"/>
          <w:szCs w:val="20"/>
        </w:rPr>
        <w:t>Rawle, S. 1978. Letter to the Times, 28 June, quoted by M. Balfour, Stonehenge and its Mysteries (London: Macdonald &amp; Jane's), 171, cited in Christopher Chippindale, Stoned Henge: Events and Issues at the Summer Solstice, 1985, World Archaeology , (1986) 18:1, Perspectives in World Archaeology, pp. 38-58 (p.44).</w:t>
      </w:r>
    </w:p>
  </w:footnote>
  <w:footnote w:id="38">
    <w:p w14:paraId="19BE0D32" w14:textId="2B744BC3" w:rsidR="004D3A07" w:rsidRDefault="004D3A07" w:rsidP="004D3A07">
      <w:pPr>
        <w:spacing w:after="0" w:line="240" w:lineRule="auto"/>
      </w:pPr>
      <w:r>
        <w:rPr>
          <w:rStyle w:val="FootnoteReference"/>
        </w:rPr>
        <w:footnoteRef/>
      </w:r>
      <w:r>
        <w:t xml:space="preserve"> </w:t>
      </w:r>
      <w:r w:rsidRPr="004D3A07">
        <w:rPr>
          <w:sz w:val="20"/>
          <w:szCs w:val="20"/>
        </w:rPr>
        <w:t>S. Mendyk, Robert Plot: Britain's 'Genial Father of County Natural Histories', Notes and Records of the Royal Society of London , Apr., 1985, Vol. 39, No. 2 (Apr., 1985), pp. 159-177 (footnote 23, pg. 173)</w:t>
      </w:r>
    </w:p>
  </w:footnote>
  <w:footnote w:id="39">
    <w:p w14:paraId="537F3ADA" w14:textId="77777777" w:rsidR="007B13AF" w:rsidRDefault="007B13AF" w:rsidP="007B13AF">
      <w:pPr>
        <w:spacing w:after="0" w:line="240" w:lineRule="auto"/>
      </w:pPr>
      <w:r>
        <w:rPr>
          <w:rStyle w:val="FootnoteReference"/>
        </w:rPr>
        <w:footnoteRef/>
      </w:r>
      <w:r>
        <w:t xml:space="preserve"> </w:t>
      </w:r>
      <w:r w:rsidRPr="007B13AF">
        <w:rPr>
          <w:sz w:val="20"/>
          <w:szCs w:val="20"/>
        </w:rPr>
        <w:t>Gentleman's Magazine, Vol VIII, July 1738, pg. 638</w:t>
      </w:r>
    </w:p>
  </w:footnote>
  <w:footnote w:id="40">
    <w:p w14:paraId="756F8215" w14:textId="77777777" w:rsidR="0044727C" w:rsidRPr="005D5B22" w:rsidRDefault="0044727C" w:rsidP="0044727C">
      <w:pPr>
        <w:pStyle w:val="FootnoteText"/>
      </w:pPr>
      <w:r>
        <w:rPr>
          <w:rStyle w:val="FootnoteReference"/>
        </w:rPr>
        <w:footnoteRef/>
      </w:r>
      <w:r w:rsidRPr="005D5B22">
        <w:t xml:space="preserve"> </w:t>
      </w:r>
      <w:r>
        <w:t xml:space="preserve">The ‘Kindness Rock Project’ a movement linked to Facebook that was revived during the COVID19 pandemic </w:t>
      </w:r>
      <w:hyperlink r:id="rId2" w:history="1">
        <w:r w:rsidRPr="005D5B22">
          <w:rPr>
            <w:rStyle w:val="Hyperlink"/>
          </w:rPr>
          <w:t>https://en.wikipedia.org/wiki/The_Kindness_Rock_Project</w:t>
        </w:r>
      </w:hyperlink>
      <w:r w:rsidRPr="005D5B22">
        <w:t xml:space="preserve"> (accessed</w:t>
      </w:r>
      <w:r>
        <w:t xml:space="preserve"> 28 June 2021)</w:t>
      </w:r>
    </w:p>
  </w:footnote>
  <w:footnote w:id="41">
    <w:p w14:paraId="27ABB98B" w14:textId="1D1C968A" w:rsidR="00A75103" w:rsidRDefault="00A75103">
      <w:pPr>
        <w:pStyle w:val="FootnoteText"/>
      </w:pPr>
      <w:r>
        <w:rPr>
          <w:rStyle w:val="FootnoteReference"/>
        </w:rPr>
        <w:footnoteRef/>
      </w:r>
      <w:r>
        <w:t xml:space="preserve"> </w:t>
      </w:r>
      <w:r w:rsidRPr="00447576">
        <w:rPr>
          <w:highlight w:val="yellow"/>
        </w:rPr>
        <w:t xml:space="preserve">Amy Whitehead, talk giving </w:t>
      </w:r>
      <w:r w:rsidR="00436553" w:rsidRPr="00447576">
        <w:rPr>
          <w:highlight w:val="yellow"/>
        </w:rPr>
        <w:t>at</w:t>
      </w:r>
      <w:r w:rsidRPr="00447576">
        <w:rPr>
          <w:highlight w:val="yellow"/>
        </w:rPr>
        <w:t xml:space="preserve"> </w:t>
      </w:r>
      <w:r w:rsidR="00436553" w:rsidRPr="00447576">
        <w:rPr>
          <w:highlight w:val="yellow"/>
        </w:rPr>
        <w:t>Living Mountains 2021</w:t>
      </w:r>
    </w:p>
  </w:footnote>
  <w:footnote w:id="42">
    <w:p w14:paraId="198ABB58" w14:textId="4D5BC362" w:rsidR="00447576" w:rsidRDefault="00447576">
      <w:pPr>
        <w:pStyle w:val="FootnoteText"/>
      </w:pPr>
      <w:r>
        <w:rPr>
          <w:rStyle w:val="FootnoteReference"/>
        </w:rPr>
        <w:footnoteRef/>
      </w:r>
      <w:r>
        <w:t xml:space="preserve"> </w:t>
      </w:r>
      <w:r w:rsidRPr="00D9046F">
        <w:t>This was another example of someone referring to the double-sunset as including a ‘sunrise’.  An interviewee who encouraged</w:t>
      </w:r>
      <w:r>
        <w:t xml:space="preserve"> </w:t>
      </w:r>
      <w:r w:rsidRPr="00D9046F">
        <w:t>people attending the churchyard to ‘perform a sun</w:t>
      </w:r>
      <w:r>
        <w:t>-</w:t>
      </w:r>
      <w:r w:rsidRPr="00D9046F">
        <w:t xml:space="preserve">dance’ went on to say that people afterwards </w:t>
      </w:r>
      <w:r>
        <w:t xml:space="preserve">must have thought ‘who are </w:t>
      </w:r>
      <w:r w:rsidRPr="00D9046F">
        <w:t>these strange people going to encourage the sun to rise again</w:t>
      </w:r>
      <w:r>
        <w:t>?</w:t>
      </w:r>
      <w:r w:rsidRPr="00D9046F">
        <w:t>’</w:t>
      </w:r>
    </w:p>
  </w:footnote>
  <w:footnote w:id="43">
    <w:p w14:paraId="5B92E027" w14:textId="77777777" w:rsidR="00A136C5" w:rsidRDefault="00A136C5" w:rsidP="00A136C5">
      <w:pPr>
        <w:pStyle w:val="FootnoteText"/>
      </w:pPr>
      <w:r>
        <w:rPr>
          <w:rStyle w:val="FootnoteReference"/>
        </w:rPr>
        <w:footnoteRef/>
      </w:r>
      <w:r>
        <w:t xml:space="preserve"> </w:t>
      </w:r>
      <w:r w:rsidRPr="006C5197">
        <w:t>Adam Fox, Remembering the Past in Early Modern England: Oral and Written Tradition</w:t>
      </w:r>
      <w:r>
        <w:t>,</w:t>
      </w:r>
      <w:r w:rsidRPr="006C5197">
        <w:t xml:space="preserve"> Transactions of the Royal Historical Society , 1999, Vol. 9 (1999), pp. 233-256</w:t>
      </w:r>
      <w:r>
        <w:t xml:space="preserve"> (p.234-235).</w:t>
      </w:r>
    </w:p>
  </w:footnote>
  <w:footnote w:id="44">
    <w:p w14:paraId="2CAE0CEA" w14:textId="77777777" w:rsidR="00A136C5" w:rsidRDefault="00A136C5" w:rsidP="00A136C5">
      <w:pPr>
        <w:pStyle w:val="FootnoteText"/>
      </w:pPr>
      <w:r>
        <w:rPr>
          <w:rStyle w:val="FootnoteReference"/>
        </w:rPr>
        <w:footnoteRef/>
      </w:r>
      <w:r>
        <w:t xml:space="preserve"> G.A Lovenbury, (4 August 1977) </w:t>
      </w:r>
      <w:r>
        <w:rPr>
          <w:i/>
          <w:iCs/>
        </w:rPr>
        <w:t>Leek Post &amp; Times</w:t>
      </w:r>
      <w:r>
        <w:t xml:space="preserve">, quoted in Jeff Kent, </w:t>
      </w:r>
      <w:r>
        <w:rPr>
          <w:i/>
          <w:iCs/>
        </w:rPr>
        <w:t>The Mysterious Double Sunset</w:t>
      </w:r>
      <w:r>
        <w:t>, (Stafford: Witan, 2001) p.68</w:t>
      </w:r>
    </w:p>
  </w:footnote>
  <w:footnote w:id="45">
    <w:p w14:paraId="3019B44B" w14:textId="77777777" w:rsidR="00027B00" w:rsidRDefault="00027B00" w:rsidP="00027B00">
      <w:pPr>
        <w:pStyle w:val="FootnoteText"/>
      </w:pPr>
      <w:r>
        <w:rPr>
          <w:rStyle w:val="FootnoteReference"/>
        </w:rPr>
        <w:footnoteRef/>
      </w:r>
      <w:r>
        <w:t xml:space="preserve"> Robert Plot, </w:t>
      </w:r>
      <w:r w:rsidRPr="003D4B5C">
        <w:rPr>
          <w:i/>
          <w:iCs/>
        </w:rPr>
        <w:t>A Natural History Of Stafford-shire</w:t>
      </w:r>
      <w:r>
        <w:t>, (Oxford: The Theater, 1686) p.2-3.</w:t>
      </w:r>
    </w:p>
  </w:footnote>
  <w:footnote w:id="46">
    <w:p w14:paraId="752BF4AD" w14:textId="7DF2085B" w:rsidR="0049558E" w:rsidRDefault="0049558E">
      <w:pPr>
        <w:pStyle w:val="FootnoteText"/>
      </w:pPr>
      <w:r>
        <w:rPr>
          <w:rStyle w:val="FootnoteReference"/>
        </w:rPr>
        <w:footnoteRef/>
      </w:r>
      <w:r>
        <w:t xml:space="preserve"> </w:t>
      </w:r>
      <w:r w:rsidR="002624E2">
        <w:t>See it from our house…</w:t>
      </w:r>
      <w:r w:rsidRPr="0049558E">
        <w:rPr>
          <w:highlight w:val="yellow"/>
        </w:rPr>
        <w:t>Facebook posting, Leek Past &amp; Present,</w:t>
      </w:r>
      <w:r>
        <w:t xml:space="preserve"> </w:t>
      </w:r>
    </w:p>
  </w:footnote>
  <w:footnote w:id="47">
    <w:p w14:paraId="01E0A1C7" w14:textId="77777777" w:rsidR="00454489" w:rsidRPr="00DD19E0" w:rsidRDefault="00454489" w:rsidP="00454489">
      <w:pPr>
        <w:pStyle w:val="FootnoteText"/>
      </w:pPr>
      <w:r>
        <w:rPr>
          <w:rStyle w:val="FootnoteReference"/>
        </w:rPr>
        <w:footnoteRef/>
      </w:r>
      <w:r>
        <w:t xml:space="preserve"> Eleanor Wasserberg, </w:t>
      </w:r>
      <w:r w:rsidRPr="00DD19E0">
        <w:rPr>
          <w:i/>
          <w:iCs/>
        </w:rPr>
        <w:t>Foxlowe</w:t>
      </w:r>
      <w:r>
        <w:rPr>
          <w:i/>
          <w:iCs/>
        </w:rPr>
        <w:t xml:space="preserve">, </w:t>
      </w:r>
      <w:r>
        <w:t>HarperCollins (2016), pg. 34.</w:t>
      </w:r>
    </w:p>
  </w:footnote>
  <w:footnote w:id="48">
    <w:p w14:paraId="068AADD0" w14:textId="4D9BFD53" w:rsidR="0049558E" w:rsidRDefault="0049558E">
      <w:pPr>
        <w:pStyle w:val="FootnoteText"/>
      </w:pPr>
      <w:r>
        <w:rPr>
          <w:rStyle w:val="FootnoteReference"/>
        </w:rPr>
        <w:footnoteRef/>
      </w:r>
      <w:r>
        <w:t xml:space="preserve"> </w:t>
      </w:r>
      <w:r w:rsidRPr="0049558E">
        <w:rPr>
          <w:highlight w:val="yellow"/>
        </w:rPr>
        <w:t>Leek Post &amp; Times, 1957</w:t>
      </w:r>
    </w:p>
  </w:footnote>
  <w:footnote w:id="49">
    <w:p w14:paraId="5F122DF3" w14:textId="666E0197" w:rsidR="00CC5B43" w:rsidRDefault="00CC5B43" w:rsidP="00CC5B43">
      <w:r>
        <w:rPr>
          <w:rStyle w:val="FootnoteReference"/>
        </w:rPr>
        <w:footnoteRef/>
      </w:r>
      <w:r>
        <w:t xml:space="preserve"> </w:t>
      </w:r>
      <w:r w:rsidRPr="00CC5B43">
        <w:rPr>
          <w:sz w:val="20"/>
          <w:szCs w:val="20"/>
        </w:rPr>
        <w:t>Dundes, Alan, ‘Thinking Ahead: A Folkloristic Reflection of the Future Orientation in American Worldview’ Anthropological Quarterly , (1969) 42.2, pp. 53-72 (p. 54).</w:t>
      </w:r>
    </w:p>
  </w:footnote>
  <w:footnote w:id="50">
    <w:p w14:paraId="2CF8E136" w14:textId="77777777" w:rsidR="00581031" w:rsidRDefault="00581031" w:rsidP="00581031">
      <w:pPr>
        <w:pStyle w:val="FootnoteText"/>
      </w:pPr>
      <w:r>
        <w:rPr>
          <w:rStyle w:val="FootnoteReference"/>
        </w:rPr>
        <w:footnoteRef/>
      </w:r>
      <w:r>
        <w:t xml:space="preserve"> Darlene M. Juschka, </w:t>
      </w:r>
      <w:r w:rsidRPr="00CA3EE6">
        <w:t>Whose Turn is it to Cook? Communitas and Pilgrimage Questioned. Mosaic: An Interdisciplinary Critical Journal , 2003, 36:4, a special issue: PILGRIMAGE (December 2003), pp. 189-204</w:t>
      </w:r>
      <w:r>
        <w:t xml:space="preserve"> (pg 201-202)</w:t>
      </w:r>
    </w:p>
  </w:footnote>
  <w:footnote w:id="51">
    <w:p w14:paraId="0D7BE2F6" w14:textId="77777777" w:rsidR="00DC1AD2" w:rsidRPr="00616DEA" w:rsidRDefault="00DC1AD2" w:rsidP="00DC1AD2">
      <w:pPr>
        <w:pStyle w:val="FootnoteText"/>
        <w:rPr>
          <w:lang w:val="sv-SE"/>
        </w:rPr>
      </w:pPr>
      <w:r>
        <w:rPr>
          <w:rStyle w:val="FootnoteReference"/>
        </w:rPr>
        <w:footnoteRef/>
      </w:r>
      <w:r w:rsidRPr="00616DEA">
        <w:rPr>
          <w:lang w:val="sv-SE"/>
        </w:rPr>
        <w:t xml:space="preserve"> Alexandra Harris, pg. 14</w:t>
      </w:r>
    </w:p>
  </w:footnote>
  <w:footnote w:id="52">
    <w:p w14:paraId="64BEC032" w14:textId="77777777" w:rsidR="00DC1AD2" w:rsidRPr="00616DEA" w:rsidRDefault="00DC1AD2" w:rsidP="00DC1AD2">
      <w:pPr>
        <w:pStyle w:val="FootnoteText"/>
        <w:rPr>
          <w:lang w:val="sv-SE"/>
        </w:rPr>
      </w:pPr>
      <w:r>
        <w:rPr>
          <w:rStyle w:val="FootnoteReference"/>
        </w:rPr>
        <w:footnoteRef/>
      </w:r>
      <w:r w:rsidRPr="00616DEA">
        <w:rPr>
          <w:lang w:val="sv-SE"/>
        </w:rPr>
        <w:t xml:space="preserve"> Tim Ingold, </w:t>
      </w:r>
      <w:r>
        <w:rPr>
          <w:lang w:val="sv-SE"/>
        </w:rPr>
        <w:t xml:space="preserve">Dragons </w:t>
      </w:r>
      <w:r w:rsidRPr="00616DEA">
        <w:rPr>
          <w:lang w:val="sv-SE"/>
        </w:rPr>
        <w:t>pg 742-743</w:t>
      </w:r>
    </w:p>
  </w:footnote>
  <w:footnote w:id="53">
    <w:p w14:paraId="426A91B4" w14:textId="77777777" w:rsidR="007220BB" w:rsidRDefault="007220BB" w:rsidP="007220BB">
      <w:pPr>
        <w:pStyle w:val="FootnoteText"/>
      </w:pPr>
      <w:r>
        <w:rPr>
          <w:rStyle w:val="FootnoteReference"/>
        </w:rPr>
        <w:footnoteRef/>
      </w:r>
      <w:r>
        <w:t xml:space="preserve"> Contrails (October 2008) Love Them Or Hate Them? </w:t>
      </w:r>
      <w:hyperlink r:id="rId3" w:history="1">
        <w:r w:rsidRPr="006B595E">
          <w:rPr>
            <w:rStyle w:val="Hyperlink"/>
          </w:rPr>
          <w:t>https://cloudappreciationsociety.org/october-08/</w:t>
        </w:r>
      </w:hyperlink>
      <w:r>
        <w:t xml:space="preserve"> [accessed 27 July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D559D"/>
    <w:multiLevelType w:val="hybridMultilevel"/>
    <w:tmpl w:val="66543CA6"/>
    <w:lvl w:ilvl="0" w:tplc="2B105C9A">
      <w:start w:val="2"/>
      <w:numFmt w:val="decimal"/>
      <w:lvlText w:val="%1."/>
      <w:lvlJc w:val="left"/>
      <w:pPr>
        <w:ind w:left="504"/>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1" w:tplc="00BC8438">
      <w:start w:val="15"/>
      <w:numFmt w:val="upperLetter"/>
      <w:lvlText w:val="%2"/>
      <w:lvlJc w:val="left"/>
      <w:pPr>
        <w:ind w:left="425"/>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2" w:tplc="D83AA1DC">
      <w:start w:val="1"/>
      <w:numFmt w:val="lowerRoman"/>
      <w:lvlText w:val="%3"/>
      <w:lvlJc w:val="left"/>
      <w:pPr>
        <w:ind w:left="1349"/>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3" w:tplc="0A76C9B8">
      <w:start w:val="1"/>
      <w:numFmt w:val="decimal"/>
      <w:lvlText w:val="%4"/>
      <w:lvlJc w:val="left"/>
      <w:pPr>
        <w:ind w:left="2069"/>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4" w:tplc="35B27078">
      <w:start w:val="1"/>
      <w:numFmt w:val="lowerLetter"/>
      <w:lvlText w:val="%5"/>
      <w:lvlJc w:val="left"/>
      <w:pPr>
        <w:ind w:left="2789"/>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5" w:tplc="4E988A40">
      <w:start w:val="1"/>
      <w:numFmt w:val="lowerRoman"/>
      <w:lvlText w:val="%6"/>
      <w:lvlJc w:val="left"/>
      <w:pPr>
        <w:ind w:left="3509"/>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6" w:tplc="4D96016C">
      <w:start w:val="1"/>
      <w:numFmt w:val="decimal"/>
      <w:lvlText w:val="%7"/>
      <w:lvlJc w:val="left"/>
      <w:pPr>
        <w:ind w:left="4229"/>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7" w:tplc="09CE6C68">
      <w:start w:val="1"/>
      <w:numFmt w:val="lowerLetter"/>
      <w:lvlText w:val="%8"/>
      <w:lvlJc w:val="left"/>
      <w:pPr>
        <w:ind w:left="4949"/>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8" w:tplc="44A849F8">
      <w:start w:val="1"/>
      <w:numFmt w:val="lowerRoman"/>
      <w:lvlText w:val="%9"/>
      <w:lvlJc w:val="left"/>
      <w:pPr>
        <w:ind w:left="5669"/>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abstractNum>
  <w:abstractNum w:abstractNumId="1" w15:restartNumberingAfterBreak="0">
    <w:nsid w:val="129C2257"/>
    <w:multiLevelType w:val="hybridMultilevel"/>
    <w:tmpl w:val="27066690"/>
    <w:lvl w:ilvl="0" w:tplc="3DB0EB18">
      <w:start w:val="12"/>
      <w:numFmt w:val="decimal"/>
      <w:lvlText w:val="%1."/>
      <w:lvlJc w:val="left"/>
      <w:pPr>
        <w:ind w:left="374"/>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1" w:tplc="B77A6CC4">
      <w:start w:val="15"/>
      <w:numFmt w:val="upperLetter"/>
      <w:lvlText w:val="%2"/>
      <w:lvlJc w:val="left"/>
      <w:pPr>
        <w:ind w:left="777"/>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2" w:tplc="1C8EE8FC">
      <w:start w:val="1"/>
      <w:numFmt w:val="lowerRoman"/>
      <w:lvlText w:val="%3"/>
      <w:lvlJc w:val="left"/>
      <w:pPr>
        <w:ind w:left="1450"/>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3" w:tplc="B6CAF694">
      <w:start w:val="1"/>
      <w:numFmt w:val="decimal"/>
      <w:lvlText w:val="%4"/>
      <w:lvlJc w:val="left"/>
      <w:pPr>
        <w:ind w:left="2170"/>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4" w:tplc="4D7A9EB4">
      <w:start w:val="1"/>
      <w:numFmt w:val="lowerLetter"/>
      <w:lvlText w:val="%5"/>
      <w:lvlJc w:val="left"/>
      <w:pPr>
        <w:ind w:left="2890"/>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5" w:tplc="D44622A2">
      <w:start w:val="1"/>
      <w:numFmt w:val="lowerRoman"/>
      <w:lvlText w:val="%6"/>
      <w:lvlJc w:val="left"/>
      <w:pPr>
        <w:ind w:left="3610"/>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6" w:tplc="E89A1BD4">
      <w:start w:val="1"/>
      <w:numFmt w:val="decimal"/>
      <w:lvlText w:val="%7"/>
      <w:lvlJc w:val="left"/>
      <w:pPr>
        <w:ind w:left="4330"/>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7" w:tplc="E61C5C4E">
      <w:start w:val="1"/>
      <w:numFmt w:val="lowerLetter"/>
      <w:lvlText w:val="%8"/>
      <w:lvlJc w:val="left"/>
      <w:pPr>
        <w:ind w:left="5050"/>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lvl w:ilvl="8" w:tplc="7EA63BEA">
      <w:start w:val="1"/>
      <w:numFmt w:val="lowerRoman"/>
      <w:lvlText w:val="%9"/>
      <w:lvlJc w:val="left"/>
      <w:pPr>
        <w:ind w:left="5770"/>
      </w:pPr>
      <w:rPr>
        <w:rFonts w:ascii="Calibri" w:eastAsia="Calibri" w:hAnsi="Calibri" w:cs="Calibri"/>
        <w:b w:val="0"/>
        <w:i w:val="0"/>
        <w:strike w:val="0"/>
        <w:dstrike w:val="0"/>
        <w:color w:val="000000"/>
        <w:sz w:val="54"/>
        <w:szCs w:val="54"/>
        <w:u w:val="none" w:color="000000"/>
        <w:bdr w:val="none" w:sz="0" w:space="0" w:color="auto"/>
        <w:shd w:val="clear" w:color="auto" w:fill="auto"/>
        <w:vertAlign w:val="baseline"/>
      </w:rPr>
    </w:lvl>
  </w:abstractNum>
  <w:abstractNum w:abstractNumId="2" w15:restartNumberingAfterBreak="0">
    <w:nsid w:val="50D40B0E"/>
    <w:multiLevelType w:val="hybridMultilevel"/>
    <w:tmpl w:val="790AD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F13AAA"/>
    <w:multiLevelType w:val="hybridMultilevel"/>
    <w:tmpl w:val="AC026358"/>
    <w:lvl w:ilvl="0" w:tplc="A9E09DF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0400E7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05E5EAE">
      <w:start w:val="1"/>
      <w:numFmt w:val="lowerRoman"/>
      <w:lvlText w:val="%3."/>
      <w:lvlJc w:val="left"/>
      <w:pPr>
        <w:ind w:left="2160" w:hanging="291"/>
      </w:pPr>
      <w:rPr>
        <w:rFonts w:hAnsi="Arial Unicode MS"/>
        <w:caps w:val="0"/>
        <w:smallCaps w:val="0"/>
        <w:strike w:val="0"/>
        <w:dstrike w:val="0"/>
        <w:outline w:val="0"/>
        <w:emboss w:val="0"/>
        <w:imprint w:val="0"/>
        <w:spacing w:val="0"/>
        <w:w w:val="100"/>
        <w:kern w:val="0"/>
        <w:position w:val="0"/>
        <w:highlight w:val="none"/>
        <w:vertAlign w:val="baseline"/>
      </w:rPr>
    </w:lvl>
    <w:lvl w:ilvl="3" w:tplc="AE8EEA6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01C541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A1E0A4C">
      <w:start w:val="1"/>
      <w:numFmt w:val="lowerRoman"/>
      <w:lvlText w:val="%6."/>
      <w:lvlJc w:val="left"/>
      <w:pPr>
        <w:ind w:left="4320" w:hanging="291"/>
      </w:pPr>
      <w:rPr>
        <w:rFonts w:hAnsi="Arial Unicode MS"/>
        <w:caps w:val="0"/>
        <w:smallCaps w:val="0"/>
        <w:strike w:val="0"/>
        <w:dstrike w:val="0"/>
        <w:outline w:val="0"/>
        <w:emboss w:val="0"/>
        <w:imprint w:val="0"/>
        <w:spacing w:val="0"/>
        <w:w w:val="100"/>
        <w:kern w:val="0"/>
        <w:position w:val="0"/>
        <w:highlight w:val="none"/>
        <w:vertAlign w:val="baseline"/>
      </w:rPr>
    </w:lvl>
    <w:lvl w:ilvl="6" w:tplc="711218F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130E679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87414BC">
      <w:start w:val="1"/>
      <w:numFmt w:val="lowerRoman"/>
      <w:lvlText w:val="%9."/>
      <w:lvlJc w:val="left"/>
      <w:pPr>
        <w:ind w:left="6480" w:hanging="291"/>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6E324E6C"/>
    <w:multiLevelType w:val="hybridMultilevel"/>
    <w:tmpl w:val="94FC3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1C58"/>
    <w:rsid w:val="00000AC9"/>
    <w:rsid w:val="0000150B"/>
    <w:rsid w:val="00003ED4"/>
    <w:rsid w:val="000118D5"/>
    <w:rsid w:val="000157E0"/>
    <w:rsid w:val="00016DFF"/>
    <w:rsid w:val="00017C55"/>
    <w:rsid w:val="00023370"/>
    <w:rsid w:val="000265B4"/>
    <w:rsid w:val="00026ABB"/>
    <w:rsid w:val="00027B00"/>
    <w:rsid w:val="00030B4A"/>
    <w:rsid w:val="00031A4E"/>
    <w:rsid w:val="00032A1B"/>
    <w:rsid w:val="000346B4"/>
    <w:rsid w:val="000366F0"/>
    <w:rsid w:val="0003688E"/>
    <w:rsid w:val="00037E73"/>
    <w:rsid w:val="00040588"/>
    <w:rsid w:val="00041FE7"/>
    <w:rsid w:val="00044956"/>
    <w:rsid w:val="00054774"/>
    <w:rsid w:val="00056CDA"/>
    <w:rsid w:val="00074A6D"/>
    <w:rsid w:val="00077B76"/>
    <w:rsid w:val="00083687"/>
    <w:rsid w:val="00085225"/>
    <w:rsid w:val="00087DE7"/>
    <w:rsid w:val="000921E3"/>
    <w:rsid w:val="00092CCA"/>
    <w:rsid w:val="00097A2F"/>
    <w:rsid w:val="000A13EF"/>
    <w:rsid w:val="000A7BE4"/>
    <w:rsid w:val="000B4E2D"/>
    <w:rsid w:val="000B4F29"/>
    <w:rsid w:val="000C01DE"/>
    <w:rsid w:val="000C3BE8"/>
    <w:rsid w:val="000D3996"/>
    <w:rsid w:val="000D53F0"/>
    <w:rsid w:val="000E77CC"/>
    <w:rsid w:val="000E7B57"/>
    <w:rsid w:val="000E7BE5"/>
    <w:rsid w:val="000F5793"/>
    <w:rsid w:val="001019FE"/>
    <w:rsid w:val="00102753"/>
    <w:rsid w:val="00112E1D"/>
    <w:rsid w:val="00116FD0"/>
    <w:rsid w:val="00121AF7"/>
    <w:rsid w:val="0012677F"/>
    <w:rsid w:val="001352C7"/>
    <w:rsid w:val="0014028D"/>
    <w:rsid w:val="00147AEC"/>
    <w:rsid w:val="001504CF"/>
    <w:rsid w:val="0015220A"/>
    <w:rsid w:val="001539B7"/>
    <w:rsid w:val="001630F9"/>
    <w:rsid w:val="001664C5"/>
    <w:rsid w:val="00167C5B"/>
    <w:rsid w:val="001705E4"/>
    <w:rsid w:val="001716E1"/>
    <w:rsid w:val="001741A1"/>
    <w:rsid w:val="00177821"/>
    <w:rsid w:val="001840D4"/>
    <w:rsid w:val="00190EC7"/>
    <w:rsid w:val="00194744"/>
    <w:rsid w:val="001A1087"/>
    <w:rsid w:val="001A2177"/>
    <w:rsid w:val="001A2DF9"/>
    <w:rsid w:val="001A4D7B"/>
    <w:rsid w:val="001A64F4"/>
    <w:rsid w:val="001A66D5"/>
    <w:rsid w:val="001B0576"/>
    <w:rsid w:val="001B1E78"/>
    <w:rsid w:val="001B5333"/>
    <w:rsid w:val="001B68B8"/>
    <w:rsid w:val="001C1DEF"/>
    <w:rsid w:val="001C66D1"/>
    <w:rsid w:val="001D4945"/>
    <w:rsid w:val="001D5DC3"/>
    <w:rsid w:val="001E2B96"/>
    <w:rsid w:val="001E5F94"/>
    <w:rsid w:val="001F0B8C"/>
    <w:rsid w:val="001F6E70"/>
    <w:rsid w:val="002018B9"/>
    <w:rsid w:val="00211303"/>
    <w:rsid w:val="00232C9C"/>
    <w:rsid w:val="00233382"/>
    <w:rsid w:val="0023436E"/>
    <w:rsid w:val="00234D10"/>
    <w:rsid w:val="002371ED"/>
    <w:rsid w:val="00237FA3"/>
    <w:rsid w:val="002423B7"/>
    <w:rsid w:val="00245FD9"/>
    <w:rsid w:val="00255CDE"/>
    <w:rsid w:val="00257CD5"/>
    <w:rsid w:val="00260C50"/>
    <w:rsid w:val="002624E2"/>
    <w:rsid w:val="00264526"/>
    <w:rsid w:val="002666B6"/>
    <w:rsid w:val="002709F6"/>
    <w:rsid w:val="00276340"/>
    <w:rsid w:val="002779AD"/>
    <w:rsid w:val="00282C23"/>
    <w:rsid w:val="002834C9"/>
    <w:rsid w:val="00284E8B"/>
    <w:rsid w:val="002869B6"/>
    <w:rsid w:val="002962F3"/>
    <w:rsid w:val="00297DC0"/>
    <w:rsid w:val="002B3DE4"/>
    <w:rsid w:val="002B4618"/>
    <w:rsid w:val="002B7D52"/>
    <w:rsid w:val="002E1E1F"/>
    <w:rsid w:val="002E3866"/>
    <w:rsid w:val="002F0DD9"/>
    <w:rsid w:val="002F1772"/>
    <w:rsid w:val="002F6DC3"/>
    <w:rsid w:val="00300A2D"/>
    <w:rsid w:val="00305486"/>
    <w:rsid w:val="00313794"/>
    <w:rsid w:val="003234AC"/>
    <w:rsid w:val="003263BC"/>
    <w:rsid w:val="0032789A"/>
    <w:rsid w:val="00327AE0"/>
    <w:rsid w:val="00331A68"/>
    <w:rsid w:val="00340766"/>
    <w:rsid w:val="00347F87"/>
    <w:rsid w:val="00350714"/>
    <w:rsid w:val="00351D2C"/>
    <w:rsid w:val="003574A4"/>
    <w:rsid w:val="00374E55"/>
    <w:rsid w:val="00381F2F"/>
    <w:rsid w:val="003833A5"/>
    <w:rsid w:val="00391FC0"/>
    <w:rsid w:val="00395FC2"/>
    <w:rsid w:val="003A2202"/>
    <w:rsid w:val="003B2C1B"/>
    <w:rsid w:val="003B5A27"/>
    <w:rsid w:val="003B6200"/>
    <w:rsid w:val="003B7633"/>
    <w:rsid w:val="003B7E27"/>
    <w:rsid w:val="003C26D8"/>
    <w:rsid w:val="003C7B37"/>
    <w:rsid w:val="003D28B8"/>
    <w:rsid w:val="003D4B5C"/>
    <w:rsid w:val="003E4DD4"/>
    <w:rsid w:val="003E67DA"/>
    <w:rsid w:val="003E68C4"/>
    <w:rsid w:val="003F0483"/>
    <w:rsid w:val="003F6E1D"/>
    <w:rsid w:val="003F71C8"/>
    <w:rsid w:val="003F78C3"/>
    <w:rsid w:val="00410EEB"/>
    <w:rsid w:val="0041379B"/>
    <w:rsid w:val="00413A1F"/>
    <w:rsid w:val="004156D2"/>
    <w:rsid w:val="0042180B"/>
    <w:rsid w:val="00424ADD"/>
    <w:rsid w:val="00433A15"/>
    <w:rsid w:val="00433C82"/>
    <w:rsid w:val="00434287"/>
    <w:rsid w:val="00436553"/>
    <w:rsid w:val="00441851"/>
    <w:rsid w:val="004424B6"/>
    <w:rsid w:val="00445AA4"/>
    <w:rsid w:val="00446139"/>
    <w:rsid w:val="0044727C"/>
    <w:rsid w:val="00447576"/>
    <w:rsid w:val="00454489"/>
    <w:rsid w:val="00474E52"/>
    <w:rsid w:val="00492DBC"/>
    <w:rsid w:val="004939BE"/>
    <w:rsid w:val="0049524A"/>
    <w:rsid w:val="0049558E"/>
    <w:rsid w:val="004959EC"/>
    <w:rsid w:val="004A10CB"/>
    <w:rsid w:val="004A13F1"/>
    <w:rsid w:val="004A2BDB"/>
    <w:rsid w:val="004A3EC6"/>
    <w:rsid w:val="004A42B0"/>
    <w:rsid w:val="004B3F89"/>
    <w:rsid w:val="004B4BCD"/>
    <w:rsid w:val="004D3A07"/>
    <w:rsid w:val="004D7FE0"/>
    <w:rsid w:val="004E186B"/>
    <w:rsid w:val="004E3B70"/>
    <w:rsid w:val="004F1CFE"/>
    <w:rsid w:val="004F2DEA"/>
    <w:rsid w:val="004F6CF8"/>
    <w:rsid w:val="00504375"/>
    <w:rsid w:val="00505F61"/>
    <w:rsid w:val="00506985"/>
    <w:rsid w:val="00511B2A"/>
    <w:rsid w:val="00512B2D"/>
    <w:rsid w:val="00530765"/>
    <w:rsid w:val="00531B9E"/>
    <w:rsid w:val="0054619F"/>
    <w:rsid w:val="0054796C"/>
    <w:rsid w:val="00552FA2"/>
    <w:rsid w:val="00557933"/>
    <w:rsid w:val="00575323"/>
    <w:rsid w:val="00575BAF"/>
    <w:rsid w:val="00575DD7"/>
    <w:rsid w:val="00576FD6"/>
    <w:rsid w:val="00577038"/>
    <w:rsid w:val="0057706A"/>
    <w:rsid w:val="00581031"/>
    <w:rsid w:val="005904BB"/>
    <w:rsid w:val="00591A8D"/>
    <w:rsid w:val="00597449"/>
    <w:rsid w:val="005A0EF7"/>
    <w:rsid w:val="005A5EAE"/>
    <w:rsid w:val="005C2805"/>
    <w:rsid w:val="005C2DA0"/>
    <w:rsid w:val="005C658B"/>
    <w:rsid w:val="005D5A68"/>
    <w:rsid w:val="005D5B22"/>
    <w:rsid w:val="005E127B"/>
    <w:rsid w:val="005E589A"/>
    <w:rsid w:val="005E7C4F"/>
    <w:rsid w:val="0060700C"/>
    <w:rsid w:val="00610BCA"/>
    <w:rsid w:val="006152A3"/>
    <w:rsid w:val="00616DEA"/>
    <w:rsid w:val="00624A0D"/>
    <w:rsid w:val="006270DC"/>
    <w:rsid w:val="00650D75"/>
    <w:rsid w:val="0065540E"/>
    <w:rsid w:val="006647A4"/>
    <w:rsid w:val="0068533F"/>
    <w:rsid w:val="00685AD8"/>
    <w:rsid w:val="00686780"/>
    <w:rsid w:val="00686BBA"/>
    <w:rsid w:val="0069127D"/>
    <w:rsid w:val="006A28F7"/>
    <w:rsid w:val="006A40F6"/>
    <w:rsid w:val="006A5FE6"/>
    <w:rsid w:val="006A69C2"/>
    <w:rsid w:val="006A7CA2"/>
    <w:rsid w:val="006B3448"/>
    <w:rsid w:val="006C1223"/>
    <w:rsid w:val="006C3588"/>
    <w:rsid w:val="006C5197"/>
    <w:rsid w:val="006C6C29"/>
    <w:rsid w:val="006D3AEF"/>
    <w:rsid w:val="006E7965"/>
    <w:rsid w:val="006F39ED"/>
    <w:rsid w:val="006F5F43"/>
    <w:rsid w:val="007104CA"/>
    <w:rsid w:val="00710B60"/>
    <w:rsid w:val="007201A5"/>
    <w:rsid w:val="007220BB"/>
    <w:rsid w:val="00725683"/>
    <w:rsid w:val="00726F85"/>
    <w:rsid w:val="0074766F"/>
    <w:rsid w:val="00750D4B"/>
    <w:rsid w:val="00751C89"/>
    <w:rsid w:val="0075359A"/>
    <w:rsid w:val="00753A6E"/>
    <w:rsid w:val="00756C54"/>
    <w:rsid w:val="00760ED7"/>
    <w:rsid w:val="00780BD9"/>
    <w:rsid w:val="00786694"/>
    <w:rsid w:val="00791F5A"/>
    <w:rsid w:val="00793E42"/>
    <w:rsid w:val="00794AA8"/>
    <w:rsid w:val="007A2205"/>
    <w:rsid w:val="007B13AF"/>
    <w:rsid w:val="007B1BFA"/>
    <w:rsid w:val="007B325D"/>
    <w:rsid w:val="007C38B4"/>
    <w:rsid w:val="007C4151"/>
    <w:rsid w:val="007C5DCF"/>
    <w:rsid w:val="007C7F46"/>
    <w:rsid w:val="007E0988"/>
    <w:rsid w:val="007E0D9B"/>
    <w:rsid w:val="007E64FF"/>
    <w:rsid w:val="007F0BAC"/>
    <w:rsid w:val="007F2D18"/>
    <w:rsid w:val="007F372D"/>
    <w:rsid w:val="007F443F"/>
    <w:rsid w:val="00800CDC"/>
    <w:rsid w:val="0080429F"/>
    <w:rsid w:val="00805E75"/>
    <w:rsid w:val="00807767"/>
    <w:rsid w:val="008127DC"/>
    <w:rsid w:val="00812DB1"/>
    <w:rsid w:val="00824A8E"/>
    <w:rsid w:val="008259FE"/>
    <w:rsid w:val="00825A43"/>
    <w:rsid w:val="0082727F"/>
    <w:rsid w:val="0083344C"/>
    <w:rsid w:val="00833A9F"/>
    <w:rsid w:val="0083518C"/>
    <w:rsid w:val="008376ED"/>
    <w:rsid w:val="00844CF5"/>
    <w:rsid w:val="00846C75"/>
    <w:rsid w:val="008472DD"/>
    <w:rsid w:val="00847837"/>
    <w:rsid w:val="0085099C"/>
    <w:rsid w:val="008520EC"/>
    <w:rsid w:val="00853F9D"/>
    <w:rsid w:val="008556E0"/>
    <w:rsid w:val="008604E1"/>
    <w:rsid w:val="00864170"/>
    <w:rsid w:val="008654E6"/>
    <w:rsid w:val="00874262"/>
    <w:rsid w:val="00880A45"/>
    <w:rsid w:val="00890C2F"/>
    <w:rsid w:val="00894345"/>
    <w:rsid w:val="00894439"/>
    <w:rsid w:val="0089611E"/>
    <w:rsid w:val="008961E8"/>
    <w:rsid w:val="008A3AE1"/>
    <w:rsid w:val="008A558A"/>
    <w:rsid w:val="008B66A6"/>
    <w:rsid w:val="008C423D"/>
    <w:rsid w:val="008D1286"/>
    <w:rsid w:val="008D386F"/>
    <w:rsid w:val="008D50B5"/>
    <w:rsid w:val="008E33B4"/>
    <w:rsid w:val="008E3C4C"/>
    <w:rsid w:val="008F3E7A"/>
    <w:rsid w:val="00907DDA"/>
    <w:rsid w:val="0091625E"/>
    <w:rsid w:val="009169A9"/>
    <w:rsid w:val="00923A55"/>
    <w:rsid w:val="00923C14"/>
    <w:rsid w:val="009245F6"/>
    <w:rsid w:val="009253DA"/>
    <w:rsid w:val="009275BB"/>
    <w:rsid w:val="009457E1"/>
    <w:rsid w:val="0094696B"/>
    <w:rsid w:val="009509B2"/>
    <w:rsid w:val="00953D2F"/>
    <w:rsid w:val="00957689"/>
    <w:rsid w:val="0096149E"/>
    <w:rsid w:val="00961ABB"/>
    <w:rsid w:val="00964C6D"/>
    <w:rsid w:val="009705B7"/>
    <w:rsid w:val="00970A8A"/>
    <w:rsid w:val="0097105F"/>
    <w:rsid w:val="00973245"/>
    <w:rsid w:val="00991AE8"/>
    <w:rsid w:val="009B786C"/>
    <w:rsid w:val="009C3959"/>
    <w:rsid w:val="009D1CEE"/>
    <w:rsid w:val="009E3B8B"/>
    <w:rsid w:val="00A011C9"/>
    <w:rsid w:val="00A0370E"/>
    <w:rsid w:val="00A05D90"/>
    <w:rsid w:val="00A132F1"/>
    <w:rsid w:val="00A136C5"/>
    <w:rsid w:val="00A265BC"/>
    <w:rsid w:val="00A27886"/>
    <w:rsid w:val="00A3110F"/>
    <w:rsid w:val="00A33675"/>
    <w:rsid w:val="00A36786"/>
    <w:rsid w:val="00A42C7C"/>
    <w:rsid w:val="00A4334D"/>
    <w:rsid w:val="00A57D34"/>
    <w:rsid w:val="00A6209F"/>
    <w:rsid w:val="00A653BE"/>
    <w:rsid w:val="00A74A8C"/>
    <w:rsid w:val="00A75103"/>
    <w:rsid w:val="00A77555"/>
    <w:rsid w:val="00A84B59"/>
    <w:rsid w:val="00A84DE2"/>
    <w:rsid w:val="00A8631C"/>
    <w:rsid w:val="00AA33ED"/>
    <w:rsid w:val="00AA5A4D"/>
    <w:rsid w:val="00AB03CB"/>
    <w:rsid w:val="00AB0C7C"/>
    <w:rsid w:val="00AB1C2B"/>
    <w:rsid w:val="00AB37A0"/>
    <w:rsid w:val="00AB428F"/>
    <w:rsid w:val="00AB4328"/>
    <w:rsid w:val="00AC38E1"/>
    <w:rsid w:val="00AD349E"/>
    <w:rsid w:val="00AE1558"/>
    <w:rsid w:val="00AE1F82"/>
    <w:rsid w:val="00AE45F0"/>
    <w:rsid w:val="00AE53D7"/>
    <w:rsid w:val="00AE6A89"/>
    <w:rsid w:val="00AF2829"/>
    <w:rsid w:val="00AF4A71"/>
    <w:rsid w:val="00B02AA0"/>
    <w:rsid w:val="00B038C6"/>
    <w:rsid w:val="00B06378"/>
    <w:rsid w:val="00B12639"/>
    <w:rsid w:val="00B126C9"/>
    <w:rsid w:val="00B14B9B"/>
    <w:rsid w:val="00B219D7"/>
    <w:rsid w:val="00B21D07"/>
    <w:rsid w:val="00B32CF4"/>
    <w:rsid w:val="00B349C7"/>
    <w:rsid w:val="00B35694"/>
    <w:rsid w:val="00B40E2A"/>
    <w:rsid w:val="00B41BC1"/>
    <w:rsid w:val="00B42350"/>
    <w:rsid w:val="00B47BFB"/>
    <w:rsid w:val="00B518E8"/>
    <w:rsid w:val="00B52841"/>
    <w:rsid w:val="00B5363C"/>
    <w:rsid w:val="00B54A0C"/>
    <w:rsid w:val="00B565B8"/>
    <w:rsid w:val="00B62BB6"/>
    <w:rsid w:val="00B64109"/>
    <w:rsid w:val="00B710B2"/>
    <w:rsid w:val="00B7143F"/>
    <w:rsid w:val="00B73D8E"/>
    <w:rsid w:val="00B75B06"/>
    <w:rsid w:val="00B76548"/>
    <w:rsid w:val="00B851F4"/>
    <w:rsid w:val="00B91C58"/>
    <w:rsid w:val="00B91DAB"/>
    <w:rsid w:val="00B9360F"/>
    <w:rsid w:val="00B963A4"/>
    <w:rsid w:val="00BD14B6"/>
    <w:rsid w:val="00BE2F27"/>
    <w:rsid w:val="00BE3434"/>
    <w:rsid w:val="00BE3618"/>
    <w:rsid w:val="00BE3C09"/>
    <w:rsid w:val="00BE4391"/>
    <w:rsid w:val="00BE49CA"/>
    <w:rsid w:val="00BE6D6B"/>
    <w:rsid w:val="00BF0FF0"/>
    <w:rsid w:val="00C05AB1"/>
    <w:rsid w:val="00C12DED"/>
    <w:rsid w:val="00C23312"/>
    <w:rsid w:val="00C33A4A"/>
    <w:rsid w:val="00C356BC"/>
    <w:rsid w:val="00C37416"/>
    <w:rsid w:val="00C378D3"/>
    <w:rsid w:val="00C41F8F"/>
    <w:rsid w:val="00C478D6"/>
    <w:rsid w:val="00C56D3B"/>
    <w:rsid w:val="00C61534"/>
    <w:rsid w:val="00C67801"/>
    <w:rsid w:val="00C73B96"/>
    <w:rsid w:val="00C7763B"/>
    <w:rsid w:val="00C778EF"/>
    <w:rsid w:val="00C800F7"/>
    <w:rsid w:val="00C84B21"/>
    <w:rsid w:val="00C94F32"/>
    <w:rsid w:val="00CA3EE6"/>
    <w:rsid w:val="00CA4416"/>
    <w:rsid w:val="00CB00F6"/>
    <w:rsid w:val="00CB5C8F"/>
    <w:rsid w:val="00CC4E56"/>
    <w:rsid w:val="00CC5B43"/>
    <w:rsid w:val="00CC6461"/>
    <w:rsid w:val="00CD73C3"/>
    <w:rsid w:val="00CD7F94"/>
    <w:rsid w:val="00CE0444"/>
    <w:rsid w:val="00CE23FE"/>
    <w:rsid w:val="00CF0212"/>
    <w:rsid w:val="00CF061E"/>
    <w:rsid w:val="00D1121C"/>
    <w:rsid w:val="00D1126F"/>
    <w:rsid w:val="00D22CDC"/>
    <w:rsid w:val="00D27645"/>
    <w:rsid w:val="00D357D1"/>
    <w:rsid w:val="00D4566C"/>
    <w:rsid w:val="00D4772A"/>
    <w:rsid w:val="00D6683E"/>
    <w:rsid w:val="00D722F4"/>
    <w:rsid w:val="00D7337A"/>
    <w:rsid w:val="00D760E3"/>
    <w:rsid w:val="00D7775A"/>
    <w:rsid w:val="00D80664"/>
    <w:rsid w:val="00D8242C"/>
    <w:rsid w:val="00D82AE7"/>
    <w:rsid w:val="00D85F78"/>
    <w:rsid w:val="00D9046F"/>
    <w:rsid w:val="00D92044"/>
    <w:rsid w:val="00DA1FCD"/>
    <w:rsid w:val="00DB0E70"/>
    <w:rsid w:val="00DB34EB"/>
    <w:rsid w:val="00DB3FC7"/>
    <w:rsid w:val="00DB425D"/>
    <w:rsid w:val="00DC053A"/>
    <w:rsid w:val="00DC1AD2"/>
    <w:rsid w:val="00DC7EAC"/>
    <w:rsid w:val="00DD19E0"/>
    <w:rsid w:val="00DE1A3A"/>
    <w:rsid w:val="00DE35CE"/>
    <w:rsid w:val="00DE3E46"/>
    <w:rsid w:val="00DE723F"/>
    <w:rsid w:val="00E01C96"/>
    <w:rsid w:val="00E06CC7"/>
    <w:rsid w:val="00E11810"/>
    <w:rsid w:val="00E13F16"/>
    <w:rsid w:val="00E150F2"/>
    <w:rsid w:val="00E15372"/>
    <w:rsid w:val="00E1673E"/>
    <w:rsid w:val="00E173CB"/>
    <w:rsid w:val="00E26FD1"/>
    <w:rsid w:val="00E3385D"/>
    <w:rsid w:val="00E417AA"/>
    <w:rsid w:val="00E452BE"/>
    <w:rsid w:val="00E51A65"/>
    <w:rsid w:val="00E5670E"/>
    <w:rsid w:val="00E56C3D"/>
    <w:rsid w:val="00E613EE"/>
    <w:rsid w:val="00E61BA5"/>
    <w:rsid w:val="00E630F5"/>
    <w:rsid w:val="00E66294"/>
    <w:rsid w:val="00E71E04"/>
    <w:rsid w:val="00E76A1F"/>
    <w:rsid w:val="00E8153C"/>
    <w:rsid w:val="00E8326D"/>
    <w:rsid w:val="00E904EF"/>
    <w:rsid w:val="00E90FB7"/>
    <w:rsid w:val="00EA235E"/>
    <w:rsid w:val="00EB5E6C"/>
    <w:rsid w:val="00EB7E3C"/>
    <w:rsid w:val="00EC3208"/>
    <w:rsid w:val="00EC59C5"/>
    <w:rsid w:val="00ED075E"/>
    <w:rsid w:val="00ED1FA5"/>
    <w:rsid w:val="00ED69A1"/>
    <w:rsid w:val="00EF04A7"/>
    <w:rsid w:val="00EF6C52"/>
    <w:rsid w:val="00F02210"/>
    <w:rsid w:val="00F03D7D"/>
    <w:rsid w:val="00F0443B"/>
    <w:rsid w:val="00F1314B"/>
    <w:rsid w:val="00F2061B"/>
    <w:rsid w:val="00F44FAE"/>
    <w:rsid w:val="00F47118"/>
    <w:rsid w:val="00F56A54"/>
    <w:rsid w:val="00F57177"/>
    <w:rsid w:val="00F62D96"/>
    <w:rsid w:val="00F6738E"/>
    <w:rsid w:val="00F76696"/>
    <w:rsid w:val="00F94BD1"/>
    <w:rsid w:val="00FA2E63"/>
    <w:rsid w:val="00FA5405"/>
    <w:rsid w:val="00FA6B37"/>
    <w:rsid w:val="00FB25A3"/>
    <w:rsid w:val="00FB3495"/>
    <w:rsid w:val="00FB4D4A"/>
    <w:rsid w:val="00FC50A0"/>
    <w:rsid w:val="00FC5CCD"/>
    <w:rsid w:val="00FD39FB"/>
    <w:rsid w:val="00FD4E9B"/>
    <w:rsid w:val="00FD7469"/>
    <w:rsid w:val="00FF021B"/>
    <w:rsid w:val="00FF737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30809"/>
  <w15:docId w15:val="{C2A7F5BF-3F5B-41A2-8DCE-970F6F635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B518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1"/>
    <w:uiPriority w:val="99"/>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uiPriority w:val="99"/>
    <w:rPr>
      <w:position w:val="0"/>
      <w:vertAlign w:val="superscript"/>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Caption">
    <w:name w:val="caption"/>
    <w:basedOn w:val="Normal"/>
    <w:next w:val="Normal"/>
    <w:pPr>
      <w:spacing w:after="200" w:line="240" w:lineRule="auto"/>
    </w:pPr>
    <w:rPr>
      <w:i/>
      <w:iCs/>
      <w:color w:val="44546A"/>
      <w:sz w:val="18"/>
      <w:szCs w:val="18"/>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customStyle="1" w:styleId="Body">
    <w:name w:val="Body"/>
    <w:rsid w:val="008D1286"/>
    <w:pPr>
      <w:pBdr>
        <w:top w:val="nil"/>
        <w:left w:val="nil"/>
        <w:bottom w:val="nil"/>
        <w:right w:val="nil"/>
        <w:between w:val="nil"/>
        <w:bar w:val="nil"/>
      </w:pBdr>
      <w:autoSpaceDN/>
      <w:spacing w:after="0" w:line="240" w:lineRule="auto"/>
      <w:textAlignment w:val="auto"/>
    </w:pPr>
    <w:rPr>
      <w:rFonts w:ascii="Times New Roman" w:eastAsia="Arial Unicode MS" w:hAnsi="Times New Roman" w:cs="Arial Unicode MS"/>
      <w:color w:val="000000"/>
      <w:sz w:val="20"/>
      <w:szCs w:val="20"/>
      <w:u w:color="000000"/>
      <w:bdr w:val="nil"/>
      <w:lang w:val="en-US" w:eastAsia="en-GB"/>
    </w:rPr>
  </w:style>
  <w:style w:type="paragraph" w:styleId="ListParagraph">
    <w:name w:val="List Paragraph"/>
    <w:rsid w:val="00026ABB"/>
    <w:pPr>
      <w:pBdr>
        <w:top w:val="nil"/>
        <w:left w:val="nil"/>
        <w:bottom w:val="nil"/>
        <w:right w:val="nil"/>
        <w:between w:val="nil"/>
        <w:bar w:val="nil"/>
      </w:pBdr>
      <w:autoSpaceDN/>
      <w:spacing w:after="0" w:line="240" w:lineRule="auto"/>
      <w:ind w:left="720"/>
      <w:textAlignment w:val="auto"/>
    </w:pPr>
    <w:rPr>
      <w:rFonts w:cs="Calibri"/>
      <w:color w:val="000000"/>
      <w:u w:color="000000"/>
      <w:bdr w:val="nil"/>
      <w:lang w:val="en-US" w:eastAsia="en-GB"/>
    </w:rPr>
  </w:style>
  <w:style w:type="character" w:styleId="Hyperlink">
    <w:name w:val="Hyperlink"/>
    <w:basedOn w:val="DefaultParagraphFont"/>
    <w:uiPriority w:val="99"/>
    <w:unhideWhenUsed/>
    <w:rsid w:val="00B06378"/>
    <w:rPr>
      <w:color w:val="0563C1" w:themeColor="hyperlink"/>
      <w:u w:val="single"/>
    </w:rPr>
  </w:style>
  <w:style w:type="character" w:styleId="UnresolvedMention">
    <w:name w:val="Unresolved Mention"/>
    <w:basedOn w:val="DefaultParagraphFont"/>
    <w:uiPriority w:val="99"/>
    <w:semiHidden/>
    <w:unhideWhenUsed/>
    <w:rsid w:val="00B06378"/>
    <w:rPr>
      <w:color w:val="605E5C"/>
      <w:shd w:val="clear" w:color="auto" w:fill="E1DFDD"/>
    </w:rPr>
  </w:style>
  <w:style w:type="paragraph" w:customStyle="1" w:styleId="year">
    <w:name w:val="year"/>
    <w:basedOn w:val="Normal"/>
    <w:rsid w:val="00087DE7"/>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customStyle="1" w:styleId="details">
    <w:name w:val="details"/>
    <w:basedOn w:val="Normal"/>
    <w:rsid w:val="00087DE7"/>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paintingsize">
    <w:name w:val="paintingsize"/>
    <w:basedOn w:val="DefaultParagraphFont"/>
    <w:rsid w:val="00087DE7"/>
  </w:style>
  <w:style w:type="character" w:customStyle="1" w:styleId="paintingstyle">
    <w:name w:val="paintingstyle"/>
    <w:basedOn w:val="DefaultParagraphFont"/>
    <w:rsid w:val="00087DE7"/>
  </w:style>
  <w:style w:type="character" w:customStyle="1" w:styleId="paintingmedium">
    <w:name w:val="paintingmedium"/>
    <w:basedOn w:val="DefaultParagraphFont"/>
    <w:rsid w:val="00087DE7"/>
  </w:style>
  <w:style w:type="character" w:customStyle="1" w:styleId="Heading3Char">
    <w:name w:val="Heading 3 Char"/>
    <w:basedOn w:val="DefaultParagraphFont"/>
    <w:link w:val="Heading3"/>
    <w:uiPriority w:val="9"/>
    <w:rsid w:val="00B518E8"/>
    <w:rPr>
      <w:rFonts w:asciiTheme="majorHAnsi" w:eastAsiaTheme="majorEastAsia" w:hAnsiTheme="majorHAnsi" w:cstheme="majorBidi"/>
      <w:color w:val="1F3763" w:themeColor="accent1" w:themeShade="7F"/>
      <w:sz w:val="24"/>
      <w:szCs w:val="24"/>
    </w:rPr>
  </w:style>
  <w:style w:type="table" w:customStyle="1" w:styleId="TableGrid">
    <w:name w:val="TableGrid"/>
    <w:rsid w:val="002779AD"/>
    <w:pPr>
      <w:autoSpaceDN/>
      <w:spacing w:after="0" w:line="240" w:lineRule="auto"/>
      <w:textAlignment w:val="auto"/>
    </w:pPr>
    <w:rPr>
      <w:rFonts w:asciiTheme="minorHAnsi" w:eastAsiaTheme="minorEastAsia" w:hAnsiTheme="minorHAnsi" w:cstheme="minorBidi"/>
      <w:lang w:eastAsia="en-GB"/>
    </w:rPr>
    <w:tblPr>
      <w:tblCellMar>
        <w:top w:w="0" w:type="dxa"/>
        <w:left w:w="0" w:type="dxa"/>
        <w:bottom w:w="0" w:type="dxa"/>
        <w:right w:w="0" w:type="dxa"/>
      </w:tblCellMar>
    </w:tbl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FF7379"/>
    <w:rPr>
      <w:sz w:val="20"/>
      <w:szCs w:val="20"/>
    </w:rPr>
  </w:style>
  <w:style w:type="table" w:styleId="TableGrid0">
    <w:name w:val="Table Grid"/>
    <w:basedOn w:val="TableNormal"/>
    <w:uiPriority w:val="39"/>
    <w:rsid w:val="001947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E3B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564427">
      <w:bodyDiv w:val="1"/>
      <w:marLeft w:val="0"/>
      <w:marRight w:val="0"/>
      <w:marTop w:val="0"/>
      <w:marBottom w:val="0"/>
      <w:divBdr>
        <w:top w:val="none" w:sz="0" w:space="0" w:color="auto"/>
        <w:left w:val="none" w:sz="0" w:space="0" w:color="auto"/>
        <w:bottom w:val="none" w:sz="0" w:space="0" w:color="auto"/>
        <w:right w:val="none" w:sz="0" w:space="0" w:color="auto"/>
      </w:divBdr>
    </w:div>
    <w:div w:id="668216936">
      <w:bodyDiv w:val="1"/>
      <w:marLeft w:val="0"/>
      <w:marRight w:val="0"/>
      <w:marTop w:val="0"/>
      <w:marBottom w:val="0"/>
      <w:divBdr>
        <w:top w:val="none" w:sz="0" w:space="0" w:color="auto"/>
        <w:left w:val="none" w:sz="0" w:space="0" w:color="auto"/>
        <w:bottom w:val="none" w:sz="0" w:space="0" w:color="auto"/>
        <w:right w:val="none" w:sz="0" w:space="0" w:color="auto"/>
      </w:divBdr>
    </w:div>
    <w:div w:id="810251487">
      <w:bodyDiv w:val="1"/>
      <w:marLeft w:val="0"/>
      <w:marRight w:val="0"/>
      <w:marTop w:val="0"/>
      <w:marBottom w:val="0"/>
      <w:divBdr>
        <w:top w:val="none" w:sz="0" w:space="0" w:color="auto"/>
        <w:left w:val="none" w:sz="0" w:space="0" w:color="auto"/>
        <w:bottom w:val="none" w:sz="0" w:space="0" w:color="auto"/>
        <w:right w:val="none" w:sz="0" w:space="0" w:color="auto"/>
      </w:divBdr>
    </w:div>
    <w:div w:id="902522504">
      <w:bodyDiv w:val="1"/>
      <w:marLeft w:val="0"/>
      <w:marRight w:val="0"/>
      <w:marTop w:val="0"/>
      <w:marBottom w:val="0"/>
      <w:divBdr>
        <w:top w:val="none" w:sz="0" w:space="0" w:color="auto"/>
        <w:left w:val="none" w:sz="0" w:space="0" w:color="auto"/>
        <w:bottom w:val="none" w:sz="0" w:space="0" w:color="auto"/>
        <w:right w:val="none" w:sz="0" w:space="0" w:color="auto"/>
      </w:divBdr>
    </w:div>
    <w:div w:id="1236164340">
      <w:bodyDiv w:val="1"/>
      <w:marLeft w:val="0"/>
      <w:marRight w:val="0"/>
      <w:marTop w:val="0"/>
      <w:marBottom w:val="0"/>
      <w:divBdr>
        <w:top w:val="none" w:sz="0" w:space="0" w:color="auto"/>
        <w:left w:val="none" w:sz="0" w:space="0" w:color="auto"/>
        <w:bottom w:val="none" w:sz="0" w:space="0" w:color="auto"/>
        <w:right w:val="none" w:sz="0" w:space="0" w:color="auto"/>
      </w:divBdr>
    </w:div>
    <w:div w:id="1507673136">
      <w:bodyDiv w:val="1"/>
      <w:marLeft w:val="0"/>
      <w:marRight w:val="0"/>
      <w:marTop w:val="0"/>
      <w:marBottom w:val="0"/>
      <w:divBdr>
        <w:top w:val="none" w:sz="0" w:space="0" w:color="auto"/>
        <w:left w:val="none" w:sz="0" w:space="0" w:color="auto"/>
        <w:bottom w:val="none" w:sz="0" w:space="0" w:color="auto"/>
        <w:right w:val="none" w:sz="0" w:space="0" w:color="auto"/>
      </w:divBdr>
      <w:divsChild>
        <w:div w:id="1766533639">
          <w:marLeft w:val="0"/>
          <w:marRight w:val="0"/>
          <w:marTop w:val="0"/>
          <w:marBottom w:val="0"/>
          <w:divBdr>
            <w:top w:val="none" w:sz="0" w:space="0" w:color="auto"/>
            <w:left w:val="none" w:sz="0" w:space="0" w:color="auto"/>
            <w:bottom w:val="none" w:sz="0" w:space="0" w:color="auto"/>
            <w:right w:val="none" w:sz="0" w:space="0" w:color="auto"/>
          </w:divBdr>
        </w:div>
        <w:div w:id="1539656680">
          <w:marLeft w:val="0"/>
          <w:marRight w:val="0"/>
          <w:marTop w:val="0"/>
          <w:marBottom w:val="0"/>
          <w:divBdr>
            <w:top w:val="none" w:sz="0" w:space="0" w:color="auto"/>
            <w:left w:val="none" w:sz="0" w:space="0" w:color="auto"/>
            <w:bottom w:val="none" w:sz="0" w:space="0" w:color="auto"/>
            <w:right w:val="none" w:sz="0" w:space="0" w:color="auto"/>
          </w:divBdr>
        </w:div>
        <w:div w:id="248929522">
          <w:marLeft w:val="0"/>
          <w:marRight w:val="0"/>
          <w:marTop w:val="120"/>
          <w:marBottom w:val="0"/>
          <w:divBdr>
            <w:top w:val="none" w:sz="0" w:space="0" w:color="auto"/>
            <w:left w:val="none" w:sz="0" w:space="0" w:color="auto"/>
            <w:bottom w:val="none" w:sz="0" w:space="0" w:color="auto"/>
            <w:right w:val="none" w:sz="0" w:space="0" w:color="auto"/>
          </w:divBdr>
          <w:divsChild>
            <w:div w:id="27567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2860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cloudappreciationsociety.org/october-08/" TargetMode="External"/><Relationship Id="rId2" Type="http://schemas.openxmlformats.org/officeDocument/2006/relationships/hyperlink" Target="https://en.wikipedia.org/wiki/The_Kindness_Rock_Project" TargetMode="External"/><Relationship Id="rId1" Type="http://schemas.openxmlformats.org/officeDocument/2006/relationships/hyperlink" Target="https://www.bl.uk/medieval-literature/articles/sir-gawain-and-the-green-knight-an-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DC49F3-3686-4A48-B3B0-3AAC7449A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5813</Words>
  <Characters>33137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Zielstra</dc:creator>
  <cp:keywords/>
  <dc:description/>
  <cp:lastModifiedBy>Julie Zielstra</cp:lastModifiedBy>
  <cp:revision>10</cp:revision>
  <cp:lastPrinted>2021-07-17T13:14:00Z</cp:lastPrinted>
  <dcterms:created xsi:type="dcterms:W3CDTF">2021-07-27T18:21:00Z</dcterms:created>
  <dcterms:modified xsi:type="dcterms:W3CDTF">2021-07-28T07:29:00Z</dcterms:modified>
</cp:coreProperties>
</file>