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6F5342" w14:textId="04422D6C" w:rsidR="00600E97" w:rsidRPr="00E51298" w:rsidRDefault="00600E97" w:rsidP="00600E97">
      <w:pPr>
        <w:ind w:left="360"/>
        <w:jc w:val="center"/>
        <w:rPr>
          <w:rFonts w:ascii="Cambria" w:hAnsi="Cambria"/>
          <w:b/>
          <w:bCs/>
          <w:sz w:val="24"/>
          <w:szCs w:val="24"/>
          <w:u w:val="single"/>
        </w:rPr>
      </w:pPr>
      <w:r w:rsidRPr="00E51298">
        <w:rPr>
          <w:rFonts w:ascii="Cambria" w:hAnsi="Cambria"/>
          <w:b/>
          <w:bCs/>
          <w:sz w:val="24"/>
          <w:szCs w:val="24"/>
          <w:u w:val="single"/>
        </w:rPr>
        <w:t>Contemporary issues in health and social care.</w:t>
      </w:r>
    </w:p>
    <w:p w14:paraId="7E20FC19" w14:textId="54993ABD" w:rsidR="00600E97" w:rsidRPr="00E51298" w:rsidRDefault="00600E97" w:rsidP="00600E97">
      <w:pPr>
        <w:ind w:left="360"/>
        <w:jc w:val="center"/>
        <w:rPr>
          <w:rFonts w:ascii="Cambria" w:hAnsi="Cambria"/>
          <w:b/>
          <w:bCs/>
          <w:sz w:val="24"/>
          <w:szCs w:val="24"/>
          <w:u w:val="single"/>
        </w:rPr>
      </w:pPr>
      <w:r w:rsidRPr="00E51298">
        <w:rPr>
          <w:rFonts w:ascii="Cambria" w:hAnsi="Cambria"/>
          <w:b/>
          <w:bCs/>
          <w:sz w:val="24"/>
          <w:szCs w:val="24"/>
          <w:u w:val="single"/>
        </w:rPr>
        <w:t>Independent activity.</w:t>
      </w:r>
    </w:p>
    <w:p w14:paraId="524B0356" w14:textId="77777777" w:rsidR="00600E97" w:rsidRPr="00E51298" w:rsidRDefault="00600E97" w:rsidP="00600E97">
      <w:pPr>
        <w:ind w:left="360"/>
        <w:rPr>
          <w:rFonts w:ascii="Cambria" w:hAnsi="Cambria"/>
          <w:sz w:val="24"/>
          <w:szCs w:val="24"/>
        </w:rPr>
      </w:pPr>
    </w:p>
    <w:p w14:paraId="6E48A101" w14:textId="55C3D72A" w:rsidR="00E7000E" w:rsidRPr="00E51298" w:rsidRDefault="00600E97" w:rsidP="00600E97">
      <w:pPr>
        <w:pStyle w:val="ListParagraph"/>
        <w:numPr>
          <w:ilvl w:val="0"/>
          <w:numId w:val="5"/>
        </w:numPr>
        <w:rPr>
          <w:rFonts w:ascii="Cambria" w:hAnsi="Cambria"/>
          <w:sz w:val="24"/>
          <w:szCs w:val="24"/>
        </w:rPr>
      </w:pPr>
      <w:r w:rsidRPr="00E51298">
        <w:rPr>
          <w:rFonts w:ascii="Cambria" w:hAnsi="Cambria"/>
          <w:sz w:val="24"/>
          <w:szCs w:val="24"/>
        </w:rPr>
        <w:t>Select one of the following contemporary challenges in health and social care and engage in some background reading regarding the topic (I have provided the resources for each of these, see links).</w:t>
      </w:r>
    </w:p>
    <w:p w14:paraId="040E4626" w14:textId="15EF710D" w:rsidR="00600E97" w:rsidRPr="00E51298" w:rsidRDefault="00600E97" w:rsidP="00600E97">
      <w:pPr>
        <w:ind w:left="360"/>
        <w:rPr>
          <w:rFonts w:ascii="Cambria" w:hAnsi="Cambria"/>
          <w:sz w:val="24"/>
          <w:szCs w:val="24"/>
        </w:rPr>
      </w:pPr>
      <w:r w:rsidRPr="00E51298">
        <w:rPr>
          <w:rFonts w:ascii="Cambria" w:hAnsi="Cambria"/>
          <w:sz w:val="24"/>
          <w:szCs w:val="24"/>
        </w:rPr>
        <w:t>Ageing population and pressure on social care</w:t>
      </w:r>
    </w:p>
    <w:p w14:paraId="32A5D8AD" w14:textId="3B66BF08" w:rsidR="00600E97" w:rsidRPr="00E51298" w:rsidRDefault="00600E97" w:rsidP="00600E97">
      <w:pPr>
        <w:ind w:left="360"/>
        <w:rPr>
          <w:rFonts w:ascii="Cambria" w:hAnsi="Cambria"/>
          <w:sz w:val="24"/>
          <w:szCs w:val="24"/>
        </w:rPr>
      </w:pPr>
      <w:r w:rsidRPr="00E51298">
        <w:rPr>
          <w:rFonts w:ascii="Cambria" w:hAnsi="Cambria"/>
          <w:sz w:val="24"/>
          <w:szCs w:val="24"/>
        </w:rPr>
        <w:t>Health inequalities and access to care</w:t>
      </w:r>
    </w:p>
    <w:p w14:paraId="15896089" w14:textId="000CF215" w:rsidR="00600E97" w:rsidRPr="00E51298" w:rsidRDefault="00600E97" w:rsidP="00600E97">
      <w:pPr>
        <w:ind w:left="360"/>
        <w:rPr>
          <w:rFonts w:ascii="Cambria" w:hAnsi="Cambria"/>
          <w:sz w:val="24"/>
          <w:szCs w:val="24"/>
        </w:rPr>
      </w:pPr>
      <w:r w:rsidRPr="00E51298">
        <w:rPr>
          <w:rFonts w:ascii="Cambria" w:hAnsi="Cambria"/>
          <w:sz w:val="24"/>
          <w:szCs w:val="24"/>
        </w:rPr>
        <w:t>Staffing shortages and burnout in health professions</w:t>
      </w:r>
    </w:p>
    <w:p w14:paraId="6D5453FB" w14:textId="77777777" w:rsidR="00600E97" w:rsidRPr="00E51298" w:rsidRDefault="00600E97" w:rsidP="00600E97">
      <w:pPr>
        <w:ind w:left="360"/>
        <w:rPr>
          <w:rFonts w:ascii="Cambria" w:hAnsi="Cambria"/>
          <w:sz w:val="24"/>
          <w:szCs w:val="24"/>
        </w:rPr>
      </w:pPr>
    </w:p>
    <w:p w14:paraId="031E14C0" w14:textId="0AE65A84" w:rsidR="00600E97" w:rsidRPr="00E51298" w:rsidRDefault="00600E97" w:rsidP="00600E97">
      <w:pPr>
        <w:pStyle w:val="ListParagraph"/>
        <w:numPr>
          <w:ilvl w:val="0"/>
          <w:numId w:val="5"/>
        </w:numPr>
        <w:rPr>
          <w:rFonts w:ascii="Cambria" w:hAnsi="Cambria"/>
          <w:sz w:val="24"/>
          <w:szCs w:val="24"/>
        </w:rPr>
      </w:pPr>
      <w:r w:rsidRPr="00E51298">
        <w:rPr>
          <w:rFonts w:ascii="Cambria" w:hAnsi="Cambria"/>
          <w:sz w:val="24"/>
          <w:szCs w:val="24"/>
        </w:rPr>
        <w:t>Answer the following questions:</w:t>
      </w:r>
    </w:p>
    <w:p w14:paraId="46D4F773" w14:textId="77777777" w:rsidR="00600E97" w:rsidRPr="00E51298" w:rsidRDefault="00600E97" w:rsidP="00600E97">
      <w:pPr>
        <w:pStyle w:val="ListParagraph"/>
        <w:rPr>
          <w:rFonts w:ascii="Cambria" w:hAnsi="Cambria"/>
          <w:sz w:val="24"/>
          <w:szCs w:val="24"/>
        </w:rPr>
      </w:pPr>
    </w:p>
    <w:p w14:paraId="0B795DD1" w14:textId="7842EC0C" w:rsidR="00600E97" w:rsidRPr="00E51298" w:rsidRDefault="00600E97" w:rsidP="00600E97">
      <w:pPr>
        <w:pStyle w:val="ListParagraph"/>
        <w:numPr>
          <w:ilvl w:val="0"/>
          <w:numId w:val="4"/>
        </w:numPr>
        <w:rPr>
          <w:rFonts w:ascii="Cambria" w:hAnsi="Cambria"/>
          <w:sz w:val="24"/>
          <w:szCs w:val="24"/>
        </w:rPr>
      </w:pPr>
      <w:r w:rsidRPr="00E51298">
        <w:rPr>
          <w:rFonts w:ascii="Cambria" w:hAnsi="Cambria"/>
          <w:sz w:val="24"/>
          <w:szCs w:val="24"/>
        </w:rPr>
        <w:t>What’s happening?</w:t>
      </w:r>
    </w:p>
    <w:p w14:paraId="0A022011" w14:textId="77777777" w:rsidR="00600E97" w:rsidRPr="00E51298" w:rsidRDefault="00600E97" w:rsidP="00600E97">
      <w:pPr>
        <w:pStyle w:val="ListParagraph"/>
        <w:ind w:left="1080"/>
        <w:rPr>
          <w:rFonts w:ascii="Cambria" w:hAnsi="Cambria"/>
          <w:sz w:val="24"/>
          <w:szCs w:val="24"/>
        </w:rPr>
      </w:pPr>
    </w:p>
    <w:p w14:paraId="0348D955" w14:textId="77777777" w:rsidR="00600E97" w:rsidRPr="00E51298" w:rsidRDefault="00600E97" w:rsidP="00600E97">
      <w:pPr>
        <w:pStyle w:val="ListParagraph"/>
        <w:ind w:left="1080"/>
        <w:rPr>
          <w:rFonts w:ascii="Cambria" w:hAnsi="Cambria"/>
          <w:sz w:val="24"/>
          <w:szCs w:val="24"/>
        </w:rPr>
      </w:pPr>
    </w:p>
    <w:p w14:paraId="7BDB7730" w14:textId="77777777" w:rsidR="00600E97" w:rsidRPr="00E51298" w:rsidRDefault="00600E97" w:rsidP="00600E97">
      <w:pPr>
        <w:pStyle w:val="ListParagraph"/>
        <w:ind w:left="1080"/>
        <w:rPr>
          <w:rFonts w:ascii="Cambria" w:hAnsi="Cambria"/>
          <w:sz w:val="24"/>
          <w:szCs w:val="24"/>
        </w:rPr>
      </w:pPr>
    </w:p>
    <w:p w14:paraId="7BDF7E28" w14:textId="77777777" w:rsidR="00600E97" w:rsidRPr="00E51298" w:rsidRDefault="00600E97" w:rsidP="00600E97">
      <w:pPr>
        <w:pStyle w:val="ListParagraph"/>
        <w:numPr>
          <w:ilvl w:val="0"/>
          <w:numId w:val="4"/>
        </w:numPr>
        <w:rPr>
          <w:rFonts w:ascii="Cambria" w:hAnsi="Cambria"/>
          <w:sz w:val="24"/>
          <w:szCs w:val="24"/>
        </w:rPr>
      </w:pPr>
      <w:r w:rsidRPr="00E51298">
        <w:rPr>
          <w:rFonts w:ascii="Cambria" w:hAnsi="Cambria"/>
          <w:sz w:val="24"/>
          <w:szCs w:val="24"/>
        </w:rPr>
        <w:t>Who is affected?</w:t>
      </w:r>
    </w:p>
    <w:p w14:paraId="63DE74AB" w14:textId="77777777" w:rsidR="00600E97" w:rsidRPr="00E51298" w:rsidRDefault="00600E97" w:rsidP="00600E97">
      <w:pPr>
        <w:rPr>
          <w:rFonts w:ascii="Cambria" w:hAnsi="Cambria"/>
          <w:sz w:val="24"/>
          <w:szCs w:val="24"/>
        </w:rPr>
      </w:pPr>
    </w:p>
    <w:p w14:paraId="0EFE0F15" w14:textId="77777777" w:rsidR="00600E97" w:rsidRPr="00E51298" w:rsidRDefault="00600E97" w:rsidP="00600E97">
      <w:pPr>
        <w:rPr>
          <w:rFonts w:ascii="Cambria" w:hAnsi="Cambria"/>
          <w:sz w:val="24"/>
          <w:szCs w:val="24"/>
        </w:rPr>
      </w:pPr>
    </w:p>
    <w:p w14:paraId="093D1B49" w14:textId="77777777" w:rsidR="00600E97" w:rsidRPr="00E51298" w:rsidRDefault="00600E97" w:rsidP="00600E97">
      <w:pPr>
        <w:pStyle w:val="ListParagraph"/>
        <w:ind w:left="1080"/>
        <w:rPr>
          <w:rFonts w:ascii="Cambria" w:hAnsi="Cambria"/>
          <w:sz w:val="24"/>
          <w:szCs w:val="24"/>
        </w:rPr>
      </w:pPr>
    </w:p>
    <w:p w14:paraId="60A83CA8" w14:textId="1FA866B0" w:rsidR="00600E97" w:rsidRPr="00E51298" w:rsidRDefault="00600E97" w:rsidP="00600E97">
      <w:pPr>
        <w:pStyle w:val="ListParagraph"/>
        <w:numPr>
          <w:ilvl w:val="0"/>
          <w:numId w:val="4"/>
        </w:numPr>
        <w:rPr>
          <w:rFonts w:ascii="Cambria" w:hAnsi="Cambria"/>
          <w:sz w:val="24"/>
          <w:szCs w:val="24"/>
        </w:rPr>
      </w:pPr>
      <w:r w:rsidRPr="00E51298">
        <w:rPr>
          <w:rFonts w:ascii="Cambria" w:hAnsi="Cambria"/>
          <w:sz w:val="24"/>
          <w:szCs w:val="24"/>
        </w:rPr>
        <w:t>Why does it matter?</w:t>
      </w:r>
    </w:p>
    <w:p w14:paraId="52B7CC6B" w14:textId="77777777" w:rsidR="00600E97" w:rsidRPr="00E51298" w:rsidRDefault="00600E97" w:rsidP="00600E97">
      <w:pPr>
        <w:rPr>
          <w:rFonts w:ascii="Cambria" w:hAnsi="Cambria"/>
          <w:sz w:val="24"/>
          <w:szCs w:val="24"/>
        </w:rPr>
      </w:pPr>
    </w:p>
    <w:p w14:paraId="0B9A6AED" w14:textId="77777777" w:rsidR="00600E97" w:rsidRPr="00E51298" w:rsidRDefault="00600E97" w:rsidP="00600E97">
      <w:pPr>
        <w:rPr>
          <w:rFonts w:ascii="Cambria" w:hAnsi="Cambria"/>
          <w:sz w:val="24"/>
          <w:szCs w:val="24"/>
        </w:rPr>
      </w:pPr>
    </w:p>
    <w:p w14:paraId="1BA22CD7" w14:textId="77777777" w:rsidR="00600E97" w:rsidRPr="00E51298" w:rsidRDefault="00600E97" w:rsidP="00600E97">
      <w:pPr>
        <w:pStyle w:val="ListParagraph"/>
        <w:rPr>
          <w:rFonts w:ascii="Cambria" w:hAnsi="Cambria"/>
          <w:sz w:val="24"/>
          <w:szCs w:val="24"/>
        </w:rPr>
      </w:pPr>
    </w:p>
    <w:p w14:paraId="0E16CC24" w14:textId="59ABE400" w:rsidR="00600E97" w:rsidRPr="00E51298" w:rsidRDefault="00600E97" w:rsidP="00600E97">
      <w:pPr>
        <w:pStyle w:val="ListParagraph"/>
        <w:numPr>
          <w:ilvl w:val="0"/>
          <w:numId w:val="4"/>
        </w:numPr>
        <w:rPr>
          <w:rFonts w:ascii="Cambria" w:hAnsi="Cambria"/>
          <w:sz w:val="24"/>
          <w:szCs w:val="24"/>
        </w:rPr>
      </w:pPr>
      <w:r w:rsidRPr="00E51298">
        <w:rPr>
          <w:rFonts w:ascii="Cambria" w:hAnsi="Cambria"/>
          <w:sz w:val="24"/>
          <w:szCs w:val="24"/>
        </w:rPr>
        <w:t>What can be done to address it?</w:t>
      </w:r>
    </w:p>
    <w:p w14:paraId="55EE5278" w14:textId="77777777" w:rsidR="00600E97" w:rsidRPr="00E51298" w:rsidRDefault="00600E97" w:rsidP="00600E97">
      <w:pPr>
        <w:rPr>
          <w:rFonts w:ascii="Cambria" w:hAnsi="Cambria"/>
          <w:sz w:val="24"/>
          <w:szCs w:val="24"/>
        </w:rPr>
      </w:pPr>
    </w:p>
    <w:p w14:paraId="4A22FD8C" w14:textId="77777777" w:rsidR="00600E97" w:rsidRPr="00E51298" w:rsidRDefault="00600E97" w:rsidP="00600E97">
      <w:pPr>
        <w:rPr>
          <w:rFonts w:ascii="Cambria" w:hAnsi="Cambria"/>
          <w:sz w:val="24"/>
          <w:szCs w:val="24"/>
        </w:rPr>
      </w:pPr>
    </w:p>
    <w:p w14:paraId="4A7B9E91" w14:textId="3A58EFF0" w:rsidR="00600E97" w:rsidRPr="00E51298" w:rsidRDefault="00600E97" w:rsidP="00600E97">
      <w:pPr>
        <w:pStyle w:val="ListParagraph"/>
        <w:numPr>
          <w:ilvl w:val="0"/>
          <w:numId w:val="4"/>
        </w:numPr>
        <w:rPr>
          <w:rFonts w:ascii="Cambria" w:hAnsi="Cambria"/>
          <w:sz w:val="24"/>
          <w:szCs w:val="24"/>
        </w:rPr>
      </w:pPr>
      <w:r w:rsidRPr="00E51298">
        <w:rPr>
          <w:rFonts w:ascii="Cambria" w:hAnsi="Cambria"/>
          <w:sz w:val="24"/>
          <w:szCs w:val="24"/>
        </w:rPr>
        <w:t>How can health and social care professionals contribute to solutions?</w:t>
      </w:r>
    </w:p>
    <w:p w14:paraId="356FF839" w14:textId="77777777" w:rsidR="00576266" w:rsidRPr="00E51298" w:rsidRDefault="00576266" w:rsidP="00576266">
      <w:pPr>
        <w:rPr>
          <w:rFonts w:ascii="Cambria" w:hAnsi="Cambria"/>
          <w:sz w:val="24"/>
          <w:szCs w:val="24"/>
        </w:rPr>
      </w:pPr>
    </w:p>
    <w:p w14:paraId="4A265701" w14:textId="77777777" w:rsidR="00576266" w:rsidRPr="00E51298" w:rsidRDefault="00576266" w:rsidP="00576266">
      <w:pPr>
        <w:rPr>
          <w:rFonts w:ascii="Cambria" w:hAnsi="Cambria"/>
          <w:sz w:val="24"/>
          <w:szCs w:val="24"/>
        </w:rPr>
      </w:pPr>
    </w:p>
    <w:p w14:paraId="4E7BB088" w14:textId="77777777" w:rsidR="00576266" w:rsidRPr="00E51298" w:rsidRDefault="00576266" w:rsidP="00576266">
      <w:pPr>
        <w:rPr>
          <w:rFonts w:ascii="Cambria" w:hAnsi="Cambria"/>
          <w:sz w:val="24"/>
          <w:szCs w:val="24"/>
        </w:rPr>
      </w:pPr>
    </w:p>
    <w:p w14:paraId="280E5DFF" w14:textId="77777777" w:rsidR="00576266" w:rsidRPr="00E51298" w:rsidRDefault="00576266" w:rsidP="00576266">
      <w:pPr>
        <w:rPr>
          <w:rFonts w:ascii="Cambria" w:hAnsi="Cambria"/>
          <w:sz w:val="24"/>
          <w:szCs w:val="24"/>
        </w:rPr>
      </w:pPr>
    </w:p>
    <w:p w14:paraId="7ED15375" w14:textId="77777777" w:rsidR="00576266" w:rsidRPr="00E51298" w:rsidRDefault="00576266" w:rsidP="00576266">
      <w:pPr>
        <w:rPr>
          <w:rFonts w:ascii="Cambria" w:hAnsi="Cambria"/>
          <w:sz w:val="24"/>
          <w:szCs w:val="24"/>
        </w:rPr>
      </w:pPr>
    </w:p>
    <w:p w14:paraId="08AE71E2" w14:textId="77777777" w:rsidR="00576266" w:rsidRPr="00E51298" w:rsidRDefault="00576266" w:rsidP="00576266">
      <w:pPr>
        <w:rPr>
          <w:rFonts w:ascii="Cambria" w:hAnsi="Cambria"/>
          <w:sz w:val="24"/>
          <w:szCs w:val="24"/>
        </w:rPr>
      </w:pPr>
    </w:p>
    <w:p w14:paraId="1A130578" w14:textId="040CCBF4" w:rsidR="00576266" w:rsidRPr="00E51298" w:rsidRDefault="00576266" w:rsidP="00576266">
      <w:pPr>
        <w:jc w:val="center"/>
        <w:rPr>
          <w:rFonts w:ascii="Cambria" w:hAnsi="Cambria"/>
          <w:b/>
          <w:bCs/>
          <w:sz w:val="24"/>
          <w:szCs w:val="24"/>
          <w:u w:val="single"/>
        </w:rPr>
      </w:pPr>
      <w:r w:rsidRPr="00E51298">
        <w:rPr>
          <w:rFonts w:ascii="Cambria" w:hAnsi="Cambria"/>
          <w:b/>
          <w:bCs/>
          <w:sz w:val="24"/>
          <w:szCs w:val="24"/>
          <w:u w:val="single"/>
        </w:rPr>
        <w:t>Reading lists:</w:t>
      </w:r>
    </w:p>
    <w:p w14:paraId="1CD12D38" w14:textId="7BD1F0A6" w:rsidR="00576266" w:rsidRPr="00576266" w:rsidRDefault="00576266" w:rsidP="00576266">
      <w:pPr>
        <w:rPr>
          <w:rFonts w:ascii="Cambria" w:hAnsi="Cambria"/>
          <w:b/>
          <w:bCs/>
          <w:sz w:val="24"/>
          <w:szCs w:val="24"/>
        </w:rPr>
      </w:pPr>
      <w:r w:rsidRPr="00E51298">
        <w:rPr>
          <w:rFonts w:ascii="Cambria" w:hAnsi="Cambria"/>
          <w:b/>
          <w:bCs/>
          <w:sz w:val="24"/>
          <w:szCs w:val="24"/>
        </w:rPr>
        <w:t xml:space="preserve">The </w:t>
      </w:r>
      <w:r w:rsidRPr="00576266">
        <w:rPr>
          <w:rFonts w:ascii="Cambria" w:hAnsi="Cambria"/>
          <w:b/>
          <w:bCs/>
          <w:sz w:val="24"/>
          <w:szCs w:val="24"/>
        </w:rPr>
        <w:t>Ageing population and pressure on social care</w:t>
      </w:r>
    </w:p>
    <w:p w14:paraId="612CF49A" w14:textId="26EE1A9A" w:rsidR="00576266" w:rsidRPr="00E51298" w:rsidRDefault="00576266" w:rsidP="00576266">
      <w:pPr>
        <w:numPr>
          <w:ilvl w:val="0"/>
          <w:numId w:val="6"/>
        </w:numPr>
        <w:rPr>
          <w:rFonts w:ascii="Cambria" w:hAnsi="Cambria"/>
          <w:sz w:val="24"/>
          <w:szCs w:val="24"/>
        </w:rPr>
      </w:pPr>
      <w:r w:rsidRPr="00576266">
        <w:rPr>
          <w:rFonts w:ascii="Cambria" w:hAnsi="Cambria"/>
          <w:sz w:val="24"/>
          <w:szCs w:val="24"/>
        </w:rPr>
        <w:t xml:space="preserve">Centre for Ageing Better — </w:t>
      </w:r>
      <w:r w:rsidRPr="00576266">
        <w:rPr>
          <w:rFonts w:ascii="Cambria" w:hAnsi="Cambria"/>
          <w:i/>
          <w:iCs/>
          <w:sz w:val="24"/>
          <w:szCs w:val="24"/>
        </w:rPr>
        <w:t>Inequalities in later life: A scoping review</w:t>
      </w:r>
      <w:r w:rsidRPr="00576266">
        <w:rPr>
          <w:rFonts w:ascii="Cambria" w:hAnsi="Cambria"/>
          <w:sz w:val="24"/>
          <w:szCs w:val="24"/>
        </w:rPr>
        <w:t xml:space="preserve"> (2017) — explores how</w:t>
      </w:r>
      <w:r w:rsidRPr="00E51298">
        <w:rPr>
          <w:rFonts w:ascii="Cambria" w:hAnsi="Cambria"/>
          <w:sz w:val="24"/>
          <w:szCs w:val="24"/>
        </w:rPr>
        <w:t xml:space="preserve"> </w:t>
      </w:r>
      <w:r w:rsidRPr="00576266">
        <w:rPr>
          <w:rFonts w:ascii="Cambria" w:hAnsi="Cambria"/>
          <w:sz w:val="24"/>
          <w:szCs w:val="24"/>
        </w:rPr>
        <w:t>inequalities affect older people’s health, finances, social connections.</w:t>
      </w:r>
    </w:p>
    <w:p w14:paraId="4DDE7BE4" w14:textId="00B76102" w:rsidR="00576266" w:rsidRPr="00E51298" w:rsidRDefault="00576266" w:rsidP="00576266">
      <w:pPr>
        <w:ind w:left="720"/>
        <w:rPr>
          <w:rFonts w:ascii="Cambria" w:hAnsi="Cambria"/>
          <w:sz w:val="24"/>
          <w:szCs w:val="24"/>
        </w:rPr>
      </w:pPr>
      <w:hyperlink r:id="rId6" w:history="1">
        <w:r w:rsidRPr="00E51298">
          <w:rPr>
            <w:rStyle w:val="Hyperlink"/>
            <w:rFonts w:ascii="Cambria" w:hAnsi="Cambria"/>
            <w:sz w:val="24"/>
            <w:szCs w:val="24"/>
          </w:rPr>
          <w:t>https://ageing-better.org.uk/sites/default/files/2017-12/Inequalities%20insight%20report.pdf?utm_source</w:t>
        </w:r>
      </w:hyperlink>
    </w:p>
    <w:p w14:paraId="364D2799" w14:textId="513F2253" w:rsidR="00576266" w:rsidRPr="00E51298" w:rsidRDefault="00576266" w:rsidP="00576266">
      <w:pPr>
        <w:numPr>
          <w:ilvl w:val="0"/>
          <w:numId w:val="6"/>
        </w:numPr>
        <w:rPr>
          <w:rFonts w:ascii="Cambria" w:hAnsi="Cambria"/>
          <w:sz w:val="24"/>
          <w:szCs w:val="24"/>
        </w:rPr>
      </w:pPr>
      <w:r w:rsidRPr="00576266">
        <w:rPr>
          <w:rFonts w:ascii="Cambria" w:hAnsi="Cambria"/>
          <w:sz w:val="24"/>
          <w:szCs w:val="24"/>
        </w:rPr>
        <w:t xml:space="preserve">Age UK — </w:t>
      </w:r>
      <w:r w:rsidRPr="00576266">
        <w:rPr>
          <w:rFonts w:ascii="Cambria" w:hAnsi="Cambria"/>
          <w:i/>
          <w:iCs/>
          <w:sz w:val="24"/>
          <w:szCs w:val="24"/>
        </w:rPr>
        <w:t>State of Health and Care of Older People in England 2024</w:t>
      </w:r>
      <w:r w:rsidRPr="00576266">
        <w:rPr>
          <w:rFonts w:ascii="Cambria" w:hAnsi="Cambria"/>
          <w:sz w:val="24"/>
          <w:szCs w:val="24"/>
        </w:rPr>
        <w:t xml:space="preserve"> — shows how unmet need in social care is growing for older people. </w:t>
      </w:r>
    </w:p>
    <w:p w14:paraId="0631BF4B" w14:textId="77777777" w:rsidR="00576266" w:rsidRPr="00E51298" w:rsidRDefault="00576266" w:rsidP="00576266">
      <w:pPr>
        <w:pStyle w:val="ListParagraph"/>
        <w:rPr>
          <w:rFonts w:ascii="Cambria" w:hAnsi="Cambria"/>
          <w:sz w:val="24"/>
          <w:szCs w:val="24"/>
        </w:rPr>
      </w:pPr>
      <w:hyperlink r:id="rId7" w:history="1">
        <w:r w:rsidRPr="00E51298">
          <w:rPr>
            <w:rStyle w:val="Hyperlink"/>
            <w:rFonts w:ascii="Cambria" w:hAnsi="Cambria"/>
            <w:sz w:val="24"/>
            <w:szCs w:val="24"/>
          </w:rPr>
          <w:t>https://www.ageuk.org.uk/discover/2024/september/state-of-health-and-care-of-older-people-in-england-2024/</w:t>
        </w:r>
      </w:hyperlink>
      <w:r w:rsidRPr="00E51298">
        <w:rPr>
          <w:rFonts w:ascii="Cambria" w:hAnsi="Cambria"/>
          <w:sz w:val="24"/>
          <w:szCs w:val="24"/>
        </w:rPr>
        <w:t xml:space="preserve"> </w:t>
      </w:r>
    </w:p>
    <w:p w14:paraId="17D1DA4A" w14:textId="77777777" w:rsidR="00576266" w:rsidRPr="00E51298" w:rsidRDefault="00576266" w:rsidP="00576266">
      <w:pPr>
        <w:pStyle w:val="ListParagraph"/>
        <w:rPr>
          <w:rFonts w:ascii="Cambria" w:hAnsi="Cambria"/>
          <w:sz w:val="24"/>
          <w:szCs w:val="24"/>
        </w:rPr>
      </w:pPr>
    </w:p>
    <w:p w14:paraId="767DFC7E" w14:textId="7D20565A" w:rsidR="00576266" w:rsidRPr="00576266" w:rsidRDefault="00576266" w:rsidP="00576266">
      <w:pPr>
        <w:numPr>
          <w:ilvl w:val="0"/>
          <w:numId w:val="6"/>
        </w:numPr>
        <w:rPr>
          <w:rFonts w:ascii="Cambria" w:hAnsi="Cambria"/>
          <w:sz w:val="24"/>
          <w:szCs w:val="24"/>
        </w:rPr>
      </w:pPr>
      <w:r w:rsidRPr="00576266">
        <w:rPr>
          <w:rFonts w:ascii="Cambria" w:hAnsi="Cambria"/>
          <w:sz w:val="24"/>
          <w:szCs w:val="24"/>
        </w:rPr>
        <w:t xml:space="preserve">The King’s Fund — </w:t>
      </w:r>
      <w:r w:rsidRPr="00576266">
        <w:rPr>
          <w:rFonts w:ascii="Cambria" w:hAnsi="Cambria"/>
          <w:i/>
          <w:iCs/>
          <w:sz w:val="24"/>
          <w:szCs w:val="24"/>
        </w:rPr>
        <w:t>Key facts &amp; figures about adult social care</w:t>
      </w:r>
      <w:r w:rsidRPr="00576266">
        <w:rPr>
          <w:rFonts w:ascii="Cambria" w:hAnsi="Cambria"/>
          <w:sz w:val="24"/>
          <w:szCs w:val="24"/>
        </w:rPr>
        <w:t xml:space="preserve"> (June 2025) — contextual data on adult social care in England.</w:t>
      </w:r>
    </w:p>
    <w:p w14:paraId="4B2AEEB0" w14:textId="77777777" w:rsidR="00576266" w:rsidRPr="00E51298" w:rsidRDefault="00576266" w:rsidP="00576266">
      <w:pPr>
        <w:ind w:left="720"/>
        <w:rPr>
          <w:rFonts w:ascii="Cambria" w:hAnsi="Cambria"/>
          <w:sz w:val="24"/>
          <w:szCs w:val="24"/>
        </w:rPr>
      </w:pPr>
      <w:hyperlink r:id="rId8" w:history="1">
        <w:r w:rsidRPr="00E51298">
          <w:rPr>
            <w:rStyle w:val="Hyperlink"/>
            <w:rFonts w:ascii="Cambria" w:hAnsi="Cambria"/>
            <w:sz w:val="24"/>
            <w:szCs w:val="24"/>
          </w:rPr>
          <w:t>https://www.kingsfund.org.uk/insight-and-analysis/data-and-charts/key-facts-figures-adult-social-care?utm_source</w:t>
        </w:r>
      </w:hyperlink>
    </w:p>
    <w:p w14:paraId="56C3DFC1" w14:textId="77777777" w:rsidR="00576266" w:rsidRPr="00E51298" w:rsidRDefault="00576266" w:rsidP="00576266">
      <w:pPr>
        <w:rPr>
          <w:rFonts w:ascii="Cambria" w:hAnsi="Cambria"/>
          <w:sz w:val="24"/>
          <w:szCs w:val="24"/>
        </w:rPr>
      </w:pPr>
    </w:p>
    <w:p w14:paraId="2DAE67E0" w14:textId="77777777" w:rsidR="00576266" w:rsidRPr="00576266" w:rsidRDefault="00576266" w:rsidP="00576266">
      <w:pPr>
        <w:rPr>
          <w:rFonts w:ascii="Cambria" w:hAnsi="Cambria"/>
          <w:b/>
          <w:bCs/>
          <w:sz w:val="24"/>
          <w:szCs w:val="24"/>
          <w:u w:val="single"/>
        </w:rPr>
      </w:pPr>
      <w:r w:rsidRPr="00576266">
        <w:rPr>
          <w:rFonts w:ascii="Cambria" w:hAnsi="Cambria"/>
          <w:b/>
          <w:bCs/>
          <w:sz w:val="24"/>
          <w:szCs w:val="24"/>
          <w:u w:val="single"/>
        </w:rPr>
        <w:t>Health inequalities and access to care</w:t>
      </w:r>
    </w:p>
    <w:p w14:paraId="16D3D1DF" w14:textId="69E9CE88" w:rsidR="00576266" w:rsidRPr="00E51298" w:rsidRDefault="00576266" w:rsidP="00576266">
      <w:pPr>
        <w:numPr>
          <w:ilvl w:val="0"/>
          <w:numId w:val="8"/>
        </w:numPr>
        <w:rPr>
          <w:rFonts w:ascii="Cambria" w:hAnsi="Cambria"/>
          <w:sz w:val="24"/>
          <w:szCs w:val="24"/>
        </w:rPr>
      </w:pPr>
      <w:r w:rsidRPr="00576266">
        <w:rPr>
          <w:rFonts w:ascii="Cambria" w:hAnsi="Cambria"/>
          <w:sz w:val="24"/>
          <w:szCs w:val="24"/>
        </w:rPr>
        <w:t xml:space="preserve">NHS England — </w:t>
      </w:r>
      <w:r w:rsidRPr="00576266">
        <w:rPr>
          <w:rFonts w:ascii="Cambria" w:hAnsi="Cambria"/>
          <w:i/>
          <w:iCs/>
          <w:sz w:val="24"/>
          <w:szCs w:val="24"/>
        </w:rPr>
        <w:t>What are healthcare inequalities?</w:t>
      </w:r>
      <w:r w:rsidRPr="00576266">
        <w:rPr>
          <w:rFonts w:ascii="Cambria" w:hAnsi="Cambria"/>
          <w:sz w:val="24"/>
          <w:szCs w:val="24"/>
        </w:rPr>
        <w:t xml:space="preserve"> (Equality Hub) — concise explanation of health inequalities and their causes. </w:t>
      </w:r>
    </w:p>
    <w:p w14:paraId="61EE91DE" w14:textId="245D6C7A" w:rsidR="00576266" w:rsidRPr="00576266" w:rsidRDefault="00576266" w:rsidP="00576266">
      <w:pPr>
        <w:ind w:left="720"/>
        <w:rPr>
          <w:rFonts w:ascii="Cambria" w:hAnsi="Cambria"/>
          <w:sz w:val="24"/>
          <w:szCs w:val="24"/>
        </w:rPr>
      </w:pPr>
      <w:hyperlink r:id="rId9" w:history="1">
        <w:r w:rsidRPr="00E51298">
          <w:rPr>
            <w:rStyle w:val="Hyperlink"/>
            <w:rFonts w:ascii="Cambria" w:hAnsi="Cambria"/>
            <w:sz w:val="24"/>
            <w:szCs w:val="24"/>
          </w:rPr>
          <w:t>https://www.england.nhs.uk/about/equality/equality-hub/national-healthcare-inequalities-improvement-programme/what-are-healthcare-inequalities/</w:t>
        </w:r>
      </w:hyperlink>
    </w:p>
    <w:p w14:paraId="2BB636EA" w14:textId="2B2003A0" w:rsidR="00576266" w:rsidRPr="00E51298" w:rsidRDefault="00576266" w:rsidP="00576266">
      <w:pPr>
        <w:numPr>
          <w:ilvl w:val="0"/>
          <w:numId w:val="8"/>
        </w:numPr>
        <w:rPr>
          <w:rFonts w:ascii="Cambria" w:hAnsi="Cambria"/>
          <w:sz w:val="24"/>
          <w:szCs w:val="24"/>
        </w:rPr>
      </w:pPr>
      <w:r w:rsidRPr="00576266">
        <w:rPr>
          <w:rFonts w:ascii="Cambria" w:hAnsi="Cambria"/>
          <w:sz w:val="24"/>
          <w:szCs w:val="24"/>
        </w:rPr>
        <w:t xml:space="preserve">National Institute for Health and Care Research (NIHR) — </w:t>
      </w:r>
      <w:r w:rsidRPr="00576266">
        <w:rPr>
          <w:rFonts w:ascii="Cambria" w:hAnsi="Cambria"/>
          <w:i/>
          <w:iCs/>
          <w:sz w:val="24"/>
          <w:szCs w:val="24"/>
        </w:rPr>
        <w:t>Multiple long-term conditions (multimorbidity) and inequality: addressing the challenge</w:t>
      </w:r>
      <w:r w:rsidRPr="00576266">
        <w:rPr>
          <w:rFonts w:ascii="Cambria" w:hAnsi="Cambria"/>
          <w:sz w:val="24"/>
          <w:szCs w:val="24"/>
        </w:rPr>
        <w:t xml:space="preserve"> (2023) — links between multimorbidity and inequality.</w:t>
      </w:r>
    </w:p>
    <w:p w14:paraId="26F67D2B" w14:textId="2237B259" w:rsidR="00576266" w:rsidRPr="00576266" w:rsidRDefault="00576266" w:rsidP="00576266">
      <w:pPr>
        <w:ind w:left="720"/>
        <w:rPr>
          <w:rFonts w:ascii="Cambria" w:hAnsi="Cambria"/>
          <w:sz w:val="24"/>
          <w:szCs w:val="24"/>
        </w:rPr>
      </w:pPr>
      <w:hyperlink r:id="rId10" w:history="1">
        <w:r w:rsidRPr="00E51298">
          <w:rPr>
            <w:rStyle w:val="Hyperlink"/>
            <w:rFonts w:ascii="Cambria" w:hAnsi="Cambria"/>
            <w:sz w:val="24"/>
            <w:szCs w:val="24"/>
          </w:rPr>
          <w:t>https://evidence.nihr.ac.uk/collection/multiple-long-term-conditions-multimorbidity-and-inequality-addressing-the-challenge-insights-from-research/</w:t>
        </w:r>
      </w:hyperlink>
    </w:p>
    <w:p w14:paraId="08658734" w14:textId="77777777" w:rsidR="00576266" w:rsidRPr="00E51298" w:rsidRDefault="00576266" w:rsidP="00576266">
      <w:pPr>
        <w:numPr>
          <w:ilvl w:val="0"/>
          <w:numId w:val="8"/>
        </w:numPr>
        <w:rPr>
          <w:rFonts w:ascii="Cambria" w:hAnsi="Cambria"/>
          <w:sz w:val="24"/>
          <w:szCs w:val="24"/>
        </w:rPr>
      </w:pPr>
      <w:r w:rsidRPr="00576266">
        <w:rPr>
          <w:rFonts w:ascii="Cambria" w:hAnsi="Cambria"/>
          <w:sz w:val="24"/>
          <w:szCs w:val="24"/>
        </w:rPr>
        <w:t>Organisation for Economic Co</w:t>
      </w:r>
      <w:r w:rsidRPr="00576266">
        <w:rPr>
          <w:rFonts w:ascii="Cambria" w:hAnsi="Cambria"/>
          <w:sz w:val="24"/>
          <w:szCs w:val="24"/>
        </w:rPr>
        <w:noBreakHyphen/>
        <w:t xml:space="preserve">operation and Development (OEEC) study — </w:t>
      </w:r>
      <w:r w:rsidRPr="00576266">
        <w:rPr>
          <w:rFonts w:ascii="Cambria" w:hAnsi="Cambria"/>
          <w:i/>
          <w:iCs/>
          <w:sz w:val="24"/>
          <w:szCs w:val="24"/>
        </w:rPr>
        <w:t>Socio‐economic inequality in the distribution of health care in the UK</w:t>
      </w:r>
      <w:r w:rsidRPr="00576266">
        <w:rPr>
          <w:rFonts w:ascii="Cambria" w:hAnsi="Cambria"/>
          <w:sz w:val="24"/>
          <w:szCs w:val="24"/>
        </w:rPr>
        <w:t xml:space="preserve"> — evidence on healthcare access and outcome differences by socioeconomic status.</w:t>
      </w:r>
    </w:p>
    <w:p w14:paraId="1D0D2780" w14:textId="1E6C43FB" w:rsidR="00576266" w:rsidRPr="00E51298" w:rsidRDefault="00576266" w:rsidP="00576266">
      <w:pPr>
        <w:ind w:left="720"/>
        <w:rPr>
          <w:rFonts w:ascii="Cambria" w:hAnsi="Cambria"/>
          <w:sz w:val="24"/>
          <w:szCs w:val="24"/>
        </w:rPr>
      </w:pPr>
      <w:hyperlink r:id="rId11" w:history="1">
        <w:r w:rsidRPr="00E51298">
          <w:rPr>
            <w:rStyle w:val="Hyperlink"/>
            <w:rFonts w:ascii="Cambria" w:hAnsi="Cambria"/>
            <w:sz w:val="24"/>
            <w:szCs w:val="24"/>
          </w:rPr>
          <w:t>https://academic.oup.com/ooec/article/3/Supplement_1/i577/7708105?</w:t>
        </w:r>
      </w:hyperlink>
    </w:p>
    <w:p w14:paraId="44823083" w14:textId="77777777" w:rsidR="00576266" w:rsidRPr="00E51298" w:rsidRDefault="00576266" w:rsidP="00576266">
      <w:pPr>
        <w:ind w:left="720"/>
        <w:rPr>
          <w:rFonts w:ascii="Cambria" w:hAnsi="Cambria"/>
          <w:sz w:val="24"/>
          <w:szCs w:val="24"/>
        </w:rPr>
      </w:pPr>
    </w:p>
    <w:p w14:paraId="4DF696D7" w14:textId="77777777" w:rsidR="00576266" w:rsidRPr="00576266" w:rsidRDefault="00576266" w:rsidP="00576266">
      <w:pPr>
        <w:ind w:left="720"/>
        <w:rPr>
          <w:rFonts w:ascii="Cambria" w:hAnsi="Cambria"/>
          <w:b/>
          <w:bCs/>
          <w:sz w:val="24"/>
          <w:szCs w:val="24"/>
          <w:u w:val="single"/>
        </w:rPr>
      </w:pPr>
      <w:r w:rsidRPr="00576266">
        <w:rPr>
          <w:rFonts w:ascii="Cambria" w:hAnsi="Cambria"/>
          <w:b/>
          <w:bCs/>
          <w:sz w:val="24"/>
          <w:szCs w:val="24"/>
          <w:u w:val="single"/>
        </w:rPr>
        <w:t>Staffing shortages and burnout in health professions</w:t>
      </w:r>
    </w:p>
    <w:p w14:paraId="08058D1A" w14:textId="0ECFA85A" w:rsidR="00576266" w:rsidRPr="00E51298" w:rsidRDefault="00576266" w:rsidP="00576266">
      <w:pPr>
        <w:numPr>
          <w:ilvl w:val="0"/>
          <w:numId w:val="9"/>
        </w:numPr>
        <w:rPr>
          <w:rFonts w:ascii="Cambria" w:hAnsi="Cambria"/>
          <w:sz w:val="24"/>
          <w:szCs w:val="24"/>
        </w:rPr>
      </w:pPr>
      <w:r w:rsidRPr="00576266">
        <w:rPr>
          <w:rFonts w:ascii="Cambria" w:hAnsi="Cambria"/>
          <w:sz w:val="24"/>
          <w:szCs w:val="24"/>
        </w:rPr>
        <w:lastRenderedPageBreak/>
        <w:t xml:space="preserve">NHS Employers — </w:t>
      </w:r>
      <w:r w:rsidRPr="00576266">
        <w:rPr>
          <w:rFonts w:ascii="Cambria" w:hAnsi="Cambria"/>
          <w:i/>
          <w:iCs/>
          <w:sz w:val="24"/>
          <w:szCs w:val="24"/>
        </w:rPr>
        <w:t>Beating burnout in the NHS</w:t>
      </w:r>
      <w:r w:rsidRPr="00576266">
        <w:rPr>
          <w:rFonts w:ascii="Cambria" w:hAnsi="Cambria"/>
          <w:sz w:val="24"/>
          <w:szCs w:val="24"/>
        </w:rPr>
        <w:t xml:space="preserve"> — overview of workforce survey results and how burnout is affecting staff in clinical roles.</w:t>
      </w:r>
    </w:p>
    <w:p w14:paraId="220E3C06" w14:textId="097B3720" w:rsidR="00576266" w:rsidRPr="00576266" w:rsidRDefault="00E51298" w:rsidP="00576266">
      <w:pPr>
        <w:ind w:left="720"/>
        <w:rPr>
          <w:rFonts w:ascii="Cambria" w:hAnsi="Cambria"/>
          <w:sz w:val="24"/>
          <w:szCs w:val="24"/>
        </w:rPr>
      </w:pPr>
      <w:hyperlink r:id="rId12" w:history="1">
        <w:r w:rsidR="00576266" w:rsidRPr="00E51298">
          <w:rPr>
            <w:rStyle w:val="Hyperlink"/>
            <w:rFonts w:ascii="Cambria" w:hAnsi="Cambria"/>
            <w:sz w:val="24"/>
            <w:szCs w:val="24"/>
          </w:rPr>
          <w:t>https://www.nhsemployers.org/articles/beating-burnout-nhs</w:t>
        </w:r>
      </w:hyperlink>
    </w:p>
    <w:p w14:paraId="7E928408" w14:textId="56FE6E43" w:rsidR="00576266" w:rsidRPr="00E51298" w:rsidRDefault="00576266" w:rsidP="00576266">
      <w:pPr>
        <w:numPr>
          <w:ilvl w:val="0"/>
          <w:numId w:val="9"/>
        </w:numPr>
        <w:rPr>
          <w:rFonts w:ascii="Cambria" w:hAnsi="Cambria"/>
          <w:sz w:val="24"/>
          <w:szCs w:val="24"/>
        </w:rPr>
      </w:pPr>
      <w:r w:rsidRPr="00576266">
        <w:rPr>
          <w:rFonts w:ascii="Cambria" w:hAnsi="Cambria"/>
          <w:sz w:val="24"/>
          <w:szCs w:val="24"/>
        </w:rPr>
        <w:t xml:space="preserve">Care Quality Commission (CQC) — </w:t>
      </w:r>
      <w:r w:rsidRPr="00576266">
        <w:rPr>
          <w:rFonts w:ascii="Cambria" w:hAnsi="Cambria"/>
          <w:i/>
          <w:iCs/>
          <w:sz w:val="24"/>
          <w:szCs w:val="24"/>
        </w:rPr>
        <w:t>Workforce stress and burnout</w:t>
      </w:r>
      <w:r w:rsidRPr="00576266">
        <w:rPr>
          <w:rFonts w:ascii="Cambria" w:hAnsi="Cambria"/>
          <w:sz w:val="24"/>
          <w:szCs w:val="24"/>
        </w:rPr>
        <w:t xml:space="preserve"> (Oct 2022) — report on staff fatigue, workload and consequences for care quality. </w:t>
      </w:r>
    </w:p>
    <w:p w14:paraId="0FB84291" w14:textId="1D6AE3C8" w:rsidR="00E51298" w:rsidRPr="00576266" w:rsidRDefault="00E51298" w:rsidP="00E51298">
      <w:pPr>
        <w:ind w:left="720"/>
        <w:rPr>
          <w:rFonts w:ascii="Cambria" w:hAnsi="Cambria"/>
          <w:sz w:val="24"/>
          <w:szCs w:val="24"/>
        </w:rPr>
      </w:pPr>
      <w:hyperlink r:id="rId13" w:history="1">
        <w:r w:rsidRPr="00E51298">
          <w:rPr>
            <w:rStyle w:val="Hyperlink"/>
            <w:rFonts w:ascii="Cambria" w:hAnsi="Cambria"/>
            <w:sz w:val="24"/>
            <w:szCs w:val="24"/>
          </w:rPr>
          <w:t>https://www.cqc.org.uk/publications/major-reports/soc202021_01g_stress-burnout</w:t>
        </w:r>
      </w:hyperlink>
    </w:p>
    <w:p w14:paraId="51B48C75" w14:textId="77777777" w:rsidR="00E51298" w:rsidRPr="00E51298" w:rsidRDefault="00576266" w:rsidP="00576266">
      <w:pPr>
        <w:numPr>
          <w:ilvl w:val="0"/>
          <w:numId w:val="9"/>
        </w:numPr>
        <w:rPr>
          <w:rFonts w:ascii="Cambria" w:hAnsi="Cambria"/>
          <w:sz w:val="24"/>
          <w:szCs w:val="24"/>
        </w:rPr>
      </w:pPr>
      <w:r w:rsidRPr="00576266">
        <w:rPr>
          <w:rFonts w:ascii="Cambria" w:hAnsi="Cambria"/>
          <w:sz w:val="24"/>
          <w:szCs w:val="24"/>
        </w:rPr>
        <w:t xml:space="preserve">The Society of Occupational Medicine — </w:t>
      </w:r>
      <w:r w:rsidRPr="00576266">
        <w:rPr>
          <w:rFonts w:ascii="Cambria" w:hAnsi="Cambria"/>
          <w:i/>
          <w:iCs/>
          <w:sz w:val="24"/>
          <w:szCs w:val="24"/>
        </w:rPr>
        <w:t>Burnout in healthcare: risk factors and solutions</w:t>
      </w:r>
      <w:r w:rsidRPr="00576266">
        <w:rPr>
          <w:rFonts w:ascii="Cambria" w:hAnsi="Cambria"/>
          <w:sz w:val="24"/>
          <w:szCs w:val="24"/>
        </w:rPr>
        <w:t xml:space="preserve"> (July 2023) — in-depth PDF on prevalence, drivers and mitigation.</w:t>
      </w:r>
    </w:p>
    <w:p w14:paraId="55E0339F" w14:textId="1C5B2B15" w:rsidR="00576266" w:rsidRPr="00576266" w:rsidRDefault="00E51298" w:rsidP="00E51298">
      <w:pPr>
        <w:ind w:left="720"/>
        <w:rPr>
          <w:rFonts w:ascii="Cambria" w:hAnsi="Cambria"/>
          <w:sz w:val="24"/>
          <w:szCs w:val="24"/>
        </w:rPr>
      </w:pPr>
      <w:hyperlink r:id="rId14" w:history="1">
        <w:r w:rsidRPr="00E51298">
          <w:rPr>
            <w:rStyle w:val="Hyperlink"/>
            <w:rFonts w:ascii="Cambria" w:hAnsi="Cambria"/>
            <w:sz w:val="24"/>
            <w:szCs w:val="24"/>
          </w:rPr>
          <w:t>https://www.som.org.uk/sites/som.org.uk/files/Burnout_in_healthcare_risk_factors_and_solutions_July2023_0.pdf</w:t>
        </w:r>
      </w:hyperlink>
      <w:r w:rsidRPr="00E51298">
        <w:rPr>
          <w:rFonts w:ascii="Cambria" w:hAnsi="Cambria"/>
          <w:sz w:val="24"/>
          <w:szCs w:val="24"/>
        </w:rPr>
        <w:t xml:space="preserve"> </w:t>
      </w:r>
    </w:p>
    <w:p w14:paraId="7E8BFB5F" w14:textId="77777777" w:rsidR="00576266" w:rsidRPr="00576266" w:rsidRDefault="00576266" w:rsidP="00576266">
      <w:pPr>
        <w:ind w:left="720"/>
        <w:rPr>
          <w:rFonts w:ascii="Cambria" w:hAnsi="Cambria"/>
          <w:sz w:val="24"/>
          <w:szCs w:val="24"/>
        </w:rPr>
      </w:pPr>
    </w:p>
    <w:p w14:paraId="5A4C5E8A" w14:textId="434F5D87" w:rsidR="00576266" w:rsidRPr="00576266" w:rsidRDefault="00576266" w:rsidP="00576266">
      <w:pPr>
        <w:rPr>
          <w:rFonts w:ascii="Cambria" w:hAnsi="Cambria"/>
          <w:sz w:val="24"/>
          <w:szCs w:val="24"/>
        </w:rPr>
      </w:pPr>
      <w:r w:rsidRPr="00E51298">
        <w:rPr>
          <w:rFonts w:ascii="Cambria" w:hAnsi="Cambria"/>
          <w:sz w:val="24"/>
          <w:szCs w:val="24"/>
        </w:rPr>
        <w:t xml:space="preserve"> </w:t>
      </w:r>
    </w:p>
    <w:p w14:paraId="625817CA" w14:textId="77777777" w:rsidR="00576266" w:rsidRPr="00E51298" w:rsidRDefault="00576266" w:rsidP="00576266">
      <w:pPr>
        <w:jc w:val="center"/>
        <w:rPr>
          <w:rFonts w:ascii="Cambria" w:hAnsi="Cambria"/>
          <w:sz w:val="24"/>
          <w:szCs w:val="24"/>
        </w:rPr>
      </w:pPr>
    </w:p>
    <w:p w14:paraId="3D493D8E" w14:textId="77777777" w:rsidR="00600E97" w:rsidRPr="00E51298" w:rsidRDefault="00600E97" w:rsidP="00600E97">
      <w:pPr>
        <w:ind w:left="360"/>
        <w:rPr>
          <w:rFonts w:ascii="Cambria" w:hAnsi="Cambria"/>
          <w:sz w:val="24"/>
          <w:szCs w:val="24"/>
        </w:rPr>
      </w:pPr>
    </w:p>
    <w:p w14:paraId="3775117E" w14:textId="77777777" w:rsidR="00600E97" w:rsidRPr="00E51298" w:rsidRDefault="00600E97" w:rsidP="00600E97">
      <w:pPr>
        <w:ind w:left="360"/>
        <w:rPr>
          <w:rFonts w:ascii="Cambria" w:hAnsi="Cambria"/>
          <w:sz w:val="24"/>
          <w:szCs w:val="24"/>
        </w:rPr>
      </w:pPr>
    </w:p>
    <w:p w14:paraId="5AA50552" w14:textId="77777777" w:rsidR="00600E97" w:rsidRPr="00E51298" w:rsidRDefault="00600E97" w:rsidP="00600E97">
      <w:pPr>
        <w:ind w:left="360"/>
        <w:rPr>
          <w:rFonts w:ascii="Cambria" w:hAnsi="Cambria"/>
          <w:sz w:val="24"/>
          <w:szCs w:val="24"/>
        </w:rPr>
      </w:pPr>
    </w:p>
    <w:p w14:paraId="6A670E66" w14:textId="74E05D56" w:rsidR="00600E97" w:rsidRPr="00E51298" w:rsidRDefault="00600E97" w:rsidP="00600E97">
      <w:pPr>
        <w:ind w:left="360"/>
        <w:rPr>
          <w:rFonts w:ascii="Cambria" w:hAnsi="Cambria"/>
          <w:sz w:val="24"/>
          <w:szCs w:val="24"/>
        </w:rPr>
      </w:pPr>
    </w:p>
    <w:p w14:paraId="48F86A2B" w14:textId="77777777" w:rsidR="00600E97" w:rsidRPr="00E51298" w:rsidRDefault="00600E97">
      <w:pPr>
        <w:rPr>
          <w:rFonts w:ascii="Cambria" w:hAnsi="Cambria"/>
          <w:sz w:val="24"/>
          <w:szCs w:val="24"/>
        </w:rPr>
      </w:pPr>
    </w:p>
    <w:p w14:paraId="5CE257BE" w14:textId="77777777" w:rsidR="00600E97" w:rsidRPr="00E51298" w:rsidRDefault="00600E97">
      <w:pPr>
        <w:rPr>
          <w:rFonts w:ascii="Cambria" w:hAnsi="Cambria"/>
          <w:sz w:val="24"/>
          <w:szCs w:val="24"/>
        </w:rPr>
      </w:pPr>
    </w:p>
    <w:sectPr w:rsidR="00600E97" w:rsidRPr="00E512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26B34"/>
    <w:multiLevelType w:val="multilevel"/>
    <w:tmpl w:val="09849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C237E7"/>
    <w:multiLevelType w:val="hybridMultilevel"/>
    <w:tmpl w:val="06A8AA70"/>
    <w:lvl w:ilvl="0" w:tplc="800838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9E1683"/>
    <w:multiLevelType w:val="hybridMultilevel"/>
    <w:tmpl w:val="B1DE0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C12182"/>
    <w:multiLevelType w:val="multilevel"/>
    <w:tmpl w:val="4E28A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CC1580"/>
    <w:multiLevelType w:val="hybridMultilevel"/>
    <w:tmpl w:val="938AA2E6"/>
    <w:lvl w:ilvl="0" w:tplc="1B04BA4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3D82AA3"/>
    <w:multiLevelType w:val="multilevel"/>
    <w:tmpl w:val="F62ED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043B70"/>
    <w:multiLevelType w:val="hybridMultilevel"/>
    <w:tmpl w:val="E48080E0"/>
    <w:lvl w:ilvl="0" w:tplc="0BA62CDA">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B41758E"/>
    <w:multiLevelType w:val="hybridMultilevel"/>
    <w:tmpl w:val="FA0C5350"/>
    <w:lvl w:ilvl="0" w:tplc="7E9E0A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600492"/>
    <w:multiLevelType w:val="hybridMultilevel"/>
    <w:tmpl w:val="0C5CA5B8"/>
    <w:lvl w:ilvl="0" w:tplc="0BA62C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2883270">
    <w:abstractNumId w:val="2"/>
  </w:num>
  <w:num w:numId="2" w16cid:durableId="529221543">
    <w:abstractNumId w:val="8"/>
  </w:num>
  <w:num w:numId="3" w16cid:durableId="1751926990">
    <w:abstractNumId w:val="1"/>
  </w:num>
  <w:num w:numId="4" w16cid:durableId="1531992079">
    <w:abstractNumId w:val="4"/>
  </w:num>
  <w:num w:numId="5" w16cid:durableId="2074430170">
    <w:abstractNumId w:val="7"/>
  </w:num>
  <w:num w:numId="6" w16cid:durableId="951549155">
    <w:abstractNumId w:val="3"/>
  </w:num>
  <w:num w:numId="7" w16cid:durableId="605112527">
    <w:abstractNumId w:val="6"/>
  </w:num>
  <w:num w:numId="8" w16cid:durableId="1067454871">
    <w:abstractNumId w:val="0"/>
  </w:num>
  <w:num w:numId="9" w16cid:durableId="42010414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E97"/>
    <w:rsid w:val="001657AD"/>
    <w:rsid w:val="00576266"/>
    <w:rsid w:val="00600E97"/>
    <w:rsid w:val="00E51298"/>
    <w:rsid w:val="00E70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A4E7E"/>
  <w15:chartTrackingRefBased/>
  <w15:docId w15:val="{0273D1C6-796F-477E-A6ED-314382F53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E9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00E9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00E9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00E9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00E9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00E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0E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0E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0E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E9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00E9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00E9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00E9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00E9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00E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0E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0E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0E97"/>
    <w:rPr>
      <w:rFonts w:eastAsiaTheme="majorEastAsia" w:cstheme="majorBidi"/>
      <w:color w:val="272727" w:themeColor="text1" w:themeTint="D8"/>
    </w:rPr>
  </w:style>
  <w:style w:type="paragraph" w:styleId="Title">
    <w:name w:val="Title"/>
    <w:basedOn w:val="Normal"/>
    <w:next w:val="Normal"/>
    <w:link w:val="TitleChar"/>
    <w:uiPriority w:val="10"/>
    <w:qFormat/>
    <w:rsid w:val="00600E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0E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0E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0E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0E97"/>
    <w:pPr>
      <w:spacing w:before="160"/>
      <w:jc w:val="center"/>
    </w:pPr>
    <w:rPr>
      <w:i/>
      <w:iCs/>
      <w:color w:val="404040" w:themeColor="text1" w:themeTint="BF"/>
    </w:rPr>
  </w:style>
  <w:style w:type="character" w:customStyle="1" w:styleId="QuoteChar">
    <w:name w:val="Quote Char"/>
    <w:basedOn w:val="DefaultParagraphFont"/>
    <w:link w:val="Quote"/>
    <w:uiPriority w:val="29"/>
    <w:rsid w:val="00600E97"/>
    <w:rPr>
      <w:i/>
      <w:iCs/>
      <w:color w:val="404040" w:themeColor="text1" w:themeTint="BF"/>
    </w:rPr>
  </w:style>
  <w:style w:type="paragraph" w:styleId="ListParagraph">
    <w:name w:val="List Paragraph"/>
    <w:basedOn w:val="Normal"/>
    <w:uiPriority w:val="34"/>
    <w:qFormat/>
    <w:rsid w:val="00600E97"/>
    <w:pPr>
      <w:ind w:left="720"/>
      <w:contextualSpacing/>
    </w:pPr>
  </w:style>
  <w:style w:type="character" w:styleId="IntenseEmphasis">
    <w:name w:val="Intense Emphasis"/>
    <w:basedOn w:val="DefaultParagraphFont"/>
    <w:uiPriority w:val="21"/>
    <w:qFormat/>
    <w:rsid w:val="00600E97"/>
    <w:rPr>
      <w:i/>
      <w:iCs/>
      <w:color w:val="2F5496" w:themeColor="accent1" w:themeShade="BF"/>
    </w:rPr>
  </w:style>
  <w:style w:type="paragraph" w:styleId="IntenseQuote">
    <w:name w:val="Intense Quote"/>
    <w:basedOn w:val="Normal"/>
    <w:next w:val="Normal"/>
    <w:link w:val="IntenseQuoteChar"/>
    <w:uiPriority w:val="30"/>
    <w:qFormat/>
    <w:rsid w:val="00600E9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00E97"/>
    <w:rPr>
      <w:i/>
      <w:iCs/>
      <w:color w:val="2F5496" w:themeColor="accent1" w:themeShade="BF"/>
    </w:rPr>
  </w:style>
  <w:style w:type="character" w:styleId="IntenseReference">
    <w:name w:val="Intense Reference"/>
    <w:basedOn w:val="DefaultParagraphFont"/>
    <w:uiPriority w:val="32"/>
    <w:qFormat/>
    <w:rsid w:val="00600E97"/>
    <w:rPr>
      <w:b/>
      <w:bCs/>
      <w:smallCaps/>
      <w:color w:val="2F5496" w:themeColor="accent1" w:themeShade="BF"/>
      <w:spacing w:val="5"/>
    </w:rPr>
  </w:style>
  <w:style w:type="character" w:styleId="Hyperlink">
    <w:name w:val="Hyperlink"/>
    <w:basedOn w:val="DefaultParagraphFont"/>
    <w:uiPriority w:val="99"/>
    <w:unhideWhenUsed/>
    <w:rsid w:val="00576266"/>
    <w:rPr>
      <w:color w:val="0563C1" w:themeColor="hyperlink"/>
      <w:u w:val="single"/>
    </w:rPr>
  </w:style>
  <w:style w:type="character" w:styleId="UnresolvedMention">
    <w:name w:val="Unresolved Mention"/>
    <w:basedOn w:val="DefaultParagraphFont"/>
    <w:uiPriority w:val="99"/>
    <w:semiHidden/>
    <w:unhideWhenUsed/>
    <w:rsid w:val="005762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insight-and-analysis/data-and-charts/key-facts-figures-adult-social-care?utm_source%20" TargetMode="External"/><Relationship Id="rId13" Type="http://schemas.openxmlformats.org/officeDocument/2006/relationships/hyperlink" Target="https://www.cqc.org.uk/publications/major-reports/soc202021_01g_stress-burnout" TargetMode="External"/><Relationship Id="rId3" Type="http://schemas.openxmlformats.org/officeDocument/2006/relationships/styles" Target="styles.xml"/><Relationship Id="rId7" Type="http://schemas.openxmlformats.org/officeDocument/2006/relationships/hyperlink" Target="https://www.ageuk.org.uk/discover/2024/september/state-of-health-and-care-of-older-people-in-england-2024/%20" TargetMode="External"/><Relationship Id="rId12" Type="http://schemas.openxmlformats.org/officeDocument/2006/relationships/hyperlink" Target="https://www.nhsemployers.org/articles/beating-burnout-nh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ageing-better.org.uk/sites/default/files/2017-12/Inequalities%20insight%20report.pdf?utm_source" TargetMode="External"/><Relationship Id="rId11" Type="http://schemas.openxmlformats.org/officeDocument/2006/relationships/hyperlink" Target="https://academic.oup.com/ooec/article/3/Supplement_1/i577/770810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vidence.nihr.ac.uk/collection/multiple-long-term-conditions-multimorbidity-and-inequality-addressing-the-challenge-insights-from-research/" TargetMode="External"/><Relationship Id="rId4" Type="http://schemas.openxmlformats.org/officeDocument/2006/relationships/settings" Target="settings.xml"/><Relationship Id="rId9" Type="http://schemas.openxmlformats.org/officeDocument/2006/relationships/hyperlink" Target="https://www.england.nhs.uk/about/equality/equality-hub/national-healthcare-inequalities-improvement-programme/what-are-healthcare-inequalities/" TargetMode="External"/><Relationship Id="rId14" Type="http://schemas.openxmlformats.org/officeDocument/2006/relationships/hyperlink" Target="https://www.som.org.uk/sites/som.org.uk/files/Burnout_in_healthcare_risk_factors_and_solutions_July2023_0.pdf%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FA2C9A-159C-4DAD-A9A2-6E5297124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3</Pages>
  <Words>626</Words>
  <Characters>3573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Stephanie John</cp:lastModifiedBy>
  <cp:revision>1</cp:revision>
  <dcterms:created xsi:type="dcterms:W3CDTF">2025-11-05T10:55:00Z</dcterms:created>
  <dcterms:modified xsi:type="dcterms:W3CDTF">2025-11-05T11:18:00Z</dcterms:modified>
</cp:coreProperties>
</file>