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597" w:rsidRDefault="00DA3597" w:rsidP="00DA3597">
      <w:pPr>
        <w:spacing w:before="0" w:after="160"/>
        <w:jc w:val="center"/>
      </w:pPr>
    </w:p>
    <w:p w:rsidR="00DA3597" w:rsidRDefault="00DA3597" w:rsidP="00DA3597">
      <w:pPr>
        <w:spacing w:before="0" w:after="160"/>
        <w:jc w:val="center"/>
      </w:pPr>
    </w:p>
    <w:p w:rsidR="00DA3597" w:rsidRDefault="00DA3597" w:rsidP="00DA3597">
      <w:pPr>
        <w:spacing w:before="0" w:after="160"/>
        <w:jc w:val="center"/>
      </w:pPr>
    </w:p>
    <w:p w:rsidR="00DA3597" w:rsidRDefault="00DA3597" w:rsidP="00DA3597">
      <w:pPr>
        <w:spacing w:before="0" w:after="160"/>
        <w:jc w:val="center"/>
      </w:pPr>
    </w:p>
    <w:p w:rsidR="00DA3597" w:rsidRDefault="00DA3597" w:rsidP="00DA3597">
      <w:pPr>
        <w:spacing w:before="0" w:after="160"/>
        <w:jc w:val="center"/>
      </w:pPr>
    </w:p>
    <w:p w:rsidR="00DA3597" w:rsidRDefault="00DA3597" w:rsidP="00DA3597">
      <w:pPr>
        <w:spacing w:before="0" w:after="160"/>
        <w:jc w:val="center"/>
      </w:pPr>
    </w:p>
    <w:p w:rsidR="002B12A5" w:rsidRPr="00DA3597" w:rsidRDefault="002B12A5" w:rsidP="00DA3597">
      <w:pPr>
        <w:spacing w:before="0" w:after="160"/>
        <w:jc w:val="center"/>
        <w:rPr>
          <w:sz w:val="28"/>
        </w:rPr>
      </w:pPr>
      <w:r w:rsidRPr="00DA3597">
        <w:rPr>
          <w:sz w:val="28"/>
        </w:rPr>
        <w:t>Programme: BSc Health and Social Care</w:t>
      </w:r>
    </w:p>
    <w:p w:rsidR="002B12A5" w:rsidRPr="00DA3597" w:rsidRDefault="002B12A5" w:rsidP="00DA3597">
      <w:pPr>
        <w:spacing w:before="0" w:after="160"/>
        <w:jc w:val="center"/>
        <w:rPr>
          <w:sz w:val="28"/>
        </w:rPr>
      </w:pPr>
      <w:r w:rsidRPr="00DA3597">
        <w:rPr>
          <w:sz w:val="28"/>
        </w:rPr>
        <w:t>Module: Principles of Health and Social Care Practice</w:t>
      </w:r>
    </w:p>
    <w:p w:rsidR="002B12A5" w:rsidRPr="00DA3597" w:rsidRDefault="002B12A5" w:rsidP="00DA3597">
      <w:pPr>
        <w:spacing w:before="0" w:after="160"/>
        <w:jc w:val="center"/>
        <w:rPr>
          <w:sz w:val="28"/>
        </w:rPr>
      </w:pPr>
      <w:r w:rsidRPr="00DA3597">
        <w:rPr>
          <w:sz w:val="28"/>
        </w:rPr>
        <w:t>Module code: BMHP5016</w:t>
      </w:r>
    </w:p>
    <w:p w:rsidR="00DA3597" w:rsidRPr="00DA3597" w:rsidRDefault="00DA3597" w:rsidP="00DA3597">
      <w:pPr>
        <w:spacing w:before="0" w:after="160"/>
        <w:jc w:val="center"/>
        <w:rPr>
          <w:sz w:val="28"/>
        </w:rPr>
      </w:pPr>
    </w:p>
    <w:p w:rsidR="00DA3597" w:rsidRPr="00DA3597" w:rsidRDefault="002B12A5" w:rsidP="00DA3597">
      <w:pPr>
        <w:spacing w:before="0" w:after="160"/>
        <w:jc w:val="center"/>
        <w:rPr>
          <w:sz w:val="28"/>
        </w:rPr>
      </w:pPr>
      <w:r w:rsidRPr="00DA3597">
        <w:rPr>
          <w:sz w:val="28"/>
        </w:rPr>
        <w:t>Assignm</w:t>
      </w:r>
      <w:r w:rsidR="00DA3597" w:rsidRPr="00DA3597">
        <w:rPr>
          <w:sz w:val="28"/>
        </w:rPr>
        <w:t xml:space="preserve">ent Title: </w:t>
      </w:r>
    </w:p>
    <w:p w:rsidR="002B12A5" w:rsidRPr="00DA3597" w:rsidRDefault="00DA3597" w:rsidP="00DA3597">
      <w:pPr>
        <w:spacing w:before="0" w:after="160"/>
        <w:jc w:val="center"/>
        <w:rPr>
          <w:sz w:val="28"/>
        </w:rPr>
      </w:pPr>
      <w:r w:rsidRPr="00DA3597">
        <w:rPr>
          <w:sz w:val="28"/>
        </w:rPr>
        <w:t xml:space="preserve">Component 1: Written Assignment (Reflective </w:t>
      </w:r>
      <w:r w:rsidR="002B12A5" w:rsidRPr="00DA3597">
        <w:rPr>
          <w:sz w:val="28"/>
        </w:rPr>
        <w:t>Report)</w:t>
      </w:r>
    </w:p>
    <w:p w:rsidR="002B12A5" w:rsidRPr="00DA3597" w:rsidRDefault="002B12A5" w:rsidP="00DA3597">
      <w:pPr>
        <w:spacing w:before="0" w:after="160"/>
        <w:jc w:val="center"/>
        <w:rPr>
          <w:sz w:val="28"/>
        </w:rPr>
      </w:pPr>
    </w:p>
    <w:p w:rsidR="00DA3597" w:rsidRPr="00DA3597" w:rsidRDefault="00DA3597" w:rsidP="00DA3597">
      <w:pPr>
        <w:spacing w:before="0" w:after="160"/>
        <w:jc w:val="center"/>
        <w:rPr>
          <w:sz w:val="28"/>
        </w:rPr>
      </w:pPr>
      <w:r w:rsidRPr="00DA3597">
        <w:rPr>
          <w:sz w:val="28"/>
        </w:rPr>
        <w:t>Word count: 2</w:t>
      </w:r>
      <w:r w:rsidR="002B12A5" w:rsidRPr="00DA3597">
        <w:rPr>
          <w:sz w:val="28"/>
        </w:rPr>
        <w:t>000 words</w:t>
      </w:r>
    </w:p>
    <w:p w:rsidR="00A937E8" w:rsidRDefault="00A937E8" w:rsidP="002B12A5">
      <w:pPr>
        <w:spacing w:before="0" w:after="160"/>
      </w:pPr>
      <w:r>
        <w:br w:type="page"/>
      </w:r>
    </w:p>
    <w:sdt>
      <w:sdtPr>
        <w:rPr>
          <w:rFonts w:ascii="Times New Roman" w:eastAsia="Times New Roman" w:hAnsi="Times New Roman" w:cs="Times New Roman"/>
          <w:color w:val="auto"/>
          <w:sz w:val="24"/>
          <w:szCs w:val="20"/>
          <w:lang w:val="en-GB"/>
        </w:rPr>
        <w:id w:val="-1057616661"/>
        <w:docPartObj>
          <w:docPartGallery w:val="Table of Contents"/>
          <w:docPartUnique/>
        </w:docPartObj>
      </w:sdtPr>
      <w:sdtEndPr>
        <w:rPr>
          <w:b/>
          <w:bCs/>
          <w:noProof/>
        </w:rPr>
      </w:sdtEndPr>
      <w:sdtContent>
        <w:p w:rsidR="002B12A5" w:rsidRPr="002B12A5" w:rsidRDefault="002B12A5" w:rsidP="002B12A5">
          <w:pPr>
            <w:pStyle w:val="TOCHeading"/>
            <w:jc w:val="center"/>
            <w:rPr>
              <w:rFonts w:ascii="Times New Roman" w:hAnsi="Times New Roman" w:cs="Times New Roman"/>
              <w:b/>
            </w:rPr>
          </w:pPr>
          <w:r w:rsidRPr="002B12A5">
            <w:rPr>
              <w:rFonts w:ascii="Times New Roman" w:hAnsi="Times New Roman" w:cs="Times New Roman"/>
              <w:b/>
            </w:rPr>
            <w:t>Table of Contents</w:t>
          </w:r>
        </w:p>
        <w:p w:rsidR="006427D0" w:rsidRDefault="002B12A5">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34100124" w:history="1">
            <w:r w:rsidR="006427D0" w:rsidRPr="007C31AE">
              <w:rPr>
                <w:rStyle w:val="Hyperlink"/>
                <w:noProof/>
              </w:rPr>
              <w:t>1. Introduction</w:t>
            </w:r>
            <w:r w:rsidR="006427D0">
              <w:rPr>
                <w:noProof/>
                <w:webHidden/>
              </w:rPr>
              <w:tab/>
            </w:r>
            <w:r w:rsidR="006427D0">
              <w:rPr>
                <w:noProof/>
                <w:webHidden/>
              </w:rPr>
              <w:fldChar w:fldCharType="begin"/>
            </w:r>
            <w:r w:rsidR="006427D0">
              <w:rPr>
                <w:noProof/>
                <w:webHidden/>
              </w:rPr>
              <w:instrText xml:space="preserve"> PAGEREF _Toc234100124 \h </w:instrText>
            </w:r>
            <w:r w:rsidR="006427D0">
              <w:rPr>
                <w:noProof/>
                <w:webHidden/>
              </w:rPr>
            </w:r>
            <w:r w:rsidR="006427D0">
              <w:rPr>
                <w:noProof/>
                <w:webHidden/>
              </w:rPr>
              <w:fldChar w:fldCharType="separate"/>
            </w:r>
            <w:r w:rsidR="006427D0">
              <w:rPr>
                <w:noProof/>
                <w:webHidden/>
              </w:rPr>
              <w:t>3</w:t>
            </w:r>
            <w:r w:rsidR="006427D0">
              <w:rPr>
                <w:noProof/>
                <w:webHidden/>
              </w:rPr>
              <w:fldChar w:fldCharType="end"/>
            </w:r>
          </w:hyperlink>
        </w:p>
        <w:p w:rsidR="006427D0" w:rsidRDefault="006427D0">
          <w:pPr>
            <w:pStyle w:val="TOC1"/>
            <w:tabs>
              <w:tab w:val="right" w:leader="dot" w:pos="9016"/>
            </w:tabs>
            <w:rPr>
              <w:rFonts w:asciiTheme="minorHAnsi" w:eastAsiaTheme="minorEastAsia" w:hAnsiTheme="minorHAnsi" w:cstheme="minorBidi"/>
              <w:noProof/>
              <w:sz w:val="22"/>
              <w:szCs w:val="22"/>
              <w:lang w:eastAsia="en-GB"/>
            </w:rPr>
          </w:pPr>
          <w:hyperlink w:anchor="_Toc234100125" w:history="1">
            <w:r w:rsidRPr="007C31AE">
              <w:rPr>
                <w:rStyle w:val="Hyperlink"/>
                <w:noProof/>
              </w:rPr>
              <w:t>2. Task 1: Reflection on the Importance of Principles of Health and Social Care</w:t>
            </w:r>
            <w:r>
              <w:rPr>
                <w:noProof/>
                <w:webHidden/>
              </w:rPr>
              <w:tab/>
            </w:r>
            <w:r>
              <w:rPr>
                <w:noProof/>
                <w:webHidden/>
              </w:rPr>
              <w:fldChar w:fldCharType="begin"/>
            </w:r>
            <w:r>
              <w:rPr>
                <w:noProof/>
                <w:webHidden/>
              </w:rPr>
              <w:instrText xml:space="preserve"> PAGEREF _Toc234100125 \h </w:instrText>
            </w:r>
            <w:r>
              <w:rPr>
                <w:noProof/>
                <w:webHidden/>
              </w:rPr>
            </w:r>
            <w:r>
              <w:rPr>
                <w:noProof/>
                <w:webHidden/>
              </w:rPr>
              <w:fldChar w:fldCharType="separate"/>
            </w:r>
            <w:r>
              <w:rPr>
                <w:noProof/>
                <w:webHidden/>
              </w:rPr>
              <w:t>3</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26" w:history="1">
            <w:r w:rsidRPr="007C31AE">
              <w:rPr>
                <w:rStyle w:val="Hyperlink"/>
                <w:noProof/>
              </w:rPr>
              <w:t>2.1 Person-Centred Care</w:t>
            </w:r>
            <w:r>
              <w:rPr>
                <w:noProof/>
                <w:webHidden/>
              </w:rPr>
              <w:tab/>
            </w:r>
            <w:r>
              <w:rPr>
                <w:noProof/>
                <w:webHidden/>
              </w:rPr>
              <w:fldChar w:fldCharType="begin"/>
            </w:r>
            <w:r>
              <w:rPr>
                <w:noProof/>
                <w:webHidden/>
              </w:rPr>
              <w:instrText xml:space="preserve"> PAGEREF _Toc234100126 \h </w:instrText>
            </w:r>
            <w:r>
              <w:rPr>
                <w:noProof/>
                <w:webHidden/>
              </w:rPr>
            </w:r>
            <w:r>
              <w:rPr>
                <w:noProof/>
                <w:webHidden/>
              </w:rPr>
              <w:fldChar w:fldCharType="separate"/>
            </w:r>
            <w:r>
              <w:rPr>
                <w:noProof/>
                <w:webHidden/>
              </w:rPr>
              <w:t>3</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27" w:history="1">
            <w:r w:rsidRPr="007C31AE">
              <w:rPr>
                <w:rStyle w:val="Hyperlink"/>
                <w:noProof/>
              </w:rPr>
              <w:t>2.2 Partnership Working</w:t>
            </w:r>
            <w:r>
              <w:rPr>
                <w:noProof/>
                <w:webHidden/>
              </w:rPr>
              <w:tab/>
            </w:r>
            <w:r>
              <w:rPr>
                <w:noProof/>
                <w:webHidden/>
              </w:rPr>
              <w:fldChar w:fldCharType="begin"/>
            </w:r>
            <w:r>
              <w:rPr>
                <w:noProof/>
                <w:webHidden/>
              </w:rPr>
              <w:instrText xml:space="preserve"> PAGEREF _Toc234100127 \h </w:instrText>
            </w:r>
            <w:r>
              <w:rPr>
                <w:noProof/>
                <w:webHidden/>
              </w:rPr>
            </w:r>
            <w:r>
              <w:rPr>
                <w:noProof/>
                <w:webHidden/>
              </w:rPr>
              <w:fldChar w:fldCharType="separate"/>
            </w:r>
            <w:r>
              <w:rPr>
                <w:noProof/>
                <w:webHidden/>
              </w:rPr>
              <w:t>3</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28" w:history="1">
            <w:r w:rsidRPr="007C31AE">
              <w:rPr>
                <w:rStyle w:val="Hyperlink"/>
                <w:noProof/>
              </w:rPr>
              <w:t>2.3 Ethics in Health and Social Care</w:t>
            </w:r>
            <w:r>
              <w:rPr>
                <w:noProof/>
                <w:webHidden/>
              </w:rPr>
              <w:tab/>
            </w:r>
            <w:r>
              <w:rPr>
                <w:noProof/>
                <w:webHidden/>
              </w:rPr>
              <w:fldChar w:fldCharType="begin"/>
            </w:r>
            <w:r>
              <w:rPr>
                <w:noProof/>
                <w:webHidden/>
              </w:rPr>
              <w:instrText xml:space="preserve"> PAGEREF _Toc234100128 \h </w:instrText>
            </w:r>
            <w:r>
              <w:rPr>
                <w:noProof/>
                <w:webHidden/>
              </w:rPr>
            </w:r>
            <w:r>
              <w:rPr>
                <w:noProof/>
                <w:webHidden/>
              </w:rPr>
              <w:fldChar w:fldCharType="separate"/>
            </w:r>
            <w:r>
              <w:rPr>
                <w:noProof/>
                <w:webHidden/>
              </w:rPr>
              <w:t>4</w:t>
            </w:r>
            <w:r>
              <w:rPr>
                <w:noProof/>
                <w:webHidden/>
              </w:rPr>
              <w:fldChar w:fldCharType="end"/>
            </w:r>
          </w:hyperlink>
        </w:p>
        <w:p w:rsidR="006427D0" w:rsidRDefault="006427D0">
          <w:pPr>
            <w:pStyle w:val="TOC1"/>
            <w:tabs>
              <w:tab w:val="right" w:leader="dot" w:pos="9016"/>
            </w:tabs>
            <w:rPr>
              <w:rFonts w:asciiTheme="minorHAnsi" w:eastAsiaTheme="minorEastAsia" w:hAnsiTheme="minorHAnsi" w:cstheme="minorBidi"/>
              <w:noProof/>
              <w:sz w:val="22"/>
              <w:szCs w:val="22"/>
              <w:lang w:eastAsia="en-GB"/>
            </w:rPr>
          </w:pPr>
          <w:hyperlink w:anchor="_Toc234100129" w:history="1">
            <w:r w:rsidRPr="007C31AE">
              <w:rPr>
                <w:rStyle w:val="Hyperlink"/>
                <w:noProof/>
              </w:rPr>
              <w:t>3. Task 2: Practical Examples from the Case Study</w:t>
            </w:r>
            <w:r>
              <w:rPr>
                <w:noProof/>
                <w:webHidden/>
              </w:rPr>
              <w:tab/>
            </w:r>
            <w:r>
              <w:rPr>
                <w:noProof/>
                <w:webHidden/>
              </w:rPr>
              <w:fldChar w:fldCharType="begin"/>
            </w:r>
            <w:r>
              <w:rPr>
                <w:noProof/>
                <w:webHidden/>
              </w:rPr>
              <w:instrText xml:space="preserve"> PAGEREF _Toc234100129 \h </w:instrText>
            </w:r>
            <w:r>
              <w:rPr>
                <w:noProof/>
                <w:webHidden/>
              </w:rPr>
            </w:r>
            <w:r>
              <w:rPr>
                <w:noProof/>
                <w:webHidden/>
              </w:rPr>
              <w:fldChar w:fldCharType="separate"/>
            </w:r>
            <w:r>
              <w:rPr>
                <w:noProof/>
                <w:webHidden/>
              </w:rPr>
              <w:t>4</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0" w:history="1">
            <w:r w:rsidRPr="007C31AE">
              <w:rPr>
                <w:rStyle w:val="Hyperlink"/>
                <w:noProof/>
              </w:rPr>
              <w:t>3.1 Brief Overview of the Case</w:t>
            </w:r>
            <w:r>
              <w:rPr>
                <w:noProof/>
                <w:webHidden/>
              </w:rPr>
              <w:tab/>
            </w:r>
            <w:r>
              <w:rPr>
                <w:noProof/>
                <w:webHidden/>
              </w:rPr>
              <w:fldChar w:fldCharType="begin"/>
            </w:r>
            <w:r>
              <w:rPr>
                <w:noProof/>
                <w:webHidden/>
              </w:rPr>
              <w:instrText xml:space="preserve"> PAGEREF _Toc234100130 \h </w:instrText>
            </w:r>
            <w:r>
              <w:rPr>
                <w:noProof/>
                <w:webHidden/>
              </w:rPr>
            </w:r>
            <w:r>
              <w:rPr>
                <w:noProof/>
                <w:webHidden/>
              </w:rPr>
              <w:fldChar w:fldCharType="separate"/>
            </w:r>
            <w:r>
              <w:rPr>
                <w:noProof/>
                <w:webHidden/>
              </w:rPr>
              <w:t>4</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1" w:history="1">
            <w:r w:rsidRPr="007C31AE">
              <w:rPr>
                <w:rStyle w:val="Hyperlink"/>
                <w:noProof/>
              </w:rPr>
              <w:t>3.2 Evaluation of Person-Centred Care</w:t>
            </w:r>
            <w:r>
              <w:rPr>
                <w:noProof/>
                <w:webHidden/>
              </w:rPr>
              <w:tab/>
            </w:r>
            <w:r>
              <w:rPr>
                <w:noProof/>
                <w:webHidden/>
              </w:rPr>
              <w:fldChar w:fldCharType="begin"/>
            </w:r>
            <w:r>
              <w:rPr>
                <w:noProof/>
                <w:webHidden/>
              </w:rPr>
              <w:instrText xml:space="preserve"> PAGEREF _Toc234100131 \h </w:instrText>
            </w:r>
            <w:r>
              <w:rPr>
                <w:noProof/>
                <w:webHidden/>
              </w:rPr>
            </w:r>
            <w:r>
              <w:rPr>
                <w:noProof/>
                <w:webHidden/>
              </w:rPr>
              <w:fldChar w:fldCharType="separate"/>
            </w:r>
            <w:r>
              <w:rPr>
                <w:noProof/>
                <w:webHidden/>
              </w:rPr>
              <w:t>4</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2" w:history="1">
            <w:r w:rsidRPr="007C31AE">
              <w:rPr>
                <w:rStyle w:val="Hyperlink"/>
                <w:noProof/>
              </w:rPr>
              <w:t>3.3 Evaluation of Partnership Working</w:t>
            </w:r>
            <w:r>
              <w:rPr>
                <w:noProof/>
                <w:webHidden/>
              </w:rPr>
              <w:tab/>
            </w:r>
            <w:r>
              <w:rPr>
                <w:noProof/>
                <w:webHidden/>
              </w:rPr>
              <w:fldChar w:fldCharType="begin"/>
            </w:r>
            <w:r>
              <w:rPr>
                <w:noProof/>
                <w:webHidden/>
              </w:rPr>
              <w:instrText xml:space="preserve"> PAGEREF _Toc234100132 \h </w:instrText>
            </w:r>
            <w:r>
              <w:rPr>
                <w:noProof/>
                <w:webHidden/>
              </w:rPr>
            </w:r>
            <w:r>
              <w:rPr>
                <w:noProof/>
                <w:webHidden/>
              </w:rPr>
              <w:fldChar w:fldCharType="separate"/>
            </w:r>
            <w:r>
              <w:rPr>
                <w:noProof/>
                <w:webHidden/>
              </w:rPr>
              <w:t>5</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3" w:history="1">
            <w:r w:rsidRPr="007C31AE">
              <w:rPr>
                <w:rStyle w:val="Hyperlink"/>
                <w:noProof/>
              </w:rPr>
              <w:t>3.4 Evaluation of Ethical Practice</w:t>
            </w:r>
            <w:r>
              <w:rPr>
                <w:noProof/>
                <w:webHidden/>
              </w:rPr>
              <w:tab/>
            </w:r>
            <w:r>
              <w:rPr>
                <w:noProof/>
                <w:webHidden/>
              </w:rPr>
              <w:fldChar w:fldCharType="begin"/>
            </w:r>
            <w:r>
              <w:rPr>
                <w:noProof/>
                <w:webHidden/>
              </w:rPr>
              <w:instrText xml:space="preserve"> PAGEREF _Toc234100133 \h </w:instrText>
            </w:r>
            <w:r>
              <w:rPr>
                <w:noProof/>
                <w:webHidden/>
              </w:rPr>
            </w:r>
            <w:r>
              <w:rPr>
                <w:noProof/>
                <w:webHidden/>
              </w:rPr>
              <w:fldChar w:fldCharType="separate"/>
            </w:r>
            <w:r>
              <w:rPr>
                <w:noProof/>
                <w:webHidden/>
              </w:rPr>
              <w:t>5</w:t>
            </w:r>
            <w:r>
              <w:rPr>
                <w:noProof/>
                <w:webHidden/>
              </w:rPr>
              <w:fldChar w:fldCharType="end"/>
            </w:r>
          </w:hyperlink>
        </w:p>
        <w:p w:rsidR="006427D0" w:rsidRDefault="006427D0">
          <w:pPr>
            <w:pStyle w:val="TOC1"/>
            <w:tabs>
              <w:tab w:val="right" w:leader="dot" w:pos="9016"/>
            </w:tabs>
            <w:rPr>
              <w:rFonts w:asciiTheme="minorHAnsi" w:eastAsiaTheme="minorEastAsia" w:hAnsiTheme="minorHAnsi" w:cstheme="minorBidi"/>
              <w:noProof/>
              <w:sz w:val="22"/>
              <w:szCs w:val="22"/>
              <w:lang w:eastAsia="en-GB"/>
            </w:rPr>
          </w:pPr>
          <w:hyperlink w:anchor="_Toc234100134" w:history="1">
            <w:r w:rsidRPr="007C31AE">
              <w:rPr>
                <w:rStyle w:val="Hyperlink"/>
                <w:noProof/>
              </w:rPr>
              <w:t xml:space="preserve">4. Task 3: </w:t>
            </w:r>
            <w:r w:rsidR="00CB1058">
              <w:rPr>
                <w:rStyle w:val="Hyperlink"/>
                <w:noProof/>
              </w:rPr>
              <w:t>Self-Reflection</w:t>
            </w:r>
            <w:r w:rsidRPr="007C31AE">
              <w:rPr>
                <w:rStyle w:val="Hyperlink"/>
                <w:noProof/>
              </w:rPr>
              <w:t xml:space="preserve"> as a Future Health and Social Care Professional</w:t>
            </w:r>
            <w:r>
              <w:rPr>
                <w:noProof/>
                <w:webHidden/>
              </w:rPr>
              <w:tab/>
            </w:r>
            <w:r>
              <w:rPr>
                <w:noProof/>
                <w:webHidden/>
              </w:rPr>
              <w:fldChar w:fldCharType="begin"/>
            </w:r>
            <w:r>
              <w:rPr>
                <w:noProof/>
                <w:webHidden/>
              </w:rPr>
              <w:instrText xml:space="preserve"> PAGEREF _Toc234100134 \h </w:instrText>
            </w:r>
            <w:r>
              <w:rPr>
                <w:noProof/>
                <w:webHidden/>
              </w:rPr>
            </w:r>
            <w:r>
              <w:rPr>
                <w:noProof/>
                <w:webHidden/>
              </w:rPr>
              <w:fldChar w:fldCharType="separate"/>
            </w:r>
            <w:r>
              <w:rPr>
                <w:noProof/>
                <w:webHidden/>
              </w:rPr>
              <w:t>5</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5" w:history="1">
            <w:r w:rsidRPr="007C31AE">
              <w:rPr>
                <w:rStyle w:val="Hyperlink"/>
                <w:noProof/>
              </w:rPr>
              <w:t>4.1 Description</w:t>
            </w:r>
            <w:r>
              <w:rPr>
                <w:noProof/>
                <w:webHidden/>
              </w:rPr>
              <w:tab/>
            </w:r>
            <w:r>
              <w:rPr>
                <w:noProof/>
                <w:webHidden/>
              </w:rPr>
              <w:fldChar w:fldCharType="begin"/>
            </w:r>
            <w:r>
              <w:rPr>
                <w:noProof/>
                <w:webHidden/>
              </w:rPr>
              <w:instrText xml:space="preserve"> PAGEREF _Toc234100135 \h </w:instrText>
            </w:r>
            <w:r>
              <w:rPr>
                <w:noProof/>
                <w:webHidden/>
              </w:rPr>
            </w:r>
            <w:r>
              <w:rPr>
                <w:noProof/>
                <w:webHidden/>
              </w:rPr>
              <w:fldChar w:fldCharType="separate"/>
            </w:r>
            <w:r>
              <w:rPr>
                <w:noProof/>
                <w:webHidden/>
              </w:rPr>
              <w:t>6</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6" w:history="1">
            <w:r w:rsidRPr="007C31AE">
              <w:rPr>
                <w:rStyle w:val="Hyperlink"/>
                <w:noProof/>
              </w:rPr>
              <w:t>4.2 Feelings</w:t>
            </w:r>
            <w:r>
              <w:rPr>
                <w:noProof/>
                <w:webHidden/>
              </w:rPr>
              <w:tab/>
            </w:r>
            <w:r>
              <w:rPr>
                <w:noProof/>
                <w:webHidden/>
              </w:rPr>
              <w:fldChar w:fldCharType="begin"/>
            </w:r>
            <w:r>
              <w:rPr>
                <w:noProof/>
                <w:webHidden/>
              </w:rPr>
              <w:instrText xml:space="preserve"> PAGEREF _Toc234100136 \h </w:instrText>
            </w:r>
            <w:r>
              <w:rPr>
                <w:noProof/>
                <w:webHidden/>
              </w:rPr>
            </w:r>
            <w:r>
              <w:rPr>
                <w:noProof/>
                <w:webHidden/>
              </w:rPr>
              <w:fldChar w:fldCharType="separate"/>
            </w:r>
            <w:r>
              <w:rPr>
                <w:noProof/>
                <w:webHidden/>
              </w:rPr>
              <w:t>6</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7" w:history="1">
            <w:r w:rsidRPr="007C31AE">
              <w:rPr>
                <w:rStyle w:val="Hyperlink"/>
                <w:noProof/>
              </w:rPr>
              <w:t>4.3 Evaluation</w:t>
            </w:r>
            <w:r>
              <w:rPr>
                <w:noProof/>
                <w:webHidden/>
              </w:rPr>
              <w:tab/>
            </w:r>
            <w:r>
              <w:rPr>
                <w:noProof/>
                <w:webHidden/>
              </w:rPr>
              <w:fldChar w:fldCharType="begin"/>
            </w:r>
            <w:r>
              <w:rPr>
                <w:noProof/>
                <w:webHidden/>
              </w:rPr>
              <w:instrText xml:space="preserve"> PAGEREF _Toc234100137 \h </w:instrText>
            </w:r>
            <w:r>
              <w:rPr>
                <w:noProof/>
                <w:webHidden/>
              </w:rPr>
            </w:r>
            <w:r>
              <w:rPr>
                <w:noProof/>
                <w:webHidden/>
              </w:rPr>
              <w:fldChar w:fldCharType="separate"/>
            </w:r>
            <w:r>
              <w:rPr>
                <w:noProof/>
                <w:webHidden/>
              </w:rPr>
              <w:t>6</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8" w:history="1">
            <w:r w:rsidRPr="007C31AE">
              <w:rPr>
                <w:rStyle w:val="Hyperlink"/>
                <w:noProof/>
              </w:rPr>
              <w:t>4.4 Analysis</w:t>
            </w:r>
            <w:r>
              <w:rPr>
                <w:noProof/>
                <w:webHidden/>
              </w:rPr>
              <w:tab/>
            </w:r>
            <w:r>
              <w:rPr>
                <w:noProof/>
                <w:webHidden/>
              </w:rPr>
              <w:fldChar w:fldCharType="begin"/>
            </w:r>
            <w:r>
              <w:rPr>
                <w:noProof/>
                <w:webHidden/>
              </w:rPr>
              <w:instrText xml:space="preserve"> PAGEREF _Toc234100138 \h </w:instrText>
            </w:r>
            <w:r>
              <w:rPr>
                <w:noProof/>
                <w:webHidden/>
              </w:rPr>
            </w:r>
            <w:r>
              <w:rPr>
                <w:noProof/>
                <w:webHidden/>
              </w:rPr>
              <w:fldChar w:fldCharType="separate"/>
            </w:r>
            <w:r>
              <w:rPr>
                <w:noProof/>
                <w:webHidden/>
              </w:rPr>
              <w:t>7</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39" w:history="1">
            <w:r w:rsidRPr="007C31AE">
              <w:rPr>
                <w:rStyle w:val="Hyperlink"/>
                <w:noProof/>
              </w:rPr>
              <w:t>4.5 Conclusion</w:t>
            </w:r>
            <w:r>
              <w:rPr>
                <w:noProof/>
                <w:webHidden/>
              </w:rPr>
              <w:tab/>
            </w:r>
            <w:r>
              <w:rPr>
                <w:noProof/>
                <w:webHidden/>
              </w:rPr>
              <w:fldChar w:fldCharType="begin"/>
            </w:r>
            <w:r>
              <w:rPr>
                <w:noProof/>
                <w:webHidden/>
              </w:rPr>
              <w:instrText xml:space="preserve"> PAGEREF _Toc234100139 \h </w:instrText>
            </w:r>
            <w:r>
              <w:rPr>
                <w:noProof/>
                <w:webHidden/>
              </w:rPr>
            </w:r>
            <w:r>
              <w:rPr>
                <w:noProof/>
                <w:webHidden/>
              </w:rPr>
              <w:fldChar w:fldCharType="separate"/>
            </w:r>
            <w:r>
              <w:rPr>
                <w:noProof/>
                <w:webHidden/>
              </w:rPr>
              <w:t>7</w:t>
            </w:r>
            <w:r>
              <w:rPr>
                <w:noProof/>
                <w:webHidden/>
              </w:rPr>
              <w:fldChar w:fldCharType="end"/>
            </w:r>
          </w:hyperlink>
        </w:p>
        <w:p w:rsidR="006427D0" w:rsidRDefault="006427D0">
          <w:pPr>
            <w:pStyle w:val="TOC2"/>
            <w:tabs>
              <w:tab w:val="right" w:leader="dot" w:pos="9016"/>
            </w:tabs>
            <w:rPr>
              <w:rFonts w:asciiTheme="minorHAnsi" w:eastAsiaTheme="minorEastAsia" w:hAnsiTheme="minorHAnsi" w:cstheme="minorBidi"/>
              <w:noProof/>
              <w:sz w:val="22"/>
              <w:szCs w:val="22"/>
              <w:lang w:eastAsia="en-GB"/>
            </w:rPr>
          </w:pPr>
          <w:hyperlink w:anchor="_Toc234100140" w:history="1">
            <w:r w:rsidRPr="007C31AE">
              <w:rPr>
                <w:rStyle w:val="Hyperlink"/>
                <w:noProof/>
              </w:rPr>
              <w:t>4.6 Action Plan</w:t>
            </w:r>
            <w:r>
              <w:rPr>
                <w:noProof/>
                <w:webHidden/>
              </w:rPr>
              <w:tab/>
            </w:r>
            <w:r>
              <w:rPr>
                <w:noProof/>
                <w:webHidden/>
              </w:rPr>
              <w:fldChar w:fldCharType="begin"/>
            </w:r>
            <w:r>
              <w:rPr>
                <w:noProof/>
                <w:webHidden/>
              </w:rPr>
              <w:instrText xml:space="preserve"> PAGEREF _Toc234100140 \h </w:instrText>
            </w:r>
            <w:r>
              <w:rPr>
                <w:noProof/>
                <w:webHidden/>
              </w:rPr>
            </w:r>
            <w:r>
              <w:rPr>
                <w:noProof/>
                <w:webHidden/>
              </w:rPr>
              <w:fldChar w:fldCharType="separate"/>
            </w:r>
            <w:r>
              <w:rPr>
                <w:noProof/>
                <w:webHidden/>
              </w:rPr>
              <w:t>8</w:t>
            </w:r>
            <w:r>
              <w:rPr>
                <w:noProof/>
                <w:webHidden/>
              </w:rPr>
              <w:fldChar w:fldCharType="end"/>
            </w:r>
          </w:hyperlink>
        </w:p>
        <w:p w:rsidR="006427D0" w:rsidRDefault="006427D0">
          <w:pPr>
            <w:pStyle w:val="TOC1"/>
            <w:tabs>
              <w:tab w:val="right" w:leader="dot" w:pos="9016"/>
            </w:tabs>
            <w:rPr>
              <w:rFonts w:asciiTheme="minorHAnsi" w:eastAsiaTheme="minorEastAsia" w:hAnsiTheme="minorHAnsi" w:cstheme="minorBidi"/>
              <w:noProof/>
              <w:sz w:val="22"/>
              <w:szCs w:val="22"/>
              <w:lang w:eastAsia="en-GB"/>
            </w:rPr>
          </w:pPr>
          <w:hyperlink w:anchor="_Toc234100141" w:history="1">
            <w:r w:rsidRPr="007C31AE">
              <w:rPr>
                <w:rStyle w:val="Hyperlink"/>
                <w:noProof/>
              </w:rPr>
              <w:t>5. Conclusion</w:t>
            </w:r>
            <w:r>
              <w:rPr>
                <w:noProof/>
                <w:webHidden/>
              </w:rPr>
              <w:tab/>
            </w:r>
            <w:r>
              <w:rPr>
                <w:noProof/>
                <w:webHidden/>
              </w:rPr>
              <w:fldChar w:fldCharType="begin"/>
            </w:r>
            <w:r>
              <w:rPr>
                <w:noProof/>
                <w:webHidden/>
              </w:rPr>
              <w:instrText xml:space="preserve"> PAGEREF _Toc234100141 \h </w:instrText>
            </w:r>
            <w:r>
              <w:rPr>
                <w:noProof/>
                <w:webHidden/>
              </w:rPr>
            </w:r>
            <w:r>
              <w:rPr>
                <w:noProof/>
                <w:webHidden/>
              </w:rPr>
              <w:fldChar w:fldCharType="separate"/>
            </w:r>
            <w:r>
              <w:rPr>
                <w:noProof/>
                <w:webHidden/>
              </w:rPr>
              <w:t>8</w:t>
            </w:r>
            <w:r>
              <w:rPr>
                <w:noProof/>
                <w:webHidden/>
              </w:rPr>
              <w:fldChar w:fldCharType="end"/>
            </w:r>
          </w:hyperlink>
        </w:p>
        <w:p w:rsidR="006427D0" w:rsidRDefault="006427D0">
          <w:pPr>
            <w:pStyle w:val="TOC1"/>
            <w:tabs>
              <w:tab w:val="right" w:leader="dot" w:pos="9016"/>
            </w:tabs>
            <w:rPr>
              <w:rFonts w:asciiTheme="minorHAnsi" w:eastAsiaTheme="minorEastAsia" w:hAnsiTheme="minorHAnsi" w:cstheme="minorBidi"/>
              <w:noProof/>
              <w:sz w:val="22"/>
              <w:szCs w:val="22"/>
              <w:lang w:eastAsia="en-GB"/>
            </w:rPr>
          </w:pPr>
          <w:hyperlink w:anchor="_Toc234100142" w:history="1">
            <w:r w:rsidRPr="007C31AE">
              <w:rPr>
                <w:rStyle w:val="Hyperlink"/>
                <w:noProof/>
              </w:rPr>
              <w:t>Reference List</w:t>
            </w:r>
            <w:r>
              <w:rPr>
                <w:noProof/>
                <w:webHidden/>
              </w:rPr>
              <w:tab/>
            </w:r>
            <w:r>
              <w:rPr>
                <w:noProof/>
                <w:webHidden/>
              </w:rPr>
              <w:fldChar w:fldCharType="begin"/>
            </w:r>
            <w:r>
              <w:rPr>
                <w:noProof/>
                <w:webHidden/>
              </w:rPr>
              <w:instrText xml:space="preserve"> PAGEREF _Toc234100142 \h </w:instrText>
            </w:r>
            <w:r>
              <w:rPr>
                <w:noProof/>
                <w:webHidden/>
              </w:rPr>
            </w:r>
            <w:r>
              <w:rPr>
                <w:noProof/>
                <w:webHidden/>
              </w:rPr>
              <w:fldChar w:fldCharType="separate"/>
            </w:r>
            <w:r>
              <w:rPr>
                <w:noProof/>
                <w:webHidden/>
              </w:rPr>
              <w:t>9</w:t>
            </w:r>
            <w:r>
              <w:rPr>
                <w:noProof/>
                <w:webHidden/>
              </w:rPr>
              <w:fldChar w:fldCharType="end"/>
            </w:r>
          </w:hyperlink>
        </w:p>
        <w:p w:rsidR="002B12A5" w:rsidRDefault="002B12A5">
          <w:r>
            <w:rPr>
              <w:b/>
              <w:bCs/>
              <w:noProof/>
            </w:rPr>
            <w:fldChar w:fldCharType="end"/>
          </w:r>
        </w:p>
      </w:sdtContent>
    </w:sdt>
    <w:p w:rsidR="00A937E8" w:rsidRDefault="00A937E8">
      <w:pPr>
        <w:spacing w:before="0" w:after="160"/>
      </w:pPr>
      <w:r>
        <w:br w:type="page"/>
      </w:r>
    </w:p>
    <w:p w:rsidR="00A937E8" w:rsidRPr="00A937E8" w:rsidRDefault="00A937E8" w:rsidP="003606F0">
      <w:pPr>
        <w:pStyle w:val="Heading1"/>
      </w:pPr>
      <w:bookmarkStart w:id="0" w:name="_Toc234100124"/>
      <w:r w:rsidRPr="00A937E8">
        <w:lastRenderedPageBreak/>
        <w:t>1. Introduction</w:t>
      </w:r>
      <w:bookmarkEnd w:id="0"/>
      <w:r w:rsidRPr="00A937E8">
        <w:t xml:space="preserve"> </w:t>
      </w:r>
    </w:p>
    <w:p w:rsidR="006427D0" w:rsidRDefault="006427D0" w:rsidP="006427D0">
      <w:r>
        <w:t xml:space="preserve">Principles of health and social care practice offer a foundation for the provision of safe, effective and compassionate services which respond to the variety of needs </w:t>
      </w:r>
      <w:r w:rsidR="00CB1058">
        <w:t>of</w:t>
      </w:r>
      <w:r>
        <w:t xml:space="preserve"> all individuals. Partnership working, person-centred care and ethical practice all underpin the commitment to dignity, respect, co-operation and quality care within UK health and social care services (Health Education England, 2022). By incorporating these principles effectively, professionals can work towards delivering better outcomes for patients while adhering to professional standards and legal obligations (Care Quality Commission, 2023). This critical reflective report will explore these principles by considering critical reflection, evaluating a case study and </w:t>
      </w:r>
      <w:r w:rsidR="00CB1058">
        <w:t>reflecting</w:t>
      </w:r>
      <w:r>
        <w:t xml:space="preserve"> on future development in health and social care practice.</w:t>
      </w:r>
    </w:p>
    <w:p w:rsidR="006427D0" w:rsidRDefault="006427D0" w:rsidP="006427D0">
      <w:pPr>
        <w:pStyle w:val="Heading1"/>
      </w:pPr>
      <w:bookmarkStart w:id="1" w:name="_Toc234100125"/>
      <w:r>
        <w:t>2. Task 1: Reflection on the Importance of Principles of Health and Social Care</w:t>
      </w:r>
      <w:bookmarkEnd w:id="1"/>
    </w:p>
    <w:p w:rsidR="006427D0" w:rsidRDefault="006427D0" w:rsidP="006427D0">
      <w:pPr>
        <w:pStyle w:val="Heading2"/>
      </w:pPr>
      <w:bookmarkStart w:id="2" w:name="_Toc234100126"/>
      <w:r>
        <w:t>2.1 Person-Centred Care</w:t>
      </w:r>
      <w:bookmarkEnd w:id="2"/>
      <w:r>
        <w:t xml:space="preserve"> </w:t>
      </w:r>
    </w:p>
    <w:p w:rsidR="006427D0" w:rsidRDefault="006427D0" w:rsidP="006427D0">
      <w:r>
        <w:t xml:space="preserve">Person-centred care (PCC) refers to a way of helping individuals at the centre of all care decisions, respecting their values and preferences, rights and their personal situation (NICE, 2021). Rather than focusing solely on illness, PCC encourages healthcare professionals to work collaboratively with patients to develop care plans that reflect their unique needs. This enhances patient satisfaction, promotes independence, and benefits patients' physical and psychological </w:t>
      </w:r>
      <w:r w:rsidR="00CB1058">
        <w:t>well-being</w:t>
      </w:r>
      <w:r>
        <w:t xml:space="preserve"> (McCormack &amp; </w:t>
      </w:r>
      <w:proofErr w:type="spellStart"/>
      <w:r>
        <w:t>McCance</w:t>
      </w:r>
      <w:proofErr w:type="spellEnd"/>
      <w:r>
        <w:t xml:space="preserve">, 2021). A useful theoretical framework to understand </w:t>
      </w:r>
      <w:r w:rsidR="00CB1058">
        <w:t>person-centred</w:t>
      </w:r>
      <w:r>
        <w:t xml:space="preserve"> care </w:t>
      </w:r>
      <w:r w:rsidR="00CB1058">
        <w:t>is</w:t>
      </w:r>
      <w:r>
        <w:t xml:space="preserve"> the different levels of Maslow's Hierarchy of Needs, as this shows that people need to have their physiological needs, their safety, their social, esteem and their last need of self-actualisation needs to be met </w:t>
      </w:r>
      <w:r w:rsidR="00CB1058">
        <w:t>to</w:t>
      </w:r>
      <w:r>
        <w:t xml:space="preserve"> promote wellbeing (</w:t>
      </w:r>
      <w:r>
        <w:t xml:space="preserve">Maslow, 1943). Thinking about this, I understand that </w:t>
      </w:r>
      <w:r w:rsidR="00CB1058">
        <w:t>person-centred</w:t>
      </w:r>
      <w:r>
        <w:t xml:space="preserve"> care allows workers to treat patients as persons</w:t>
      </w:r>
      <w:r w:rsidR="00CB1058">
        <w:t>,</w:t>
      </w:r>
      <w:bookmarkStart w:id="3" w:name="_GoBack"/>
      <w:bookmarkEnd w:id="3"/>
      <w:r>
        <w:t xml:space="preserve"> not as diseases and therefore more comprehensive, respectful and effective care, in strengthening the trust between the health care provider and the patient.</w:t>
      </w:r>
    </w:p>
    <w:p w:rsidR="006427D0" w:rsidRDefault="006427D0" w:rsidP="006427D0">
      <w:pPr>
        <w:pStyle w:val="Heading2"/>
      </w:pPr>
      <w:bookmarkStart w:id="4" w:name="_Toc234100127"/>
      <w:r>
        <w:t>2.2 Partnership Working</w:t>
      </w:r>
      <w:bookmarkEnd w:id="4"/>
      <w:r>
        <w:t xml:space="preserve"> </w:t>
      </w:r>
    </w:p>
    <w:p w:rsidR="006427D0" w:rsidRDefault="006427D0" w:rsidP="006427D0">
      <w:r>
        <w:t xml:space="preserve">Partnership working means working collaboratively with health professionals, social care providers, patients and families and other agencies in order to achieve shared objectives and improve the delivery of services (Department of Health and Social Care, 2022). Effective partnership working is characterised by communication, respect, shared responsibility and co-ordinated decision making. Multidisciplinary teams, comprising doctors, nurses, social workers, therapists and community organisations, have the ability to come together to offer </w:t>
      </w:r>
      <w:r>
        <w:lastRenderedPageBreak/>
        <w:t>services that are comprehensive, including health and social services (Glasby &amp; Dickinson, 2021). Working cooperatively decreases duplication of services, eliminates communication problems and streamlines the continuity of services, resulting in better patient outcomes. Taking this into consideration, I realize that no one professional has every answer or every skill needed to address complex patient needs. Thus, good teamwork and effective communication between teams is crucial for providing services that are integrated, safe and person centred in your health and social care system in the UK.</w:t>
      </w:r>
    </w:p>
    <w:p w:rsidR="006427D0" w:rsidRDefault="006427D0" w:rsidP="006427D0">
      <w:pPr>
        <w:pStyle w:val="Heading2"/>
      </w:pPr>
      <w:bookmarkStart w:id="5" w:name="_Toc234100128"/>
      <w:r>
        <w:t>2.3 Ethics in Health and Social Care</w:t>
      </w:r>
      <w:bookmarkEnd w:id="5"/>
      <w:r>
        <w:t xml:space="preserve"> </w:t>
      </w:r>
    </w:p>
    <w:p w:rsidR="006427D0" w:rsidRDefault="006427D0" w:rsidP="006427D0">
      <w:r>
        <w:t>Ethics lays the moral foundations for the conduct and decision making of professionals in health and social care. The four basic ethical principles outlined are those of autonomy, beneficence, non-maleficence, and justice and guide professionals to make decisions that uphold the rights and wellbeing of adults who seek care (Beauchamp &amp; Childress, 2019). Ethical practice involves respecting people's choices, doing what is in their best interests, preventing unnecessary harm and ensuring access to care is just. Professional codes place emphasis on these responsibilities, which are upheld by the Nursing and Midwifery Council Code, which focuses on accountability, integrity, confidentiality and compassionate practice (NMC, 2018). Legislation, for example, the Care Act 2014 also reinforces person-centred and ethical approaches with a focus on wellbeing, safeguarding and individual choice. In reflection on ethical practice, I acknowledge that the healthcare environment often poses complex challenges, where ethics and law offers guidance for making fair, compassionate, and legally-adherent choices that uphold the public trust and confidence.</w:t>
      </w:r>
    </w:p>
    <w:p w:rsidR="006427D0" w:rsidRDefault="006427D0" w:rsidP="006427D0">
      <w:pPr>
        <w:pStyle w:val="Heading1"/>
      </w:pPr>
      <w:bookmarkStart w:id="6" w:name="_Toc234100129"/>
      <w:r>
        <w:t>3. Task 2: Practical Examples from the Case Study</w:t>
      </w:r>
      <w:bookmarkEnd w:id="6"/>
      <w:r>
        <w:t xml:space="preserve"> </w:t>
      </w:r>
    </w:p>
    <w:p w:rsidR="006427D0" w:rsidRDefault="006427D0" w:rsidP="006427D0">
      <w:pPr>
        <w:pStyle w:val="Heading2"/>
      </w:pPr>
      <w:bookmarkStart w:id="7" w:name="_Toc234100130"/>
      <w:r>
        <w:t>3.1 Brief Overview of the Case</w:t>
      </w:r>
      <w:bookmarkEnd w:id="7"/>
      <w:r>
        <w:t xml:space="preserve"> </w:t>
      </w:r>
    </w:p>
    <w:p w:rsidR="006427D0" w:rsidRDefault="006427D0" w:rsidP="006427D0">
      <w:r>
        <w:t xml:space="preserve">Mrs Jane Wilson, a </w:t>
      </w:r>
      <w:r>
        <w:t>74-year-old</w:t>
      </w:r>
      <w:r>
        <w:t xml:space="preserve"> widow living in a community setting in England, is the subject of the case. She has Type 2 Diabetes, early stage dementia, has had a fall recently, and has limited family support. Her health issues impact her independence and daily life and mean that she needs support from more than one health and care professional to keep her life healthy.</w:t>
      </w:r>
    </w:p>
    <w:p w:rsidR="006427D0" w:rsidRDefault="006427D0" w:rsidP="006427D0">
      <w:pPr>
        <w:pStyle w:val="Heading2"/>
      </w:pPr>
      <w:bookmarkStart w:id="8" w:name="_Toc234100131"/>
      <w:r>
        <w:t>3.2 Evaluation of Person-Centred Care</w:t>
      </w:r>
      <w:bookmarkEnd w:id="8"/>
      <w:r>
        <w:t xml:space="preserve"> </w:t>
      </w:r>
    </w:p>
    <w:p w:rsidR="006427D0" w:rsidRDefault="006427D0" w:rsidP="006427D0">
      <w:r>
        <w:t xml:space="preserve">Person-centred care involves actively engaging Mrs Wilson in planning for her care and considering her wishes to live safely at home. Her physical, emotional and social needs are considered as a whole and not just her medical needs, which aligns with personalised care principles outlined by NHS England (2024). The positive aspects of these are that she is more </w:t>
      </w:r>
      <w:r>
        <w:lastRenderedPageBreak/>
        <w:t xml:space="preserve">independent, more satisfied with the care that she gets and sticks to her treatment as it </w:t>
      </w:r>
      <w:proofErr w:type="spellStart"/>
      <w:r>
        <w:t>echos</w:t>
      </w:r>
      <w:proofErr w:type="spellEnd"/>
      <w:r>
        <w:t xml:space="preserve"> her goals (McCormack and </w:t>
      </w:r>
      <w:proofErr w:type="spellStart"/>
      <w:r>
        <w:t>McCance</w:t>
      </w:r>
      <w:proofErr w:type="spellEnd"/>
      <w:r>
        <w:t>, 2021). She may, however, not always be able to make fully informed decisions during early stages of dementia and needs to be continually assessed around her decision making capacity. Overall, person-centred care helps ensure that services are responsive to the person's ongoing needs, rather than the convenience of the organisation, and helps to foster dignity, empower the individual and support their quality of life.</w:t>
      </w:r>
    </w:p>
    <w:p w:rsidR="006427D0" w:rsidRDefault="006427D0" w:rsidP="006427D0">
      <w:pPr>
        <w:pStyle w:val="Heading2"/>
      </w:pPr>
      <w:bookmarkStart w:id="9" w:name="_Toc234100132"/>
      <w:r>
        <w:t>3.3 Evaluation of Partnership Working</w:t>
      </w:r>
      <w:bookmarkEnd w:id="9"/>
      <w:r>
        <w:t xml:space="preserve"> </w:t>
      </w:r>
    </w:p>
    <w:p w:rsidR="006427D0" w:rsidRDefault="006427D0" w:rsidP="006427D0">
      <w:r>
        <w:t>This case example demonstrates good partnership working as the general practitioner works closely with the community nurse, occupational therapist, social worker, physiotherapist and Mrs Wilson's daughter. They work to plan care and support that are coordinated between health and social care services, sharing information to everyone involved in the person's care and support, but utilising specialist skills (Glasby and Dickinson, 2021). Regular multidisciplinary meetings, effective communication between stakeholders helps to foster safer decision making, minimise service duplication and ensure continuity of care, resulting in better clinical outcomes (World Health Organization, 2021). However, communication between partners, or various priorities of professionals in their practice, or the lack of their services can lead to problems in partnership working. However, collaborative practice allows for the assessment of older people's complex needs, timely intervention and integrated support that will better address their needs, that are part of community health and social care.</w:t>
      </w:r>
    </w:p>
    <w:p w:rsidR="006427D0" w:rsidRDefault="006427D0" w:rsidP="006427D0">
      <w:pPr>
        <w:pStyle w:val="Heading2"/>
      </w:pPr>
      <w:bookmarkStart w:id="10" w:name="_Toc234100133"/>
      <w:r>
        <w:t>3.4 Evaluation of Ethical Practice</w:t>
      </w:r>
      <w:bookmarkEnd w:id="10"/>
      <w:r>
        <w:t xml:space="preserve"> </w:t>
      </w:r>
    </w:p>
    <w:p w:rsidR="006427D0" w:rsidRDefault="006427D0" w:rsidP="006427D0">
      <w:r>
        <w:t>There are a few ethical principles appearing throughout the case. Respect for autonomy is shown by including Mrs Wilson in decisions made about her treatment where she is able to do this, in accordance with Mental Capacity Act 2005. Personal information is kept confidential and shared only with those who work in close support of her care, and within the professional guidelines and the UK General Data Protection Regulation. The principles of beneficence and non-maleficence help the professional identify how to support Mrs Wilson's independence, while also safeguarding her from further damage or pain, especially with regards to falls and dementia. Keeping her at home whilst respecting her wish to remain there also brings the wellbeing principle that is set out in the Care Act 2014. Findings include the need for a more frequent review meeting, better support for family carers and a need for more frequent use of digital care planning systems to ensure good communication, continuity of care and shared decision making for the care team (Department of Health and Social Care, 2022).</w:t>
      </w:r>
    </w:p>
    <w:p w:rsidR="006427D0" w:rsidRDefault="006427D0" w:rsidP="006427D0">
      <w:pPr>
        <w:pStyle w:val="Heading1"/>
      </w:pPr>
      <w:bookmarkStart w:id="11" w:name="_Toc234100134"/>
      <w:r>
        <w:t>4. Task 3: Self Reflection as a Future Health and Social Care Professional</w:t>
      </w:r>
      <w:bookmarkEnd w:id="11"/>
      <w:r>
        <w:t xml:space="preserve"> </w:t>
      </w:r>
    </w:p>
    <w:p w:rsidR="006427D0" w:rsidRDefault="006427D0" w:rsidP="006427D0">
      <w:r>
        <w:lastRenderedPageBreak/>
        <w:t>In health and social care, reflective practice is integral to vocational learning and continuous professional development as it helps health and social care professionals to assess experiences, fine-tune decision making and convey the quality of practice. Gibbs' Reflective Cycle offers a clear structure to use when analysing practice and deciding what should be done to further learning and the development of professional competence (Gibbs, 1988).</w:t>
      </w:r>
    </w:p>
    <w:p w:rsidR="006427D0" w:rsidRDefault="006427D0" w:rsidP="006427D0">
      <w:pPr>
        <w:pStyle w:val="Heading2"/>
      </w:pPr>
      <w:bookmarkStart w:id="12" w:name="_Toc234100135"/>
      <w:r>
        <w:t>4.1 Description</w:t>
      </w:r>
      <w:bookmarkEnd w:id="12"/>
      <w:r>
        <w:t xml:space="preserve"> </w:t>
      </w:r>
    </w:p>
    <w:p w:rsidR="006427D0" w:rsidRDefault="006427D0" w:rsidP="006427D0">
      <w:r>
        <w:t>In my role in a simulated practice exercise in a community health and social care placement, I saw a multidisciplinary team supporting an older adult with diabetes, decreased mobility and mild dementia who wanted to live independently. The team was made up of a nurse, social worker, occupational therapist and general practitioner. All professionals were involved in creating a person's individualised care plan, which covered their medical, emotional and social needs. I engaged actively by observing professional communication, discussing priorities for care and thinking about how decisions were made were built on the principle of person-centred care. The experience highlights the challenges of working with other services and also respecting the individual's preferences and the maintenance of standards.</w:t>
      </w:r>
    </w:p>
    <w:p w:rsidR="006427D0" w:rsidRDefault="006427D0" w:rsidP="006427D0">
      <w:pPr>
        <w:pStyle w:val="Heading2"/>
      </w:pPr>
      <w:bookmarkStart w:id="13" w:name="_Toc234100136"/>
      <w:r>
        <w:t>4.2 Feelings</w:t>
      </w:r>
      <w:bookmarkEnd w:id="13"/>
      <w:r>
        <w:t xml:space="preserve"> </w:t>
      </w:r>
    </w:p>
    <w:p w:rsidR="006427D0" w:rsidRDefault="006427D0" w:rsidP="006427D0">
      <w:r>
        <w:t xml:space="preserve">I had an interest and was somewhat anxious when starting the simulation, as my practical experience of working </w:t>
      </w:r>
      <w:r>
        <w:t>multidisciplinary</w:t>
      </w:r>
      <w:r>
        <w:t xml:space="preserve"> was limited. I feared to not understand the roles of various personnel and how decisions were made between two provinces and ethical issues being discussed on complex cases. My confidence gradually built as I watched the communication style as respectful, decisions made collaboratively and the service user was actively involved with the activity throughout. I also realised that being patient, accommodating and good with people is essential when trying to provide great care. This experience inspired me to further my professional knowledge and the significance of team working and lifelong learning in health and social care.</w:t>
      </w:r>
    </w:p>
    <w:p w:rsidR="006427D0" w:rsidRDefault="006427D0" w:rsidP="006427D0">
      <w:pPr>
        <w:pStyle w:val="Heading2"/>
      </w:pPr>
      <w:bookmarkStart w:id="14" w:name="_Toc234100137"/>
      <w:r>
        <w:t>4.3 Evaluation</w:t>
      </w:r>
      <w:bookmarkEnd w:id="14"/>
      <w:r>
        <w:t xml:space="preserve"> </w:t>
      </w:r>
    </w:p>
    <w:p w:rsidR="006427D0" w:rsidRDefault="006427D0" w:rsidP="006427D0">
      <w:r>
        <w:t xml:space="preserve">There were a number of things that worked well. The multidisciplinary team were open, fair, sharing and keeping the service-user's choices in mind throughout the planning process. It provided an example of the applied benefits of person centred care for promoting dignity, independence and shared decision making (McCormack and </w:t>
      </w:r>
      <w:proofErr w:type="spellStart"/>
      <w:r>
        <w:t>McCance</w:t>
      </w:r>
      <w:proofErr w:type="spellEnd"/>
      <w:r>
        <w:t xml:space="preserve">, 2021). Collective effort simultaneously allowed for an evaluation of health and social care needs providing a comprehensive assessment and more coordinated care, thus facilitating a safer person-centred </w:t>
      </w:r>
      <w:r>
        <w:lastRenderedPageBreak/>
        <w:t>approach. Sometimes, however, there did seem to be an emphasis on organizational responsibilities, with the risk of professional priorities becoming obscured by individual preference. Also, having in a complex healthcare setting multiple professionals to coordinate was a significant requirement for time, which can slow decision making. The experience further solidified that good practice requires not just clinical skill but also ethical conduct, communicative behaviours and the ability to partner with patients and practitioners towards positive outcomes (NICE, 2021).</w:t>
      </w:r>
    </w:p>
    <w:p w:rsidR="006427D0" w:rsidRDefault="006427D0" w:rsidP="006427D0">
      <w:pPr>
        <w:pStyle w:val="Heading2"/>
      </w:pPr>
      <w:bookmarkStart w:id="15" w:name="_Toc234100138"/>
      <w:r>
        <w:t>4.4 Analysis</w:t>
      </w:r>
      <w:bookmarkEnd w:id="15"/>
      <w:r>
        <w:t xml:space="preserve"> </w:t>
      </w:r>
    </w:p>
    <w:p w:rsidR="006427D0" w:rsidRDefault="006427D0" w:rsidP="006427D0">
      <w:r>
        <w:t xml:space="preserve">Throughout this experience I understood that the fundamental principles of person-centred care are not just about delivering treatment, but acknowledging each person as a person who is involved in decisions concerning his or her health and wellbeing. McCormack and </w:t>
      </w:r>
      <w:proofErr w:type="spellStart"/>
      <w:r>
        <w:t>McCance</w:t>
      </w:r>
      <w:proofErr w:type="spellEnd"/>
      <w:r>
        <w:t xml:space="preserve"> (2021) explain that practitioners need to establish trusting relationships in healthcare settings that involve respect and shared decision making in relation to people they support. The multidisciplinary approach applied the principles of partnership working by drawing together the various professional viewpoints to be able to respond to the complex needs of children more effectively (Glasby and Dickinson, 2021). Also, it was shown how the principles of ethics were put into practical use with a focus on managing individual patient preferences versus professional responsibilities -- particularly autonomy, beneficence, non-maleficence and justice (Beauchamp and Childress, 2019).</w:t>
      </w:r>
    </w:p>
    <w:p w:rsidR="006427D0" w:rsidRDefault="006427D0" w:rsidP="006427D0">
      <w:r>
        <w:t>In addition, the Care Act 2014 puts individual wellbeing and preventing harm and suffering at the heart of adult social care, and the Health and Care Act 2022 supports the development of integrated care systems, which promotes collaboration between health and social care services. The legislation helps to establish the value of integrated services that address the whole person. The simulation also reflected the professional standards of the Nursing and Midwifery Council which include the following principles: People Come First, Practice Effective and Promoting Professionalism, Preserving Safety (NMC, 2018). Applying Gibbs' Reflective Cycle enabled me to critically evaluate my learning and recognise areas requiring further professional development while strengthening my commitment to compassionate, ethical, and evidence-based practice.</w:t>
      </w:r>
    </w:p>
    <w:p w:rsidR="006427D0" w:rsidRDefault="006427D0" w:rsidP="006427D0">
      <w:pPr>
        <w:pStyle w:val="Heading2"/>
      </w:pPr>
      <w:bookmarkStart w:id="16" w:name="_Toc234100139"/>
      <w:r>
        <w:t>4.5 Conclusion</w:t>
      </w:r>
      <w:bookmarkEnd w:id="16"/>
      <w:r>
        <w:t xml:space="preserve"> </w:t>
      </w:r>
    </w:p>
    <w:p w:rsidR="006427D0" w:rsidRDefault="006427D0" w:rsidP="006427D0">
      <w:r>
        <w:t xml:space="preserve">This reflective activity had a profound impact on my knowledge and understanding of the underpinning principles that enable good health and social care practice. I got to know that person centred care, partnership working and ethical decision making go alongside each other </w:t>
      </w:r>
      <w:r>
        <w:lastRenderedPageBreak/>
        <w:t>and are vital to enable good outcomes for the service user. I used Gibbs' Reflective Cycle to consider my strengths and areas for development, and I recognise how beneficial the professional value of reflective practice is in developing my competence, confidence and accountability in the working environment into the future.</w:t>
      </w:r>
    </w:p>
    <w:p w:rsidR="006427D0" w:rsidRDefault="006427D0" w:rsidP="006427D0">
      <w:pPr>
        <w:pStyle w:val="Heading2"/>
      </w:pPr>
      <w:bookmarkStart w:id="17" w:name="_Toc234100140"/>
      <w:r>
        <w:t>4.6 Action Plan</w:t>
      </w:r>
      <w:bookmarkEnd w:id="17"/>
      <w:r>
        <w:t xml:space="preserve"> </w:t>
      </w:r>
    </w:p>
    <w:p w:rsidR="006427D0" w:rsidRDefault="006427D0" w:rsidP="006427D0">
      <w:r>
        <w:t xml:space="preserve">In order to be a competent health and social care practitioner, I will keep expanding my knowledge by engaging in regular training and evidence-based study and continue to undertake continuing professional development (CPD). I intend to improve my communication skills through multi-disciplinary simulations, and active listening with service users and/or colleagues. In addition, I hope to enhance my teamwork and leadership skills as I continue to learn in such group projects as intended for future placements and jobs. </w:t>
      </w:r>
      <w:r>
        <w:t>Additionally,</w:t>
      </w:r>
      <w:r>
        <w:t xml:space="preserve"> I will keep up to date with legal frameworks, professional advice and ethics which will guarantee legal compliance and person centred practice (Glasby &amp; Dickinson, 2021). The use of Gibbs' model on a regular basis will help me to check myself, recognise learning opportunities and continually enhance the quality of the care that I provide.</w:t>
      </w:r>
    </w:p>
    <w:p w:rsidR="006427D0" w:rsidRDefault="006427D0" w:rsidP="006427D0">
      <w:pPr>
        <w:pStyle w:val="Heading1"/>
      </w:pPr>
      <w:bookmarkStart w:id="18" w:name="_Toc234100141"/>
      <w:r>
        <w:t>5. Conclusion</w:t>
      </w:r>
      <w:bookmarkEnd w:id="18"/>
      <w:r>
        <w:t xml:space="preserve"> </w:t>
      </w:r>
    </w:p>
    <w:p w:rsidR="00A937E8" w:rsidRPr="00A937E8" w:rsidRDefault="006427D0" w:rsidP="006427D0">
      <w:r>
        <w:t>The principles of person centred working, partnership working and ethical practice are essential to the provision of safe, effective and caring health and social care. The principles allow professionals to support the whole person and offer opportunities for dignity, respect and partnership decision making. The application of Gibbs' Reflective Cycle has been shown to be important for the assessment and enhancement of professional experiences in the areas of knowledge, skills and ethical awareness. Continuous professional development, supported by legislation, professional standards, and evidence-based practice, will enable me to provide high-quality care and contribute positively to multidisciplinary teams throughout my future c</w:t>
      </w:r>
      <w:r>
        <w:t>areer in health and social care</w:t>
      </w:r>
      <w:r w:rsidR="00A937E8" w:rsidRPr="00A937E8">
        <w:t>.</w:t>
      </w:r>
    </w:p>
    <w:p w:rsidR="00A937E8" w:rsidRDefault="00A937E8">
      <w:pPr>
        <w:spacing w:before="0" w:after="160"/>
      </w:pPr>
      <w:r>
        <w:br w:type="page"/>
      </w:r>
    </w:p>
    <w:p w:rsidR="00A937E8" w:rsidRPr="00A937E8" w:rsidRDefault="00A937E8" w:rsidP="00A33D0F">
      <w:pPr>
        <w:pStyle w:val="Heading1"/>
      </w:pPr>
      <w:bookmarkStart w:id="19" w:name="_Toc234100142"/>
      <w:r w:rsidRPr="00A937E8">
        <w:lastRenderedPageBreak/>
        <w:t>Reference List</w:t>
      </w:r>
      <w:bookmarkEnd w:id="19"/>
    </w:p>
    <w:p w:rsidR="00A33D0F" w:rsidRPr="00A33D0F" w:rsidRDefault="00A33D0F" w:rsidP="00A33D0F">
      <w:pPr>
        <w:ind w:left="720" w:hanging="720"/>
      </w:pPr>
      <w:r w:rsidRPr="00A33D0F">
        <w:t xml:space="preserve">Beauchamp, T.L. and Childress, J.F. (2019). </w:t>
      </w:r>
      <w:r w:rsidRPr="00A33D0F">
        <w:rPr>
          <w:i/>
          <w:iCs/>
        </w:rPr>
        <w:t>Principles of biomedical ethics</w:t>
      </w:r>
      <w:r w:rsidRPr="00A33D0F">
        <w:t>. 8th ed. New York: Oxford University Press.</w:t>
      </w:r>
    </w:p>
    <w:p w:rsidR="00A33D0F" w:rsidRPr="00A33D0F" w:rsidRDefault="00A33D0F" w:rsidP="00A33D0F">
      <w:pPr>
        <w:ind w:left="720" w:hanging="720"/>
      </w:pPr>
      <w:r w:rsidRPr="00A33D0F">
        <w:t>Care Act 2014. (2014). London: The Stationery Office.</w:t>
      </w:r>
    </w:p>
    <w:p w:rsidR="00A33D0F" w:rsidRPr="00A33D0F" w:rsidRDefault="00A33D0F" w:rsidP="00A33D0F">
      <w:pPr>
        <w:ind w:left="720" w:hanging="720"/>
      </w:pPr>
      <w:r w:rsidRPr="00A33D0F">
        <w:t xml:space="preserve">Care Quality Commission. (2023). </w:t>
      </w:r>
      <w:r w:rsidRPr="00A33D0F">
        <w:rPr>
          <w:i/>
          <w:iCs/>
        </w:rPr>
        <w:t>The state of health care and adult social care in England 2022/23</w:t>
      </w:r>
      <w:r w:rsidRPr="00A33D0F">
        <w:t>. London: Care Quality Commission.</w:t>
      </w:r>
    </w:p>
    <w:p w:rsidR="00A33D0F" w:rsidRPr="00A33D0F" w:rsidRDefault="00A33D0F" w:rsidP="00A33D0F">
      <w:pPr>
        <w:ind w:left="720" w:hanging="720"/>
      </w:pPr>
      <w:r w:rsidRPr="00A33D0F">
        <w:t xml:space="preserve">Department of Health and Social Care. (2022). </w:t>
      </w:r>
      <w:r w:rsidRPr="00A33D0F">
        <w:rPr>
          <w:i/>
          <w:iCs/>
        </w:rPr>
        <w:t>Health and Care Act 2022</w:t>
      </w:r>
      <w:r w:rsidRPr="00A33D0F">
        <w:t>. London: The Stationery Office.</w:t>
      </w:r>
    </w:p>
    <w:p w:rsidR="00A33D0F" w:rsidRPr="00A33D0F" w:rsidRDefault="00A33D0F" w:rsidP="00A33D0F">
      <w:pPr>
        <w:ind w:left="720" w:hanging="720"/>
      </w:pPr>
      <w:r w:rsidRPr="00A33D0F">
        <w:t xml:space="preserve">Gibbs, G. (1988). </w:t>
      </w:r>
      <w:r w:rsidRPr="00A33D0F">
        <w:rPr>
          <w:i/>
          <w:iCs/>
        </w:rPr>
        <w:t>Learning by doing: A guide to teaching and learning methods</w:t>
      </w:r>
      <w:r w:rsidRPr="00A33D0F">
        <w:t>. Oxford: Oxford Polytechnic.</w:t>
      </w:r>
    </w:p>
    <w:p w:rsidR="00A33D0F" w:rsidRPr="00A33D0F" w:rsidRDefault="00A33D0F" w:rsidP="00A33D0F">
      <w:pPr>
        <w:ind w:left="720" w:hanging="720"/>
      </w:pPr>
      <w:r w:rsidRPr="00A33D0F">
        <w:t xml:space="preserve">Glasby, J. and Dickinson, H. (2021). </w:t>
      </w:r>
      <w:r w:rsidRPr="00A33D0F">
        <w:rPr>
          <w:i/>
          <w:iCs/>
        </w:rPr>
        <w:t>Partnership working in health and social care</w:t>
      </w:r>
      <w:r w:rsidRPr="00A33D0F">
        <w:t>. 3rd ed. Bristol: Policy Press.</w:t>
      </w:r>
    </w:p>
    <w:p w:rsidR="00A33D0F" w:rsidRPr="00A33D0F" w:rsidRDefault="00A33D0F" w:rsidP="00A33D0F">
      <w:pPr>
        <w:ind w:left="720" w:hanging="720"/>
      </w:pPr>
      <w:r w:rsidRPr="00A33D0F">
        <w:t xml:space="preserve">Health Education England. (2022). </w:t>
      </w:r>
      <w:r w:rsidRPr="00A33D0F">
        <w:rPr>
          <w:i/>
          <w:iCs/>
        </w:rPr>
        <w:t>Person-centred approaches framework</w:t>
      </w:r>
      <w:r w:rsidRPr="00A33D0F">
        <w:t>. London: Health Education England.</w:t>
      </w:r>
    </w:p>
    <w:p w:rsidR="00A33D0F" w:rsidRPr="00A33D0F" w:rsidRDefault="00A33D0F" w:rsidP="00A33D0F">
      <w:pPr>
        <w:ind w:left="720" w:hanging="720"/>
      </w:pPr>
      <w:r w:rsidRPr="00A33D0F">
        <w:t xml:space="preserve">Maslow, A.H. (1943). A theory of human motivation. </w:t>
      </w:r>
      <w:r w:rsidRPr="00A33D0F">
        <w:rPr>
          <w:i/>
          <w:iCs/>
        </w:rPr>
        <w:t>Psychological Review</w:t>
      </w:r>
      <w:r w:rsidRPr="00A33D0F">
        <w:t>, 50(4), pp.370–396.</w:t>
      </w:r>
    </w:p>
    <w:p w:rsidR="00A33D0F" w:rsidRPr="00A33D0F" w:rsidRDefault="00A33D0F" w:rsidP="00A33D0F">
      <w:pPr>
        <w:ind w:left="720" w:hanging="720"/>
      </w:pPr>
      <w:r w:rsidRPr="00A33D0F">
        <w:t xml:space="preserve">McCormack, B. and </w:t>
      </w:r>
      <w:proofErr w:type="spellStart"/>
      <w:r w:rsidRPr="00A33D0F">
        <w:t>McCance</w:t>
      </w:r>
      <w:proofErr w:type="spellEnd"/>
      <w:r w:rsidRPr="00A33D0F">
        <w:t xml:space="preserve">, T. (2021). </w:t>
      </w:r>
      <w:r w:rsidRPr="00A33D0F">
        <w:rPr>
          <w:i/>
          <w:iCs/>
        </w:rPr>
        <w:t>Person-centred practice in nursing and health care: Theory and practice</w:t>
      </w:r>
      <w:r w:rsidRPr="00A33D0F">
        <w:t>. 3rd ed. Oxford: Wiley-Blackwell.</w:t>
      </w:r>
    </w:p>
    <w:p w:rsidR="00A33D0F" w:rsidRPr="00A33D0F" w:rsidRDefault="00A33D0F" w:rsidP="00A33D0F">
      <w:pPr>
        <w:ind w:left="720" w:hanging="720"/>
      </w:pPr>
      <w:r w:rsidRPr="00A33D0F">
        <w:t xml:space="preserve">National Institute for Health and Care Excellence. (2021). </w:t>
      </w:r>
      <w:r w:rsidRPr="00A33D0F">
        <w:rPr>
          <w:i/>
          <w:iCs/>
        </w:rPr>
        <w:t>Shared decision making (NG197)</w:t>
      </w:r>
      <w:r w:rsidRPr="00A33D0F">
        <w:t>. London: NICE.</w:t>
      </w:r>
    </w:p>
    <w:p w:rsidR="00A33D0F" w:rsidRPr="00A33D0F" w:rsidRDefault="00A33D0F" w:rsidP="00A33D0F">
      <w:pPr>
        <w:ind w:left="720" w:hanging="720"/>
      </w:pPr>
      <w:r w:rsidRPr="00A33D0F">
        <w:t xml:space="preserve">NHS England. (2021). </w:t>
      </w:r>
      <w:r w:rsidRPr="00A33D0F">
        <w:rPr>
          <w:i/>
          <w:iCs/>
        </w:rPr>
        <w:t>Integrated care systems: Guidance</w:t>
      </w:r>
      <w:r w:rsidRPr="00A33D0F">
        <w:t>. London: NHS England.</w:t>
      </w:r>
    </w:p>
    <w:p w:rsidR="00A33D0F" w:rsidRPr="00A33D0F" w:rsidRDefault="00A33D0F" w:rsidP="00A33D0F">
      <w:pPr>
        <w:ind w:left="720" w:hanging="720"/>
      </w:pPr>
      <w:r w:rsidRPr="00A33D0F">
        <w:t xml:space="preserve">NHS England. (2024). </w:t>
      </w:r>
      <w:r w:rsidRPr="00A33D0F">
        <w:rPr>
          <w:i/>
          <w:iCs/>
        </w:rPr>
        <w:t>Universal personalised care</w:t>
      </w:r>
      <w:r w:rsidRPr="00A33D0F">
        <w:t>. London: NHS England.</w:t>
      </w:r>
    </w:p>
    <w:p w:rsidR="00A33D0F" w:rsidRPr="00A33D0F" w:rsidRDefault="00A33D0F" w:rsidP="00A33D0F">
      <w:pPr>
        <w:ind w:left="720" w:hanging="720"/>
      </w:pPr>
      <w:r w:rsidRPr="00A33D0F">
        <w:t xml:space="preserve">Nursing and Midwifery Council. (2018). </w:t>
      </w:r>
      <w:r w:rsidRPr="00A33D0F">
        <w:rPr>
          <w:i/>
          <w:iCs/>
        </w:rPr>
        <w:t>The Code: Professional standards of practice and behaviour for nurses, midwives and nursing associates</w:t>
      </w:r>
      <w:r w:rsidRPr="00A33D0F">
        <w:t>. London: Nursing and Midwifery Council.</w:t>
      </w:r>
    </w:p>
    <w:p w:rsidR="00A33D0F" w:rsidRPr="00A33D0F" w:rsidRDefault="00A33D0F" w:rsidP="00A33D0F">
      <w:pPr>
        <w:ind w:left="720" w:hanging="720"/>
      </w:pPr>
      <w:r w:rsidRPr="00A33D0F">
        <w:t xml:space="preserve">World Health Organization. (2021). </w:t>
      </w:r>
      <w:r w:rsidRPr="00A33D0F">
        <w:rPr>
          <w:i/>
          <w:iCs/>
        </w:rPr>
        <w:t>Integrated people-centred care</w:t>
      </w:r>
      <w:r w:rsidRPr="00A33D0F">
        <w:t>. Geneva: World Health Organization.</w:t>
      </w:r>
    </w:p>
    <w:p w:rsidR="00802E4F" w:rsidRDefault="00802E4F"/>
    <w:sectPr w:rsidR="00802E4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1D8" w:rsidRDefault="005861D8" w:rsidP="002B12A5">
      <w:pPr>
        <w:spacing w:before="0" w:after="0" w:line="240" w:lineRule="auto"/>
      </w:pPr>
      <w:r>
        <w:separator/>
      </w:r>
    </w:p>
  </w:endnote>
  <w:endnote w:type="continuationSeparator" w:id="0">
    <w:p w:rsidR="005861D8" w:rsidRDefault="005861D8" w:rsidP="002B12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34" w:rsidRDefault="00F35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424486"/>
      <w:docPartObj>
        <w:docPartGallery w:val="Page Numbers (Bottom of Page)"/>
        <w:docPartUnique/>
      </w:docPartObj>
    </w:sdtPr>
    <w:sdtEndPr>
      <w:rPr>
        <w:color w:val="7F7F7F" w:themeColor="background1" w:themeShade="7F"/>
        <w:spacing w:val="60"/>
      </w:rPr>
    </w:sdtEndPr>
    <w:sdtContent>
      <w:p w:rsidR="002B12A5" w:rsidRDefault="002B12A5">
        <w:pPr>
          <w:pStyle w:val="Footer"/>
          <w:pBdr>
            <w:top w:val="single" w:sz="4" w:space="1" w:color="D9D9D9" w:themeColor="background1" w:themeShade="D9"/>
          </w:pBdr>
          <w:jc w:val="right"/>
        </w:pPr>
        <w:r>
          <w:fldChar w:fldCharType="begin"/>
        </w:r>
        <w:r>
          <w:instrText xml:space="preserve"> PAGE   \* MERGEFORMAT </w:instrText>
        </w:r>
        <w:r>
          <w:fldChar w:fldCharType="separate"/>
        </w:r>
        <w:r w:rsidR="00CB1058">
          <w:rPr>
            <w:noProof/>
          </w:rPr>
          <w:t>9</w:t>
        </w:r>
        <w:r>
          <w:rPr>
            <w:noProof/>
          </w:rPr>
          <w:fldChar w:fldCharType="end"/>
        </w:r>
        <w:r>
          <w:t xml:space="preserve"> | </w:t>
        </w:r>
        <w:r>
          <w:rPr>
            <w:color w:val="7F7F7F" w:themeColor="background1" w:themeShade="7F"/>
            <w:spacing w:val="60"/>
          </w:rPr>
          <w:t>Page</w:t>
        </w:r>
      </w:p>
    </w:sdtContent>
  </w:sdt>
  <w:p w:rsidR="002B12A5" w:rsidRDefault="002B12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34" w:rsidRDefault="00F35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1D8" w:rsidRDefault="005861D8" w:rsidP="002B12A5">
      <w:pPr>
        <w:spacing w:before="0" w:after="0" w:line="240" w:lineRule="auto"/>
      </w:pPr>
      <w:r>
        <w:separator/>
      </w:r>
    </w:p>
  </w:footnote>
  <w:footnote w:type="continuationSeparator" w:id="0">
    <w:p w:rsidR="005861D8" w:rsidRDefault="005861D8" w:rsidP="002B12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34" w:rsidRDefault="00F35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34" w:rsidRDefault="00F35F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34" w:rsidRDefault="00F35F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E8"/>
    <w:rsid w:val="00005525"/>
    <w:rsid w:val="00137DE9"/>
    <w:rsid w:val="001421D2"/>
    <w:rsid w:val="002B12A5"/>
    <w:rsid w:val="003606F0"/>
    <w:rsid w:val="00406960"/>
    <w:rsid w:val="005861D8"/>
    <w:rsid w:val="006427D0"/>
    <w:rsid w:val="00651A3F"/>
    <w:rsid w:val="00802E4F"/>
    <w:rsid w:val="008121A2"/>
    <w:rsid w:val="008842E1"/>
    <w:rsid w:val="00964EEA"/>
    <w:rsid w:val="00997292"/>
    <w:rsid w:val="00A25548"/>
    <w:rsid w:val="00A33D0F"/>
    <w:rsid w:val="00A937E8"/>
    <w:rsid w:val="00C427AE"/>
    <w:rsid w:val="00CB1058"/>
    <w:rsid w:val="00DA3597"/>
    <w:rsid w:val="00DB23DD"/>
    <w:rsid w:val="00F35F34"/>
    <w:rsid w:val="00F51380"/>
    <w:rsid w:val="00F7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848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Heading2"/>
    <w:next w:val="Normal"/>
    <w:link w:val="Heading1Char"/>
    <w:qFormat/>
    <w:rsid w:val="008121A2"/>
    <w:pPr>
      <w:keepNext w:val="0"/>
      <w:keepLines w:val="0"/>
      <w:spacing w:before="80"/>
      <w:outlineLvl w:val="0"/>
    </w:pPr>
    <w:rPr>
      <w:rFonts w:eastAsia="Calibri" w:cstheme="minorHAnsi"/>
      <w:color w:val="2F5496" w:themeColor="accent5" w:themeShade="BF"/>
      <w:sz w:val="28"/>
      <w:szCs w:val="28"/>
      <w:lang w:val="en-US"/>
    </w:rPr>
  </w:style>
  <w:style w:type="paragraph" w:styleId="Heading2">
    <w:name w:val="heading 2"/>
    <w:basedOn w:val="Normal"/>
    <w:next w:val="Normal"/>
    <w:link w:val="Heading2Char"/>
    <w:uiPriority w:val="9"/>
    <w:unhideWhenUsed/>
    <w:qFormat/>
    <w:rsid w:val="00406960"/>
    <w:pPr>
      <w:keepNext/>
      <w:keepLines/>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005525"/>
    <w:pPr>
      <w:keepNext/>
      <w:keepLines/>
      <w:spacing w:before="40" w:after="0"/>
      <w:outlineLvl w:val="2"/>
    </w:pPr>
    <w:rPr>
      <w:b/>
      <w:kern w:val="2"/>
      <w:szCs w:val="24"/>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21A2"/>
    <w:rPr>
      <w:rFonts w:ascii="Times New Roman" w:eastAsia="Calibri" w:hAnsi="Times New Roman" w:cstheme="minorHAnsi"/>
      <w:b/>
      <w:color w:val="2F5496" w:themeColor="accent5" w:themeShade="BF"/>
      <w:sz w:val="28"/>
      <w:szCs w:val="28"/>
      <w:lang w:val="en-US"/>
    </w:rPr>
  </w:style>
  <w:style w:type="character" w:customStyle="1" w:styleId="Heading2Char">
    <w:name w:val="Heading 2 Char"/>
    <w:basedOn w:val="DefaultParagraphFont"/>
    <w:link w:val="Heading2"/>
    <w:uiPriority w:val="9"/>
    <w:rsid w:val="00406960"/>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05525"/>
    <w:rPr>
      <w:rFonts w:ascii="Times New Roman" w:hAnsi="Times New Roman" w:cs="Times New Roman"/>
      <w:b/>
      <w:kern w:val="2"/>
      <w:sz w:val="24"/>
      <w:szCs w:val="24"/>
      <w:lang w:eastAsia="en-GB"/>
      <w14:ligatures w14:val="standardContextual"/>
    </w:rPr>
  </w:style>
  <w:style w:type="character" w:styleId="Hyperlink">
    <w:name w:val="Hyperlink"/>
    <w:basedOn w:val="DefaultParagraphFont"/>
    <w:uiPriority w:val="99"/>
    <w:unhideWhenUsed/>
    <w:rsid w:val="00A937E8"/>
    <w:rPr>
      <w:color w:val="0563C1" w:themeColor="hyperlink"/>
      <w:u w:val="single"/>
    </w:rPr>
  </w:style>
  <w:style w:type="paragraph" w:styleId="TOCHeading">
    <w:name w:val="TOC Heading"/>
    <w:basedOn w:val="Heading1"/>
    <w:next w:val="Normal"/>
    <w:uiPriority w:val="39"/>
    <w:unhideWhenUsed/>
    <w:qFormat/>
    <w:rsid w:val="002B12A5"/>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B12A5"/>
    <w:pPr>
      <w:spacing w:after="100"/>
    </w:pPr>
  </w:style>
  <w:style w:type="paragraph" w:styleId="TOC2">
    <w:name w:val="toc 2"/>
    <w:basedOn w:val="Normal"/>
    <w:next w:val="Normal"/>
    <w:autoRedefine/>
    <w:uiPriority w:val="39"/>
    <w:unhideWhenUsed/>
    <w:rsid w:val="002B12A5"/>
    <w:pPr>
      <w:spacing w:after="100"/>
      <w:ind w:left="240"/>
    </w:pPr>
  </w:style>
  <w:style w:type="paragraph" w:styleId="Header">
    <w:name w:val="header"/>
    <w:basedOn w:val="Normal"/>
    <w:link w:val="HeaderChar"/>
    <w:uiPriority w:val="99"/>
    <w:unhideWhenUsed/>
    <w:rsid w:val="002B12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B12A5"/>
    <w:rPr>
      <w:rFonts w:ascii="Times New Roman" w:hAnsi="Times New Roman" w:cs="Times New Roman"/>
      <w:sz w:val="24"/>
      <w:szCs w:val="20"/>
    </w:rPr>
  </w:style>
  <w:style w:type="paragraph" w:styleId="Footer">
    <w:name w:val="footer"/>
    <w:basedOn w:val="Normal"/>
    <w:link w:val="FooterChar"/>
    <w:uiPriority w:val="99"/>
    <w:unhideWhenUsed/>
    <w:rsid w:val="002B12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B12A5"/>
    <w:rPr>
      <w:rFonts w:ascii="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3156">
      <w:bodyDiv w:val="1"/>
      <w:marLeft w:val="0"/>
      <w:marRight w:val="0"/>
      <w:marTop w:val="0"/>
      <w:marBottom w:val="0"/>
      <w:divBdr>
        <w:top w:val="none" w:sz="0" w:space="0" w:color="auto"/>
        <w:left w:val="none" w:sz="0" w:space="0" w:color="auto"/>
        <w:bottom w:val="none" w:sz="0" w:space="0" w:color="auto"/>
        <w:right w:val="none" w:sz="0" w:space="0" w:color="auto"/>
      </w:divBdr>
    </w:div>
    <w:div w:id="597563120">
      <w:bodyDiv w:val="1"/>
      <w:marLeft w:val="0"/>
      <w:marRight w:val="0"/>
      <w:marTop w:val="0"/>
      <w:marBottom w:val="0"/>
      <w:divBdr>
        <w:top w:val="none" w:sz="0" w:space="0" w:color="auto"/>
        <w:left w:val="none" w:sz="0" w:space="0" w:color="auto"/>
        <w:bottom w:val="none" w:sz="0" w:space="0" w:color="auto"/>
        <w:right w:val="none" w:sz="0" w:space="0" w:color="auto"/>
      </w:divBdr>
    </w:div>
    <w:div w:id="676423651">
      <w:bodyDiv w:val="1"/>
      <w:marLeft w:val="0"/>
      <w:marRight w:val="0"/>
      <w:marTop w:val="0"/>
      <w:marBottom w:val="0"/>
      <w:divBdr>
        <w:top w:val="none" w:sz="0" w:space="0" w:color="auto"/>
        <w:left w:val="none" w:sz="0" w:space="0" w:color="auto"/>
        <w:bottom w:val="none" w:sz="0" w:space="0" w:color="auto"/>
        <w:right w:val="none" w:sz="0" w:space="0" w:color="auto"/>
      </w:divBdr>
    </w:div>
    <w:div w:id="826894594">
      <w:bodyDiv w:val="1"/>
      <w:marLeft w:val="0"/>
      <w:marRight w:val="0"/>
      <w:marTop w:val="0"/>
      <w:marBottom w:val="0"/>
      <w:divBdr>
        <w:top w:val="none" w:sz="0" w:space="0" w:color="auto"/>
        <w:left w:val="none" w:sz="0" w:space="0" w:color="auto"/>
        <w:bottom w:val="none" w:sz="0" w:space="0" w:color="auto"/>
        <w:right w:val="none" w:sz="0" w:space="0" w:color="auto"/>
      </w:divBdr>
    </w:div>
    <w:div w:id="209709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1F6653-6A65-43D8-B366-03F8CD68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2842</Words>
  <Characters>16205</Characters>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2026-07-04T16:22:00Z</dcterms:created>
  <dcterms:modified xsi:type="dcterms:W3CDTF">2026-07-04T17:28:00Z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02eaa452-ec75-4e41-85ca-19e18a916d6c</vt:lpwstr>
  </property>
</Properties>
</file>