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FE30DB" w14:textId="05B484FC" w:rsidR="00383B5C" w:rsidRPr="00ED2901" w:rsidRDefault="00383B5C" w:rsidP="00ED2901">
      <w:pPr>
        <w:spacing w:line="360" w:lineRule="auto"/>
        <w:jc w:val="both"/>
        <w:rPr>
          <w:rFonts w:ascii="Arial" w:hAnsi="Arial" w:cs="Arial"/>
          <w:b/>
          <w:bCs/>
          <w:sz w:val="22"/>
          <w:szCs w:val="22"/>
        </w:rPr>
      </w:pPr>
      <w:r w:rsidRPr="00ED2901">
        <w:rPr>
          <w:rFonts w:ascii="Arial" w:hAnsi="Arial" w:cs="Arial"/>
          <w:b/>
          <w:bCs/>
          <w:sz w:val="22"/>
          <w:szCs w:val="22"/>
        </w:rPr>
        <w:t xml:space="preserve">PART ONE: </w:t>
      </w:r>
      <w:r w:rsidR="005D7D96" w:rsidRPr="00ED2901">
        <w:rPr>
          <w:rFonts w:ascii="Arial" w:hAnsi="Arial" w:cs="Arial"/>
          <w:b/>
          <w:bCs/>
          <w:sz w:val="22"/>
          <w:szCs w:val="22"/>
        </w:rPr>
        <w:t>PORTFOLIO – ARTEFACT DEVELOPMENT</w:t>
      </w:r>
    </w:p>
    <w:p w14:paraId="0CA510E9" w14:textId="2058B828" w:rsidR="00383B5C" w:rsidRPr="00ED2901" w:rsidRDefault="0020428C" w:rsidP="00ED2901">
      <w:pPr>
        <w:spacing w:line="360" w:lineRule="auto"/>
        <w:jc w:val="both"/>
        <w:rPr>
          <w:rFonts w:ascii="Arial" w:hAnsi="Arial" w:cs="Arial"/>
          <w:b/>
          <w:bCs/>
          <w:sz w:val="22"/>
          <w:szCs w:val="22"/>
        </w:rPr>
      </w:pPr>
      <w:r w:rsidRPr="00ED2901">
        <w:rPr>
          <w:rFonts w:ascii="Arial" w:hAnsi="Arial" w:cs="Arial"/>
          <w:b/>
          <w:bCs/>
          <w:i/>
          <w:iCs/>
          <w:sz w:val="22"/>
          <w:szCs w:val="22"/>
        </w:rPr>
        <w:t>ATS</w:t>
      </w:r>
      <w:r w:rsidR="00383B5C" w:rsidRPr="00ED2901">
        <w:rPr>
          <w:rFonts w:ascii="Arial" w:hAnsi="Arial" w:cs="Arial"/>
          <w:b/>
          <w:bCs/>
          <w:i/>
          <w:iCs/>
          <w:sz w:val="22"/>
          <w:szCs w:val="22"/>
        </w:rPr>
        <w:t xml:space="preserve"> – A Trans-Inclusive Framework for Developing the Belt Voice</w:t>
      </w:r>
    </w:p>
    <w:p w14:paraId="1173001D" w14:textId="722054D4" w:rsidR="007F3193" w:rsidRPr="00ED2901" w:rsidRDefault="007F3193" w:rsidP="00ED2901">
      <w:pPr>
        <w:spacing w:line="360" w:lineRule="auto"/>
        <w:jc w:val="both"/>
        <w:rPr>
          <w:rFonts w:ascii="Arial" w:hAnsi="Arial" w:cs="Arial"/>
          <w:b/>
          <w:bCs/>
          <w:sz w:val="22"/>
          <w:szCs w:val="22"/>
        </w:rPr>
      </w:pPr>
      <w:r w:rsidRPr="00ED2901">
        <w:rPr>
          <w:rFonts w:ascii="Arial" w:hAnsi="Arial" w:cs="Arial"/>
          <w:b/>
          <w:bCs/>
          <w:sz w:val="22"/>
          <w:szCs w:val="22"/>
        </w:rPr>
        <w:t>Introduction</w:t>
      </w:r>
    </w:p>
    <w:p w14:paraId="510C8A26" w14:textId="5E7805E9" w:rsidR="0020428C" w:rsidRPr="00ED2901" w:rsidRDefault="0020428C" w:rsidP="00ED2901">
      <w:pPr>
        <w:spacing w:line="360" w:lineRule="auto"/>
        <w:jc w:val="both"/>
        <w:rPr>
          <w:rFonts w:ascii="Arial" w:hAnsi="Arial" w:cs="Arial"/>
          <w:sz w:val="22"/>
          <w:szCs w:val="22"/>
        </w:rPr>
      </w:pPr>
      <w:r w:rsidRPr="00ED2901">
        <w:rPr>
          <w:rFonts w:ascii="Arial" w:hAnsi="Arial" w:cs="Arial"/>
          <w:sz w:val="22"/>
          <w:szCs w:val="22"/>
        </w:rPr>
        <w:t>T</w:t>
      </w:r>
      <w:r w:rsidR="005D649D" w:rsidRPr="00ED2901">
        <w:rPr>
          <w:rFonts w:ascii="Arial" w:hAnsi="Arial" w:cs="Arial"/>
          <w:sz w:val="22"/>
          <w:szCs w:val="22"/>
        </w:rPr>
        <w:t xml:space="preserve">he artefact titled </w:t>
      </w:r>
      <w:r w:rsidR="005D649D" w:rsidRPr="00ED2901">
        <w:rPr>
          <w:rFonts w:ascii="Arial" w:hAnsi="Arial" w:cs="Arial"/>
          <w:i/>
          <w:iCs/>
          <w:sz w:val="22"/>
          <w:szCs w:val="22"/>
        </w:rPr>
        <w:t>“</w:t>
      </w:r>
      <w:r w:rsidRPr="00ED2901">
        <w:rPr>
          <w:rFonts w:ascii="Arial" w:hAnsi="Arial" w:cs="Arial"/>
          <w:i/>
          <w:iCs/>
          <w:sz w:val="22"/>
          <w:szCs w:val="22"/>
        </w:rPr>
        <w:t>ATS</w:t>
      </w:r>
      <w:r w:rsidR="005D649D" w:rsidRPr="00ED2901">
        <w:rPr>
          <w:rFonts w:ascii="Arial" w:hAnsi="Arial" w:cs="Arial"/>
          <w:i/>
          <w:iCs/>
          <w:sz w:val="22"/>
          <w:szCs w:val="22"/>
        </w:rPr>
        <w:t>: A Trans-Inclusive Framework for Developing the Belt Voice.”</w:t>
      </w:r>
      <w:r w:rsidR="005D649D" w:rsidRPr="00ED2901">
        <w:rPr>
          <w:rFonts w:ascii="Arial" w:hAnsi="Arial" w:cs="Arial"/>
          <w:sz w:val="22"/>
          <w:szCs w:val="22"/>
        </w:rPr>
        <w:t xml:space="preserve"> </w:t>
      </w:r>
    </w:p>
    <w:p w14:paraId="191C76BC" w14:textId="77777777" w:rsidR="0020428C" w:rsidRPr="00ED2901" w:rsidRDefault="0020428C" w:rsidP="00ED2901">
      <w:pPr>
        <w:spacing w:line="360" w:lineRule="auto"/>
        <w:jc w:val="both"/>
        <w:rPr>
          <w:rFonts w:ascii="Arial" w:hAnsi="Arial" w:cs="Arial"/>
          <w:sz w:val="22"/>
          <w:szCs w:val="22"/>
        </w:rPr>
      </w:pPr>
      <w:r w:rsidRPr="00ED2901">
        <w:rPr>
          <w:rFonts w:ascii="Arial" w:hAnsi="Arial" w:cs="Arial"/>
          <w:sz w:val="22"/>
          <w:szCs w:val="22"/>
        </w:rPr>
        <w:t>is a pedagogical model designed to support trans and non-binary musical theatre performers.</w:t>
      </w:r>
    </w:p>
    <w:p w14:paraId="18BEE62D" w14:textId="7AF06901" w:rsidR="0020428C" w:rsidRPr="00ED2901" w:rsidRDefault="00FE2FD3" w:rsidP="00ED2901">
      <w:pPr>
        <w:spacing w:line="360" w:lineRule="auto"/>
        <w:jc w:val="both"/>
        <w:rPr>
          <w:rFonts w:ascii="Arial" w:hAnsi="Arial" w:cs="Arial"/>
          <w:sz w:val="22"/>
          <w:szCs w:val="22"/>
        </w:rPr>
      </w:pPr>
      <w:r w:rsidRPr="00ED2901">
        <w:rPr>
          <w:rFonts w:ascii="Arial" w:hAnsi="Arial" w:cs="Arial"/>
          <w:sz w:val="22"/>
          <w:szCs w:val="22"/>
        </w:rPr>
        <w:t xml:space="preserve"> </w:t>
      </w:r>
      <w:r w:rsidR="0020428C" w:rsidRPr="00ED2901">
        <w:rPr>
          <w:rFonts w:ascii="Arial" w:hAnsi="Arial" w:cs="Arial"/>
          <w:sz w:val="22"/>
          <w:szCs w:val="22"/>
        </w:rPr>
        <w:t>It addresses a key problem: dominant Acting Through Song (ATS) methodologies assume binary gender norms, shaping vocal expectations and repertoire in ways that often create technical and emotional dissonance.</w:t>
      </w:r>
    </w:p>
    <w:p w14:paraId="37125EB3" w14:textId="77777777" w:rsidR="0020428C" w:rsidRPr="00ED2901" w:rsidRDefault="0020428C" w:rsidP="00ED2901">
      <w:pPr>
        <w:spacing w:line="360" w:lineRule="auto"/>
        <w:jc w:val="both"/>
        <w:rPr>
          <w:rFonts w:ascii="Arial" w:hAnsi="Arial" w:cs="Arial"/>
          <w:sz w:val="22"/>
          <w:szCs w:val="22"/>
        </w:rPr>
      </w:pPr>
      <w:r w:rsidRPr="00ED2901">
        <w:rPr>
          <w:rFonts w:ascii="Arial" w:hAnsi="Arial" w:cs="Arial"/>
          <w:sz w:val="22"/>
          <w:szCs w:val="22"/>
        </w:rPr>
        <w:t>The solution offered is a framework that integrates belt voice development with identity-affirming ATS practices, providing teachers and coaches with adaptable strategies that promote psychological safety and artistic authenticity.</w:t>
      </w:r>
    </w:p>
    <w:p w14:paraId="38AA4672" w14:textId="0060BD70" w:rsidR="00FE2FD3" w:rsidRPr="00ED2901" w:rsidRDefault="00FE2FD3" w:rsidP="00ED2901">
      <w:pPr>
        <w:pStyle w:val="NormalWeb"/>
        <w:spacing w:line="360" w:lineRule="auto"/>
        <w:jc w:val="both"/>
        <w:rPr>
          <w:rFonts w:ascii="Arial" w:hAnsi="Arial" w:cs="Arial"/>
          <w:sz w:val="22"/>
          <w:szCs w:val="22"/>
        </w:rPr>
      </w:pPr>
      <w:r w:rsidRPr="00ED2901">
        <w:rPr>
          <w:rFonts w:ascii="Arial" w:hAnsi="Arial" w:cs="Arial"/>
          <w:sz w:val="22"/>
          <w:szCs w:val="22"/>
        </w:rPr>
        <w:t xml:space="preserve">ATS occupies a central yet complex role in musical theatre pedagogy because it demands the synthesis of vocal technique, emotional authenticity, psychological truth, and character embodiment (Harvard, 2014; Moore &amp; Bergman, 2016; Hodge, 2010). However, </w:t>
      </w:r>
      <w:r w:rsidR="0020428C" w:rsidRPr="00ED2901">
        <w:rPr>
          <w:rFonts w:ascii="Arial" w:hAnsi="Arial" w:cs="Arial"/>
          <w:sz w:val="22"/>
          <w:szCs w:val="22"/>
        </w:rPr>
        <w:t>conventional approaches</w:t>
      </w:r>
      <w:r w:rsidRPr="00ED2901">
        <w:rPr>
          <w:rFonts w:ascii="Arial" w:hAnsi="Arial" w:cs="Arial"/>
          <w:sz w:val="22"/>
          <w:szCs w:val="22"/>
        </w:rPr>
        <w:t xml:space="preserve"> remain shaped by binary constructions of gender, vocal classification, and character typing (Butler, 1990; Halberstam, 2005; Cooper, 2023</w:t>
      </w:r>
      <w:r w:rsidR="002F689C" w:rsidRPr="00ED2901">
        <w:rPr>
          <w:rFonts w:ascii="Arial" w:hAnsi="Arial" w:cs="Arial"/>
          <w:sz w:val="22"/>
          <w:szCs w:val="22"/>
        </w:rPr>
        <w:t>), influence</w:t>
      </w:r>
      <w:r w:rsidRPr="00ED2901">
        <w:rPr>
          <w:rFonts w:ascii="Arial" w:hAnsi="Arial" w:cs="Arial"/>
          <w:sz w:val="22"/>
          <w:szCs w:val="22"/>
        </w:rPr>
        <w:t xml:space="preserve"> vocal expectations, repertoire choices, and interpretative outcomes</w:t>
      </w:r>
      <w:r w:rsidR="0020428C" w:rsidRPr="00ED2901">
        <w:rPr>
          <w:rFonts w:ascii="Arial" w:hAnsi="Arial" w:cs="Arial"/>
          <w:sz w:val="22"/>
          <w:szCs w:val="22"/>
        </w:rPr>
        <w:t>. This results in</w:t>
      </w:r>
      <w:r w:rsidR="007B28D3" w:rsidRPr="00ED2901">
        <w:rPr>
          <w:rFonts w:ascii="Arial" w:hAnsi="Arial" w:cs="Arial"/>
          <w:sz w:val="22"/>
          <w:szCs w:val="22"/>
        </w:rPr>
        <w:t xml:space="preserve"> </w:t>
      </w:r>
      <w:r w:rsidRPr="00ED2901">
        <w:rPr>
          <w:rFonts w:ascii="Arial" w:hAnsi="Arial" w:cs="Arial"/>
          <w:sz w:val="22"/>
          <w:szCs w:val="22"/>
        </w:rPr>
        <w:t xml:space="preserve">emotional and technical dissonance </w:t>
      </w:r>
      <w:r w:rsidR="007B28D3" w:rsidRPr="00ED2901">
        <w:rPr>
          <w:rFonts w:ascii="Arial" w:hAnsi="Arial" w:cs="Arial"/>
          <w:sz w:val="22"/>
          <w:szCs w:val="22"/>
        </w:rPr>
        <w:t xml:space="preserve">undermining confidence and creative </w:t>
      </w:r>
      <w:r w:rsidR="002F689C" w:rsidRPr="00ED2901">
        <w:rPr>
          <w:rFonts w:ascii="Arial" w:hAnsi="Arial" w:cs="Arial"/>
          <w:sz w:val="22"/>
          <w:szCs w:val="22"/>
        </w:rPr>
        <w:t>expression (</w:t>
      </w:r>
      <w:r w:rsidRPr="00ED2901">
        <w:rPr>
          <w:rFonts w:ascii="Arial" w:hAnsi="Arial" w:cs="Arial"/>
          <w:sz w:val="22"/>
          <w:szCs w:val="22"/>
        </w:rPr>
        <w:t xml:space="preserve">Azul, 2015; </w:t>
      </w:r>
      <w:r w:rsidR="00B55872" w:rsidRPr="00ED2901">
        <w:rPr>
          <w:rFonts w:ascii="Arial" w:hAnsi="Arial" w:cs="Arial"/>
          <w:sz w:val="22"/>
          <w:szCs w:val="22"/>
        </w:rPr>
        <w:t>MacNeil, 2008</w:t>
      </w:r>
      <w:r w:rsidRPr="00ED2901">
        <w:rPr>
          <w:rFonts w:ascii="Arial" w:hAnsi="Arial" w:cs="Arial"/>
          <w:sz w:val="22"/>
          <w:szCs w:val="22"/>
        </w:rPr>
        <w:t>).</w:t>
      </w:r>
    </w:p>
    <w:p w14:paraId="74D35771" w14:textId="0EE836DC" w:rsidR="000C67FE" w:rsidRPr="00ED2901" w:rsidRDefault="00FE2FD3" w:rsidP="00ED2901">
      <w:pPr>
        <w:pStyle w:val="NormalWeb"/>
        <w:spacing w:line="360" w:lineRule="auto"/>
        <w:jc w:val="both"/>
        <w:rPr>
          <w:rFonts w:ascii="Arial" w:hAnsi="Arial" w:cs="Arial"/>
          <w:sz w:val="22"/>
          <w:szCs w:val="22"/>
        </w:rPr>
      </w:pPr>
      <w:r w:rsidRPr="00ED2901">
        <w:rPr>
          <w:rFonts w:ascii="Arial" w:hAnsi="Arial" w:cs="Arial"/>
          <w:sz w:val="22"/>
          <w:szCs w:val="22"/>
        </w:rPr>
        <w:t>Voice research highlights that</w:t>
      </w:r>
      <w:r w:rsidR="00D2699A" w:rsidRPr="00ED2901">
        <w:rPr>
          <w:rFonts w:ascii="Arial" w:hAnsi="Arial" w:cs="Arial"/>
          <w:sz w:val="22"/>
          <w:szCs w:val="22"/>
        </w:rPr>
        <w:t xml:space="preserve"> </w:t>
      </w:r>
      <w:r w:rsidRPr="00ED2901">
        <w:rPr>
          <w:rFonts w:ascii="Arial" w:hAnsi="Arial" w:cs="Arial"/>
          <w:sz w:val="22"/>
          <w:szCs w:val="22"/>
        </w:rPr>
        <w:t xml:space="preserve">the voice functions not only as a technical instrument but also as a </w:t>
      </w:r>
      <w:r w:rsidR="00A82ECC" w:rsidRPr="00ED2901">
        <w:rPr>
          <w:rFonts w:ascii="Arial" w:hAnsi="Arial" w:cs="Arial"/>
          <w:sz w:val="22"/>
          <w:szCs w:val="22"/>
        </w:rPr>
        <w:t>point</w:t>
      </w:r>
      <w:r w:rsidRPr="00ED2901">
        <w:rPr>
          <w:rFonts w:ascii="Arial" w:hAnsi="Arial" w:cs="Arial"/>
          <w:sz w:val="22"/>
          <w:szCs w:val="22"/>
        </w:rPr>
        <w:t xml:space="preserve"> of social recognition, and emotional vulnerability (Azul, 2015; Davies et al., 2015; Russo, 2022). </w:t>
      </w:r>
      <w:r w:rsidR="00A06A01" w:rsidRPr="00ED2901">
        <w:rPr>
          <w:rFonts w:ascii="Arial" w:hAnsi="Arial" w:cs="Arial"/>
          <w:sz w:val="22"/>
          <w:szCs w:val="22"/>
        </w:rPr>
        <w:t xml:space="preserve">Building on </w:t>
      </w:r>
      <w:r w:rsidR="007B28D3" w:rsidRPr="00ED2901">
        <w:rPr>
          <w:rFonts w:ascii="Arial" w:hAnsi="Arial" w:cs="Arial"/>
          <w:sz w:val="22"/>
          <w:szCs w:val="22"/>
        </w:rPr>
        <w:t>insights from Module 3</w:t>
      </w:r>
      <w:r w:rsidR="00A06A01" w:rsidRPr="00ED2901">
        <w:rPr>
          <w:rFonts w:ascii="Arial" w:hAnsi="Arial" w:cs="Arial"/>
          <w:sz w:val="22"/>
          <w:szCs w:val="22"/>
        </w:rPr>
        <w:t xml:space="preserve">, </w:t>
      </w:r>
      <w:r w:rsidR="007B28D3" w:rsidRPr="00ED2901">
        <w:rPr>
          <w:rFonts w:ascii="Arial" w:hAnsi="Arial" w:cs="Arial"/>
          <w:sz w:val="22"/>
          <w:szCs w:val="22"/>
        </w:rPr>
        <w:t xml:space="preserve">which developed belt exercises tailored for hormone-affected voices using semi-occluded vocal tract techniques (Titze, 2006) and resonance anchoring (Henrich, 2014), this artefact embeds those exercises within a broader ATS framework. It incorporates prompts that support identity alignment and emotional authenticity, alongside reflective tools that promote psychological safety and learner agency (Boud et al., 2005). This integrated approach positions ATS as a medium for </w:t>
      </w:r>
      <w:r w:rsidR="002F689C" w:rsidRPr="00ED2901">
        <w:rPr>
          <w:rFonts w:ascii="Arial" w:hAnsi="Arial" w:cs="Arial"/>
          <w:sz w:val="22"/>
          <w:szCs w:val="22"/>
        </w:rPr>
        <w:t>meaning making</w:t>
      </w:r>
      <w:r w:rsidR="007B28D3" w:rsidRPr="00ED2901">
        <w:rPr>
          <w:rFonts w:ascii="Arial" w:hAnsi="Arial" w:cs="Arial"/>
          <w:sz w:val="22"/>
          <w:szCs w:val="22"/>
        </w:rPr>
        <w:t xml:space="preserve"> and identity affirmation (Ziegler &amp; Barton, 2022), rather than a rigid interpretative model.</w:t>
      </w:r>
    </w:p>
    <w:p w14:paraId="3C5E9EF4" w14:textId="77777777" w:rsidR="00ED2901" w:rsidRDefault="00ED2901" w:rsidP="00ED2901">
      <w:pPr>
        <w:spacing w:line="360" w:lineRule="auto"/>
        <w:jc w:val="both"/>
        <w:rPr>
          <w:rFonts w:ascii="Arial" w:hAnsi="Arial" w:cs="Arial"/>
          <w:b/>
          <w:bCs/>
          <w:sz w:val="22"/>
          <w:szCs w:val="22"/>
        </w:rPr>
      </w:pPr>
    </w:p>
    <w:p w14:paraId="765CBDBB" w14:textId="77777777" w:rsidR="00ED2901" w:rsidRDefault="00ED2901" w:rsidP="00ED2901">
      <w:pPr>
        <w:spacing w:line="360" w:lineRule="auto"/>
        <w:jc w:val="both"/>
        <w:rPr>
          <w:rFonts w:ascii="Arial" w:hAnsi="Arial" w:cs="Arial"/>
          <w:b/>
          <w:bCs/>
          <w:sz w:val="22"/>
          <w:szCs w:val="22"/>
        </w:rPr>
      </w:pPr>
    </w:p>
    <w:p w14:paraId="2E5E47BA" w14:textId="1504DB46" w:rsidR="00D47E98" w:rsidRPr="00ED2901" w:rsidRDefault="00D47E98" w:rsidP="00ED2901">
      <w:pPr>
        <w:spacing w:line="360" w:lineRule="auto"/>
        <w:jc w:val="both"/>
        <w:rPr>
          <w:rFonts w:ascii="Arial" w:hAnsi="Arial" w:cs="Arial"/>
          <w:b/>
          <w:bCs/>
          <w:sz w:val="22"/>
          <w:szCs w:val="22"/>
        </w:rPr>
      </w:pPr>
      <w:r w:rsidRPr="00ED2901">
        <w:rPr>
          <w:rFonts w:ascii="Arial" w:hAnsi="Arial" w:cs="Arial"/>
          <w:b/>
          <w:bCs/>
          <w:sz w:val="22"/>
          <w:szCs w:val="22"/>
        </w:rPr>
        <w:lastRenderedPageBreak/>
        <w:t xml:space="preserve">Artefact Brief </w:t>
      </w:r>
    </w:p>
    <w:p w14:paraId="00753A52" w14:textId="0B2CA3F3" w:rsidR="00D47E98" w:rsidRPr="00ED2901" w:rsidRDefault="005D7D96" w:rsidP="00ED2901">
      <w:pPr>
        <w:spacing w:line="360" w:lineRule="auto"/>
        <w:jc w:val="both"/>
        <w:rPr>
          <w:rFonts w:ascii="Arial" w:hAnsi="Arial" w:cs="Arial"/>
          <w:sz w:val="22"/>
          <w:szCs w:val="22"/>
        </w:rPr>
      </w:pPr>
      <w:r w:rsidRPr="00ED2901">
        <w:rPr>
          <w:rFonts w:ascii="Arial" w:hAnsi="Arial" w:cs="Arial"/>
          <w:b/>
          <w:bCs/>
          <w:sz w:val="22"/>
          <w:szCs w:val="22"/>
        </w:rPr>
        <w:t xml:space="preserve">Title: </w:t>
      </w:r>
      <w:r w:rsidR="0020428C" w:rsidRPr="00ED2901">
        <w:rPr>
          <w:rFonts w:ascii="Arial" w:hAnsi="Arial" w:cs="Arial"/>
          <w:b/>
          <w:bCs/>
          <w:sz w:val="22"/>
          <w:szCs w:val="22"/>
        </w:rPr>
        <w:t>ATS</w:t>
      </w:r>
      <w:r w:rsidR="00D47E98" w:rsidRPr="00ED2901">
        <w:rPr>
          <w:rFonts w:ascii="Arial" w:hAnsi="Arial" w:cs="Arial"/>
          <w:b/>
          <w:bCs/>
          <w:sz w:val="22"/>
          <w:szCs w:val="22"/>
        </w:rPr>
        <w:t>: A Trans-Inclusive Framework for Developing the Belt Voice</w:t>
      </w:r>
    </w:p>
    <w:p w14:paraId="174E9743" w14:textId="54DA5027" w:rsidR="007B28D3" w:rsidRPr="00ED2901" w:rsidRDefault="00AB6FFF" w:rsidP="00ED2901">
      <w:pPr>
        <w:spacing w:line="360" w:lineRule="auto"/>
        <w:jc w:val="both"/>
        <w:rPr>
          <w:rFonts w:ascii="Arial" w:hAnsi="Arial" w:cs="Arial"/>
          <w:sz w:val="22"/>
          <w:szCs w:val="22"/>
        </w:rPr>
      </w:pPr>
      <w:r w:rsidRPr="00ED2901">
        <w:rPr>
          <w:rFonts w:ascii="Arial" w:hAnsi="Arial" w:cs="Arial"/>
          <w:sz w:val="22"/>
          <w:szCs w:val="22"/>
        </w:rPr>
        <w:t>Th</w:t>
      </w:r>
      <w:r w:rsidR="007B28D3" w:rsidRPr="00ED2901">
        <w:rPr>
          <w:rFonts w:ascii="Arial" w:hAnsi="Arial" w:cs="Arial"/>
          <w:sz w:val="22"/>
          <w:szCs w:val="22"/>
        </w:rPr>
        <w:t>is</w:t>
      </w:r>
      <w:r w:rsidRPr="00ED2901">
        <w:rPr>
          <w:rFonts w:ascii="Arial" w:hAnsi="Arial" w:cs="Arial"/>
          <w:sz w:val="22"/>
          <w:szCs w:val="22"/>
        </w:rPr>
        <w:t xml:space="preserve"> </w:t>
      </w:r>
      <w:r w:rsidR="007B28D3" w:rsidRPr="00ED2901">
        <w:rPr>
          <w:rFonts w:ascii="Arial" w:hAnsi="Arial" w:cs="Arial"/>
          <w:sz w:val="22"/>
          <w:szCs w:val="22"/>
        </w:rPr>
        <w:t xml:space="preserve">paper outlines the theoretical, practical, and methodological foundations of the </w:t>
      </w:r>
      <w:r w:rsidR="002F689C" w:rsidRPr="00ED2901">
        <w:rPr>
          <w:rFonts w:ascii="Arial" w:hAnsi="Arial" w:cs="Arial"/>
          <w:sz w:val="22"/>
          <w:szCs w:val="22"/>
        </w:rPr>
        <w:t>artefact.</w:t>
      </w:r>
      <w:r w:rsidR="007B28D3" w:rsidRPr="00ED2901">
        <w:rPr>
          <w:rFonts w:ascii="Arial" w:hAnsi="Arial" w:cs="Arial"/>
          <w:sz w:val="22"/>
          <w:szCs w:val="22"/>
        </w:rPr>
        <w:t xml:space="preserve"> </w:t>
      </w:r>
    </w:p>
    <w:p w14:paraId="3708F4C8" w14:textId="306AFC4A" w:rsidR="003E7764" w:rsidRPr="00ED2901" w:rsidRDefault="00AB6FFF" w:rsidP="00ED2901">
      <w:pPr>
        <w:spacing w:line="360" w:lineRule="auto"/>
        <w:jc w:val="both"/>
        <w:rPr>
          <w:rFonts w:ascii="Arial" w:hAnsi="Arial" w:cs="Arial"/>
          <w:sz w:val="22"/>
          <w:szCs w:val="22"/>
        </w:rPr>
      </w:pPr>
      <w:r w:rsidRPr="00ED2901">
        <w:rPr>
          <w:rFonts w:ascii="Arial" w:hAnsi="Arial" w:cs="Arial"/>
          <w:sz w:val="22"/>
          <w:szCs w:val="22"/>
        </w:rPr>
        <w:t xml:space="preserve">that supports a systematic and inclusive approach to belt voice development for trans and non-binary performers in musical theatre. </w:t>
      </w:r>
      <w:r w:rsidR="00076217" w:rsidRPr="00ED2901">
        <w:rPr>
          <w:rFonts w:ascii="Arial" w:hAnsi="Arial" w:cs="Arial"/>
          <w:sz w:val="22"/>
          <w:szCs w:val="22"/>
        </w:rPr>
        <w:t xml:space="preserve">framework integrates functional </w:t>
      </w:r>
      <w:r w:rsidR="008F504C" w:rsidRPr="00ED2901">
        <w:rPr>
          <w:rFonts w:ascii="Arial" w:hAnsi="Arial" w:cs="Arial"/>
          <w:sz w:val="22"/>
          <w:szCs w:val="22"/>
        </w:rPr>
        <w:t>the</w:t>
      </w:r>
      <w:r w:rsidR="003E7764" w:rsidRPr="00ED2901">
        <w:rPr>
          <w:rFonts w:ascii="Arial" w:hAnsi="Arial" w:cs="Arial"/>
          <w:sz w:val="22"/>
          <w:szCs w:val="22"/>
        </w:rPr>
        <w:t xml:space="preserve"> artefact aims to translate findings into a practical, accessible resource organised into three strands:</w:t>
      </w:r>
    </w:p>
    <w:p w14:paraId="06A5CE96" w14:textId="55C47E47" w:rsidR="00AB6FFF" w:rsidRPr="00ED2901" w:rsidRDefault="00ED2901" w:rsidP="00ED2901">
      <w:pPr>
        <w:spacing w:line="360" w:lineRule="auto"/>
        <w:jc w:val="both"/>
        <w:rPr>
          <w:rFonts w:ascii="Arial" w:hAnsi="Arial" w:cs="Arial"/>
          <w:sz w:val="22"/>
          <w:szCs w:val="22"/>
        </w:rPr>
      </w:pPr>
      <w:r w:rsidRPr="00ED2901">
        <w:rPr>
          <w:rFonts w:ascii="Arial" w:hAnsi="Arial" w:cs="Arial"/>
          <w:noProof/>
          <w:sz w:val="22"/>
          <w:szCs w:val="22"/>
        </w:rPr>
        <w:drawing>
          <wp:inline distT="0" distB="0" distL="0" distR="0" wp14:anchorId="373EC28F" wp14:editId="1EB55984">
            <wp:extent cx="5731510" cy="3075305"/>
            <wp:effectExtent l="0" t="0" r="2540" b="0"/>
            <wp:docPr id="13883607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075305"/>
                    </a:xfrm>
                    <a:prstGeom prst="rect">
                      <a:avLst/>
                    </a:prstGeom>
                    <a:noFill/>
                    <a:ln>
                      <a:noFill/>
                    </a:ln>
                  </pic:spPr>
                </pic:pic>
              </a:graphicData>
            </a:graphic>
          </wp:inline>
        </w:drawing>
      </w:r>
    </w:p>
    <w:p w14:paraId="34AD592E" w14:textId="77777777" w:rsidR="00076217" w:rsidRPr="00ED2901" w:rsidRDefault="00076217" w:rsidP="00ED2901">
      <w:pPr>
        <w:spacing w:line="360" w:lineRule="auto"/>
        <w:jc w:val="both"/>
        <w:rPr>
          <w:rFonts w:ascii="Arial" w:hAnsi="Arial" w:cs="Arial"/>
          <w:b/>
          <w:bCs/>
          <w:sz w:val="22"/>
          <w:szCs w:val="22"/>
        </w:rPr>
      </w:pPr>
      <w:r w:rsidRPr="00ED2901">
        <w:rPr>
          <w:rFonts w:ascii="Arial" w:hAnsi="Arial" w:cs="Arial"/>
          <w:b/>
          <w:bCs/>
          <w:sz w:val="22"/>
          <w:szCs w:val="22"/>
        </w:rPr>
        <w:t>Theory</w:t>
      </w:r>
    </w:p>
    <w:p w14:paraId="7942FDBE" w14:textId="77777777" w:rsidR="00076217" w:rsidRPr="00ED2901" w:rsidRDefault="00076217" w:rsidP="00ED2901">
      <w:pPr>
        <w:spacing w:line="360" w:lineRule="auto"/>
        <w:jc w:val="both"/>
        <w:rPr>
          <w:rFonts w:ascii="Arial" w:hAnsi="Arial" w:cs="Arial"/>
          <w:sz w:val="22"/>
          <w:szCs w:val="22"/>
        </w:rPr>
      </w:pPr>
      <w:r w:rsidRPr="00ED2901">
        <w:rPr>
          <w:rFonts w:ascii="Arial" w:hAnsi="Arial" w:cs="Arial"/>
          <w:sz w:val="22"/>
          <w:szCs w:val="22"/>
        </w:rPr>
        <w:t>Queer Pedagogy and Inclusive Frameworks</w:t>
      </w:r>
    </w:p>
    <w:p w14:paraId="1A0D5F88" w14:textId="77777777" w:rsidR="00076217" w:rsidRPr="00ED2901" w:rsidRDefault="00076217" w:rsidP="00ED2901">
      <w:pPr>
        <w:spacing w:line="360" w:lineRule="auto"/>
        <w:jc w:val="both"/>
        <w:rPr>
          <w:rFonts w:ascii="Arial" w:hAnsi="Arial" w:cs="Arial"/>
          <w:sz w:val="22"/>
          <w:szCs w:val="22"/>
        </w:rPr>
      </w:pPr>
      <w:r w:rsidRPr="00ED2901">
        <w:rPr>
          <w:rFonts w:ascii="Arial" w:hAnsi="Arial" w:cs="Arial"/>
          <w:sz w:val="22"/>
          <w:szCs w:val="22"/>
        </w:rPr>
        <w:t>Queer pedagogy challenges normative assumptions in education, advocating for learning environments that affirm diverse identities and resist binary structures (hooks, 1994; Kumashiro, 2002; Shrewsbury, 1993). Applied to musical theatre, this perspective reframes ATS as a space for identity exploration rather than gendered performance, enabling performers to engage with material authentically.</w:t>
      </w:r>
    </w:p>
    <w:p w14:paraId="0E16A17A" w14:textId="77777777" w:rsidR="00076217" w:rsidRPr="00ED2901" w:rsidRDefault="00076217" w:rsidP="00ED2901">
      <w:pPr>
        <w:spacing w:line="360" w:lineRule="auto"/>
        <w:jc w:val="both"/>
        <w:rPr>
          <w:rFonts w:ascii="Arial" w:hAnsi="Arial" w:cs="Arial"/>
          <w:sz w:val="22"/>
          <w:szCs w:val="22"/>
        </w:rPr>
      </w:pPr>
      <w:r w:rsidRPr="00ED2901">
        <w:rPr>
          <w:rFonts w:ascii="Arial" w:hAnsi="Arial" w:cs="Arial"/>
          <w:sz w:val="22"/>
          <w:szCs w:val="22"/>
        </w:rPr>
        <w:t>Trauma-Informed Education and Psychological Safety</w:t>
      </w:r>
    </w:p>
    <w:p w14:paraId="153D7A39" w14:textId="77777777" w:rsidR="00076217" w:rsidRPr="00ED2901" w:rsidRDefault="00076217" w:rsidP="00ED2901">
      <w:pPr>
        <w:spacing w:line="360" w:lineRule="auto"/>
        <w:jc w:val="both"/>
        <w:rPr>
          <w:rFonts w:ascii="Arial" w:hAnsi="Arial" w:cs="Arial"/>
          <w:sz w:val="22"/>
          <w:szCs w:val="22"/>
        </w:rPr>
      </w:pPr>
      <w:r w:rsidRPr="00ED2901">
        <w:rPr>
          <w:rFonts w:ascii="Arial" w:hAnsi="Arial" w:cs="Arial"/>
          <w:sz w:val="22"/>
          <w:szCs w:val="22"/>
        </w:rPr>
        <w:t xml:space="preserve">Trans performers often navigate vulnerability and identity negotiation in training contexts. Trauma-informed approaches emphasise consent, emotional security, and learner autonomy (Carello &amp; Butler, 2015; Warriner, 2021; Immes &amp; Rogers, 2021). Embedding these principles </w:t>
      </w:r>
      <w:r w:rsidRPr="00ED2901">
        <w:rPr>
          <w:rFonts w:ascii="Arial" w:hAnsi="Arial" w:cs="Arial"/>
          <w:sz w:val="22"/>
          <w:szCs w:val="22"/>
        </w:rPr>
        <w:lastRenderedPageBreak/>
        <w:t>within ATS ensures that technical and expressive work occurs in a psychologically safe environment.</w:t>
      </w:r>
    </w:p>
    <w:p w14:paraId="72869952" w14:textId="77777777" w:rsidR="00076217" w:rsidRPr="00ED2901" w:rsidRDefault="00076217" w:rsidP="00ED2901">
      <w:pPr>
        <w:spacing w:line="360" w:lineRule="auto"/>
        <w:jc w:val="both"/>
        <w:rPr>
          <w:rFonts w:ascii="Arial" w:hAnsi="Arial" w:cs="Arial"/>
          <w:sz w:val="22"/>
          <w:szCs w:val="22"/>
        </w:rPr>
      </w:pPr>
      <w:r w:rsidRPr="00ED2901">
        <w:rPr>
          <w:rFonts w:ascii="Arial" w:hAnsi="Arial" w:cs="Arial"/>
          <w:sz w:val="22"/>
          <w:szCs w:val="22"/>
        </w:rPr>
        <w:t>Functional Voice Science and Somatic Learning</w:t>
      </w:r>
    </w:p>
    <w:p w14:paraId="30B4DCF8" w14:textId="77777777" w:rsidR="00076217" w:rsidRPr="00ED2901" w:rsidRDefault="00076217" w:rsidP="00ED2901">
      <w:pPr>
        <w:spacing w:line="360" w:lineRule="auto"/>
        <w:jc w:val="both"/>
        <w:rPr>
          <w:rFonts w:ascii="Arial" w:hAnsi="Arial" w:cs="Arial"/>
          <w:sz w:val="22"/>
          <w:szCs w:val="22"/>
        </w:rPr>
      </w:pPr>
      <w:r w:rsidRPr="00ED2901">
        <w:rPr>
          <w:rFonts w:ascii="Arial" w:hAnsi="Arial" w:cs="Arial"/>
          <w:sz w:val="22"/>
          <w:szCs w:val="22"/>
        </w:rPr>
        <w:t>Voice science underpins the artefact’s technical strand, drawing on semi-occluded vocal tract exercises (Titze, 2006), resonance anchoring (Henrich, 2014), and airflow-based coordination (LeBorgne &amp; Rosenberg, 2020). These strategies prioritise adaptability over gendered norms, supporting hormone-affected voices and promoting sustainable belt function.</w:t>
      </w:r>
    </w:p>
    <w:p w14:paraId="258DEB70" w14:textId="77777777" w:rsidR="00076217" w:rsidRPr="00ED2901" w:rsidRDefault="00076217" w:rsidP="00ED2901">
      <w:pPr>
        <w:spacing w:line="360" w:lineRule="auto"/>
        <w:jc w:val="both"/>
        <w:rPr>
          <w:rFonts w:ascii="Arial" w:hAnsi="Arial" w:cs="Arial"/>
          <w:sz w:val="22"/>
          <w:szCs w:val="22"/>
        </w:rPr>
      </w:pPr>
      <w:r w:rsidRPr="00ED2901">
        <w:rPr>
          <w:rFonts w:ascii="Arial" w:hAnsi="Arial" w:cs="Arial"/>
          <w:sz w:val="22"/>
          <w:szCs w:val="22"/>
        </w:rPr>
        <w:t>Performance Theory: Identity as Embodied and Relational</w:t>
      </w:r>
    </w:p>
    <w:p w14:paraId="72399115" w14:textId="2E37E496" w:rsidR="00076217" w:rsidRPr="00ED2901" w:rsidRDefault="00076217" w:rsidP="00ED2901">
      <w:pPr>
        <w:spacing w:line="360" w:lineRule="auto"/>
        <w:jc w:val="both"/>
        <w:rPr>
          <w:rFonts w:ascii="Arial" w:hAnsi="Arial" w:cs="Arial"/>
          <w:sz w:val="22"/>
          <w:szCs w:val="22"/>
        </w:rPr>
      </w:pPr>
      <w:r w:rsidRPr="00ED2901">
        <w:rPr>
          <w:rFonts w:ascii="Arial" w:hAnsi="Arial" w:cs="Arial"/>
          <w:sz w:val="22"/>
          <w:szCs w:val="22"/>
        </w:rPr>
        <w:t>Performance studies conceptualise gender as performed and relational (Butler, 1990; Halberstam, 2005; Saldaña, 2018). ATS, therefore, becomes a site where voice, identity, and narrative intersect. This theoretical lens informs artefact design by positioning technical work within expressive and identity-affirming contexts.</w:t>
      </w:r>
    </w:p>
    <w:p w14:paraId="257FD71B" w14:textId="77777777" w:rsidR="00076217" w:rsidRPr="00ED2901" w:rsidRDefault="00076217" w:rsidP="00ED2901">
      <w:pPr>
        <w:spacing w:line="360" w:lineRule="auto"/>
        <w:jc w:val="both"/>
        <w:rPr>
          <w:rFonts w:ascii="Arial" w:hAnsi="Arial" w:cs="Arial"/>
          <w:b/>
          <w:bCs/>
          <w:sz w:val="22"/>
          <w:szCs w:val="22"/>
        </w:rPr>
      </w:pPr>
      <w:r w:rsidRPr="00ED2901">
        <w:rPr>
          <w:rFonts w:ascii="Arial" w:hAnsi="Arial" w:cs="Arial"/>
          <w:b/>
          <w:bCs/>
          <w:sz w:val="22"/>
          <w:szCs w:val="22"/>
        </w:rPr>
        <w:t>Best Practice</w:t>
      </w:r>
    </w:p>
    <w:p w14:paraId="346BDFAE" w14:textId="77777777" w:rsidR="00076217" w:rsidRPr="00ED2901" w:rsidRDefault="00076217" w:rsidP="00ED2901">
      <w:pPr>
        <w:spacing w:line="360" w:lineRule="auto"/>
        <w:jc w:val="both"/>
        <w:rPr>
          <w:rFonts w:ascii="Arial" w:hAnsi="Arial" w:cs="Arial"/>
          <w:sz w:val="22"/>
          <w:szCs w:val="22"/>
        </w:rPr>
      </w:pPr>
      <w:r w:rsidRPr="00ED2901">
        <w:rPr>
          <w:rFonts w:ascii="Arial" w:hAnsi="Arial" w:cs="Arial"/>
          <w:sz w:val="22"/>
          <w:szCs w:val="22"/>
        </w:rPr>
        <w:t>Inclusive Belt Pedagogy</w:t>
      </w:r>
    </w:p>
    <w:p w14:paraId="2970EAE2" w14:textId="77777777" w:rsidR="00076217" w:rsidRPr="00ED2901" w:rsidRDefault="00076217" w:rsidP="00ED2901">
      <w:pPr>
        <w:spacing w:line="360" w:lineRule="auto"/>
        <w:jc w:val="both"/>
        <w:rPr>
          <w:rFonts w:ascii="Arial" w:hAnsi="Arial" w:cs="Arial"/>
          <w:sz w:val="22"/>
          <w:szCs w:val="22"/>
        </w:rPr>
      </w:pPr>
      <w:r w:rsidRPr="00ED2901">
        <w:rPr>
          <w:rFonts w:ascii="Arial" w:hAnsi="Arial" w:cs="Arial"/>
          <w:sz w:val="22"/>
          <w:szCs w:val="22"/>
        </w:rPr>
        <w:t>Traditional belt training often assumes binary stability, limiting its relevance for trans singers (Hancock &amp; Garabedian, 2013). The artefact responds by offering exercises tailored for hormone-related changes and adaptable to individual needs, consistent with functional voice principles and inclusive pedagogy.</w:t>
      </w:r>
    </w:p>
    <w:p w14:paraId="6BEF9D51" w14:textId="77777777" w:rsidR="00076217" w:rsidRPr="00ED2901" w:rsidRDefault="00076217" w:rsidP="00ED2901">
      <w:pPr>
        <w:spacing w:line="360" w:lineRule="auto"/>
        <w:jc w:val="both"/>
        <w:rPr>
          <w:rFonts w:ascii="Arial" w:hAnsi="Arial" w:cs="Arial"/>
          <w:sz w:val="22"/>
          <w:szCs w:val="22"/>
        </w:rPr>
      </w:pPr>
      <w:r w:rsidRPr="00ED2901">
        <w:rPr>
          <w:rFonts w:ascii="Arial" w:hAnsi="Arial" w:cs="Arial"/>
          <w:sz w:val="22"/>
          <w:szCs w:val="22"/>
        </w:rPr>
        <w:t>ATS as Identity-Affirming Practice</w:t>
      </w:r>
    </w:p>
    <w:p w14:paraId="627315A0" w14:textId="77777777" w:rsidR="00076217" w:rsidRPr="00ED2901" w:rsidRDefault="00076217" w:rsidP="00ED2901">
      <w:pPr>
        <w:spacing w:line="360" w:lineRule="auto"/>
        <w:jc w:val="both"/>
        <w:rPr>
          <w:rFonts w:ascii="Arial" w:hAnsi="Arial" w:cs="Arial"/>
          <w:sz w:val="22"/>
          <w:szCs w:val="22"/>
        </w:rPr>
      </w:pPr>
      <w:r w:rsidRPr="00ED2901">
        <w:rPr>
          <w:rFonts w:ascii="Arial" w:hAnsi="Arial" w:cs="Arial"/>
          <w:sz w:val="22"/>
          <w:szCs w:val="22"/>
        </w:rPr>
        <w:t>ATS demands emotional truth and character embodiment, yet conventional models reinforce gendered repertoire and interpretative norms (Moore &amp; Bergman, 2016; Harvard, 2014). The framework integrates ATS prompts that support identity alignment and emotional clarity, ensuring authenticity without imposing binary expectations.</w:t>
      </w:r>
    </w:p>
    <w:p w14:paraId="741175DC" w14:textId="77777777" w:rsidR="00076217" w:rsidRPr="00ED2901" w:rsidRDefault="00076217" w:rsidP="00ED2901">
      <w:pPr>
        <w:spacing w:line="360" w:lineRule="auto"/>
        <w:jc w:val="both"/>
        <w:rPr>
          <w:rFonts w:ascii="Arial" w:hAnsi="Arial" w:cs="Arial"/>
          <w:b/>
          <w:bCs/>
          <w:sz w:val="22"/>
          <w:szCs w:val="22"/>
        </w:rPr>
      </w:pPr>
      <w:r w:rsidRPr="00ED2901">
        <w:rPr>
          <w:rFonts w:ascii="Arial" w:hAnsi="Arial" w:cs="Arial"/>
          <w:b/>
          <w:bCs/>
          <w:sz w:val="22"/>
          <w:szCs w:val="22"/>
        </w:rPr>
        <w:t>Practical Integration: Technical + Expressive + Reflective Strands</w:t>
      </w:r>
    </w:p>
    <w:p w14:paraId="32B695A5" w14:textId="3001305E" w:rsidR="00387881" w:rsidRDefault="00387881" w:rsidP="00ED2901">
      <w:pPr>
        <w:spacing w:line="360" w:lineRule="auto"/>
        <w:jc w:val="both"/>
        <w:rPr>
          <w:rFonts w:ascii="Arial" w:hAnsi="Arial" w:cs="Arial"/>
          <w:b/>
          <w:bCs/>
          <w:sz w:val="22"/>
          <w:szCs w:val="22"/>
        </w:rPr>
      </w:pPr>
      <w:r w:rsidRPr="00387881">
        <w:rPr>
          <w:rFonts w:ascii="Arial" w:hAnsi="Arial" w:cs="Arial"/>
          <w:sz w:val="22"/>
          <w:szCs w:val="22"/>
        </w:rPr>
        <w:t xml:space="preserve">The framework comprises three interrelated components that collaboratively contribute to its overall effectiveness. The first component, referred to as the technical strand, focuses on the adaptation of vocal exercises tailored to accommodate individuals experiencing the effects of hormonal changes. The second component, known as the expressive strand, leverages Acting Through Song prompts to enhance narrative comprehension and foster emotional connections between the performer and the audience. Finally, the reflective strand offers instruments </w:t>
      </w:r>
      <w:r w:rsidRPr="00387881">
        <w:rPr>
          <w:rFonts w:ascii="Arial" w:hAnsi="Arial" w:cs="Arial"/>
          <w:sz w:val="22"/>
          <w:szCs w:val="22"/>
        </w:rPr>
        <w:lastRenderedPageBreak/>
        <w:t>designed to promote psychological safety and nurture agency among learners, as noted by Boud et al. (2005)</w:t>
      </w:r>
      <w:r w:rsidR="008D4C64" w:rsidRPr="00387881">
        <w:rPr>
          <w:rFonts w:ascii="Arial" w:hAnsi="Arial" w:cs="Arial"/>
          <w:sz w:val="22"/>
          <w:szCs w:val="22"/>
        </w:rPr>
        <w:t xml:space="preserve">. </w:t>
      </w:r>
      <w:r w:rsidR="00BC44DE" w:rsidRPr="00BC44DE">
        <w:rPr>
          <w:rFonts w:ascii="Arial" w:hAnsi="Arial" w:cs="Arial"/>
          <w:sz w:val="22"/>
          <w:szCs w:val="22"/>
        </w:rPr>
        <w:t>The synthesis of these components formulates a framework congruent with educational models that emphasize liberation alongside student involvement. This composition places significant emphasis on flexibility and independence, thereby promoting the comprehensive development of the individual performer while simultaneously reinforcing the fundamental tenets of effective instructional and learning methodologies. For further reference, a detailed user guide, along with the complete Belt and ATS Tracker, is provided in Appendix A.</w:t>
      </w:r>
    </w:p>
    <w:p w14:paraId="2F565A79" w14:textId="4F45C7D2" w:rsidR="000517A5" w:rsidRPr="00387881" w:rsidRDefault="008253A3" w:rsidP="00ED2901">
      <w:pPr>
        <w:spacing w:line="360" w:lineRule="auto"/>
        <w:jc w:val="both"/>
        <w:rPr>
          <w:rFonts w:ascii="Arial" w:hAnsi="Arial" w:cs="Arial"/>
          <w:b/>
          <w:bCs/>
          <w:sz w:val="22"/>
          <w:szCs w:val="22"/>
        </w:rPr>
      </w:pPr>
      <w:r>
        <w:rPr>
          <w:rFonts w:ascii="Arial" w:hAnsi="Arial" w:cs="Arial"/>
          <w:b/>
          <w:bCs/>
          <w:noProof/>
          <w:sz w:val="22"/>
          <w:szCs w:val="22"/>
        </w:rPr>
        <w:drawing>
          <wp:inline distT="0" distB="0" distL="0" distR="0" wp14:anchorId="430F9184" wp14:editId="716C284D">
            <wp:extent cx="5731510" cy="5731510"/>
            <wp:effectExtent l="0" t="0" r="2540" b="2540"/>
            <wp:docPr id="453047882" name="Picture 3" descr="A diagram of a bra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3047882" name="Picture 3" descr="A diagram of a brand&#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5731510" cy="5731510"/>
                    </a:xfrm>
                    <a:prstGeom prst="rect">
                      <a:avLst/>
                    </a:prstGeom>
                  </pic:spPr>
                </pic:pic>
              </a:graphicData>
            </a:graphic>
          </wp:inline>
        </w:drawing>
      </w:r>
    </w:p>
    <w:p w14:paraId="54C532ED" w14:textId="77777777" w:rsidR="008253A3" w:rsidRDefault="008253A3" w:rsidP="00ED2901">
      <w:pPr>
        <w:spacing w:line="360" w:lineRule="auto"/>
        <w:jc w:val="both"/>
        <w:rPr>
          <w:rFonts w:ascii="Arial" w:hAnsi="Arial" w:cs="Arial"/>
          <w:b/>
          <w:bCs/>
          <w:sz w:val="22"/>
          <w:szCs w:val="22"/>
        </w:rPr>
      </w:pPr>
    </w:p>
    <w:p w14:paraId="1B210171" w14:textId="77777777" w:rsidR="008253A3" w:rsidRDefault="008253A3" w:rsidP="00ED2901">
      <w:pPr>
        <w:spacing w:line="360" w:lineRule="auto"/>
        <w:jc w:val="both"/>
        <w:rPr>
          <w:rFonts w:ascii="Arial" w:hAnsi="Arial" w:cs="Arial"/>
          <w:b/>
          <w:bCs/>
          <w:sz w:val="22"/>
          <w:szCs w:val="22"/>
        </w:rPr>
      </w:pPr>
    </w:p>
    <w:p w14:paraId="72403077" w14:textId="2C3F8012" w:rsidR="00076217" w:rsidRPr="00ED2901" w:rsidRDefault="00076217" w:rsidP="00ED2901">
      <w:pPr>
        <w:spacing w:line="360" w:lineRule="auto"/>
        <w:jc w:val="both"/>
        <w:rPr>
          <w:rFonts w:ascii="Arial" w:hAnsi="Arial" w:cs="Arial"/>
          <w:b/>
          <w:bCs/>
          <w:sz w:val="22"/>
          <w:szCs w:val="22"/>
        </w:rPr>
      </w:pPr>
      <w:r w:rsidRPr="00ED2901">
        <w:rPr>
          <w:rFonts w:ascii="Arial" w:hAnsi="Arial" w:cs="Arial"/>
          <w:b/>
          <w:bCs/>
          <w:sz w:val="22"/>
          <w:szCs w:val="22"/>
        </w:rPr>
        <w:lastRenderedPageBreak/>
        <w:t>Methodology</w:t>
      </w:r>
    </w:p>
    <w:p w14:paraId="23904882" w14:textId="77777777" w:rsidR="00076217" w:rsidRPr="00387881" w:rsidRDefault="00076217" w:rsidP="00ED2901">
      <w:pPr>
        <w:spacing w:line="360" w:lineRule="auto"/>
        <w:jc w:val="both"/>
        <w:rPr>
          <w:rFonts w:ascii="Arial" w:hAnsi="Arial" w:cs="Arial"/>
          <w:sz w:val="22"/>
          <w:szCs w:val="22"/>
        </w:rPr>
      </w:pPr>
      <w:r w:rsidRPr="00387881">
        <w:rPr>
          <w:rFonts w:ascii="Arial" w:hAnsi="Arial" w:cs="Arial"/>
          <w:sz w:val="22"/>
          <w:szCs w:val="22"/>
        </w:rPr>
        <w:t>Practice-Based Research Ethos</w:t>
      </w:r>
    </w:p>
    <w:p w14:paraId="713A5FB1" w14:textId="77777777" w:rsidR="00076217" w:rsidRPr="00387881" w:rsidRDefault="00076217" w:rsidP="00ED2901">
      <w:pPr>
        <w:spacing w:line="360" w:lineRule="auto"/>
        <w:jc w:val="both"/>
        <w:rPr>
          <w:rFonts w:ascii="Arial" w:hAnsi="Arial" w:cs="Arial"/>
          <w:sz w:val="22"/>
          <w:szCs w:val="22"/>
        </w:rPr>
      </w:pPr>
      <w:r w:rsidRPr="00387881">
        <w:rPr>
          <w:rFonts w:ascii="Arial" w:hAnsi="Arial" w:cs="Arial"/>
          <w:sz w:val="22"/>
          <w:szCs w:val="22"/>
        </w:rPr>
        <w:t>The artefact reflects a practice-based approach, integrating embodied learning and reflective action (Schön, 1983; Nelson, 2013). Insights from Modules 3 and 4 informed design decisions, highlighting the need for technical flexibility and identity-conscious ATS strategies.</w:t>
      </w:r>
    </w:p>
    <w:p w14:paraId="6775F98B" w14:textId="77777777" w:rsidR="00076217" w:rsidRPr="00387881" w:rsidRDefault="00076217" w:rsidP="00ED2901">
      <w:pPr>
        <w:spacing w:line="360" w:lineRule="auto"/>
        <w:jc w:val="both"/>
        <w:rPr>
          <w:rFonts w:ascii="Arial" w:hAnsi="Arial" w:cs="Arial"/>
          <w:sz w:val="22"/>
          <w:szCs w:val="22"/>
        </w:rPr>
      </w:pPr>
      <w:r w:rsidRPr="00387881">
        <w:rPr>
          <w:rFonts w:ascii="Arial" w:hAnsi="Arial" w:cs="Arial"/>
          <w:sz w:val="22"/>
          <w:szCs w:val="22"/>
        </w:rPr>
        <w:t>Pilot Design and Iterative Refinement</w:t>
      </w:r>
    </w:p>
    <w:p w14:paraId="33F3273C" w14:textId="77777777" w:rsidR="00076217" w:rsidRPr="00387881" w:rsidRDefault="00076217" w:rsidP="00ED2901">
      <w:pPr>
        <w:spacing w:line="360" w:lineRule="auto"/>
        <w:jc w:val="both"/>
        <w:rPr>
          <w:rFonts w:ascii="Arial" w:hAnsi="Arial" w:cs="Arial"/>
          <w:sz w:val="22"/>
          <w:szCs w:val="22"/>
        </w:rPr>
      </w:pPr>
      <w:r w:rsidRPr="00387881">
        <w:rPr>
          <w:rFonts w:ascii="Arial" w:hAnsi="Arial" w:cs="Arial"/>
          <w:sz w:val="22"/>
          <w:szCs w:val="22"/>
        </w:rPr>
        <w:t>Module 6 will pilot selected components with a small group of performers to evaluate effectiveness, practicality, and emotional impact. This iterative process aligns with action research principles, emphasising lived experience and continuous improvement (Kemmis &amp; McTaggart, 2005; McNiff, 2013).</w:t>
      </w:r>
    </w:p>
    <w:p w14:paraId="1234E531" w14:textId="77777777" w:rsidR="00076217" w:rsidRPr="00387881" w:rsidRDefault="00076217" w:rsidP="00ED2901">
      <w:pPr>
        <w:spacing w:line="360" w:lineRule="auto"/>
        <w:jc w:val="both"/>
        <w:rPr>
          <w:rFonts w:ascii="Arial" w:hAnsi="Arial" w:cs="Arial"/>
          <w:sz w:val="22"/>
          <w:szCs w:val="22"/>
        </w:rPr>
      </w:pPr>
      <w:r w:rsidRPr="00387881">
        <w:rPr>
          <w:rFonts w:ascii="Arial" w:hAnsi="Arial" w:cs="Arial"/>
          <w:sz w:val="22"/>
          <w:szCs w:val="22"/>
        </w:rPr>
        <w:t>SMART Objectives and Evaluation Strategy</w:t>
      </w:r>
    </w:p>
    <w:p w14:paraId="49DB571D" w14:textId="77777777" w:rsidR="00C94168" w:rsidRDefault="00C94168" w:rsidP="00ED2901">
      <w:pPr>
        <w:spacing w:line="360" w:lineRule="auto"/>
        <w:jc w:val="both"/>
        <w:rPr>
          <w:rFonts w:ascii="Arial" w:hAnsi="Arial" w:cs="Arial"/>
          <w:sz w:val="22"/>
          <w:szCs w:val="22"/>
        </w:rPr>
      </w:pPr>
      <w:r w:rsidRPr="00C94168">
        <w:rPr>
          <w:rFonts w:ascii="Arial" w:hAnsi="Arial" w:cs="Arial"/>
          <w:sz w:val="22"/>
          <w:szCs w:val="22"/>
        </w:rPr>
        <w:t>This study employs a SMART-based framework to ensure clarity, rigour, and feasibility in developing and evaluating a trans-inclusive ATS pedagogical model. It focuses on designing, implementing, and piloting a framework informed by contemporary vocal pedagogy and inclusive practice. Outcomes will be measured through evaluations of technical vocal development and emotional engagement using participant feedback, reflective commentary, and documented performance results. The project remains achievable by operating within a small-scale pilot aligned with the parameters and ethical requirements of Module 6. Its relevance lies in addressing gaps in musical theatre pedagogy, particularly in supporting transgender and gender-diverse performers. The study is time-bound, with implementation, data collection, and analysis scheduled for completion within the Module 6 timeframe.</w:t>
      </w:r>
    </w:p>
    <w:p w14:paraId="14A4D0B9" w14:textId="767D8EC7" w:rsidR="00387881" w:rsidRPr="00F017FF" w:rsidRDefault="00387881" w:rsidP="00ED2901">
      <w:pPr>
        <w:spacing w:line="360" w:lineRule="auto"/>
        <w:jc w:val="both"/>
        <w:rPr>
          <w:rFonts w:ascii="Arial" w:hAnsi="Arial" w:cs="Arial"/>
          <w:sz w:val="22"/>
          <w:szCs w:val="22"/>
        </w:rPr>
      </w:pPr>
      <w:r w:rsidRPr="00387881">
        <w:rPr>
          <w:rFonts w:ascii="Arial" w:hAnsi="Arial" w:cs="Arial"/>
          <w:sz w:val="22"/>
          <w:szCs w:val="22"/>
        </w:rPr>
        <w:t>Evaluation will integrate qualitative reflective data and performance-based evidence, enabling critical analysis of the framework’s adaptability, pedagogical effectiveness, and potential for broader application within conservatoire training contexts.</w:t>
      </w:r>
    </w:p>
    <w:p w14:paraId="520EAFE6" w14:textId="5AC86EEB" w:rsidR="0049796B" w:rsidRDefault="0049796B">
      <w:pPr>
        <w:rPr>
          <w:rFonts w:ascii="Arial" w:hAnsi="Arial" w:cs="Arial"/>
          <w:b/>
          <w:bCs/>
          <w:sz w:val="22"/>
          <w:szCs w:val="22"/>
        </w:rPr>
      </w:pPr>
      <w:r>
        <w:rPr>
          <w:rFonts w:ascii="Arial" w:hAnsi="Arial" w:cs="Arial"/>
          <w:b/>
          <w:bCs/>
          <w:sz w:val="22"/>
          <w:szCs w:val="22"/>
        </w:rPr>
        <w:br w:type="page"/>
      </w:r>
    </w:p>
    <w:p w14:paraId="5654191E" w14:textId="0A27F025" w:rsidR="00C51551" w:rsidRDefault="0049796B">
      <w:pPr>
        <w:rPr>
          <w:rFonts w:ascii="Arial" w:hAnsi="Arial" w:cs="Arial"/>
          <w:b/>
          <w:bCs/>
          <w:sz w:val="22"/>
          <w:szCs w:val="22"/>
        </w:rPr>
      </w:pPr>
      <w:r>
        <w:rPr>
          <w:rFonts w:ascii="Arial" w:hAnsi="Arial" w:cs="Arial"/>
          <w:b/>
          <w:bCs/>
          <w:noProof/>
          <w:sz w:val="22"/>
          <w:szCs w:val="22"/>
        </w:rPr>
        <w:lastRenderedPageBreak/>
        <w:drawing>
          <wp:inline distT="0" distB="0" distL="0" distR="0" wp14:anchorId="3934701E" wp14:editId="43A9CD08">
            <wp:extent cx="5731510" cy="5731510"/>
            <wp:effectExtent l="0" t="0" r="2540" b="2540"/>
            <wp:docPr id="1282371074" name="Picture 4" descr="A diagram of a smart objectiv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2371074" name="Picture 4" descr="A diagram of a smart objectives&#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5731510" cy="5731510"/>
                    </a:xfrm>
                    <a:prstGeom prst="rect">
                      <a:avLst/>
                    </a:prstGeom>
                  </pic:spPr>
                </pic:pic>
              </a:graphicData>
            </a:graphic>
          </wp:inline>
        </w:drawing>
      </w:r>
    </w:p>
    <w:p w14:paraId="5CA92E63" w14:textId="75C2ED18" w:rsidR="00076217" w:rsidRPr="00ED2901" w:rsidRDefault="00076217" w:rsidP="00ED2901">
      <w:pPr>
        <w:spacing w:line="360" w:lineRule="auto"/>
        <w:jc w:val="both"/>
        <w:rPr>
          <w:rFonts w:ascii="Arial" w:hAnsi="Arial" w:cs="Arial"/>
          <w:b/>
          <w:bCs/>
          <w:sz w:val="22"/>
          <w:szCs w:val="22"/>
        </w:rPr>
      </w:pPr>
      <w:r w:rsidRPr="00ED2901">
        <w:rPr>
          <w:rFonts w:ascii="Arial" w:hAnsi="Arial" w:cs="Arial"/>
          <w:b/>
          <w:bCs/>
          <w:sz w:val="22"/>
          <w:szCs w:val="22"/>
        </w:rPr>
        <w:t>Conclusion</w:t>
      </w:r>
    </w:p>
    <w:p w14:paraId="61657F6D" w14:textId="77777777" w:rsidR="00076217" w:rsidRPr="00F017FF" w:rsidRDefault="00076217" w:rsidP="00ED2901">
      <w:pPr>
        <w:spacing w:line="360" w:lineRule="auto"/>
        <w:jc w:val="both"/>
        <w:rPr>
          <w:rFonts w:ascii="Arial" w:hAnsi="Arial" w:cs="Arial"/>
          <w:sz w:val="22"/>
          <w:szCs w:val="22"/>
        </w:rPr>
      </w:pPr>
      <w:r w:rsidRPr="00F017FF">
        <w:rPr>
          <w:rFonts w:ascii="Arial" w:hAnsi="Arial" w:cs="Arial"/>
          <w:sz w:val="22"/>
          <w:szCs w:val="22"/>
        </w:rPr>
        <w:t>By integrating queer pedagogy, trauma-informed principles, and functional voice science, this programme advances inclusive musical theatre training. The artefact positions ATS as a collaborative, identity-affirming practice, supporting trans and non-binary performers in achieving technical proficiency and expressive authenticity. Through iterative refinement and practitioner engagement, it contributes to evolving discourse on equitable, student-centred methodologies in the performing arts.</w:t>
      </w:r>
    </w:p>
    <w:p w14:paraId="740D29B0" w14:textId="77777777" w:rsidR="0049796B" w:rsidRDefault="0049796B" w:rsidP="00ED2901">
      <w:pPr>
        <w:spacing w:line="360" w:lineRule="auto"/>
        <w:jc w:val="both"/>
        <w:rPr>
          <w:rFonts w:ascii="Arial" w:hAnsi="Arial" w:cs="Arial"/>
          <w:b/>
          <w:bCs/>
          <w:sz w:val="22"/>
          <w:szCs w:val="22"/>
        </w:rPr>
      </w:pPr>
    </w:p>
    <w:p w14:paraId="705A3A47" w14:textId="77777777" w:rsidR="00510887" w:rsidRDefault="00510887" w:rsidP="00ED2901">
      <w:pPr>
        <w:spacing w:line="360" w:lineRule="auto"/>
        <w:jc w:val="both"/>
        <w:rPr>
          <w:rFonts w:ascii="Arial" w:hAnsi="Arial" w:cs="Arial"/>
          <w:b/>
          <w:bCs/>
          <w:sz w:val="22"/>
          <w:szCs w:val="22"/>
        </w:rPr>
      </w:pPr>
    </w:p>
    <w:p w14:paraId="2571F96B" w14:textId="1D375F93" w:rsidR="00E11370" w:rsidRPr="00ED2901" w:rsidRDefault="00E11370" w:rsidP="00ED2901">
      <w:pPr>
        <w:spacing w:line="360" w:lineRule="auto"/>
        <w:jc w:val="both"/>
        <w:rPr>
          <w:rFonts w:ascii="Arial" w:hAnsi="Arial" w:cs="Arial"/>
          <w:b/>
          <w:bCs/>
          <w:sz w:val="22"/>
          <w:szCs w:val="22"/>
        </w:rPr>
      </w:pPr>
      <w:r w:rsidRPr="00ED2901">
        <w:rPr>
          <w:rFonts w:ascii="Arial" w:hAnsi="Arial" w:cs="Arial"/>
          <w:b/>
          <w:bCs/>
          <w:sz w:val="22"/>
          <w:szCs w:val="22"/>
        </w:rPr>
        <w:lastRenderedPageBreak/>
        <w:t>Next Stage: Module 6 Pilot</w:t>
      </w:r>
    </w:p>
    <w:p w14:paraId="1207EA9A" w14:textId="764DEE6D" w:rsidR="00E11370" w:rsidRPr="00ED2901" w:rsidRDefault="00C048D1" w:rsidP="00ED2901">
      <w:pPr>
        <w:spacing w:line="360" w:lineRule="auto"/>
        <w:jc w:val="both"/>
        <w:rPr>
          <w:rFonts w:ascii="Arial" w:hAnsi="Arial" w:cs="Arial"/>
          <w:sz w:val="22"/>
          <w:szCs w:val="22"/>
        </w:rPr>
      </w:pPr>
      <w:r w:rsidRPr="00ED2901">
        <w:rPr>
          <w:rFonts w:ascii="Arial" w:hAnsi="Arial" w:cs="Arial"/>
          <w:sz w:val="22"/>
          <w:szCs w:val="22"/>
        </w:rPr>
        <w:t xml:space="preserve">The artefact provides the foundation for a pilot study in which selected components will be </w:t>
      </w:r>
      <w:r w:rsidR="008D4C64" w:rsidRPr="00ED2901">
        <w:rPr>
          <w:rFonts w:ascii="Arial" w:hAnsi="Arial" w:cs="Arial"/>
          <w:sz w:val="22"/>
          <w:szCs w:val="22"/>
        </w:rPr>
        <w:t>evaluated</w:t>
      </w:r>
      <w:r w:rsidRPr="00ED2901">
        <w:rPr>
          <w:rFonts w:ascii="Arial" w:hAnsi="Arial" w:cs="Arial"/>
          <w:sz w:val="22"/>
          <w:szCs w:val="22"/>
        </w:rPr>
        <w:t xml:space="preserve"> with a small group of performers to examine effectiveness, practicality, and emotional impact. This approach aligns with practice based and </w:t>
      </w:r>
      <w:r w:rsidR="005F10EB" w:rsidRPr="00ED2901">
        <w:rPr>
          <w:rFonts w:ascii="Arial" w:hAnsi="Arial" w:cs="Arial"/>
          <w:sz w:val="22"/>
          <w:szCs w:val="22"/>
        </w:rPr>
        <w:t>action-oriented</w:t>
      </w:r>
      <w:r w:rsidRPr="00ED2901">
        <w:rPr>
          <w:rFonts w:ascii="Arial" w:hAnsi="Arial" w:cs="Arial"/>
          <w:sz w:val="22"/>
          <w:szCs w:val="22"/>
        </w:rPr>
        <w:t xml:space="preserve"> research, which values iterative refinement shaped by lived experience and reflective processes (Kemmis and McTaggart, 2005; McNiff, 2013; Nelson, 2013). </w:t>
      </w:r>
    </w:p>
    <w:p w14:paraId="54BFE358" w14:textId="77777777" w:rsidR="00E11370" w:rsidRPr="00ED2901" w:rsidRDefault="00E11370" w:rsidP="00ED2901">
      <w:pPr>
        <w:spacing w:line="360" w:lineRule="auto"/>
        <w:jc w:val="both"/>
        <w:rPr>
          <w:rFonts w:ascii="Arial" w:hAnsi="Arial" w:cs="Arial"/>
          <w:b/>
          <w:bCs/>
          <w:sz w:val="22"/>
          <w:szCs w:val="22"/>
        </w:rPr>
      </w:pPr>
      <w:r w:rsidRPr="00ED2901">
        <w:rPr>
          <w:rFonts w:ascii="Arial" w:hAnsi="Arial" w:cs="Arial"/>
          <w:b/>
          <w:bCs/>
          <w:sz w:val="22"/>
          <w:szCs w:val="22"/>
        </w:rPr>
        <w:t>Rationale for Creation</w:t>
      </w:r>
    </w:p>
    <w:p w14:paraId="58732B9E" w14:textId="23C0C463" w:rsidR="00E11370" w:rsidRPr="00ED2901" w:rsidRDefault="00076217" w:rsidP="00ED2901">
      <w:pPr>
        <w:spacing w:line="360" w:lineRule="auto"/>
        <w:jc w:val="both"/>
        <w:rPr>
          <w:rFonts w:ascii="Arial" w:hAnsi="Arial" w:cs="Arial"/>
          <w:sz w:val="22"/>
          <w:szCs w:val="22"/>
        </w:rPr>
      </w:pPr>
      <w:r w:rsidRPr="00ED2901">
        <w:rPr>
          <w:rFonts w:ascii="Arial" w:hAnsi="Arial" w:cs="Arial"/>
          <w:sz w:val="22"/>
          <w:szCs w:val="22"/>
        </w:rPr>
        <w:t>H</w:t>
      </w:r>
      <w:r w:rsidR="00C048D1" w:rsidRPr="00ED2901">
        <w:rPr>
          <w:rFonts w:ascii="Arial" w:hAnsi="Arial" w:cs="Arial"/>
          <w:sz w:val="22"/>
          <w:szCs w:val="22"/>
        </w:rPr>
        <w:t>ormone related changes affect range and stability</w:t>
      </w:r>
      <w:r w:rsidRPr="00ED2901">
        <w:rPr>
          <w:rFonts w:ascii="Arial" w:hAnsi="Arial" w:cs="Arial"/>
          <w:sz w:val="22"/>
          <w:szCs w:val="22"/>
        </w:rPr>
        <w:t xml:space="preserve"> in trans performers</w:t>
      </w:r>
      <w:r w:rsidR="00C048D1" w:rsidRPr="00ED2901">
        <w:rPr>
          <w:rFonts w:ascii="Arial" w:hAnsi="Arial" w:cs="Arial"/>
          <w:sz w:val="22"/>
          <w:szCs w:val="22"/>
        </w:rPr>
        <w:t>, also introduc</w:t>
      </w:r>
      <w:r w:rsidRPr="00ED2901">
        <w:rPr>
          <w:rFonts w:ascii="Arial" w:hAnsi="Arial" w:cs="Arial"/>
          <w:sz w:val="22"/>
          <w:szCs w:val="22"/>
        </w:rPr>
        <w:t>ing</w:t>
      </w:r>
      <w:r w:rsidR="00C048D1" w:rsidRPr="00ED2901">
        <w:rPr>
          <w:rFonts w:ascii="Arial" w:hAnsi="Arial" w:cs="Arial"/>
          <w:sz w:val="22"/>
          <w:szCs w:val="22"/>
        </w:rPr>
        <w:t xml:space="preserve"> psychological strain when vocal expectations do not align with a performer’s identity (Spencer, 2020; Azul, 2016). In </w:t>
      </w:r>
      <w:r w:rsidR="0020428C" w:rsidRPr="00ED2901">
        <w:rPr>
          <w:rFonts w:ascii="Arial" w:hAnsi="Arial" w:cs="Arial"/>
          <w:sz w:val="22"/>
          <w:szCs w:val="22"/>
        </w:rPr>
        <w:t>ATS</w:t>
      </w:r>
      <w:r w:rsidR="00C048D1" w:rsidRPr="00ED2901">
        <w:rPr>
          <w:rFonts w:ascii="Arial" w:hAnsi="Arial" w:cs="Arial"/>
          <w:sz w:val="22"/>
          <w:szCs w:val="22"/>
        </w:rPr>
        <w:t xml:space="preserve"> contexts, where emotional authenticity and textual embodiment are central, achieving this authenticity can be difficult when technical demands conflict with lived gender experience (Clift and McKeown, 2019). Research in voice and gender studies further highlights how vocal expression is shaped by identity, embodiment, and social context, reinforcing the need for pedagogical approaches that recognise this complexity (Azul, 2015; </w:t>
      </w:r>
      <w:r w:rsidR="00B55872" w:rsidRPr="00ED2901">
        <w:rPr>
          <w:rFonts w:ascii="Arial" w:hAnsi="Arial" w:cs="Arial"/>
          <w:sz w:val="22"/>
          <w:szCs w:val="22"/>
        </w:rPr>
        <w:t>MacNeil, 2008</w:t>
      </w:r>
      <w:r w:rsidR="00C048D1" w:rsidRPr="00ED2901">
        <w:rPr>
          <w:rFonts w:ascii="Arial" w:hAnsi="Arial" w:cs="Arial"/>
          <w:sz w:val="22"/>
          <w:szCs w:val="22"/>
        </w:rPr>
        <w:t>; Russo, 2022).</w:t>
      </w:r>
    </w:p>
    <w:p w14:paraId="555D293C" w14:textId="77777777" w:rsidR="00E11370" w:rsidRPr="00ED2901" w:rsidRDefault="00E11370" w:rsidP="00ED2901">
      <w:pPr>
        <w:spacing w:line="360" w:lineRule="auto"/>
        <w:jc w:val="both"/>
        <w:rPr>
          <w:rFonts w:ascii="Arial" w:hAnsi="Arial" w:cs="Arial"/>
          <w:b/>
          <w:bCs/>
          <w:sz w:val="22"/>
          <w:szCs w:val="22"/>
        </w:rPr>
      </w:pPr>
      <w:r w:rsidRPr="00ED2901">
        <w:rPr>
          <w:rFonts w:ascii="Arial" w:hAnsi="Arial" w:cs="Arial"/>
          <w:b/>
          <w:bCs/>
          <w:sz w:val="22"/>
          <w:szCs w:val="22"/>
        </w:rPr>
        <w:t>Framework Response</w:t>
      </w:r>
    </w:p>
    <w:p w14:paraId="10513F30" w14:textId="2FA48C9B" w:rsidR="00C048D1" w:rsidRPr="00ED2901" w:rsidRDefault="00C048D1" w:rsidP="00ED2901">
      <w:pPr>
        <w:spacing w:line="360" w:lineRule="auto"/>
        <w:jc w:val="both"/>
        <w:rPr>
          <w:rFonts w:ascii="Arial" w:hAnsi="Arial" w:cs="Arial"/>
          <w:sz w:val="22"/>
          <w:szCs w:val="22"/>
        </w:rPr>
      </w:pPr>
      <w:r w:rsidRPr="00ED2901">
        <w:rPr>
          <w:rFonts w:ascii="Arial" w:hAnsi="Arial" w:cs="Arial"/>
          <w:sz w:val="22"/>
          <w:szCs w:val="22"/>
        </w:rPr>
        <w:t xml:space="preserve">The artefact responds to current challenges in </w:t>
      </w:r>
      <w:r w:rsidR="0020428C" w:rsidRPr="00ED2901">
        <w:rPr>
          <w:rFonts w:ascii="Arial" w:hAnsi="Arial" w:cs="Arial"/>
          <w:sz w:val="22"/>
          <w:szCs w:val="22"/>
        </w:rPr>
        <w:t>ATS</w:t>
      </w:r>
      <w:r w:rsidRPr="00ED2901">
        <w:rPr>
          <w:rFonts w:ascii="Arial" w:hAnsi="Arial" w:cs="Arial"/>
          <w:sz w:val="22"/>
          <w:szCs w:val="22"/>
        </w:rPr>
        <w:t xml:space="preserve"> by combining functional belt training with identity conscious approaches., authenticity depends on a balance between voice, identity, and emotional intention, and without this balance both technical development and expressive connection may be affected (</w:t>
      </w:r>
      <w:r w:rsidR="00B55872" w:rsidRPr="00ED2901">
        <w:rPr>
          <w:rFonts w:ascii="Arial" w:hAnsi="Arial" w:cs="Arial"/>
          <w:sz w:val="22"/>
          <w:szCs w:val="22"/>
        </w:rPr>
        <w:t>Duggan &amp; Wallis, 2011</w:t>
      </w:r>
      <w:r w:rsidRPr="00ED2901">
        <w:rPr>
          <w:rFonts w:ascii="Arial" w:hAnsi="Arial" w:cs="Arial"/>
          <w:sz w:val="22"/>
          <w:szCs w:val="22"/>
        </w:rPr>
        <w:t>; Owen, 2023</w:t>
      </w:r>
    </w:p>
    <w:p w14:paraId="6EB4B2B1" w14:textId="1DEFB721" w:rsidR="007F3193" w:rsidRPr="00ED2901" w:rsidRDefault="007F3193" w:rsidP="00ED2901">
      <w:pPr>
        <w:spacing w:line="360" w:lineRule="auto"/>
        <w:jc w:val="both"/>
        <w:rPr>
          <w:rFonts w:ascii="Arial" w:hAnsi="Arial" w:cs="Arial"/>
          <w:sz w:val="22"/>
          <w:szCs w:val="22"/>
        </w:rPr>
      </w:pPr>
      <w:r w:rsidRPr="00ED2901">
        <w:rPr>
          <w:rFonts w:ascii="Arial" w:hAnsi="Arial" w:cs="Arial"/>
          <w:sz w:val="22"/>
          <w:szCs w:val="22"/>
        </w:rPr>
        <w:t>Aims and Objectives</w:t>
      </w:r>
    </w:p>
    <w:p w14:paraId="6DE8F561" w14:textId="6283267A" w:rsidR="00B038D6" w:rsidRPr="00ED2901" w:rsidRDefault="00B038D6" w:rsidP="00ED2901">
      <w:pPr>
        <w:spacing w:line="360" w:lineRule="auto"/>
        <w:jc w:val="both"/>
        <w:rPr>
          <w:rFonts w:ascii="Arial" w:hAnsi="Arial" w:cs="Arial"/>
          <w:sz w:val="22"/>
          <w:szCs w:val="22"/>
        </w:rPr>
      </w:pPr>
      <w:r w:rsidRPr="00ED2901">
        <w:rPr>
          <w:rFonts w:ascii="Arial" w:hAnsi="Arial" w:cs="Arial"/>
          <w:sz w:val="22"/>
          <w:szCs w:val="22"/>
        </w:rPr>
        <w:t xml:space="preserve">The primary objective of this artefact is to establish, refine, and document a coherent framework that supports trans and non-binary performers in developing belt technique and expressive </w:t>
      </w:r>
      <w:r w:rsidR="0020428C" w:rsidRPr="00ED2901">
        <w:rPr>
          <w:rFonts w:ascii="Arial" w:hAnsi="Arial" w:cs="Arial"/>
          <w:sz w:val="22"/>
          <w:szCs w:val="22"/>
        </w:rPr>
        <w:t>ATS</w:t>
      </w:r>
      <w:r w:rsidRPr="00ED2901">
        <w:rPr>
          <w:rFonts w:ascii="Arial" w:hAnsi="Arial" w:cs="Arial"/>
          <w:sz w:val="22"/>
          <w:szCs w:val="22"/>
        </w:rPr>
        <w:t xml:space="preserve"> (ATS) skills. This goal reflects research showing that transgender vocal progression is shaped by physiological factors and lived identity, requiring pedagogies that respect individual differences and ensure psychological safety (Azul, 2015; Davies, Papp &amp; Antoni, 2015; Hancock &amp; Garabedian, 2013).</w:t>
      </w:r>
    </w:p>
    <w:p w14:paraId="1D1A6953" w14:textId="5EDA4C26" w:rsidR="00B038D6" w:rsidRPr="00ED2901" w:rsidRDefault="00B038D6" w:rsidP="00ED2901">
      <w:pPr>
        <w:spacing w:line="360" w:lineRule="auto"/>
        <w:jc w:val="both"/>
        <w:rPr>
          <w:rFonts w:ascii="Arial" w:hAnsi="Arial" w:cs="Arial"/>
          <w:sz w:val="22"/>
          <w:szCs w:val="22"/>
        </w:rPr>
      </w:pPr>
      <w:r w:rsidRPr="00ED2901">
        <w:rPr>
          <w:rFonts w:ascii="Arial" w:hAnsi="Arial" w:cs="Arial"/>
          <w:sz w:val="22"/>
          <w:szCs w:val="22"/>
        </w:rPr>
        <w:t>The framework is embedded in a learning environment that prioritises identity affirmation, emotional security, and technical proficiency, aligning with trauma-informed and learner-centred models of arts education (Carello &amp; Butler, 2015; hooks, 1994; Warriner, 2021). Designed for adaptability, it applies across conservatoire training, personalised coaching, and self-directed practice</w:t>
      </w:r>
      <w:r w:rsidR="00CC1BD1" w:rsidRPr="00ED2901">
        <w:rPr>
          <w:rFonts w:ascii="Arial" w:hAnsi="Arial" w:cs="Arial"/>
          <w:sz w:val="22"/>
          <w:szCs w:val="22"/>
        </w:rPr>
        <w:t xml:space="preserve">, </w:t>
      </w:r>
      <w:r w:rsidRPr="00ED2901">
        <w:rPr>
          <w:rFonts w:ascii="Arial" w:hAnsi="Arial" w:cs="Arial"/>
          <w:sz w:val="22"/>
          <w:szCs w:val="22"/>
        </w:rPr>
        <w:t>reflecting broader trends in musical theatre pedagogy toward inclusive</w:t>
      </w:r>
      <w:r w:rsidR="00CC1BD1" w:rsidRPr="00ED2901">
        <w:rPr>
          <w:rFonts w:ascii="Arial" w:hAnsi="Arial" w:cs="Arial"/>
          <w:sz w:val="22"/>
          <w:szCs w:val="22"/>
        </w:rPr>
        <w:t xml:space="preserve"> </w:t>
      </w:r>
      <w:r w:rsidR="00CC1BD1" w:rsidRPr="00ED2901">
        <w:rPr>
          <w:rFonts w:ascii="Arial" w:hAnsi="Arial" w:cs="Arial"/>
          <w:sz w:val="22"/>
          <w:szCs w:val="22"/>
        </w:rPr>
        <w:lastRenderedPageBreak/>
        <w:t xml:space="preserve">strategies for </w:t>
      </w:r>
      <w:r w:rsidRPr="00ED2901">
        <w:rPr>
          <w:rFonts w:ascii="Arial" w:hAnsi="Arial" w:cs="Arial"/>
          <w:sz w:val="22"/>
          <w:szCs w:val="22"/>
        </w:rPr>
        <w:t>performers (Moore &amp; Bergman, 2016; Ziegler &amp; Barton, 2022). It also validates the varied vocal, emotional, and identity-related experiences of trans singers, consistent with scholarship on the interconnection between voice, embodiment, and gendered experience (</w:t>
      </w:r>
      <w:r w:rsidR="00B55872" w:rsidRPr="00ED2901">
        <w:rPr>
          <w:rFonts w:ascii="Arial" w:hAnsi="Arial" w:cs="Arial"/>
          <w:sz w:val="22"/>
          <w:szCs w:val="22"/>
        </w:rPr>
        <w:t>MacNeil, 2008</w:t>
      </w:r>
      <w:r w:rsidRPr="00ED2901">
        <w:rPr>
          <w:rFonts w:ascii="Arial" w:hAnsi="Arial" w:cs="Arial"/>
          <w:sz w:val="22"/>
          <w:szCs w:val="22"/>
        </w:rPr>
        <w:t>; Azul et al., 2022).</w:t>
      </w:r>
    </w:p>
    <w:p w14:paraId="19475BF6" w14:textId="56B2D1CD" w:rsidR="00B038D6" w:rsidRPr="00ED2901" w:rsidRDefault="00B038D6" w:rsidP="00ED2901">
      <w:pPr>
        <w:spacing w:line="360" w:lineRule="auto"/>
        <w:jc w:val="both"/>
        <w:rPr>
          <w:rFonts w:ascii="Arial" w:hAnsi="Arial" w:cs="Arial"/>
          <w:sz w:val="22"/>
          <w:szCs w:val="22"/>
        </w:rPr>
      </w:pPr>
      <w:r w:rsidRPr="00ED2901">
        <w:rPr>
          <w:rFonts w:ascii="Arial" w:hAnsi="Arial" w:cs="Arial"/>
          <w:sz w:val="22"/>
          <w:szCs w:val="22"/>
        </w:rPr>
        <w:t xml:space="preserve">SMART objectives provide a structured foundation for design and implementation (McNiff, 2013; Reeves, 2006). </w:t>
      </w:r>
    </w:p>
    <w:p w14:paraId="482EDA1F" w14:textId="287734A0" w:rsidR="00DE158E" w:rsidRPr="00ED2901" w:rsidRDefault="00DE158E" w:rsidP="00ED2901">
      <w:pPr>
        <w:spacing w:line="360" w:lineRule="auto"/>
        <w:jc w:val="both"/>
        <w:rPr>
          <w:rFonts w:ascii="Arial" w:hAnsi="Arial" w:cs="Arial"/>
          <w:sz w:val="22"/>
          <w:szCs w:val="22"/>
        </w:rPr>
      </w:pPr>
      <w:r w:rsidRPr="00ED2901">
        <w:rPr>
          <w:rFonts w:ascii="Arial" w:hAnsi="Arial" w:cs="Arial"/>
          <w:noProof/>
          <w:sz w:val="22"/>
          <w:szCs w:val="22"/>
        </w:rPr>
        <w:drawing>
          <wp:inline distT="0" distB="0" distL="0" distR="0" wp14:anchorId="550C2CC4" wp14:editId="02929388">
            <wp:extent cx="5731510" cy="2286000"/>
            <wp:effectExtent l="0" t="0" r="2540" b="0"/>
            <wp:docPr id="60911888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9118883" name="Picture 1" descr="A screenshot of a computer&#10;&#10;AI-generated content may be incorrect."/>
                    <pic:cNvPicPr/>
                  </pic:nvPicPr>
                  <pic:blipFill>
                    <a:blip r:embed="rId11"/>
                    <a:stretch>
                      <a:fillRect/>
                    </a:stretch>
                  </pic:blipFill>
                  <pic:spPr>
                    <a:xfrm>
                      <a:off x="0" y="0"/>
                      <a:ext cx="5731510" cy="2286000"/>
                    </a:xfrm>
                    <a:prstGeom prst="rect">
                      <a:avLst/>
                    </a:prstGeom>
                  </pic:spPr>
                </pic:pic>
              </a:graphicData>
            </a:graphic>
          </wp:inline>
        </w:drawing>
      </w:r>
    </w:p>
    <w:p w14:paraId="5E723F75" w14:textId="6C6C77AA" w:rsidR="000C69CA" w:rsidRPr="00ED2901" w:rsidRDefault="000C69CA" w:rsidP="00ED2901">
      <w:pPr>
        <w:spacing w:line="360" w:lineRule="auto"/>
        <w:jc w:val="both"/>
        <w:rPr>
          <w:rFonts w:ascii="Arial" w:hAnsi="Arial" w:cs="Arial"/>
          <w:b/>
          <w:bCs/>
          <w:sz w:val="22"/>
          <w:szCs w:val="22"/>
        </w:rPr>
      </w:pPr>
      <w:r w:rsidRPr="00ED2901">
        <w:rPr>
          <w:rFonts w:ascii="Arial" w:hAnsi="Arial" w:cs="Arial"/>
          <w:b/>
          <w:bCs/>
          <w:sz w:val="22"/>
          <w:szCs w:val="22"/>
        </w:rPr>
        <w:t>Learning Outcomes</w:t>
      </w:r>
    </w:p>
    <w:p w14:paraId="027D0249" w14:textId="71755EA3" w:rsidR="00076217" w:rsidRPr="00ED2901" w:rsidRDefault="00A20B7B" w:rsidP="00ED2901">
      <w:pPr>
        <w:spacing w:line="360" w:lineRule="auto"/>
        <w:jc w:val="both"/>
        <w:rPr>
          <w:rFonts w:ascii="Arial" w:hAnsi="Arial" w:cs="Arial"/>
          <w:sz w:val="22"/>
          <w:szCs w:val="22"/>
        </w:rPr>
      </w:pPr>
      <w:r w:rsidRPr="00ED2901">
        <w:rPr>
          <w:rFonts w:ascii="Arial" w:hAnsi="Arial" w:cs="Arial"/>
          <w:sz w:val="22"/>
          <w:szCs w:val="22"/>
        </w:rPr>
        <w:t xml:space="preserve">This </w:t>
      </w:r>
      <w:r w:rsidR="00F017FF">
        <w:rPr>
          <w:rFonts w:ascii="Arial" w:hAnsi="Arial" w:cs="Arial"/>
          <w:sz w:val="22"/>
          <w:szCs w:val="22"/>
        </w:rPr>
        <w:t>s</w:t>
      </w:r>
      <w:r w:rsidR="00076217" w:rsidRPr="00ED2901">
        <w:rPr>
          <w:rFonts w:ascii="Arial" w:hAnsi="Arial" w:cs="Arial"/>
          <w:sz w:val="22"/>
          <w:szCs w:val="22"/>
        </w:rPr>
        <w:t>s embedded in a learning environment that prioritises identity affirmation, emotional security, and technical proficiency, aligning with trauma-informed and learner-centred models of arts education (Carello &amp; Butler, 2015; hooks, 1994; Warriner, 2021). Designed for adaptability, it applies across conservatoire training, personalised coaching, and self-directed practice, reflecting broader trends in musical theatre pedagogy toward inclusive strategies for performers (Moore &amp; Bergman, 2016; Ziegler &amp; Barton, 2022). It validates the varied vocal, emotional, and identity-related experiences of trans singers, consistent with scholarship on the interconnection between voice, embodiment, and gendered experience (MacNeil, 2008; Azul et al., 2022).</w:t>
      </w:r>
    </w:p>
    <w:p w14:paraId="10CD49D8" w14:textId="77777777" w:rsidR="00076217" w:rsidRPr="00ED2901" w:rsidRDefault="00076217" w:rsidP="00ED2901">
      <w:pPr>
        <w:spacing w:line="360" w:lineRule="auto"/>
        <w:jc w:val="both"/>
        <w:rPr>
          <w:rFonts w:ascii="Arial" w:hAnsi="Arial" w:cs="Arial"/>
          <w:sz w:val="22"/>
          <w:szCs w:val="22"/>
        </w:rPr>
      </w:pPr>
      <w:r w:rsidRPr="00ED2901">
        <w:rPr>
          <w:rFonts w:ascii="Arial" w:hAnsi="Arial" w:cs="Arial"/>
          <w:sz w:val="22"/>
          <w:szCs w:val="22"/>
        </w:rPr>
        <w:t>SMART objectives provide a structured foundation for design and implementation (McNiff, 2013; Reeves, 2006). By situating these aims within a transparent framework, the project contributes to ongoing discourse on equitable, identity-informed, and student-centred methodologies in contemporary musical theatre voice training (Kumashiro, 2002; Owen, 2023).</w:t>
      </w:r>
    </w:p>
    <w:p w14:paraId="4414E449" w14:textId="4B868505" w:rsidR="00C048D1" w:rsidRDefault="00C048D1" w:rsidP="00ED2901">
      <w:pPr>
        <w:spacing w:line="360" w:lineRule="auto"/>
        <w:jc w:val="both"/>
        <w:rPr>
          <w:rFonts w:ascii="Arial" w:hAnsi="Arial" w:cs="Arial"/>
          <w:noProof/>
          <w:sz w:val="22"/>
          <w:szCs w:val="22"/>
        </w:rPr>
      </w:pPr>
    </w:p>
    <w:p w14:paraId="28137404" w14:textId="0AEDADB2" w:rsidR="00A94A81" w:rsidRPr="00ED2901" w:rsidRDefault="00A94A81" w:rsidP="00ED2901">
      <w:pPr>
        <w:spacing w:line="360" w:lineRule="auto"/>
        <w:jc w:val="both"/>
        <w:rPr>
          <w:rFonts w:ascii="Arial" w:hAnsi="Arial" w:cs="Arial"/>
          <w:sz w:val="22"/>
          <w:szCs w:val="22"/>
        </w:rPr>
      </w:pPr>
      <w:r w:rsidRPr="00A94A81">
        <w:rPr>
          <w:noProof/>
        </w:rPr>
        <w:lastRenderedPageBreak/>
        <w:drawing>
          <wp:inline distT="0" distB="0" distL="0" distR="0" wp14:anchorId="1E1CD98C" wp14:editId="472511B6">
            <wp:extent cx="5731510" cy="3265805"/>
            <wp:effectExtent l="0" t="0" r="2540" b="0"/>
            <wp:docPr id="18520353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265805"/>
                    </a:xfrm>
                    <a:prstGeom prst="rect">
                      <a:avLst/>
                    </a:prstGeom>
                    <a:noFill/>
                    <a:ln>
                      <a:noFill/>
                    </a:ln>
                  </pic:spPr>
                </pic:pic>
              </a:graphicData>
            </a:graphic>
          </wp:inline>
        </w:drawing>
      </w:r>
    </w:p>
    <w:p w14:paraId="44A5D106" w14:textId="012DD70F" w:rsidR="00512483" w:rsidRPr="00ED2901" w:rsidRDefault="00512483" w:rsidP="00ED2901">
      <w:pPr>
        <w:spacing w:line="360" w:lineRule="auto"/>
        <w:jc w:val="both"/>
        <w:rPr>
          <w:rFonts w:ascii="Arial" w:hAnsi="Arial" w:cs="Arial"/>
          <w:b/>
          <w:bCs/>
          <w:sz w:val="22"/>
          <w:szCs w:val="22"/>
        </w:rPr>
      </w:pPr>
      <w:r w:rsidRPr="00ED2901">
        <w:rPr>
          <w:rFonts w:ascii="Arial" w:hAnsi="Arial" w:cs="Arial"/>
          <w:b/>
          <w:bCs/>
          <w:sz w:val="22"/>
          <w:szCs w:val="22"/>
        </w:rPr>
        <w:t>Ethical Considerations</w:t>
      </w:r>
    </w:p>
    <w:p w14:paraId="5499F385" w14:textId="77777777" w:rsidR="00076217" w:rsidRPr="00ED2901" w:rsidRDefault="00076217" w:rsidP="00ED2901">
      <w:pPr>
        <w:spacing w:line="360" w:lineRule="auto"/>
        <w:jc w:val="both"/>
        <w:rPr>
          <w:rFonts w:ascii="Arial" w:hAnsi="Arial" w:cs="Arial"/>
          <w:sz w:val="22"/>
          <w:szCs w:val="22"/>
        </w:rPr>
      </w:pPr>
      <w:r w:rsidRPr="00ED2901">
        <w:rPr>
          <w:rFonts w:ascii="Arial" w:hAnsi="Arial" w:cs="Arial"/>
          <w:sz w:val="22"/>
          <w:szCs w:val="22"/>
        </w:rPr>
        <w:t>Ethical awareness is integral to this artefact, reflecting responsibilities when working with trans and non-binary performers in educational and research contexts. The framework adheres to the British Educational Research Association (BERA, 2018) guidelines, the University’s Research Ethics Framework, and contemporary literature on trauma-informed and identity-aware pedagogy. Key principles include informed and ongoing consent, harm minimisation, inclusivity, confidentiality, and transparency (BERA, 2018; Mertens, 2014).</w:t>
      </w:r>
    </w:p>
    <w:p w14:paraId="31202689" w14:textId="77777777" w:rsidR="00076217" w:rsidRPr="00ED2901" w:rsidRDefault="00076217" w:rsidP="00ED2901">
      <w:pPr>
        <w:spacing w:line="360" w:lineRule="auto"/>
        <w:jc w:val="both"/>
        <w:rPr>
          <w:rFonts w:ascii="Arial" w:hAnsi="Arial" w:cs="Arial"/>
          <w:sz w:val="22"/>
          <w:szCs w:val="22"/>
        </w:rPr>
      </w:pPr>
      <w:r w:rsidRPr="00ED2901">
        <w:rPr>
          <w:rFonts w:ascii="Arial" w:hAnsi="Arial" w:cs="Arial"/>
          <w:sz w:val="22"/>
          <w:szCs w:val="22"/>
        </w:rPr>
        <w:t>Participants in the Module 6 pilot will engage voluntarily, with clear explanations of purpose, data use, and withdrawal rights. Psychological safety remains central, given the embodied nature of ATS and its potential to evoke dysphoria or heightened self-consciousness (Azul, Zimman, Russo). Trauma-aware principles ensure predictable, collaborative, and choice-rich pedagogy (Carello &amp; Butler; Warriner; Immes &amp; Rogers).</w:t>
      </w:r>
    </w:p>
    <w:p w14:paraId="5FE6CA47" w14:textId="4F92B387" w:rsidR="00F017FF" w:rsidRPr="00631314" w:rsidRDefault="00076217" w:rsidP="00ED2901">
      <w:pPr>
        <w:spacing w:line="360" w:lineRule="auto"/>
        <w:jc w:val="both"/>
        <w:rPr>
          <w:rFonts w:ascii="Arial" w:hAnsi="Arial" w:cs="Arial"/>
          <w:sz w:val="22"/>
          <w:szCs w:val="22"/>
        </w:rPr>
      </w:pPr>
      <w:r w:rsidRPr="00ED2901">
        <w:rPr>
          <w:rFonts w:ascii="Arial" w:hAnsi="Arial" w:cs="Arial"/>
          <w:sz w:val="22"/>
          <w:szCs w:val="22"/>
        </w:rPr>
        <w:t>Ethics also extend to data protection and digital practice. Compliance with UK GDPR and the Data Protection Act 2018 includes purpose limitation, minimisation, and secure storage. Updated ICO guidance under the Data (Use and Access) Act 2025 clarifies safeguards for special category data. Emerging sector guidance on generative AI highlights risks around privacy, attribution, and bias (UNESCO; Jisc), informing responsible technology use within teaching and research.</w:t>
      </w:r>
    </w:p>
    <w:p w14:paraId="395A9485" w14:textId="77777777" w:rsidR="0049796B" w:rsidRDefault="0049796B" w:rsidP="00ED2901">
      <w:pPr>
        <w:spacing w:line="360" w:lineRule="auto"/>
        <w:jc w:val="both"/>
        <w:rPr>
          <w:rFonts w:ascii="Arial" w:hAnsi="Arial" w:cs="Arial"/>
          <w:b/>
          <w:bCs/>
          <w:sz w:val="22"/>
          <w:szCs w:val="22"/>
        </w:rPr>
      </w:pPr>
    </w:p>
    <w:p w14:paraId="25C3D9F6" w14:textId="4DA1CE8D" w:rsidR="0094251A" w:rsidRPr="00ED2901" w:rsidRDefault="0094251A" w:rsidP="00ED2901">
      <w:pPr>
        <w:spacing w:line="360" w:lineRule="auto"/>
        <w:jc w:val="both"/>
        <w:rPr>
          <w:rFonts w:ascii="Arial" w:hAnsi="Arial" w:cs="Arial"/>
          <w:b/>
          <w:bCs/>
          <w:sz w:val="22"/>
          <w:szCs w:val="22"/>
        </w:rPr>
      </w:pPr>
      <w:r w:rsidRPr="00ED2901">
        <w:rPr>
          <w:rFonts w:ascii="Arial" w:hAnsi="Arial" w:cs="Arial"/>
          <w:b/>
          <w:bCs/>
          <w:sz w:val="22"/>
          <w:szCs w:val="22"/>
        </w:rPr>
        <w:lastRenderedPageBreak/>
        <w:t>Practical implications for this artefact</w:t>
      </w:r>
    </w:p>
    <w:p w14:paraId="658D8370" w14:textId="595204D1" w:rsidR="0094251A" w:rsidRPr="00ED2901" w:rsidRDefault="00076217" w:rsidP="00ED2901">
      <w:pPr>
        <w:spacing w:line="360" w:lineRule="auto"/>
        <w:jc w:val="both"/>
        <w:rPr>
          <w:rFonts w:ascii="Arial" w:hAnsi="Arial" w:cs="Arial"/>
          <w:sz w:val="22"/>
          <w:szCs w:val="22"/>
        </w:rPr>
      </w:pPr>
      <w:r w:rsidRPr="00ED2901">
        <w:rPr>
          <w:rFonts w:ascii="Arial" w:hAnsi="Arial" w:cs="Arial"/>
          <w:sz w:val="22"/>
          <w:szCs w:val="22"/>
        </w:rPr>
        <w:t>T</w:t>
      </w:r>
      <w:r w:rsidR="0094251A" w:rsidRPr="00ED2901">
        <w:rPr>
          <w:rFonts w:ascii="Arial" w:hAnsi="Arial" w:cs="Arial"/>
          <w:sz w:val="22"/>
          <w:szCs w:val="22"/>
        </w:rPr>
        <w:t xml:space="preserve">he artefact adopts consent as a </w:t>
      </w:r>
      <w:r w:rsidR="00F017FF" w:rsidRPr="00ED2901">
        <w:rPr>
          <w:rFonts w:ascii="Arial" w:hAnsi="Arial" w:cs="Arial"/>
          <w:sz w:val="22"/>
          <w:szCs w:val="22"/>
        </w:rPr>
        <w:t>process,</w:t>
      </w:r>
      <w:r w:rsidR="0094251A" w:rsidRPr="00ED2901">
        <w:rPr>
          <w:rFonts w:ascii="Arial" w:hAnsi="Arial" w:cs="Arial"/>
          <w:sz w:val="22"/>
          <w:szCs w:val="22"/>
        </w:rPr>
        <w:t xml:space="preserve"> session briefs, options to pause/opt</w:t>
      </w:r>
      <w:r w:rsidR="0094251A" w:rsidRPr="00ED2901">
        <w:rPr>
          <w:rFonts w:ascii="Arial" w:hAnsi="Arial" w:cs="Arial"/>
          <w:sz w:val="22"/>
          <w:szCs w:val="22"/>
        </w:rPr>
        <w:noBreakHyphen/>
        <w:t>out without penalty, and plain</w:t>
      </w:r>
      <w:r w:rsidR="0094251A" w:rsidRPr="00ED2901">
        <w:rPr>
          <w:rFonts w:ascii="Arial" w:hAnsi="Arial" w:cs="Arial"/>
          <w:sz w:val="22"/>
          <w:szCs w:val="22"/>
        </w:rPr>
        <w:noBreakHyphen/>
        <w:t>language explanations of aims, tasks, and data handling are embedded throughout. This approach aligns with BERA’s emphasis on participant rights and researcher duty of care, and with the Concordat’s principles of transparency and care/respect. Because certain ATS prompts can heighten dysphoria, exercises are sequenced with predictability, choice and co</w:t>
      </w:r>
      <w:r w:rsidR="0094251A" w:rsidRPr="00ED2901">
        <w:rPr>
          <w:rFonts w:ascii="Arial" w:hAnsi="Arial" w:cs="Arial"/>
          <w:sz w:val="22"/>
          <w:szCs w:val="22"/>
        </w:rPr>
        <w:noBreakHyphen/>
        <w:t>design; pre</w:t>
      </w:r>
      <w:r w:rsidR="0094251A" w:rsidRPr="00ED2901">
        <w:rPr>
          <w:rFonts w:ascii="Arial" w:hAnsi="Arial" w:cs="Arial"/>
          <w:sz w:val="22"/>
          <w:szCs w:val="22"/>
        </w:rPr>
        <w:noBreakHyphen/>
        <w:t>task grounding and post</w:t>
      </w:r>
      <w:r w:rsidR="0094251A" w:rsidRPr="00ED2901">
        <w:rPr>
          <w:rFonts w:ascii="Arial" w:hAnsi="Arial" w:cs="Arial"/>
          <w:sz w:val="22"/>
          <w:szCs w:val="22"/>
        </w:rPr>
        <w:noBreakHyphen/>
        <w:t>task debrief are routine, and language is strictly functional and identity</w:t>
      </w:r>
      <w:r w:rsidR="0094251A" w:rsidRPr="00ED2901">
        <w:rPr>
          <w:rFonts w:ascii="Arial" w:hAnsi="Arial" w:cs="Arial"/>
          <w:sz w:val="22"/>
          <w:szCs w:val="22"/>
        </w:rPr>
        <w:noBreakHyphen/>
        <w:t>affirming</w:t>
      </w:r>
      <w:r w:rsidR="00BB6EF4" w:rsidRPr="00ED2901">
        <w:rPr>
          <w:rFonts w:ascii="Arial" w:hAnsi="Arial" w:cs="Arial"/>
          <w:sz w:val="22"/>
          <w:szCs w:val="22"/>
        </w:rPr>
        <w:t xml:space="preserve">, </w:t>
      </w:r>
      <w:r w:rsidR="0094251A" w:rsidRPr="00ED2901">
        <w:rPr>
          <w:rFonts w:ascii="Arial" w:hAnsi="Arial" w:cs="Arial"/>
          <w:sz w:val="22"/>
          <w:szCs w:val="22"/>
        </w:rPr>
        <w:t>avoiding comparative descriptors that imply deficiency. These decisions reflect trauma</w:t>
      </w:r>
      <w:r w:rsidR="0094251A" w:rsidRPr="00ED2901">
        <w:rPr>
          <w:rFonts w:ascii="Arial" w:hAnsi="Arial" w:cs="Arial"/>
          <w:sz w:val="22"/>
          <w:szCs w:val="22"/>
        </w:rPr>
        <w:noBreakHyphen/>
        <w:t>informed pedagogy in performing</w:t>
      </w:r>
      <w:r w:rsidR="0094251A" w:rsidRPr="00ED2901">
        <w:rPr>
          <w:rFonts w:ascii="Arial" w:hAnsi="Arial" w:cs="Arial"/>
          <w:sz w:val="22"/>
          <w:szCs w:val="22"/>
        </w:rPr>
        <w:noBreakHyphen/>
        <w:t xml:space="preserve">arts contexts (Carello &amp; Butler; Warriner; Immes &amp; Rogers) and the qualitative evidence base linking voice, embodiment and identity in trans speakers (Azul; Zimman; Russo). </w:t>
      </w:r>
    </w:p>
    <w:p w14:paraId="039B3E52" w14:textId="4230D999" w:rsidR="00C048D1" w:rsidRPr="00F017FF" w:rsidRDefault="0094251A" w:rsidP="00ED2901">
      <w:pPr>
        <w:spacing w:line="360" w:lineRule="auto"/>
        <w:jc w:val="both"/>
        <w:rPr>
          <w:rFonts w:ascii="Arial" w:hAnsi="Arial" w:cs="Arial"/>
          <w:sz w:val="22"/>
          <w:szCs w:val="22"/>
        </w:rPr>
      </w:pPr>
      <w:r w:rsidRPr="00ED2901">
        <w:rPr>
          <w:rFonts w:ascii="Arial" w:hAnsi="Arial" w:cs="Arial"/>
          <w:sz w:val="22"/>
          <w:szCs w:val="22"/>
        </w:rPr>
        <w:t>For privacy and governance, reflective journals and logs are anonymised or pseudonymised, stored under restricted access, and retained only for the Module 6 evaluation period</w:t>
      </w:r>
      <w:r w:rsidR="005B744A" w:rsidRPr="00ED2901">
        <w:rPr>
          <w:rFonts w:ascii="Arial" w:hAnsi="Arial" w:cs="Arial"/>
          <w:sz w:val="22"/>
          <w:szCs w:val="22"/>
        </w:rPr>
        <w:t xml:space="preserve">. </w:t>
      </w:r>
      <w:r w:rsidRPr="00ED2901">
        <w:rPr>
          <w:rFonts w:ascii="Arial" w:hAnsi="Arial" w:cs="Arial"/>
          <w:sz w:val="22"/>
          <w:szCs w:val="22"/>
        </w:rPr>
        <w:t xml:space="preserve">Given the sector’s focus on wellbeing, the studio embeds safeguarding pathways: </w:t>
      </w:r>
      <w:r w:rsidR="008F504C" w:rsidRPr="00ED2901">
        <w:rPr>
          <w:rFonts w:ascii="Arial" w:hAnsi="Arial" w:cs="Arial"/>
          <w:sz w:val="22"/>
          <w:szCs w:val="22"/>
        </w:rPr>
        <w:t>tutors’</w:t>
      </w:r>
      <w:r w:rsidRPr="00ED2901">
        <w:rPr>
          <w:rFonts w:ascii="Arial" w:hAnsi="Arial" w:cs="Arial"/>
          <w:sz w:val="22"/>
          <w:szCs w:val="22"/>
        </w:rPr>
        <w:t xml:space="preserve"> signpost institutional support and external services and, where proportionate and lawful, share risk information under established protocols</w:t>
      </w:r>
      <w:r w:rsidR="00BB6EF4" w:rsidRPr="00ED2901">
        <w:rPr>
          <w:rFonts w:ascii="Arial" w:hAnsi="Arial" w:cs="Arial"/>
          <w:sz w:val="22"/>
          <w:szCs w:val="22"/>
        </w:rPr>
        <w:t xml:space="preserve">, </w:t>
      </w:r>
      <w:r w:rsidRPr="00ED2901">
        <w:rPr>
          <w:rFonts w:ascii="Arial" w:hAnsi="Arial" w:cs="Arial"/>
          <w:sz w:val="22"/>
          <w:szCs w:val="22"/>
        </w:rPr>
        <w:t>consistent with DfE/UUK whole</w:t>
      </w:r>
      <w:r w:rsidRPr="00ED2901">
        <w:rPr>
          <w:rFonts w:ascii="Arial" w:hAnsi="Arial" w:cs="Arial"/>
          <w:sz w:val="22"/>
          <w:szCs w:val="22"/>
        </w:rPr>
        <w:noBreakHyphen/>
        <w:t xml:space="preserve">university approaches to mental health and suicide prevention. At an organisational level, the artefact’s practice materials and ethics documentation are designed to be auditable against the 2025 Research Integrity Concordat and UKRIO’s updated Code of Practice for Research, including sections on </w:t>
      </w:r>
      <w:r w:rsidR="006708AE" w:rsidRPr="00ED2901">
        <w:rPr>
          <w:rFonts w:ascii="Arial" w:hAnsi="Arial" w:cs="Arial"/>
          <w:sz w:val="22"/>
          <w:szCs w:val="22"/>
        </w:rPr>
        <w:t>Artificial Intelligence</w:t>
      </w:r>
      <w:r w:rsidRPr="00ED2901">
        <w:rPr>
          <w:rFonts w:ascii="Arial" w:hAnsi="Arial" w:cs="Arial"/>
          <w:sz w:val="22"/>
          <w:szCs w:val="22"/>
        </w:rPr>
        <w:t xml:space="preserve"> and strengthened data</w:t>
      </w:r>
      <w:r w:rsidRPr="00ED2901">
        <w:rPr>
          <w:rFonts w:ascii="Arial" w:hAnsi="Arial" w:cs="Arial"/>
          <w:sz w:val="22"/>
          <w:szCs w:val="22"/>
        </w:rPr>
        <w:noBreakHyphen/>
        <w:t xml:space="preserve">management guidance. </w:t>
      </w:r>
    </w:p>
    <w:p w14:paraId="50D75E47" w14:textId="4C3AB76A" w:rsidR="0094251A" w:rsidRPr="00ED2901" w:rsidRDefault="0094251A" w:rsidP="00ED2901">
      <w:pPr>
        <w:spacing w:line="360" w:lineRule="auto"/>
        <w:jc w:val="both"/>
        <w:rPr>
          <w:rFonts w:ascii="Arial" w:hAnsi="Arial" w:cs="Arial"/>
          <w:b/>
          <w:bCs/>
          <w:sz w:val="22"/>
          <w:szCs w:val="22"/>
        </w:rPr>
      </w:pPr>
      <w:r w:rsidRPr="00ED2901">
        <w:rPr>
          <w:rFonts w:ascii="Arial" w:hAnsi="Arial" w:cs="Arial"/>
          <w:b/>
          <w:bCs/>
          <w:sz w:val="22"/>
          <w:szCs w:val="22"/>
        </w:rPr>
        <w:t>Anticipated contribution to practice</w:t>
      </w:r>
    </w:p>
    <w:p w14:paraId="39EA007A" w14:textId="61211E09" w:rsidR="00F017FF" w:rsidRPr="00F017FF" w:rsidRDefault="0094251A" w:rsidP="00F017FF">
      <w:pPr>
        <w:spacing w:line="360" w:lineRule="auto"/>
        <w:jc w:val="both"/>
        <w:rPr>
          <w:rFonts w:ascii="Arial" w:hAnsi="Arial" w:cs="Arial"/>
          <w:sz w:val="22"/>
          <w:szCs w:val="22"/>
        </w:rPr>
      </w:pPr>
      <w:r w:rsidRPr="00ED2901">
        <w:rPr>
          <w:rFonts w:ascii="Arial" w:hAnsi="Arial" w:cs="Arial"/>
          <w:sz w:val="22"/>
          <w:szCs w:val="22"/>
        </w:rPr>
        <w:t>By integrating functional belt training, identity</w:t>
      </w:r>
      <w:r w:rsidRPr="00ED2901">
        <w:rPr>
          <w:rFonts w:ascii="Arial" w:hAnsi="Arial" w:cs="Arial"/>
          <w:sz w:val="22"/>
          <w:szCs w:val="22"/>
        </w:rPr>
        <w:noBreakHyphen/>
        <w:t>aligned ATS, and trauma</w:t>
      </w:r>
      <w:r w:rsidRPr="00ED2901">
        <w:rPr>
          <w:rFonts w:ascii="Arial" w:hAnsi="Arial" w:cs="Arial"/>
          <w:sz w:val="22"/>
          <w:szCs w:val="22"/>
        </w:rPr>
        <w:noBreakHyphen/>
        <w:t>aware reflection within a governed, consent</w:t>
      </w:r>
      <w:r w:rsidRPr="00ED2901">
        <w:rPr>
          <w:rFonts w:ascii="Arial" w:hAnsi="Arial" w:cs="Arial"/>
          <w:sz w:val="22"/>
          <w:szCs w:val="22"/>
        </w:rPr>
        <w:noBreakHyphen/>
        <w:t>driven structure, the artefact offers a replicable model for inclusive voice pedagogy that is ethically current and institution</w:t>
      </w:r>
      <w:r w:rsidRPr="00ED2901">
        <w:rPr>
          <w:rFonts w:ascii="Arial" w:hAnsi="Arial" w:cs="Arial"/>
          <w:sz w:val="22"/>
          <w:szCs w:val="22"/>
        </w:rPr>
        <w:noBreakHyphen/>
        <w:t>ready. It supports educators to embed inclusive language and predictable, choice</w:t>
      </w:r>
      <w:r w:rsidRPr="00ED2901">
        <w:rPr>
          <w:rFonts w:ascii="Arial" w:hAnsi="Arial" w:cs="Arial"/>
          <w:sz w:val="22"/>
          <w:szCs w:val="22"/>
        </w:rPr>
        <w:noBreakHyphen/>
        <w:t>rich instruction while maintaining technical rigour</w:t>
      </w:r>
      <w:r w:rsidR="00731667" w:rsidRPr="00ED2901">
        <w:rPr>
          <w:rFonts w:ascii="Arial" w:hAnsi="Arial" w:cs="Arial"/>
          <w:sz w:val="22"/>
          <w:szCs w:val="22"/>
        </w:rPr>
        <w:t xml:space="preserve">, </w:t>
      </w:r>
      <w:r w:rsidRPr="00ED2901">
        <w:rPr>
          <w:rFonts w:ascii="Arial" w:hAnsi="Arial" w:cs="Arial"/>
          <w:sz w:val="22"/>
          <w:szCs w:val="22"/>
        </w:rPr>
        <w:t>consistent with sector frameworks on inclusive learning/teaching (Advance HE PSF 2023; Inclusive Learning and Teaching) and whole</w:t>
      </w:r>
      <w:r w:rsidRPr="00ED2901">
        <w:rPr>
          <w:rFonts w:ascii="Arial" w:hAnsi="Arial" w:cs="Arial"/>
          <w:sz w:val="22"/>
          <w:szCs w:val="22"/>
        </w:rPr>
        <w:noBreakHyphen/>
        <w:t>university mental</w:t>
      </w:r>
      <w:r w:rsidRPr="00ED2901">
        <w:rPr>
          <w:rFonts w:ascii="Arial" w:hAnsi="Arial" w:cs="Arial"/>
          <w:sz w:val="22"/>
          <w:szCs w:val="22"/>
        </w:rPr>
        <w:noBreakHyphen/>
        <w:t>health strategies. For institutions, the materials provide a coherent route to evidence</w:t>
      </w:r>
      <w:r w:rsidRPr="00ED2901">
        <w:rPr>
          <w:rFonts w:ascii="Arial" w:hAnsi="Arial" w:cs="Arial"/>
          <w:sz w:val="22"/>
          <w:szCs w:val="22"/>
        </w:rPr>
        <w:noBreakHyphen/>
        <w:t>based ATS aligned with the Concordat’s principles and UKRI integrity expectations, with clear evaluation tools for rigour, transparency and care/respect. Beyond higher education, the approach is transferable to workshops and private coaching, giving practitioners a framework that respects identity, protects privacy, and operationalises consent and safety in contemporary performing</w:t>
      </w:r>
      <w:r w:rsidRPr="00ED2901">
        <w:rPr>
          <w:rFonts w:ascii="Arial" w:hAnsi="Arial" w:cs="Arial"/>
          <w:sz w:val="22"/>
          <w:szCs w:val="22"/>
        </w:rPr>
        <w:noBreakHyphen/>
        <w:t xml:space="preserve">arts practice, in line with ESRC ethics guidance across the research lifecycle. In sum, the artefact </w:t>
      </w:r>
      <w:r w:rsidRPr="00ED2901">
        <w:rPr>
          <w:rFonts w:ascii="Arial" w:hAnsi="Arial" w:cs="Arial"/>
          <w:sz w:val="22"/>
          <w:szCs w:val="22"/>
        </w:rPr>
        <w:lastRenderedPageBreak/>
        <w:t>advances inclusive musical</w:t>
      </w:r>
      <w:r w:rsidRPr="00ED2901">
        <w:rPr>
          <w:rFonts w:ascii="Arial" w:hAnsi="Arial" w:cs="Arial"/>
          <w:sz w:val="22"/>
          <w:szCs w:val="22"/>
        </w:rPr>
        <w:noBreakHyphen/>
        <w:t>theatre pedagogy while meeting current ethical standards in consent, safeguarding, privacy, integrity and responsible technology use</w:t>
      </w:r>
      <w:r w:rsidR="00731667" w:rsidRPr="00ED2901">
        <w:rPr>
          <w:rFonts w:ascii="Arial" w:hAnsi="Arial" w:cs="Arial"/>
          <w:sz w:val="22"/>
          <w:szCs w:val="22"/>
        </w:rPr>
        <w:t xml:space="preserve">, </w:t>
      </w:r>
      <w:r w:rsidRPr="00ED2901">
        <w:rPr>
          <w:rFonts w:ascii="Arial" w:hAnsi="Arial" w:cs="Arial"/>
          <w:sz w:val="22"/>
          <w:szCs w:val="22"/>
        </w:rPr>
        <w:t>positioning identity</w:t>
      </w:r>
      <w:r w:rsidRPr="00ED2901">
        <w:rPr>
          <w:rFonts w:ascii="Arial" w:hAnsi="Arial" w:cs="Arial"/>
          <w:sz w:val="22"/>
          <w:szCs w:val="22"/>
        </w:rPr>
        <w:noBreakHyphen/>
        <w:t>informed practice as integral to technical and artistic excellence.</w:t>
      </w:r>
    </w:p>
    <w:p w14:paraId="7D1B2DBC" w14:textId="6BE190A9" w:rsidR="007F3193" w:rsidRPr="00ED2901" w:rsidRDefault="007F3193" w:rsidP="00ED2901">
      <w:pPr>
        <w:spacing w:line="360" w:lineRule="auto"/>
        <w:jc w:val="both"/>
        <w:rPr>
          <w:rFonts w:ascii="Arial" w:hAnsi="Arial" w:cs="Arial"/>
          <w:b/>
          <w:bCs/>
          <w:sz w:val="22"/>
          <w:szCs w:val="22"/>
        </w:rPr>
      </w:pPr>
      <w:r w:rsidRPr="00ED2901">
        <w:rPr>
          <w:rFonts w:ascii="Arial" w:hAnsi="Arial" w:cs="Arial"/>
          <w:b/>
          <w:bCs/>
          <w:sz w:val="22"/>
          <w:szCs w:val="22"/>
        </w:rPr>
        <w:t>Planned Programme of Study</w:t>
      </w:r>
    </w:p>
    <w:p w14:paraId="16B6782A" w14:textId="77777777" w:rsidR="007F3193" w:rsidRPr="00ED2901" w:rsidRDefault="007F3193" w:rsidP="00ED2901">
      <w:pPr>
        <w:spacing w:line="360" w:lineRule="auto"/>
        <w:jc w:val="both"/>
        <w:rPr>
          <w:rFonts w:ascii="Arial" w:hAnsi="Arial" w:cs="Arial"/>
          <w:b/>
          <w:bCs/>
          <w:sz w:val="22"/>
          <w:szCs w:val="22"/>
        </w:rPr>
      </w:pPr>
      <w:r w:rsidRPr="00ED2901">
        <w:rPr>
          <w:rFonts w:ascii="Arial" w:hAnsi="Arial" w:cs="Arial"/>
          <w:b/>
          <w:bCs/>
          <w:sz w:val="22"/>
          <w:szCs w:val="22"/>
        </w:rPr>
        <w:t>Overview</w:t>
      </w:r>
    </w:p>
    <w:p w14:paraId="24410F89" w14:textId="0C94ED9F" w:rsidR="00B5084F" w:rsidRPr="00ED2901" w:rsidRDefault="00B5084F" w:rsidP="00ED2901">
      <w:pPr>
        <w:spacing w:line="360" w:lineRule="auto"/>
        <w:jc w:val="both"/>
        <w:rPr>
          <w:rFonts w:ascii="Arial" w:hAnsi="Arial" w:cs="Arial"/>
          <w:sz w:val="22"/>
          <w:szCs w:val="22"/>
        </w:rPr>
      </w:pPr>
      <w:r w:rsidRPr="00ED2901">
        <w:rPr>
          <w:rFonts w:ascii="Arial" w:hAnsi="Arial" w:cs="Arial"/>
          <w:sz w:val="22"/>
          <w:szCs w:val="22"/>
        </w:rPr>
        <w:t>This section outlines the theoretical, methodological, and practical foundations guiding the artefact’s development. The project adopts a practice-based, research-informed approach, integrating action research with inclusive and trauma-sensitive pedagogy</w:t>
      </w:r>
      <w:r w:rsidR="00C47B68" w:rsidRPr="00ED2901">
        <w:rPr>
          <w:rFonts w:ascii="Arial" w:hAnsi="Arial" w:cs="Arial"/>
          <w:sz w:val="22"/>
          <w:szCs w:val="22"/>
        </w:rPr>
        <w:t xml:space="preserve">, </w:t>
      </w:r>
      <w:r w:rsidRPr="00ED2901">
        <w:rPr>
          <w:rFonts w:ascii="Arial" w:hAnsi="Arial" w:cs="Arial"/>
          <w:sz w:val="22"/>
          <w:szCs w:val="22"/>
        </w:rPr>
        <w:t xml:space="preserve">a model consistent with arts education scholarship emphasising iterative inquiry, reflection, and responsiveness to learner experience (Kemmis &amp; McTaggart, 2005; McNiff, 2013; Nelson, 2013). Grounded in these principles, the artefact aims to provide a resource that is accessible and supportive for trans and non-binary performers, reflecting research on the interdependence of vocal development, identity, and psychological wellbeing (Azul, 2015; </w:t>
      </w:r>
      <w:r w:rsidR="00B55872" w:rsidRPr="00ED2901">
        <w:rPr>
          <w:rFonts w:ascii="Arial" w:hAnsi="Arial" w:cs="Arial"/>
          <w:sz w:val="22"/>
          <w:szCs w:val="22"/>
        </w:rPr>
        <w:t>MacNeil, 2008</w:t>
      </w:r>
      <w:r w:rsidRPr="00ED2901">
        <w:rPr>
          <w:rFonts w:ascii="Arial" w:hAnsi="Arial" w:cs="Arial"/>
          <w:sz w:val="22"/>
          <w:szCs w:val="22"/>
        </w:rPr>
        <w:t>; Owen, 2023). The curriculum translates concepts from voice science, performance theory, and educational research into a coherent training model applicable across diverse learning environments.</w:t>
      </w:r>
    </w:p>
    <w:p w14:paraId="58CC9914" w14:textId="77777777" w:rsidR="00C779A4" w:rsidRDefault="00C779A4" w:rsidP="00ED2901">
      <w:pPr>
        <w:spacing w:line="360" w:lineRule="auto"/>
        <w:jc w:val="both"/>
        <w:rPr>
          <w:rFonts w:ascii="Arial" w:hAnsi="Arial" w:cs="Arial"/>
          <w:sz w:val="22"/>
          <w:szCs w:val="22"/>
        </w:rPr>
      </w:pPr>
      <w:r w:rsidRPr="00C779A4">
        <w:rPr>
          <w:rFonts w:ascii="Arial" w:hAnsi="Arial" w:cs="Arial"/>
          <w:sz w:val="22"/>
          <w:szCs w:val="22"/>
        </w:rPr>
        <w:t>The framework brings together insights from earlier modules into three connected components that operate cohesively. The technical strand draws on research emphasising functional methodologies for trans vocal development, including Titze (2006), Hancock and Garabedian (2013), and Spencer (2020). The expressive strand reflects scholarship positioning Acting Through Song as relational and identity-shaped, informed by Harvard (2014), Moore and Bergman (2016), and Butler (1990). The reflective component is grounded in trauma-informed and experiential learning principles from Carello and Butler (2015), Boud, Keogh and Walker (2005), and Warriner (2021). Integrated, these elements form a robust, identity-aligned model for inclusive musical theatre pedagogy.</w:t>
      </w:r>
    </w:p>
    <w:p w14:paraId="685F93BD" w14:textId="382AFA3B" w:rsidR="00D469E1" w:rsidRPr="00ED2901" w:rsidRDefault="00C779A4" w:rsidP="00ED2901">
      <w:pPr>
        <w:spacing w:line="360" w:lineRule="auto"/>
        <w:jc w:val="both"/>
        <w:rPr>
          <w:rFonts w:ascii="Arial" w:hAnsi="Arial" w:cs="Arial"/>
          <w:sz w:val="22"/>
          <w:szCs w:val="22"/>
        </w:rPr>
      </w:pPr>
      <w:r w:rsidRPr="00C779A4">
        <w:rPr>
          <w:noProof/>
        </w:rPr>
        <w:lastRenderedPageBreak/>
        <w:drawing>
          <wp:inline distT="0" distB="0" distL="0" distR="0" wp14:anchorId="12E9E7A8" wp14:editId="67267C82">
            <wp:extent cx="5731510" cy="3456305"/>
            <wp:effectExtent l="0" t="0" r="2540" b="0"/>
            <wp:docPr id="135817210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456305"/>
                    </a:xfrm>
                    <a:prstGeom prst="rect">
                      <a:avLst/>
                    </a:prstGeom>
                    <a:noFill/>
                    <a:ln>
                      <a:noFill/>
                    </a:ln>
                  </pic:spPr>
                </pic:pic>
              </a:graphicData>
            </a:graphic>
          </wp:inline>
        </w:drawing>
      </w:r>
    </w:p>
    <w:p w14:paraId="3B78CD69" w14:textId="77777777" w:rsidR="00B5084F" w:rsidRPr="00ED2901" w:rsidRDefault="00B5084F" w:rsidP="00ED2901">
      <w:pPr>
        <w:spacing w:line="360" w:lineRule="auto"/>
        <w:jc w:val="both"/>
        <w:rPr>
          <w:rFonts w:ascii="Arial" w:hAnsi="Arial" w:cs="Arial"/>
          <w:sz w:val="22"/>
          <w:szCs w:val="22"/>
        </w:rPr>
      </w:pPr>
      <w:r w:rsidRPr="00ED2901">
        <w:rPr>
          <w:rFonts w:ascii="Arial" w:hAnsi="Arial" w:cs="Arial"/>
          <w:sz w:val="22"/>
          <w:szCs w:val="22"/>
        </w:rPr>
        <w:t>Together, these components form a comprehensive, pedagogically robust framework for conservatoire training, private coaching, and rehearsal contexts. By integrating technical, expressive, and reflective methodologies, the artefact supports artistic growth and identity-aligned development, positioning itself as a significant contribution to inclusive musical theatre pedagogy.</w:t>
      </w:r>
    </w:p>
    <w:p w14:paraId="69B708B9" w14:textId="33DD9887" w:rsidR="007F3193" w:rsidRPr="00ED2901" w:rsidRDefault="007F3193" w:rsidP="00ED2901">
      <w:pPr>
        <w:spacing w:line="360" w:lineRule="auto"/>
        <w:jc w:val="both"/>
        <w:rPr>
          <w:rFonts w:ascii="Arial" w:hAnsi="Arial" w:cs="Arial"/>
          <w:b/>
          <w:bCs/>
          <w:sz w:val="22"/>
          <w:szCs w:val="22"/>
        </w:rPr>
      </w:pPr>
      <w:r w:rsidRPr="00ED2901">
        <w:rPr>
          <w:rFonts w:ascii="Arial" w:hAnsi="Arial" w:cs="Arial"/>
          <w:b/>
          <w:bCs/>
          <w:sz w:val="22"/>
          <w:szCs w:val="22"/>
        </w:rPr>
        <w:t>Theoretical Influences</w:t>
      </w:r>
    </w:p>
    <w:p w14:paraId="02B1A614" w14:textId="1EDBF3DF" w:rsidR="00FE5D86" w:rsidRPr="00ED2901" w:rsidRDefault="00FE5D86" w:rsidP="00ED2901">
      <w:pPr>
        <w:spacing w:line="360" w:lineRule="auto"/>
        <w:jc w:val="both"/>
        <w:rPr>
          <w:rFonts w:ascii="Arial" w:hAnsi="Arial" w:cs="Arial"/>
          <w:sz w:val="22"/>
          <w:szCs w:val="22"/>
        </w:rPr>
      </w:pPr>
      <w:r w:rsidRPr="00ED2901">
        <w:rPr>
          <w:rFonts w:ascii="Arial" w:hAnsi="Arial" w:cs="Arial"/>
          <w:sz w:val="22"/>
          <w:szCs w:val="22"/>
        </w:rPr>
        <w:t xml:space="preserve">This artefact is grounded in interdisciplinary literature that conceptualises the voice as a site of identity, embodiment and performative meaning. Scholarship across voice studies, gender theory and performance research positions the voice not simply as a technical instrument but as an embodied expression shaped by social, cultural and personal experience (Butler, 1990; Azul, 2015; </w:t>
      </w:r>
      <w:r w:rsidR="00B55872" w:rsidRPr="00ED2901">
        <w:rPr>
          <w:rFonts w:ascii="Arial" w:hAnsi="Arial" w:cs="Arial"/>
          <w:sz w:val="22"/>
          <w:szCs w:val="22"/>
        </w:rPr>
        <w:t>MacNeil, 2008</w:t>
      </w:r>
      <w:r w:rsidRPr="00ED2901">
        <w:rPr>
          <w:rFonts w:ascii="Arial" w:hAnsi="Arial" w:cs="Arial"/>
          <w:sz w:val="22"/>
          <w:szCs w:val="22"/>
        </w:rPr>
        <w:t xml:space="preserve">). These perspectives inform the framework by illuminating the ways in which technical training, narrative interpretation and personal expression intersect within vocal practice. As a result, the artefact draws on this theoretical foundation to integrate functional voice development with identity aligned </w:t>
      </w:r>
      <w:r w:rsidR="0020428C" w:rsidRPr="00ED2901">
        <w:rPr>
          <w:rFonts w:ascii="Arial" w:hAnsi="Arial" w:cs="Arial"/>
          <w:sz w:val="22"/>
          <w:szCs w:val="22"/>
        </w:rPr>
        <w:t>ATS</w:t>
      </w:r>
      <w:r w:rsidRPr="00ED2901">
        <w:rPr>
          <w:rFonts w:ascii="Arial" w:hAnsi="Arial" w:cs="Arial"/>
          <w:sz w:val="22"/>
          <w:szCs w:val="22"/>
        </w:rPr>
        <w:t xml:space="preserve"> processes, ensuring that both technical and expressive elements are understood in relation to the performer’s lived experience and embodied self (</w:t>
      </w:r>
      <w:r w:rsidR="00B55872" w:rsidRPr="00ED2901">
        <w:rPr>
          <w:rFonts w:ascii="Arial" w:hAnsi="Arial" w:cs="Arial"/>
          <w:sz w:val="22"/>
          <w:szCs w:val="22"/>
        </w:rPr>
        <w:t>Duggan &amp; Wallis, 2011</w:t>
      </w:r>
      <w:r w:rsidRPr="00ED2901">
        <w:rPr>
          <w:rFonts w:ascii="Arial" w:hAnsi="Arial" w:cs="Arial"/>
          <w:sz w:val="22"/>
          <w:szCs w:val="22"/>
        </w:rPr>
        <w:t>; Moore and Bergman, 2016; Ziegler and Barton, 2022).</w:t>
      </w:r>
    </w:p>
    <w:p w14:paraId="77DB218D" w14:textId="77777777" w:rsidR="00C779A4" w:rsidRDefault="00C779A4" w:rsidP="00ED2901">
      <w:pPr>
        <w:spacing w:line="360" w:lineRule="auto"/>
        <w:jc w:val="both"/>
        <w:rPr>
          <w:rFonts w:ascii="Arial" w:hAnsi="Arial" w:cs="Arial"/>
          <w:b/>
          <w:bCs/>
          <w:sz w:val="22"/>
          <w:szCs w:val="22"/>
        </w:rPr>
      </w:pPr>
    </w:p>
    <w:p w14:paraId="46DAA968" w14:textId="77777777" w:rsidR="00510887" w:rsidRDefault="00510887" w:rsidP="00ED2901">
      <w:pPr>
        <w:spacing w:line="360" w:lineRule="auto"/>
        <w:jc w:val="both"/>
        <w:rPr>
          <w:rFonts w:ascii="Arial" w:hAnsi="Arial" w:cs="Arial"/>
          <w:b/>
          <w:bCs/>
          <w:sz w:val="22"/>
          <w:szCs w:val="22"/>
        </w:rPr>
      </w:pPr>
    </w:p>
    <w:p w14:paraId="3DFBCBC3" w14:textId="622F2CE8" w:rsidR="00047DF7" w:rsidRPr="00ED2901" w:rsidRDefault="00AD663E" w:rsidP="00ED2901">
      <w:pPr>
        <w:spacing w:line="360" w:lineRule="auto"/>
        <w:jc w:val="both"/>
        <w:rPr>
          <w:rFonts w:ascii="Arial" w:eastAsia="Times New Roman" w:hAnsi="Arial" w:cs="Arial"/>
          <w:kern w:val="0"/>
          <w:sz w:val="22"/>
          <w:szCs w:val="22"/>
          <w:lang w:eastAsia="en-GB"/>
          <w14:ligatures w14:val="none"/>
        </w:rPr>
      </w:pPr>
      <w:r w:rsidRPr="00ED2901">
        <w:rPr>
          <w:rFonts w:ascii="Arial" w:hAnsi="Arial" w:cs="Arial"/>
          <w:b/>
          <w:bCs/>
          <w:sz w:val="22"/>
          <w:szCs w:val="22"/>
        </w:rPr>
        <w:lastRenderedPageBreak/>
        <w:t>Gender Performativity</w:t>
      </w:r>
      <w:r w:rsidR="00DD5F56" w:rsidRPr="00ED2901">
        <w:rPr>
          <w:rFonts w:ascii="Arial" w:eastAsia="Times New Roman" w:hAnsi="Arial" w:cs="Arial"/>
          <w:kern w:val="0"/>
          <w:sz w:val="22"/>
          <w:szCs w:val="22"/>
          <w:lang w:eastAsia="en-GB"/>
          <w14:ligatures w14:val="none"/>
        </w:rPr>
        <w:t xml:space="preserve"> </w:t>
      </w:r>
    </w:p>
    <w:p w14:paraId="16FF6D89" w14:textId="7A5468D1" w:rsidR="00DD5F56" w:rsidRPr="00ED2901" w:rsidRDefault="00DD5F56" w:rsidP="00ED2901">
      <w:pPr>
        <w:spacing w:line="360" w:lineRule="auto"/>
        <w:jc w:val="both"/>
        <w:rPr>
          <w:rFonts w:ascii="Arial" w:hAnsi="Arial" w:cs="Arial"/>
          <w:sz w:val="22"/>
          <w:szCs w:val="22"/>
        </w:rPr>
      </w:pPr>
      <w:r w:rsidRPr="00ED2901">
        <w:rPr>
          <w:rFonts w:ascii="Arial" w:hAnsi="Arial" w:cs="Arial"/>
          <w:sz w:val="22"/>
          <w:szCs w:val="22"/>
        </w:rPr>
        <w:t>Judith Butler’s theory positions gender as performed and socially constructed, shaped through repeated embodied acts within cultural contexts (Butler, 1990). This lens is valuable for understanding how vocalists negotiate identity in performance, as the voice participates in producing gendered meaning.</w:t>
      </w:r>
      <w:r w:rsidR="00631314">
        <w:rPr>
          <w:rFonts w:ascii="Arial" w:hAnsi="Arial" w:cs="Arial"/>
          <w:sz w:val="22"/>
          <w:szCs w:val="22"/>
        </w:rPr>
        <w:t xml:space="preserve"> </w:t>
      </w:r>
      <w:r w:rsidRPr="00ED2901">
        <w:rPr>
          <w:rFonts w:ascii="Arial" w:hAnsi="Arial" w:cs="Arial"/>
          <w:sz w:val="22"/>
          <w:szCs w:val="22"/>
        </w:rPr>
        <w:t>Within ATS, choices in timbre, resonance, phrasing, and emotional emphasis can reinforce or subvert gender norms, making the stage a site where gender is enacted, questioned, or reimagined (Halberstam, 2005; Saldaña, 2018).</w:t>
      </w:r>
    </w:p>
    <w:p w14:paraId="4D342C24" w14:textId="750A3D83" w:rsidR="00DD5F56" w:rsidRPr="00ED2901" w:rsidRDefault="00DD5F56" w:rsidP="00ED2901">
      <w:pPr>
        <w:spacing w:line="360" w:lineRule="auto"/>
        <w:jc w:val="both"/>
        <w:rPr>
          <w:rFonts w:ascii="Arial" w:hAnsi="Arial" w:cs="Arial"/>
          <w:sz w:val="22"/>
          <w:szCs w:val="22"/>
        </w:rPr>
      </w:pPr>
      <w:r w:rsidRPr="00ED2901">
        <w:rPr>
          <w:rFonts w:ascii="Arial" w:hAnsi="Arial" w:cs="Arial"/>
          <w:sz w:val="22"/>
          <w:szCs w:val="22"/>
        </w:rPr>
        <w:t>For these singers, ATS is more than technical or interpretive</w:t>
      </w:r>
      <w:r w:rsidR="00CC1BD1" w:rsidRPr="00ED2901">
        <w:rPr>
          <w:rFonts w:ascii="Arial" w:hAnsi="Arial" w:cs="Arial"/>
          <w:sz w:val="22"/>
          <w:szCs w:val="22"/>
        </w:rPr>
        <w:t>. I</w:t>
      </w:r>
      <w:r w:rsidRPr="00ED2901">
        <w:rPr>
          <w:rFonts w:ascii="Arial" w:hAnsi="Arial" w:cs="Arial"/>
          <w:sz w:val="22"/>
          <w:szCs w:val="22"/>
        </w:rPr>
        <w:t>t becomes a space for affirming, resisting, or reconstructing gender narratives. Through vocal expression and artistic decisions, performers explore identities aligned with lived experience rather than stereotypes.</w:t>
      </w:r>
      <w:r w:rsidR="00631314">
        <w:rPr>
          <w:rFonts w:ascii="Arial" w:hAnsi="Arial" w:cs="Arial"/>
          <w:sz w:val="22"/>
          <w:szCs w:val="22"/>
        </w:rPr>
        <w:t xml:space="preserve"> </w:t>
      </w:r>
      <w:r w:rsidRPr="00ED2901">
        <w:rPr>
          <w:rFonts w:ascii="Arial" w:hAnsi="Arial" w:cs="Arial"/>
          <w:sz w:val="22"/>
          <w:szCs w:val="22"/>
        </w:rPr>
        <w:t xml:space="preserve">This flexibility reflects research showing trans singers use vocal and performative strategies to achieve congruence between sound, embodiment, and identity, mitigating dysphoria and enhancing psychological safety (Azul, 2015; </w:t>
      </w:r>
      <w:r w:rsidR="00B55872" w:rsidRPr="00ED2901">
        <w:rPr>
          <w:rFonts w:ascii="Arial" w:hAnsi="Arial" w:cs="Arial"/>
          <w:sz w:val="22"/>
          <w:szCs w:val="22"/>
        </w:rPr>
        <w:t>MacNeil, 2008</w:t>
      </w:r>
      <w:r w:rsidRPr="00ED2901">
        <w:rPr>
          <w:rFonts w:ascii="Arial" w:hAnsi="Arial" w:cs="Arial"/>
          <w:sz w:val="22"/>
          <w:szCs w:val="22"/>
        </w:rPr>
        <w:t>; Owen, 2023).</w:t>
      </w:r>
      <w:r w:rsidR="00631314">
        <w:rPr>
          <w:rFonts w:ascii="Arial" w:hAnsi="Arial" w:cs="Arial"/>
          <w:sz w:val="22"/>
          <w:szCs w:val="22"/>
        </w:rPr>
        <w:t xml:space="preserve"> A</w:t>
      </w:r>
      <w:r w:rsidRPr="00ED2901">
        <w:rPr>
          <w:rFonts w:ascii="Arial" w:hAnsi="Arial" w:cs="Arial"/>
          <w:sz w:val="22"/>
          <w:szCs w:val="22"/>
        </w:rPr>
        <w:t>TS thus functions as a pedagogical arena for personal and artistic agency, making it essential to any inclusive, identity-aware musical theatre training framework.</w:t>
      </w:r>
    </w:p>
    <w:p w14:paraId="0FFEFFC3" w14:textId="77777777" w:rsidR="00EB0C7C" w:rsidRPr="00C779A4" w:rsidRDefault="00EB0C7C" w:rsidP="00ED2901">
      <w:pPr>
        <w:spacing w:line="360" w:lineRule="auto"/>
        <w:jc w:val="both"/>
        <w:rPr>
          <w:rFonts w:ascii="Arial" w:hAnsi="Arial" w:cs="Arial"/>
          <w:sz w:val="22"/>
          <w:szCs w:val="22"/>
        </w:rPr>
      </w:pPr>
      <w:r w:rsidRPr="00C779A4">
        <w:rPr>
          <w:rFonts w:ascii="Arial" w:hAnsi="Arial" w:cs="Arial"/>
          <w:sz w:val="22"/>
          <w:szCs w:val="22"/>
        </w:rPr>
        <w:t>Best Practice Influences</w:t>
      </w:r>
    </w:p>
    <w:p w14:paraId="1DAAB007" w14:textId="6A7F07B4" w:rsidR="00EB0C7C" w:rsidRPr="00C779A4" w:rsidRDefault="00C779A4" w:rsidP="00ED2901">
      <w:pPr>
        <w:spacing w:line="360" w:lineRule="auto"/>
        <w:jc w:val="both"/>
        <w:rPr>
          <w:rFonts w:ascii="Arial" w:hAnsi="Arial" w:cs="Arial"/>
          <w:sz w:val="22"/>
          <w:szCs w:val="22"/>
        </w:rPr>
      </w:pPr>
      <w:r w:rsidRPr="00C779A4">
        <w:rPr>
          <w:rFonts w:ascii="Arial" w:hAnsi="Arial" w:cs="Arial"/>
          <w:sz w:val="22"/>
          <w:szCs w:val="22"/>
        </w:rPr>
        <w:t>The pedagogical framework of the artefact is shaped by established best-practice models that promote accessibility and inclusivity. Universal Design for Learning (UDL) provides adaptable pathways for engagement, representation, and expression, ensuring learners with varied needs can access training effectively (CAST, 2018). Culturally Sustaining Pedagogy affirms learners’ identities and cultural practices, resisting assimilationist tendencies and supporting equity (Paris &amp; Alim, 2017). Trauma-Informed Education underscores the importance of predictability, agency, and emotional safety for transgender learners who may experience heightened vulnerability (Carello &amp; Butler, 2015; Warriner, 2021). Inclusive Voice Pedagogy combines functional voice science with identity-aware approaches, challenging gendered assumptions in technical training (Kayes, 2020; LeBorgne &amp; Rosenberg, 2020). These models guide practical decisions, including exercise sequencing, choice-driven tasks, and the consistent use of identity-affirming language.</w:t>
      </w:r>
    </w:p>
    <w:p w14:paraId="17E33756" w14:textId="77777777" w:rsidR="00C779A4" w:rsidRDefault="00C779A4" w:rsidP="00ED2901">
      <w:pPr>
        <w:spacing w:line="360" w:lineRule="auto"/>
        <w:jc w:val="both"/>
        <w:rPr>
          <w:rFonts w:ascii="Arial" w:hAnsi="Arial" w:cs="Arial"/>
          <w:b/>
          <w:bCs/>
          <w:sz w:val="22"/>
          <w:szCs w:val="22"/>
        </w:rPr>
      </w:pPr>
    </w:p>
    <w:p w14:paraId="442FA8CE" w14:textId="77777777" w:rsidR="00631314" w:rsidRDefault="00631314" w:rsidP="00ED2901">
      <w:pPr>
        <w:spacing w:line="360" w:lineRule="auto"/>
        <w:jc w:val="both"/>
        <w:rPr>
          <w:rFonts w:ascii="Arial" w:hAnsi="Arial" w:cs="Arial"/>
          <w:b/>
          <w:bCs/>
          <w:sz w:val="22"/>
          <w:szCs w:val="22"/>
        </w:rPr>
      </w:pPr>
    </w:p>
    <w:p w14:paraId="073EA4DC" w14:textId="77777777" w:rsidR="00631314" w:rsidRDefault="00631314" w:rsidP="00ED2901">
      <w:pPr>
        <w:spacing w:line="360" w:lineRule="auto"/>
        <w:jc w:val="both"/>
        <w:rPr>
          <w:rFonts w:ascii="Arial" w:hAnsi="Arial" w:cs="Arial"/>
          <w:b/>
          <w:bCs/>
          <w:sz w:val="22"/>
          <w:szCs w:val="22"/>
        </w:rPr>
      </w:pPr>
    </w:p>
    <w:p w14:paraId="3FE20C5E" w14:textId="77777777" w:rsidR="00510887" w:rsidRDefault="00510887" w:rsidP="00ED2901">
      <w:pPr>
        <w:spacing w:line="360" w:lineRule="auto"/>
        <w:jc w:val="both"/>
        <w:rPr>
          <w:rFonts w:ascii="Arial" w:hAnsi="Arial" w:cs="Arial"/>
          <w:b/>
          <w:bCs/>
          <w:sz w:val="22"/>
          <w:szCs w:val="22"/>
        </w:rPr>
      </w:pPr>
    </w:p>
    <w:p w14:paraId="382FAEAC" w14:textId="5E0149AA" w:rsidR="00EB0C7C" w:rsidRPr="00ED2901" w:rsidRDefault="00EB0C7C" w:rsidP="00ED2901">
      <w:pPr>
        <w:spacing w:line="360" w:lineRule="auto"/>
        <w:jc w:val="both"/>
        <w:rPr>
          <w:rFonts w:ascii="Arial" w:hAnsi="Arial" w:cs="Arial"/>
          <w:b/>
          <w:bCs/>
          <w:sz w:val="22"/>
          <w:szCs w:val="22"/>
        </w:rPr>
      </w:pPr>
      <w:r w:rsidRPr="00ED2901">
        <w:rPr>
          <w:rFonts w:ascii="Arial" w:hAnsi="Arial" w:cs="Arial"/>
          <w:b/>
          <w:bCs/>
          <w:sz w:val="22"/>
          <w:szCs w:val="22"/>
        </w:rPr>
        <w:lastRenderedPageBreak/>
        <w:t>Methodological Influences</w:t>
      </w:r>
    </w:p>
    <w:p w14:paraId="73B42A0D" w14:textId="77777777" w:rsidR="00562AEB" w:rsidRPr="00562AEB" w:rsidRDefault="00562AEB" w:rsidP="00ED2901">
      <w:pPr>
        <w:spacing w:line="360" w:lineRule="auto"/>
        <w:jc w:val="both"/>
        <w:rPr>
          <w:rFonts w:ascii="Arial" w:hAnsi="Arial" w:cs="Arial"/>
          <w:sz w:val="22"/>
          <w:szCs w:val="22"/>
        </w:rPr>
      </w:pPr>
      <w:r w:rsidRPr="00562AEB">
        <w:rPr>
          <w:rFonts w:ascii="Arial" w:hAnsi="Arial" w:cs="Arial"/>
          <w:sz w:val="22"/>
          <w:szCs w:val="22"/>
        </w:rPr>
        <w:t>The artefact is situated within a practice-based research framework that integrates Action Research and Design-Based Research, enabling iterative refinement shaped by lived experience (Kemmis &amp; McTaggart, 2005; McNiff, 2013). This approach emphasises collaboration, responsiveness, and reflective practice, aligning with the goal of developing inclusive pedagogical tools. Reflective methodologies from Kolb (1984) and Schön (1983) ensure ongoing cycles of planning, action, observation, and reflection across both technical and expressive elements. This combined methodology supports embodied inquiry essential for voice work, allows adaptive design informed by participant feedback, and maintains ethical commitments to consent, psychological safety, and learner agency.</w:t>
      </w:r>
    </w:p>
    <w:p w14:paraId="35910033" w14:textId="208399E8" w:rsidR="00EB0C7C" w:rsidRPr="00ED2901" w:rsidRDefault="00EB0C7C" w:rsidP="00ED2901">
      <w:pPr>
        <w:spacing w:line="360" w:lineRule="auto"/>
        <w:jc w:val="both"/>
        <w:rPr>
          <w:rFonts w:ascii="Arial" w:hAnsi="Arial" w:cs="Arial"/>
          <w:b/>
          <w:bCs/>
          <w:sz w:val="22"/>
          <w:szCs w:val="22"/>
        </w:rPr>
      </w:pPr>
      <w:r w:rsidRPr="00ED2901">
        <w:rPr>
          <w:rFonts w:ascii="Arial" w:hAnsi="Arial" w:cs="Arial"/>
          <w:b/>
          <w:bCs/>
          <w:sz w:val="22"/>
          <w:szCs w:val="22"/>
        </w:rPr>
        <w:t>Methodology Summary Table</w:t>
      </w:r>
    </w:p>
    <w:p w14:paraId="22537456" w14:textId="4D01D068" w:rsidR="00562AEB" w:rsidRDefault="00562AEB" w:rsidP="00ED2901">
      <w:pPr>
        <w:spacing w:line="360" w:lineRule="auto"/>
        <w:jc w:val="both"/>
        <w:rPr>
          <w:rFonts w:ascii="Arial" w:hAnsi="Arial" w:cs="Arial"/>
          <w:b/>
          <w:bCs/>
          <w:sz w:val="22"/>
          <w:szCs w:val="22"/>
        </w:rPr>
      </w:pPr>
      <w:r w:rsidRPr="00562AEB">
        <w:rPr>
          <w:noProof/>
        </w:rPr>
        <w:drawing>
          <wp:inline distT="0" distB="0" distL="0" distR="0" wp14:anchorId="25F98B00" wp14:editId="53C1BC23">
            <wp:extent cx="5731510" cy="1952625"/>
            <wp:effectExtent l="0" t="0" r="2540" b="9525"/>
            <wp:docPr id="151861392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1952625"/>
                    </a:xfrm>
                    <a:prstGeom prst="rect">
                      <a:avLst/>
                    </a:prstGeom>
                    <a:noFill/>
                    <a:ln>
                      <a:noFill/>
                    </a:ln>
                  </pic:spPr>
                </pic:pic>
              </a:graphicData>
            </a:graphic>
          </wp:inline>
        </w:drawing>
      </w:r>
    </w:p>
    <w:p w14:paraId="5F4E25A1" w14:textId="4A25AC65" w:rsidR="00746867" w:rsidRPr="00ED2901" w:rsidRDefault="00AD663E" w:rsidP="00ED2901">
      <w:pPr>
        <w:spacing w:line="360" w:lineRule="auto"/>
        <w:jc w:val="both"/>
        <w:rPr>
          <w:rFonts w:ascii="Arial" w:hAnsi="Arial" w:cs="Arial"/>
          <w:b/>
          <w:bCs/>
          <w:sz w:val="22"/>
          <w:szCs w:val="22"/>
        </w:rPr>
      </w:pPr>
      <w:r w:rsidRPr="00ED2901">
        <w:rPr>
          <w:rFonts w:ascii="Arial" w:hAnsi="Arial" w:cs="Arial"/>
          <w:b/>
          <w:bCs/>
          <w:sz w:val="22"/>
          <w:szCs w:val="22"/>
        </w:rPr>
        <w:t>Intersectionality and Identity</w:t>
      </w:r>
    </w:p>
    <w:p w14:paraId="61DEC8F8" w14:textId="2A0F599B" w:rsidR="00A07287" w:rsidRPr="00ED2901" w:rsidRDefault="00A07287" w:rsidP="00ED2901">
      <w:pPr>
        <w:spacing w:line="360" w:lineRule="auto"/>
        <w:jc w:val="both"/>
        <w:rPr>
          <w:rFonts w:ascii="Arial" w:hAnsi="Arial" w:cs="Arial"/>
          <w:b/>
          <w:bCs/>
          <w:sz w:val="22"/>
          <w:szCs w:val="22"/>
        </w:rPr>
      </w:pPr>
      <w:r w:rsidRPr="00ED2901">
        <w:rPr>
          <w:rFonts w:ascii="Arial" w:hAnsi="Arial" w:cs="Arial"/>
          <w:sz w:val="22"/>
          <w:szCs w:val="22"/>
        </w:rPr>
        <w:t>Crenshaw's theory of intersectionality posits that identity is influenced by a multitude of intersecting factors, such as gender, race, class, and personal experience (</w:t>
      </w:r>
      <w:r w:rsidR="00B55872" w:rsidRPr="00ED2901">
        <w:rPr>
          <w:rFonts w:ascii="Arial" w:hAnsi="Arial" w:cs="Arial"/>
          <w:sz w:val="22"/>
          <w:szCs w:val="22"/>
        </w:rPr>
        <w:t xml:space="preserve">Henne and </w:t>
      </w:r>
      <w:r w:rsidR="008F504C" w:rsidRPr="00ED2901">
        <w:rPr>
          <w:rFonts w:ascii="Arial" w:hAnsi="Arial" w:cs="Arial"/>
          <w:sz w:val="22"/>
          <w:szCs w:val="22"/>
        </w:rPr>
        <w:t>Tracinski, 2013)</w:t>
      </w:r>
      <w:r w:rsidRPr="00ED2901">
        <w:rPr>
          <w:rFonts w:ascii="Arial" w:hAnsi="Arial" w:cs="Arial"/>
          <w:sz w:val="22"/>
          <w:szCs w:val="22"/>
        </w:rPr>
        <w:t>. In the realm of musical theatre, this notion of intersectionality serves to illuminate the diverse and complex experiences of transgender performers, who may face additional challenges linked to their backgrounds or levels of visibility (Davies, 2019). This perspective highlights the necessity for educational models that are both flexible and responsive.  Moreover, these theoretical frameworks advocate for an educational approach that prioritizes vocal efficiency, expressive freedom, and individual authenticity. This approach situates the artefact within an inclusive and critically reflective context that questions binary norms and fosters a learner-</w:t>
      </w:r>
      <w:r w:rsidR="001A417E" w:rsidRPr="00ED2901">
        <w:rPr>
          <w:rFonts w:ascii="Arial" w:hAnsi="Arial" w:cs="Arial"/>
          <w:sz w:val="22"/>
          <w:szCs w:val="22"/>
        </w:rPr>
        <w:t>centred</w:t>
      </w:r>
      <w:r w:rsidRPr="00ED2901">
        <w:rPr>
          <w:rFonts w:ascii="Arial" w:hAnsi="Arial" w:cs="Arial"/>
          <w:sz w:val="22"/>
          <w:szCs w:val="22"/>
        </w:rPr>
        <w:t xml:space="preserve"> methodology.</w:t>
      </w:r>
    </w:p>
    <w:p w14:paraId="4F7FEDAE" w14:textId="77777777" w:rsidR="00944D4E" w:rsidRPr="00ED2901" w:rsidRDefault="00944D4E" w:rsidP="00ED2901">
      <w:pPr>
        <w:spacing w:line="360" w:lineRule="auto"/>
        <w:jc w:val="both"/>
        <w:rPr>
          <w:rFonts w:ascii="Arial" w:hAnsi="Arial" w:cs="Arial"/>
          <w:b/>
          <w:bCs/>
          <w:sz w:val="22"/>
          <w:szCs w:val="22"/>
        </w:rPr>
      </w:pPr>
    </w:p>
    <w:p w14:paraId="0C736827" w14:textId="77777777" w:rsidR="00510887" w:rsidRDefault="00510887" w:rsidP="00ED2901">
      <w:pPr>
        <w:spacing w:line="360" w:lineRule="auto"/>
        <w:jc w:val="both"/>
        <w:rPr>
          <w:rFonts w:ascii="Arial" w:hAnsi="Arial" w:cs="Arial"/>
          <w:b/>
          <w:bCs/>
          <w:sz w:val="22"/>
          <w:szCs w:val="22"/>
        </w:rPr>
      </w:pPr>
    </w:p>
    <w:p w14:paraId="46EDEFD3" w14:textId="77777777" w:rsidR="00510887" w:rsidRDefault="00510887" w:rsidP="00ED2901">
      <w:pPr>
        <w:spacing w:line="360" w:lineRule="auto"/>
        <w:jc w:val="both"/>
        <w:rPr>
          <w:rFonts w:ascii="Arial" w:hAnsi="Arial" w:cs="Arial"/>
          <w:b/>
          <w:bCs/>
          <w:sz w:val="22"/>
          <w:szCs w:val="22"/>
        </w:rPr>
      </w:pPr>
    </w:p>
    <w:p w14:paraId="6795C597" w14:textId="426F67CD" w:rsidR="007F3193" w:rsidRPr="00ED2901" w:rsidRDefault="007F3193" w:rsidP="00ED2901">
      <w:pPr>
        <w:spacing w:line="360" w:lineRule="auto"/>
        <w:jc w:val="both"/>
        <w:rPr>
          <w:rFonts w:ascii="Arial" w:hAnsi="Arial" w:cs="Arial"/>
          <w:b/>
          <w:bCs/>
          <w:sz w:val="22"/>
          <w:szCs w:val="22"/>
        </w:rPr>
      </w:pPr>
      <w:r w:rsidRPr="00ED2901">
        <w:rPr>
          <w:rFonts w:ascii="Arial" w:hAnsi="Arial" w:cs="Arial"/>
          <w:b/>
          <w:bCs/>
          <w:sz w:val="22"/>
          <w:szCs w:val="22"/>
        </w:rPr>
        <w:t>Methodological Influences</w:t>
      </w:r>
    </w:p>
    <w:p w14:paraId="45F028CB" w14:textId="133D33B3" w:rsidR="00FA7797" w:rsidRDefault="00FA7797" w:rsidP="00ED2901">
      <w:pPr>
        <w:spacing w:line="360" w:lineRule="auto"/>
        <w:jc w:val="both"/>
        <w:rPr>
          <w:rFonts w:ascii="Arial" w:hAnsi="Arial" w:cs="Arial"/>
          <w:sz w:val="22"/>
          <w:szCs w:val="22"/>
        </w:rPr>
      </w:pPr>
      <w:r w:rsidRPr="00ED2901">
        <w:rPr>
          <w:rFonts w:ascii="Arial" w:hAnsi="Arial" w:cs="Arial"/>
          <w:sz w:val="22"/>
          <w:szCs w:val="22"/>
        </w:rPr>
        <w:t>The development of the artefact is informed by a hybrid methodological design that incorporates elements from action research, design-based research, and reflective practice. Collectively, these methodologies establish a flexible and iterative research framework that facilitates the artefact's evolution in accordance with insights gained from practitioners, feedback received from participants, and the realities of teaching environments. The subsequent table presents a summary of the primary methodological influences that inform this study and delineates their significance to the formulation of the pedagogical framework.</w:t>
      </w:r>
    </w:p>
    <w:p w14:paraId="0A2B8BA5" w14:textId="01050D51" w:rsidR="00562AEB" w:rsidRPr="00562AEB" w:rsidRDefault="00562AEB" w:rsidP="00ED2901">
      <w:pPr>
        <w:spacing w:line="360" w:lineRule="auto"/>
        <w:jc w:val="both"/>
        <w:rPr>
          <w:rFonts w:ascii="Arial" w:hAnsi="Arial" w:cs="Arial"/>
          <w:i/>
          <w:iCs/>
          <w:sz w:val="22"/>
          <w:szCs w:val="22"/>
        </w:rPr>
      </w:pPr>
      <w:r w:rsidRPr="00562AEB">
        <w:rPr>
          <w:rFonts w:ascii="Arial" w:hAnsi="Arial" w:cs="Arial"/>
          <w:i/>
          <w:iCs/>
          <w:sz w:val="22"/>
          <w:szCs w:val="22"/>
        </w:rPr>
        <w:t>Methodological Influences Supporting Artefact Development</w:t>
      </w:r>
    </w:p>
    <w:p w14:paraId="43BF412E" w14:textId="09474924" w:rsidR="003700C5" w:rsidRPr="00ED2901" w:rsidRDefault="00562AEB" w:rsidP="00ED2901">
      <w:pPr>
        <w:spacing w:line="360" w:lineRule="auto"/>
        <w:jc w:val="both"/>
        <w:rPr>
          <w:rFonts w:ascii="Arial" w:hAnsi="Arial" w:cs="Arial"/>
          <w:b/>
          <w:bCs/>
          <w:sz w:val="22"/>
          <w:szCs w:val="22"/>
        </w:rPr>
      </w:pPr>
      <w:r w:rsidRPr="00562AEB">
        <w:rPr>
          <w:noProof/>
        </w:rPr>
        <w:drawing>
          <wp:inline distT="0" distB="0" distL="0" distR="0" wp14:anchorId="0B08C616" wp14:editId="06798BC1">
            <wp:extent cx="5731510" cy="5095240"/>
            <wp:effectExtent l="0" t="0" r="2540" b="0"/>
            <wp:docPr id="144853818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5095240"/>
                    </a:xfrm>
                    <a:prstGeom prst="rect">
                      <a:avLst/>
                    </a:prstGeom>
                    <a:noFill/>
                    <a:ln>
                      <a:noFill/>
                    </a:ln>
                  </pic:spPr>
                </pic:pic>
              </a:graphicData>
            </a:graphic>
          </wp:inline>
        </w:drawing>
      </w:r>
    </w:p>
    <w:p w14:paraId="573877EA" w14:textId="110FEF65" w:rsidR="00510887" w:rsidRPr="00E51F3B" w:rsidRDefault="003700C5" w:rsidP="00ED2901">
      <w:pPr>
        <w:spacing w:line="360" w:lineRule="auto"/>
        <w:jc w:val="both"/>
        <w:rPr>
          <w:rFonts w:ascii="Arial" w:hAnsi="Arial" w:cs="Arial"/>
          <w:sz w:val="22"/>
          <w:szCs w:val="22"/>
        </w:rPr>
      </w:pPr>
      <w:r w:rsidRPr="00ED2901">
        <w:rPr>
          <w:rFonts w:ascii="Arial" w:hAnsi="Arial" w:cs="Arial"/>
          <w:sz w:val="22"/>
          <w:szCs w:val="22"/>
        </w:rPr>
        <w:lastRenderedPageBreak/>
        <w:t>The combination of these methodological influences leads to a flexible, evidence-based, and ethically grounded approach that establishes the artefact as both a pedagogical instrument and a research tool.</w:t>
      </w:r>
    </w:p>
    <w:p w14:paraId="0DA04ACE" w14:textId="1DF19045" w:rsidR="00286C7B" w:rsidRPr="00ED2901" w:rsidRDefault="00286C7B" w:rsidP="00ED2901">
      <w:pPr>
        <w:spacing w:line="360" w:lineRule="auto"/>
        <w:jc w:val="both"/>
        <w:rPr>
          <w:rFonts w:ascii="Arial" w:hAnsi="Arial" w:cs="Arial"/>
          <w:b/>
          <w:bCs/>
          <w:sz w:val="22"/>
          <w:szCs w:val="22"/>
        </w:rPr>
      </w:pPr>
      <w:r w:rsidRPr="00ED2901">
        <w:rPr>
          <w:rFonts w:ascii="Arial" w:hAnsi="Arial" w:cs="Arial"/>
          <w:b/>
          <w:bCs/>
          <w:sz w:val="22"/>
          <w:szCs w:val="22"/>
        </w:rPr>
        <w:t>Developmental Activities and Six-Month Timeline</w:t>
      </w:r>
    </w:p>
    <w:p w14:paraId="0A883B8D" w14:textId="77777777" w:rsidR="00283C9E" w:rsidRPr="00ED2901" w:rsidRDefault="00283C9E" w:rsidP="00ED2901">
      <w:pPr>
        <w:spacing w:line="360" w:lineRule="auto"/>
        <w:jc w:val="both"/>
        <w:rPr>
          <w:rFonts w:ascii="Arial" w:hAnsi="Arial" w:cs="Arial"/>
          <w:sz w:val="22"/>
          <w:szCs w:val="22"/>
        </w:rPr>
      </w:pPr>
      <w:r w:rsidRPr="00ED2901">
        <w:rPr>
          <w:rFonts w:ascii="Arial" w:hAnsi="Arial" w:cs="Arial"/>
          <w:sz w:val="22"/>
          <w:szCs w:val="22"/>
        </w:rPr>
        <w:t xml:space="preserve">The artefact's development was guided by a structured process spanning six months, which was grounded in action research methodologies as discussed by Kemmis and McTaggart (2005) and McNiff (2013), as well as design-based iterative refinement principles articulated by Reeves (2006) and Barab and Squire (2004). This methodological framework facilitated an ongoing cycle of planning, action, observation, and reflection. Each phase was designed to respond adaptively to evolving knowledge while adhering to standards of ethical, evidence-informed practice. Importantly, design-based methodologies exhibit a particular suitability for fostering pedagogical innovation within the performing arts, wherein practice-led experimentation and reflexive interpretation contribute significantly to the generation of new knowledge (Nelson, 2013; Riley &amp; Hunter, 2009).  In addressing the specific needs associated with the vocal development of trans and non-binary individuals, the timeline was intentionally constructed to incorporate principles derived from queer pedagogy (Britzman, 1995; Kumashiro, 2002), trans-inclusive voice research (Davies, Papp &amp; Antoni, 2015; Azul, 2019), and trauma-informed educational frameworks (Carello &amp; Butler, 2015; Immes &amp; Rogers, 2021). Each monthly focus corresponds to distinct strands of the artefact, including technical belt development, expressive integration of artistic techniques, and reflective practices informed by trauma. This deliberate organization ensures a holistic and responsive evolution of the work, which resonates with reflective models in creative arts education outlined by Schön (1983) and Boud, Keogh, and Walker (2005). </w:t>
      </w:r>
    </w:p>
    <w:p w14:paraId="2ADE3011" w14:textId="75EEF5E5" w:rsidR="00562AEB" w:rsidRDefault="00283C9E" w:rsidP="00ED2901">
      <w:pPr>
        <w:spacing w:line="360" w:lineRule="auto"/>
        <w:rPr>
          <w:rFonts w:ascii="Arial" w:hAnsi="Arial" w:cs="Arial"/>
          <w:sz w:val="22"/>
          <w:szCs w:val="22"/>
        </w:rPr>
      </w:pPr>
      <w:r w:rsidRPr="00ED2901">
        <w:rPr>
          <w:rFonts w:ascii="Arial" w:hAnsi="Arial" w:cs="Arial"/>
          <w:sz w:val="22"/>
          <w:szCs w:val="22"/>
        </w:rPr>
        <w:t>Furthermore, it aligns with practice-as-research paradigms that emphasize embodied inquiry (Nelson, 2013; Smith &amp; Dean, 2009).  A detailed outline of the six-month timeline is presented in the subsequent table, illustrating a methodical progression that transitions from foundational research through to technical prototyping, expressive experimentation, reflective consolidation, and initial evaluation. This clearly defined developmental pathway ensured consistent alignment with contemporary voice science (Titze, 2006; Sataloff, 2017), inclusive performance pedagogy (hooks, 1994; Shrewsbury,</w:t>
      </w:r>
      <w:r w:rsidR="00562AEB">
        <w:rPr>
          <w:rFonts w:ascii="Arial" w:hAnsi="Arial" w:cs="Arial"/>
          <w:sz w:val="22"/>
          <w:szCs w:val="22"/>
        </w:rPr>
        <w:t xml:space="preserve"> </w:t>
      </w:r>
      <w:r w:rsidRPr="00ED2901">
        <w:rPr>
          <w:rFonts w:ascii="Arial" w:hAnsi="Arial" w:cs="Arial"/>
          <w:sz w:val="22"/>
          <w:szCs w:val="22"/>
        </w:rPr>
        <w:t>993), as well as the lived</w:t>
      </w:r>
      <w:r w:rsidR="00313617">
        <w:rPr>
          <w:rFonts w:ascii="Arial" w:hAnsi="Arial" w:cs="Arial"/>
          <w:sz w:val="22"/>
          <w:szCs w:val="22"/>
        </w:rPr>
        <w:t xml:space="preserve"> </w:t>
      </w:r>
      <w:r w:rsidRPr="00ED2901">
        <w:rPr>
          <w:rFonts w:ascii="Arial" w:hAnsi="Arial" w:cs="Arial"/>
          <w:sz w:val="22"/>
          <w:szCs w:val="22"/>
        </w:rPr>
        <w:t>experiences and needs of trans and non-binary performers.</w:t>
      </w:r>
    </w:p>
    <w:p w14:paraId="50A394EC" w14:textId="14CDC6C2" w:rsidR="00313617" w:rsidRDefault="00313617" w:rsidP="00313617">
      <w:pPr>
        <w:rPr>
          <w:rFonts w:ascii="Arial" w:hAnsi="Arial" w:cs="Arial"/>
          <w:sz w:val="22"/>
          <w:szCs w:val="22"/>
        </w:rPr>
      </w:pPr>
      <w:r>
        <w:rPr>
          <w:rFonts w:ascii="Arial" w:hAnsi="Arial" w:cs="Arial"/>
          <w:sz w:val="22"/>
          <w:szCs w:val="22"/>
        </w:rPr>
        <w:br w:type="page"/>
      </w:r>
    </w:p>
    <w:p w14:paraId="014C1410" w14:textId="6B5C57DC" w:rsidR="00952CBF" w:rsidRPr="00ED2901" w:rsidRDefault="007335FE" w:rsidP="00ED2901">
      <w:pPr>
        <w:spacing w:line="360" w:lineRule="auto"/>
        <w:rPr>
          <w:rFonts w:ascii="Arial" w:hAnsi="Arial" w:cs="Arial"/>
          <w:b/>
          <w:bCs/>
          <w:sz w:val="22"/>
          <w:szCs w:val="22"/>
        </w:rPr>
      </w:pPr>
      <w:r w:rsidRPr="00ED2901">
        <w:rPr>
          <w:rFonts w:ascii="Arial" w:hAnsi="Arial" w:cs="Arial"/>
          <w:noProof/>
          <w:sz w:val="22"/>
          <w:szCs w:val="22"/>
        </w:rPr>
        <w:lastRenderedPageBreak/>
        <w:drawing>
          <wp:inline distT="0" distB="0" distL="0" distR="0" wp14:anchorId="1FF5DD8D" wp14:editId="6CF00A22">
            <wp:extent cx="5731510" cy="4484370"/>
            <wp:effectExtent l="0" t="0" r="2540" b="0"/>
            <wp:docPr id="9235760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4484370"/>
                    </a:xfrm>
                    <a:prstGeom prst="rect">
                      <a:avLst/>
                    </a:prstGeom>
                    <a:noFill/>
                    <a:ln>
                      <a:noFill/>
                    </a:ln>
                  </pic:spPr>
                </pic:pic>
              </a:graphicData>
            </a:graphic>
          </wp:inline>
        </w:drawing>
      </w:r>
    </w:p>
    <w:p w14:paraId="22B06343" w14:textId="6B92FEF6" w:rsidR="00286C7B" w:rsidRPr="00ED2901" w:rsidRDefault="00286C7B" w:rsidP="00ED2901">
      <w:pPr>
        <w:spacing w:line="360" w:lineRule="auto"/>
        <w:jc w:val="both"/>
        <w:rPr>
          <w:rFonts w:ascii="Arial" w:hAnsi="Arial" w:cs="Arial"/>
          <w:sz w:val="22"/>
          <w:szCs w:val="22"/>
        </w:rPr>
      </w:pPr>
      <w:r w:rsidRPr="00ED2901">
        <w:rPr>
          <w:rFonts w:ascii="Arial" w:hAnsi="Arial" w:cs="Arial"/>
          <w:b/>
          <w:bCs/>
          <w:sz w:val="22"/>
          <w:szCs w:val="22"/>
        </w:rPr>
        <w:t>Summary</w:t>
      </w:r>
    </w:p>
    <w:p w14:paraId="17A4810C" w14:textId="08228846" w:rsidR="004C5805" w:rsidRPr="00631314" w:rsidRDefault="00952CBF" w:rsidP="00ED2901">
      <w:pPr>
        <w:spacing w:line="360" w:lineRule="auto"/>
        <w:jc w:val="both"/>
        <w:rPr>
          <w:rFonts w:ascii="Arial" w:hAnsi="Arial" w:cs="Arial"/>
          <w:sz w:val="22"/>
          <w:szCs w:val="22"/>
        </w:rPr>
      </w:pPr>
      <w:r w:rsidRPr="00ED2901">
        <w:rPr>
          <w:rFonts w:ascii="Arial" w:hAnsi="Arial" w:cs="Arial"/>
          <w:sz w:val="22"/>
          <w:szCs w:val="22"/>
        </w:rPr>
        <w:t xml:space="preserve">The proposed timeline facilitates the artifact's development through a series of systematic cycles involving research, creation, testing, and refinement. By allocating a six-month period for this process, the project maintains alignment with the principles of action research, thereby providing ample opportunity for continuous reflection and ethical evaluation. This structure guarantees that each element of the framework is thoroughly grounded in both theoretical and practical knowledge prior to its incorporation into a unified pedagogical resource designed for evaluation in Module </w:t>
      </w:r>
      <w:r w:rsidR="00562AEB">
        <w:rPr>
          <w:rFonts w:ascii="Arial" w:hAnsi="Arial" w:cs="Arial"/>
          <w:sz w:val="22"/>
          <w:szCs w:val="22"/>
        </w:rPr>
        <w:t>6.</w:t>
      </w:r>
    </w:p>
    <w:p w14:paraId="0B0F2900" w14:textId="0196F793" w:rsidR="00DB0FD5" w:rsidRPr="00ED2901" w:rsidRDefault="00DB0FD5" w:rsidP="00ED2901">
      <w:pPr>
        <w:spacing w:line="360" w:lineRule="auto"/>
        <w:jc w:val="both"/>
        <w:rPr>
          <w:rFonts w:ascii="Arial" w:hAnsi="Arial" w:cs="Arial"/>
          <w:b/>
          <w:bCs/>
          <w:sz w:val="22"/>
          <w:szCs w:val="22"/>
        </w:rPr>
      </w:pPr>
      <w:r w:rsidRPr="00ED2901">
        <w:rPr>
          <w:rFonts w:ascii="Arial" w:hAnsi="Arial" w:cs="Arial"/>
          <w:b/>
          <w:bCs/>
          <w:sz w:val="22"/>
          <w:szCs w:val="22"/>
        </w:rPr>
        <w:t xml:space="preserve">Expected Learning and Evaluation </w:t>
      </w:r>
    </w:p>
    <w:p w14:paraId="7CACE560" w14:textId="77777777" w:rsidR="004831D0" w:rsidRPr="00ED2901" w:rsidRDefault="004831D0" w:rsidP="00ED2901">
      <w:pPr>
        <w:spacing w:line="360" w:lineRule="auto"/>
        <w:jc w:val="both"/>
        <w:rPr>
          <w:rFonts w:ascii="Arial" w:hAnsi="Arial" w:cs="Arial"/>
          <w:sz w:val="22"/>
          <w:szCs w:val="22"/>
        </w:rPr>
      </w:pPr>
      <w:r w:rsidRPr="00ED2901">
        <w:rPr>
          <w:rFonts w:ascii="Arial" w:hAnsi="Arial" w:cs="Arial"/>
          <w:sz w:val="22"/>
          <w:szCs w:val="22"/>
        </w:rPr>
        <w:t xml:space="preserve">The evaluation of the artefact will focus on its influence on the performer's technical abilities, expressive skills, and capacity for reflection. Additionally, its adaptability to various educational contexts will be assessed. The established framework aims to facilitate both vocal development and a stronger alignment of personal identity in performance, and the evaluation strategy corresponds with these dual objectives.   </w:t>
      </w:r>
    </w:p>
    <w:p w14:paraId="04D6A766" w14:textId="39E0B5D8" w:rsidR="004831D0" w:rsidRPr="00ED2901" w:rsidRDefault="004831D0" w:rsidP="00ED2901">
      <w:pPr>
        <w:spacing w:line="360" w:lineRule="auto"/>
        <w:jc w:val="both"/>
        <w:rPr>
          <w:rFonts w:ascii="Arial" w:hAnsi="Arial" w:cs="Arial"/>
          <w:sz w:val="22"/>
          <w:szCs w:val="22"/>
        </w:rPr>
      </w:pPr>
      <w:r w:rsidRPr="00ED2901">
        <w:rPr>
          <w:rFonts w:ascii="Arial" w:hAnsi="Arial" w:cs="Arial"/>
          <w:sz w:val="22"/>
          <w:szCs w:val="22"/>
        </w:rPr>
        <w:lastRenderedPageBreak/>
        <w:t>The anticipated learning outcomes concentrate on four primary areas:</w:t>
      </w:r>
    </w:p>
    <w:p w14:paraId="7FCF0339" w14:textId="5D89A6F3" w:rsidR="005D0923" w:rsidRPr="00ED2901" w:rsidRDefault="005D0923" w:rsidP="00ED2901">
      <w:pPr>
        <w:spacing w:line="360" w:lineRule="auto"/>
        <w:jc w:val="both"/>
        <w:rPr>
          <w:rFonts w:ascii="Arial" w:hAnsi="Arial" w:cs="Arial"/>
          <w:sz w:val="22"/>
          <w:szCs w:val="22"/>
        </w:rPr>
      </w:pPr>
      <w:r w:rsidRPr="00ED2901">
        <w:rPr>
          <w:rFonts w:ascii="Arial" w:hAnsi="Arial" w:cs="Arial"/>
          <w:noProof/>
          <w:sz w:val="22"/>
          <w:szCs w:val="22"/>
        </w:rPr>
        <w:drawing>
          <wp:inline distT="0" distB="0" distL="0" distR="0" wp14:anchorId="4EF33119" wp14:editId="0958DE1B">
            <wp:extent cx="5731510" cy="1475105"/>
            <wp:effectExtent l="0" t="0" r="2540" b="0"/>
            <wp:docPr id="191692308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6923087" name="Picture 1" descr="A screenshot of a computer&#10;&#10;AI-generated content may be incorrect."/>
                    <pic:cNvPicPr/>
                  </pic:nvPicPr>
                  <pic:blipFill>
                    <a:blip r:embed="rId17"/>
                    <a:stretch>
                      <a:fillRect/>
                    </a:stretch>
                  </pic:blipFill>
                  <pic:spPr>
                    <a:xfrm>
                      <a:off x="0" y="0"/>
                      <a:ext cx="5731510" cy="1475105"/>
                    </a:xfrm>
                    <a:prstGeom prst="rect">
                      <a:avLst/>
                    </a:prstGeom>
                  </pic:spPr>
                </pic:pic>
              </a:graphicData>
            </a:graphic>
          </wp:inline>
        </w:drawing>
      </w:r>
    </w:p>
    <w:p w14:paraId="2114171C" w14:textId="3F67DA49" w:rsidR="00A75644" w:rsidRPr="00ED2901" w:rsidRDefault="00A75644" w:rsidP="00ED2901">
      <w:pPr>
        <w:spacing w:line="360" w:lineRule="auto"/>
        <w:jc w:val="both"/>
        <w:rPr>
          <w:rFonts w:ascii="Arial" w:hAnsi="Arial" w:cs="Arial"/>
          <w:sz w:val="22"/>
          <w:szCs w:val="22"/>
        </w:rPr>
      </w:pPr>
      <w:r w:rsidRPr="00ED2901">
        <w:rPr>
          <w:rFonts w:ascii="Arial" w:hAnsi="Arial" w:cs="Arial"/>
          <w:sz w:val="22"/>
          <w:szCs w:val="22"/>
        </w:rPr>
        <w:t xml:space="preserve">The proposed framework draws together elements from earlier modules and outlines three interconnected components that support a holistic approach to vocal training. The first is technical development, which focuses on belt voice work informed by functional voice science and considers how hormonal changes, anatomical variation, and lived identity shape chest voice production. This strand highlights the need for flexible, identity affirming technical strategies for trans and non-binary singers, as noted by Titze (2006), Hancock and Garabedian (2013), and Spencer (2020). The second component, </w:t>
      </w:r>
      <w:r w:rsidR="0020428C" w:rsidRPr="00ED2901">
        <w:rPr>
          <w:rFonts w:ascii="Arial" w:hAnsi="Arial" w:cs="Arial"/>
          <w:sz w:val="22"/>
          <w:szCs w:val="22"/>
        </w:rPr>
        <w:t>ATS</w:t>
      </w:r>
      <w:r w:rsidRPr="00ED2901">
        <w:rPr>
          <w:rFonts w:ascii="Arial" w:hAnsi="Arial" w:cs="Arial"/>
          <w:sz w:val="22"/>
          <w:szCs w:val="22"/>
        </w:rPr>
        <w:t>, brings together emotional clarity, motivation, and narrative interpretation with the performer’s lived experience. Grounded in scholarship that views performance as embodied and relational, it supports expressive authenticity while safeguarding psychological well-being (Harvard, 2014; Moore and Bergman, 2016; Butler, 1990). The third component, reflective practice, offers methods for tracking physical, emotional, and artistic responses and draws on trauma informed and reflective pedagogies that emphasise stability, agency, and emotional regulation (Carello and Butler, 2015; Boud, Keogh and Walker, 2005; Warriner, 2021). Together, these components provide a coherent and inclusive framework for diverse vocal practitioners.</w:t>
      </w:r>
    </w:p>
    <w:p w14:paraId="6DA820A2" w14:textId="48995633" w:rsidR="005C20FE" w:rsidRPr="00ED2901" w:rsidRDefault="005C20FE" w:rsidP="00ED2901">
      <w:pPr>
        <w:spacing w:line="360" w:lineRule="auto"/>
        <w:jc w:val="both"/>
        <w:rPr>
          <w:rFonts w:ascii="Arial" w:hAnsi="Arial" w:cs="Arial"/>
          <w:sz w:val="22"/>
          <w:szCs w:val="22"/>
        </w:rPr>
      </w:pPr>
      <w:r w:rsidRPr="00ED2901">
        <w:rPr>
          <w:rFonts w:ascii="Arial" w:hAnsi="Arial" w:cs="Arial"/>
          <w:sz w:val="22"/>
          <w:szCs w:val="22"/>
        </w:rPr>
        <w:t xml:space="preserve">The development of </w:t>
      </w:r>
      <w:r w:rsidR="0020428C" w:rsidRPr="00ED2901">
        <w:rPr>
          <w:rFonts w:ascii="Arial" w:hAnsi="Arial" w:cs="Arial"/>
          <w:i/>
          <w:iCs/>
          <w:sz w:val="22"/>
          <w:szCs w:val="22"/>
        </w:rPr>
        <w:t>ATS</w:t>
      </w:r>
      <w:r w:rsidRPr="00ED2901">
        <w:rPr>
          <w:rFonts w:ascii="Arial" w:hAnsi="Arial" w:cs="Arial"/>
          <w:i/>
          <w:iCs/>
          <w:sz w:val="22"/>
          <w:szCs w:val="22"/>
        </w:rPr>
        <w:t>: A Trans-Inclusive Framework for Developing the Belt Voice</w:t>
      </w:r>
      <w:r w:rsidRPr="00ED2901">
        <w:rPr>
          <w:rFonts w:ascii="Arial" w:hAnsi="Arial" w:cs="Arial"/>
          <w:sz w:val="22"/>
          <w:szCs w:val="22"/>
        </w:rPr>
        <w:t xml:space="preserve"> </w:t>
      </w:r>
      <w:r w:rsidR="008F504C" w:rsidRPr="00ED2901">
        <w:rPr>
          <w:rFonts w:ascii="Arial" w:hAnsi="Arial" w:cs="Arial"/>
          <w:sz w:val="22"/>
          <w:szCs w:val="22"/>
        </w:rPr>
        <w:t>will be guided</w:t>
      </w:r>
      <w:r w:rsidRPr="00ED2901">
        <w:rPr>
          <w:rFonts w:ascii="Arial" w:hAnsi="Arial" w:cs="Arial"/>
          <w:sz w:val="22"/>
          <w:szCs w:val="22"/>
        </w:rPr>
        <w:t xml:space="preserve"> by Kolb’s Experiential Learning Cycle (1984), which provided a structured lens for analysing the interplay between practice, reflection, and theory. Kolb’s four-stage model</w:t>
      </w:r>
      <w:r w:rsidR="00FC430C" w:rsidRPr="00ED2901">
        <w:rPr>
          <w:rFonts w:ascii="Arial" w:hAnsi="Arial" w:cs="Arial"/>
          <w:sz w:val="22"/>
          <w:szCs w:val="22"/>
        </w:rPr>
        <w:t xml:space="preserve">: </w:t>
      </w:r>
      <w:r w:rsidRPr="00ED2901">
        <w:rPr>
          <w:rFonts w:ascii="Arial" w:hAnsi="Arial" w:cs="Arial"/>
          <w:sz w:val="22"/>
          <w:szCs w:val="22"/>
        </w:rPr>
        <w:t>Concrete Experience, Reflective Observation, Abstract Conceptualisation, and Active Experimentation</w:t>
      </w:r>
      <w:r w:rsidR="00FC430C" w:rsidRPr="00ED2901">
        <w:rPr>
          <w:rFonts w:ascii="Arial" w:hAnsi="Arial" w:cs="Arial"/>
          <w:sz w:val="22"/>
          <w:szCs w:val="22"/>
        </w:rPr>
        <w:t xml:space="preserve">, </w:t>
      </w:r>
      <w:r w:rsidRPr="00ED2901">
        <w:rPr>
          <w:rFonts w:ascii="Arial" w:hAnsi="Arial" w:cs="Arial"/>
          <w:sz w:val="22"/>
          <w:szCs w:val="22"/>
        </w:rPr>
        <w:t>operates as a continuous loop where lived practice informs conceptual understanding and vice versa. This review evaluates how each stage shaped the artefact and supported my growth as practitioner and researcher.</w:t>
      </w:r>
    </w:p>
    <w:p w14:paraId="42AD5079" w14:textId="77777777" w:rsidR="00631314" w:rsidRDefault="00EB0C7C" w:rsidP="00ED2901">
      <w:pPr>
        <w:spacing w:line="360" w:lineRule="auto"/>
        <w:jc w:val="both"/>
        <w:rPr>
          <w:rFonts w:ascii="Arial" w:hAnsi="Arial" w:cs="Arial"/>
          <w:b/>
          <w:bCs/>
          <w:sz w:val="22"/>
          <w:szCs w:val="22"/>
        </w:rPr>
      </w:pPr>
      <w:r w:rsidRPr="00ED2901">
        <w:rPr>
          <w:rFonts w:ascii="Arial" w:hAnsi="Arial" w:cs="Arial"/>
          <w:b/>
          <w:bCs/>
          <w:sz w:val="22"/>
          <w:szCs w:val="22"/>
        </w:rPr>
        <w:t>Concrete Experience</w:t>
      </w:r>
    </w:p>
    <w:p w14:paraId="1F74C1B6" w14:textId="0DF4FA57" w:rsidR="00EB0C7C" w:rsidRPr="00562AEB" w:rsidRDefault="00EB0C7C" w:rsidP="00ED2901">
      <w:pPr>
        <w:spacing w:line="360" w:lineRule="auto"/>
        <w:jc w:val="both"/>
        <w:rPr>
          <w:rFonts w:ascii="Arial" w:hAnsi="Arial" w:cs="Arial"/>
          <w:b/>
          <w:bCs/>
          <w:sz w:val="22"/>
          <w:szCs w:val="22"/>
        </w:rPr>
      </w:pPr>
      <w:r w:rsidRPr="00ED2901">
        <w:rPr>
          <w:rFonts w:ascii="Arial" w:hAnsi="Arial" w:cs="Arial"/>
          <w:sz w:val="22"/>
          <w:szCs w:val="22"/>
        </w:rPr>
        <w:t xml:space="preserve">Professional engagement as a voice educator and trans voice specialist at the University of Chichester Conservatoire revealed persistent challenges in conventional musical theatre pedagogy, particularly in belting and ATS, both rooted in binary notions of gender and vocal </w:t>
      </w:r>
      <w:r w:rsidRPr="00ED2901">
        <w:rPr>
          <w:rFonts w:ascii="Arial" w:hAnsi="Arial" w:cs="Arial"/>
          <w:sz w:val="22"/>
          <w:szCs w:val="22"/>
        </w:rPr>
        <w:lastRenderedPageBreak/>
        <w:t>categorisation (Hancock &amp; Garabedian, 2013; Moore &amp; Bergman, 2016). Students undergoing hormone-related changes often faced instability, fatigue, and range shifts that traditional frameworks could not accommodate (Spencer, 2020; Azul, 2015). Emotional strain from gendered expectations in ATS further underscored the need for identity-affirming, psychologically safe approaches (Carello &amp; Butler, 2015; MacNeil, 2008).</w:t>
      </w:r>
    </w:p>
    <w:p w14:paraId="1078D452" w14:textId="77777777" w:rsidR="00EB0C7C" w:rsidRPr="00ED2901" w:rsidRDefault="00EB0C7C" w:rsidP="00ED2901">
      <w:pPr>
        <w:spacing w:line="360" w:lineRule="auto"/>
        <w:jc w:val="both"/>
        <w:rPr>
          <w:rFonts w:ascii="Arial" w:hAnsi="Arial" w:cs="Arial"/>
          <w:b/>
          <w:bCs/>
          <w:sz w:val="22"/>
          <w:szCs w:val="22"/>
        </w:rPr>
      </w:pPr>
      <w:r w:rsidRPr="00ED2901">
        <w:rPr>
          <w:rFonts w:ascii="Arial" w:hAnsi="Arial" w:cs="Arial"/>
          <w:b/>
          <w:bCs/>
          <w:sz w:val="22"/>
          <w:szCs w:val="22"/>
        </w:rPr>
        <w:t>Reflective Observation</w:t>
      </w:r>
    </w:p>
    <w:p w14:paraId="5D38183D" w14:textId="0A34A0EB" w:rsidR="00EB0C7C" w:rsidRPr="00ED2901" w:rsidRDefault="00EB0C7C" w:rsidP="00ED2901">
      <w:pPr>
        <w:spacing w:line="360" w:lineRule="auto"/>
        <w:jc w:val="both"/>
        <w:rPr>
          <w:rFonts w:ascii="Arial" w:hAnsi="Arial" w:cs="Arial"/>
          <w:sz w:val="22"/>
          <w:szCs w:val="22"/>
        </w:rPr>
      </w:pPr>
      <w:r w:rsidRPr="00ED2901">
        <w:rPr>
          <w:rFonts w:ascii="Arial" w:hAnsi="Arial" w:cs="Arial"/>
          <w:sz w:val="22"/>
          <w:szCs w:val="22"/>
        </w:rPr>
        <w:t>Feedback from Module 3 and classroom notes highlighted recurring themes of discomfort, technical difficulty, and lack of identity-aligned training pathways. Functional techniques—such as semi-occluded vocal tract exercises, cry-quality anchoring, and speech-based belting—proved effective for singers navigating hormonal change, improving stability and confidence (Titze, 2006; Henrich, 2014; Sielska-Badurek, 2018). These insights confirmed the need for an inclusive, adaptable pedagogical model.</w:t>
      </w:r>
    </w:p>
    <w:p w14:paraId="28DF3E3B" w14:textId="77777777" w:rsidR="00EB0C7C" w:rsidRPr="00ED2901" w:rsidRDefault="00EB0C7C" w:rsidP="00ED2901">
      <w:pPr>
        <w:spacing w:line="360" w:lineRule="auto"/>
        <w:jc w:val="both"/>
        <w:rPr>
          <w:rFonts w:ascii="Arial" w:hAnsi="Arial" w:cs="Arial"/>
          <w:b/>
          <w:bCs/>
          <w:sz w:val="22"/>
          <w:szCs w:val="22"/>
        </w:rPr>
      </w:pPr>
      <w:r w:rsidRPr="00ED2901">
        <w:rPr>
          <w:rFonts w:ascii="Arial" w:hAnsi="Arial" w:cs="Arial"/>
          <w:b/>
          <w:bCs/>
          <w:sz w:val="22"/>
          <w:szCs w:val="22"/>
        </w:rPr>
        <w:t>Abstract Conceptualisation</w:t>
      </w:r>
    </w:p>
    <w:p w14:paraId="4C06D40C" w14:textId="200E0B86" w:rsidR="00EB0C7C" w:rsidRPr="00ED2901" w:rsidRDefault="00EB0C7C" w:rsidP="00ED2901">
      <w:pPr>
        <w:spacing w:line="360" w:lineRule="auto"/>
        <w:jc w:val="both"/>
        <w:rPr>
          <w:rFonts w:ascii="Arial" w:hAnsi="Arial" w:cs="Arial"/>
          <w:sz w:val="22"/>
          <w:szCs w:val="22"/>
        </w:rPr>
      </w:pPr>
      <w:r w:rsidRPr="00ED2901">
        <w:rPr>
          <w:rFonts w:ascii="Arial" w:hAnsi="Arial" w:cs="Arial"/>
          <w:sz w:val="22"/>
          <w:szCs w:val="22"/>
        </w:rPr>
        <w:t>Experiences were synthesised with literature in voice science, gender theory, and inclusive pedagogy. Research on voice and embodiment explained why traditional techniques and role expectations create dissonance for trans performers (Azul, 2015; Zimman, 2018; Butler, 1990). Trauma-informed and student-centred frameworks reinforced the importance of predictability, consent, and emotional grounding in vocal training (Carello &amp; Butler, 2015; Warriner, 2021), shaping a model that integrates technical skill, expressive interpretation, and reflective practice.</w:t>
      </w:r>
    </w:p>
    <w:p w14:paraId="3BB452E4" w14:textId="77777777" w:rsidR="00562AEB" w:rsidRDefault="00EB0C7C" w:rsidP="00ED2901">
      <w:pPr>
        <w:spacing w:line="360" w:lineRule="auto"/>
        <w:jc w:val="both"/>
        <w:rPr>
          <w:rFonts w:ascii="Arial" w:hAnsi="Arial" w:cs="Arial"/>
          <w:b/>
          <w:bCs/>
          <w:sz w:val="22"/>
          <w:szCs w:val="22"/>
        </w:rPr>
      </w:pPr>
      <w:r w:rsidRPr="00ED2901">
        <w:rPr>
          <w:rFonts w:ascii="Arial" w:hAnsi="Arial" w:cs="Arial"/>
          <w:b/>
          <w:bCs/>
          <w:sz w:val="22"/>
          <w:szCs w:val="22"/>
        </w:rPr>
        <w:t>Active Experimentation</w:t>
      </w:r>
    </w:p>
    <w:p w14:paraId="23AC7322" w14:textId="01F84F7D" w:rsidR="0049796B" w:rsidRDefault="00EB0C7C" w:rsidP="00ED2901">
      <w:pPr>
        <w:spacing w:line="360" w:lineRule="auto"/>
        <w:jc w:val="both"/>
        <w:rPr>
          <w:rFonts w:ascii="Arial" w:hAnsi="Arial" w:cs="Arial"/>
          <w:b/>
          <w:bCs/>
          <w:sz w:val="22"/>
          <w:szCs w:val="22"/>
        </w:rPr>
      </w:pPr>
      <w:r w:rsidRPr="00ED2901">
        <w:rPr>
          <w:rFonts w:ascii="Arial" w:hAnsi="Arial" w:cs="Arial"/>
          <w:sz w:val="22"/>
          <w:szCs w:val="22"/>
        </w:rPr>
        <w:t>Theory was translated into practice through iterative development of belt exercises, identity-aligned ATS tasks, and reflective tools. Engagement with students, peers, and supervisors tested clarity, inclusivity, and practicality, ensuring responsiveness to real teaching contexts. This cycle exemplified Kolb’s model by transforming lived experience into a research-informed pedagogical resource.</w:t>
      </w:r>
    </w:p>
    <w:p w14:paraId="3D086AE9" w14:textId="6300759A" w:rsidR="00EB0C7C" w:rsidRPr="00ED2901" w:rsidRDefault="00EB0C7C" w:rsidP="00ED2901">
      <w:pPr>
        <w:spacing w:line="360" w:lineRule="auto"/>
        <w:jc w:val="both"/>
        <w:rPr>
          <w:rFonts w:ascii="Arial" w:hAnsi="Arial" w:cs="Arial"/>
          <w:b/>
          <w:bCs/>
          <w:sz w:val="22"/>
          <w:szCs w:val="22"/>
        </w:rPr>
      </w:pPr>
      <w:r w:rsidRPr="00ED2901">
        <w:rPr>
          <w:rFonts w:ascii="Arial" w:hAnsi="Arial" w:cs="Arial"/>
          <w:b/>
          <w:bCs/>
          <w:sz w:val="22"/>
          <w:szCs w:val="22"/>
        </w:rPr>
        <w:t>Key Insights and Pedagogical Shifts</w:t>
      </w:r>
    </w:p>
    <w:p w14:paraId="06FA3FAC" w14:textId="77777777" w:rsidR="00EB0C7C" w:rsidRPr="00ED2901" w:rsidRDefault="00EB0C7C" w:rsidP="00ED2901">
      <w:pPr>
        <w:spacing w:line="360" w:lineRule="auto"/>
        <w:jc w:val="both"/>
        <w:rPr>
          <w:rFonts w:ascii="Arial" w:hAnsi="Arial" w:cs="Arial"/>
          <w:sz w:val="22"/>
          <w:szCs w:val="22"/>
        </w:rPr>
      </w:pPr>
      <w:r w:rsidRPr="00ED2901">
        <w:rPr>
          <w:rFonts w:ascii="Arial" w:hAnsi="Arial" w:cs="Arial"/>
          <w:sz w:val="22"/>
          <w:szCs w:val="22"/>
        </w:rPr>
        <w:t xml:space="preserve">These reflections revealed how conventional pedagogy can unintentionally reinforce restrictive gender narratives. In contrast, trauma-aware principles illuminated the potential for training to support identity alignment, enhance emotional resilience, and promote coherence between vocal technique and interpretive choices. Intentional modifications included removing gendered terminology, offering flexible options rather than prescriptive directives, and adopting </w:t>
      </w:r>
      <w:r w:rsidRPr="00ED2901">
        <w:rPr>
          <w:rFonts w:ascii="Arial" w:hAnsi="Arial" w:cs="Arial"/>
          <w:sz w:val="22"/>
          <w:szCs w:val="22"/>
        </w:rPr>
        <w:lastRenderedPageBreak/>
        <w:t>language that values autonomy and exploratory learning—echoing research on learner-centred, identity-affirming practices (hooks, 1994; Kumashiro, 2002).</w:t>
      </w:r>
    </w:p>
    <w:p w14:paraId="694E447A" w14:textId="3AF38BBD" w:rsidR="00EB0C7C" w:rsidRPr="00ED2901" w:rsidRDefault="00EB0C7C" w:rsidP="00ED2901">
      <w:pPr>
        <w:spacing w:line="360" w:lineRule="auto"/>
        <w:jc w:val="both"/>
        <w:rPr>
          <w:rFonts w:ascii="Arial" w:hAnsi="Arial" w:cs="Arial"/>
          <w:sz w:val="22"/>
          <w:szCs w:val="22"/>
        </w:rPr>
      </w:pPr>
      <w:r w:rsidRPr="00ED2901">
        <w:rPr>
          <w:rFonts w:ascii="Arial" w:hAnsi="Arial" w:cs="Arial"/>
          <w:sz w:val="22"/>
          <w:szCs w:val="22"/>
        </w:rPr>
        <w:t>Inclusive teaching extends beyond technical adaptation; it requires sustained transformation of pedagogical habits and studio dynamics to create environments where all performers can participate safely and authentically.</w:t>
      </w:r>
    </w:p>
    <w:p w14:paraId="7AA5F600" w14:textId="77777777" w:rsidR="00EB0C7C" w:rsidRPr="00ED2901" w:rsidRDefault="00EB0C7C" w:rsidP="00ED2901">
      <w:pPr>
        <w:spacing w:line="360" w:lineRule="auto"/>
        <w:jc w:val="both"/>
        <w:rPr>
          <w:rFonts w:ascii="Arial" w:hAnsi="Arial" w:cs="Arial"/>
          <w:b/>
          <w:bCs/>
          <w:sz w:val="22"/>
          <w:szCs w:val="22"/>
        </w:rPr>
      </w:pPr>
      <w:r w:rsidRPr="00ED2901">
        <w:rPr>
          <w:rFonts w:ascii="Arial" w:hAnsi="Arial" w:cs="Arial"/>
          <w:b/>
          <w:bCs/>
          <w:sz w:val="22"/>
          <w:szCs w:val="22"/>
        </w:rPr>
        <w:t>Integration into Artefact Design</w:t>
      </w:r>
    </w:p>
    <w:p w14:paraId="4BDB5D9A" w14:textId="77777777" w:rsidR="00EB0C7C" w:rsidRPr="00ED2901" w:rsidRDefault="00EB0C7C" w:rsidP="00ED2901">
      <w:pPr>
        <w:spacing w:line="360" w:lineRule="auto"/>
        <w:jc w:val="both"/>
        <w:rPr>
          <w:rFonts w:ascii="Arial" w:hAnsi="Arial" w:cs="Arial"/>
          <w:sz w:val="22"/>
          <w:szCs w:val="22"/>
        </w:rPr>
      </w:pPr>
      <w:r w:rsidRPr="00ED2901">
        <w:rPr>
          <w:rFonts w:ascii="Arial" w:hAnsi="Arial" w:cs="Arial"/>
          <w:sz w:val="22"/>
          <w:szCs w:val="22"/>
        </w:rPr>
        <w:t>Kolb’s theoretical stage enabled synthesis of observed phenomena with academic literature, forming the artefact’s conceptual foundation. Butler’s theory of gender performativity reframed vocal performance as an active expression of identity, positioning ATS as a space where performers negotiate identity through sound, intention, and narrative (Butler, 1990). Research on transgender vocal practices reinforced the need for approaches integrating technical training with authentic identity expression (Azul, 2015; Zimman, 2018). ATS design draws on performance theorists such as Donnellan (2005) and Linklater (2006), who emphasise impulse, imagination, and emotional authenticity.</w:t>
      </w:r>
    </w:p>
    <w:p w14:paraId="39A2C3AC" w14:textId="77777777" w:rsidR="00EB0C7C" w:rsidRPr="00562AEB" w:rsidRDefault="00EB0C7C" w:rsidP="00ED2901">
      <w:pPr>
        <w:spacing w:line="360" w:lineRule="auto"/>
        <w:jc w:val="both"/>
        <w:rPr>
          <w:rFonts w:ascii="Arial" w:hAnsi="Arial" w:cs="Arial"/>
          <w:sz w:val="22"/>
          <w:szCs w:val="22"/>
        </w:rPr>
      </w:pPr>
      <w:r w:rsidRPr="00562AEB">
        <w:rPr>
          <w:rFonts w:ascii="Arial" w:hAnsi="Arial" w:cs="Arial"/>
          <w:sz w:val="22"/>
          <w:szCs w:val="22"/>
        </w:rPr>
        <w:t>Methodologically, the framework combines Action Research for iterative refinement (Kemmis &amp; McTaggart, 2000) with Design-Based Research for practical tool development (Brown, 1992). Module 6 will pilot the framework through workshops with trans and non-binary performers, evaluating technical outcomes (e.g., resonance balance, registration shifts), expressive outcomes (emotional alignment), and pedagogical considerations (inclusivity, perceived safety). Data will be triangulated through participant logs, self-assessment, observation, and recordings, following qualitative methods prioritising embodied experience and participant voice (Tracy, 2020; Charmaz, 2014).</w:t>
      </w:r>
    </w:p>
    <w:p w14:paraId="3274B5B3" w14:textId="6D86516F" w:rsidR="002B6526" w:rsidRPr="00ED2901" w:rsidRDefault="00911BC2" w:rsidP="00ED2901">
      <w:pPr>
        <w:spacing w:line="360" w:lineRule="auto"/>
        <w:jc w:val="both"/>
        <w:rPr>
          <w:rFonts w:ascii="Arial" w:hAnsi="Arial" w:cs="Arial"/>
          <w:sz w:val="22"/>
          <w:szCs w:val="22"/>
        </w:rPr>
      </w:pPr>
      <w:r w:rsidRPr="00ED2901">
        <w:rPr>
          <w:rFonts w:ascii="Arial" w:hAnsi="Arial" w:cs="Arial"/>
          <w:sz w:val="22"/>
          <w:szCs w:val="22"/>
        </w:rPr>
        <w:t xml:space="preserve"> Ethical safeguards will include informed consent, anonymised data, and trauma aware protocols that emphasise choice and predictability (Carello and Butler, 2015; Warriner, 2021). The insights generated will guide refinement and position the artefact as both a teaching tool and a scholarly contribution capable of informing inclusive conservatoire practice (Azul, 2015; Owen, 2023). Kolb’s cycle supports this progression from experience to reflection, theory, and experimentation, affirming inclusive pedagogy as both a creative necessity and an ethical commitment.</w:t>
      </w:r>
    </w:p>
    <w:p w14:paraId="6DEC5123" w14:textId="77777777" w:rsidR="00510887" w:rsidRDefault="00510887" w:rsidP="00ED2901">
      <w:pPr>
        <w:spacing w:line="360" w:lineRule="auto"/>
        <w:jc w:val="both"/>
        <w:rPr>
          <w:rFonts w:ascii="Arial" w:hAnsi="Arial" w:cs="Arial"/>
          <w:b/>
          <w:bCs/>
          <w:sz w:val="22"/>
          <w:szCs w:val="22"/>
        </w:rPr>
      </w:pPr>
    </w:p>
    <w:p w14:paraId="6D738771" w14:textId="77777777" w:rsidR="00E51F3B" w:rsidRDefault="00E51F3B" w:rsidP="00ED2901">
      <w:pPr>
        <w:spacing w:line="360" w:lineRule="auto"/>
        <w:jc w:val="both"/>
        <w:rPr>
          <w:rFonts w:ascii="Arial" w:hAnsi="Arial" w:cs="Arial"/>
          <w:b/>
          <w:bCs/>
          <w:sz w:val="22"/>
          <w:szCs w:val="22"/>
        </w:rPr>
      </w:pPr>
    </w:p>
    <w:p w14:paraId="56AB8592" w14:textId="77777777" w:rsidR="00E51F3B" w:rsidRDefault="00E51F3B" w:rsidP="00ED2901">
      <w:pPr>
        <w:spacing w:line="360" w:lineRule="auto"/>
        <w:jc w:val="both"/>
        <w:rPr>
          <w:rFonts w:ascii="Arial" w:hAnsi="Arial" w:cs="Arial"/>
          <w:b/>
          <w:bCs/>
          <w:sz w:val="22"/>
          <w:szCs w:val="22"/>
        </w:rPr>
      </w:pPr>
    </w:p>
    <w:p w14:paraId="426B6241" w14:textId="041FE547" w:rsidR="002B6526" w:rsidRPr="00ED2901" w:rsidRDefault="002B6526" w:rsidP="00ED2901">
      <w:pPr>
        <w:spacing w:line="360" w:lineRule="auto"/>
        <w:jc w:val="both"/>
        <w:rPr>
          <w:rFonts w:ascii="Arial" w:hAnsi="Arial" w:cs="Arial"/>
          <w:b/>
          <w:bCs/>
          <w:sz w:val="22"/>
          <w:szCs w:val="22"/>
        </w:rPr>
      </w:pPr>
      <w:r w:rsidRPr="00ED2901">
        <w:rPr>
          <w:rFonts w:ascii="Arial" w:hAnsi="Arial" w:cs="Arial"/>
          <w:b/>
          <w:bCs/>
          <w:sz w:val="22"/>
          <w:szCs w:val="22"/>
        </w:rPr>
        <w:lastRenderedPageBreak/>
        <w:t>Evaluation and Future Development</w:t>
      </w:r>
    </w:p>
    <w:p w14:paraId="2CA5235E" w14:textId="77777777" w:rsidR="002B6526" w:rsidRPr="00ED2901" w:rsidRDefault="002B6526" w:rsidP="00ED2901">
      <w:pPr>
        <w:spacing w:line="360" w:lineRule="auto"/>
        <w:jc w:val="both"/>
        <w:rPr>
          <w:rFonts w:ascii="Arial" w:hAnsi="Arial" w:cs="Arial"/>
          <w:sz w:val="22"/>
          <w:szCs w:val="22"/>
        </w:rPr>
      </w:pPr>
      <w:r w:rsidRPr="00ED2901">
        <w:rPr>
          <w:rFonts w:ascii="Arial" w:hAnsi="Arial" w:cs="Arial"/>
          <w:sz w:val="22"/>
          <w:szCs w:val="22"/>
        </w:rPr>
        <w:t>The artefact offers a cohesive, practical model integrating technical, expressive, and reflective elements to support trans and non-binary singers in identity-affirming environments. This aligns with scholarship viewing voice as a site of embodied identity and personal meaning (Azul, 2015; Zimman, 2018) and reinforces the interplay between technique, expression, and self-perception (Moore &amp; Bergman, 2016; Ziegler &amp; Barton, 2022).</w:t>
      </w:r>
    </w:p>
    <w:p w14:paraId="564A9920" w14:textId="0D0364A5" w:rsidR="002B6526" w:rsidRPr="00ED2901" w:rsidRDefault="002B6526" w:rsidP="00ED2901">
      <w:pPr>
        <w:spacing w:line="360" w:lineRule="auto"/>
        <w:jc w:val="both"/>
        <w:rPr>
          <w:rFonts w:ascii="Arial" w:hAnsi="Arial" w:cs="Arial"/>
          <w:sz w:val="22"/>
          <w:szCs w:val="22"/>
        </w:rPr>
      </w:pPr>
      <w:r w:rsidRPr="00ED2901">
        <w:rPr>
          <w:rFonts w:ascii="Arial" w:hAnsi="Arial" w:cs="Arial"/>
          <w:sz w:val="22"/>
          <w:szCs w:val="22"/>
        </w:rPr>
        <w:t>Embedded evaluation included reflective journals, supervisory input, and peer feedback. Preliminary trials showed functional techniques</w:t>
      </w:r>
      <w:r w:rsidR="00B65E09" w:rsidRPr="00ED2901">
        <w:rPr>
          <w:rFonts w:ascii="Arial" w:hAnsi="Arial" w:cs="Arial"/>
          <w:sz w:val="22"/>
          <w:szCs w:val="22"/>
        </w:rPr>
        <w:t xml:space="preserve">; </w:t>
      </w:r>
      <w:r w:rsidRPr="00ED2901">
        <w:rPr>
          <w:rFonts w:ascii="Arial" w:hAnsi="Arial" w:cs="Arial"/>
          <w:sz w:val="22"/>
          <w:szCs w:val="22"/>
        </w:rPr>
        <w:t>SOVT work, cry anchoring, speech-based transitions</w:t>
      </w:r>
      <w:r w:rsidR="00CC1BD1" w:rsidRPr="00ED2901">
        <w:rPr>
          <w:rFonts w:ascii="Arial" w:hAnsi="Arial" w:cs="Arial"/>
          <w:sz w:val="22"/>
          <w:szCs w:val="22"/>
        </w:rPr>
        <w:t xml:space="preserve">: </w:t>
      </w:r>
      <w:r w:rsidRPr="00ED2901">
        <w:rPr>
          <w:rFonts w:ascii="Arial" w:hAnsi="Arial" w:cs="Arial"/>
          <w:sz w:val="22"/>
          <w:szCs w:val="22"/>
        </w:rPr>
        <w:t>improved resonance, airflow, and reduced strain, especially for hormone-related changes (Titze, 2006; Henrich, 2014; Spencer, 2020). ATS activities such as emotional text mapping and intention prompts enhanced narrative clarity and engagement, supporting research on identity-congruent interpretation (</w:t>
      </w:r>
      <w:r w:rsidR="00B55872" w:rsidRPr="00ED2901">
        <w:rPr>
          <w:rFonts w:ascii="Arial" w:hAnsi="Arial" w:cs="Arial"/>
          <w:sz w:val="22"/>
          <w:szCs w:val="22"/>
        </w:rPr>
        <w:t>Duggan &amp; Wallis, 2011</w:t>
      </w:r>
      <w:r w:rsidRPr="00ED2901">
        <w:rPr>
          <w:rFonts w:ascii="Arial" w:hAnsi="Arial" w:cs="Arial"/>
          <w:sz w:val="22"/>
          <w:szCs w:val="22"/>
        </w:rPr>
        <w:t>; Harvard, 2014).</w:t>
      </w:r>
    </w:p>
    <w:p w14:paraId="06E14183" w14:textId="15AF4B86" w:rsidR="002B6526" w:rsidRPr="00ED2901" w:rsidRDefault="002B6526" w:rsidP="00ED2901">
      <w:pPr>
        <w:spacing w:line="360" w:lineRule="auto"/>
        <w:jc w:val="both"/>
        <w:rPr>
          <w:rFonts w:ascii="Arial" w:hAnsi="Arial" w:cs="Arial"/>
          <w:sz w:val="22"/>
          <w:szCs w:val="22"/>
        </w:rPr>
      </w:pPr>
      <w:r w:rsidRPr="00ED2901">
        <w:rPr>
          <w:rFonts w:ascii="Arial" w:hAnsi="Arial" w:cs="Arial"/>
          <w:sz w:val="22"/>
          <w:szCs w:val="22"/>
        </w:rPr>
        <w:t>A strength is its ethical foundation: trauma-informed and identity-affirming principles ensure psychological safety, agency, and consent (Carello &amp; Butler, 2015; Warriner, 2021). Unlike traditional models reliant on binary assumptions (Hancock &amp; Garabedian, 2013; Butler, 1990), this framework positions vocal diversity as integral to artistry and inclusivity as a pedagogical imperative.</w:t>
      </w:r>
    </w:p>
    <w:p w14:paraId="0A9AECC0" w14:textId="77777777" w:rsidR="002B6526" w:rsidRPr="00ED2901" w:rsidRDefault="002B6526" w:rsidP="00ED2901">
      <w:pPr>
        <w:spacing w:line="360" w:lineRule="auto"/>
        <w:jc w:val="both"/>
        <w:rPr>
          <w:rFonts w:ascii="Arial" w:hAnsi="Arial" w:cs="Arial"/>
          <w:sz w:val="22"/>
          <w:szCs w:val="22"/>
        </w:rPr>
      </w:pPr>
      <w:r w:rsidRPr="00ED2901">
        <w:rPr>
          <w:rFonts w:ascii="Arial" w:hAnsi="Arial" w:cs="Arial"/>
          <w:sz w:val="22"/>
          <w:szCs w:val="22"/>
        </w:rPr>
        <w:t>The artefact thus delivers a safe, adaptable, expressive training model, serving as both a pedagogical resource and methodological contribution with potential to inform research, curriculum design, and teacher development.</w:t>
      </w:r>
    </w:p>
    <w:p w14:paraId="702C7115" w14:textId="23424374" w:rsidR="00275FD8" w:rsidRPr="00ED2901" w:rsidRDefault="00275FD8" w:rsidP="00ED2901">
      <w:pPr>
        <w:spacing w:line="360" w:lineRule="auto"/>
        <w:jc w:val="both"/>
        <w:rPr>
          <w:rFonts w:ascii="Arial" w:hAnsi="Arial" w:cs="Arial"/>
          <w:sz w:val="22"/>
          <w:szCs w:val="22"/>
        </w:rPr>
      </w:pPr>
      <w:r w:rsidRPr="00ED2901">
        <w:rPr>
          <w:rFonts w:ascii="Arial" w:hAnsi="Arial" w:cs="Arial"/>
          <w:b/>
          <w:bCs/>
          <w:sz w:val="22"/>
          <w:szCs w:val="22"/>
        </w:rPr>
        <w:t>Pedagogical and Professional Impact</w:t>
      </w:r>
    </w:p>
    <w:p w14:paraId="63B4D266" w14:textId="3FB56207" w:rsidR="00911BC2" w:rsidRPr="00ED2901" w:rsidRDefault="00911BC2" w:rsidP="00ED2901">
      <w:pPr>
        <w:spacing w:line="360" w:lineRule="auto"/>
        <w:jc w:val="both"/>
        <w:rPr>
          <w:rFonts w:ascii="Arial" w:hAnsi="Arial" w:cs="Arial"/>
          <w:sz w:val="22"/>
          <w:szCs w:val="22"/>
        </w:rPr>
      </w:pPr>
      <w:r w:rsidRPr="00ED2901">
        <w:rPr>
          <w:rFonts w:ascii="Arial" w:hAnsi="Arial" w:cs="Arial"/>
          <w:sz w:val="22"/>
          <w:szCs w:val="22"/>
        </w:rPr>
        <w:t xml:space="preserve">Research into transgender and gender diverse vocal practices has </w:t>
      </w:r>
      <w:r w:rsidR="001F0300" w:rsidRPr="00ED2901">
        <w:rPr>
          <w:rFonts w:ascii="Arial" w:hAnsi="Arial" w:cs="Arial"/>
          <w:sz w:val="22"/>
          <w:szCs w:val="22"/>
        </w:rPr>
        <w:t>informed</w:t>
      </w:r>
      <w:r w:rsidRPr="00ED2901">
        <w:rPr>
          <w:rFonts w:ascii="Arial" w:hAnsi="Arial" w:cs="Arial"/>
          <w:sz w:val="22"/>
          <w:szCs w:val="22"/>
        </w:rPr>
        <w:t xml:space="preserve"> the understanding of voice as both embodied and socially situated. This highlights the need for pedagogical approaches that integrate technical training with authentic identity expression, as noted by Azul (2015) and Zimman (2018). The design of the </w:t>
      </w:r>
      <w:r w:rsidR="0020428C" w:rsidRPr="00ED2901">
        <w:rPr>
          <w:rFonts w:ascii="Arial" w:hAnsi="Arial" w:cs="Arial"/>
          <w:sz w:val="22"/>
          <w:szCs w:val="22"/>
        </w:rPr>
        <w:t>ATS</w:t>
      </w:r>
      <w:r w:rsidRPr="00ED2901">
        <w:rPr>
          <w:rFonts w:ascii="Arial" w:hAnsi="Arial" w:cs="Arial"/>
          <w:sz w:val="22"/>
          <w:szCs w:val="22"/>
        </w:rPr>
        <w:t xml:space="preserve"> strand draws on performance theorists such as Donnellan (2005) and Linklater (2006), who emphasise impulse, imagination, and emotional authenticity as drivers of vocal expression. Methodologically, the framework is shaped by Action Research, which offers an iterative structure for development (Kemmis and McTaggart, 2000), and by Design-Based Research, which supports the creation and refinement of practical tools through testing (Brown, 1992).</w:t>
      </w:r>
    </w:p>
    <w:p w14:paraId="2AF87297" w14:textId="77777777" w:rsidR="00911BC2" w:rsidRPr="00ED2901" w:rsidRDefault="00911BC2" w:rsidP="00ED2901">
      <w:pPr>
        <w:spacing w:line="360" w:lineRule="auto"/>
        <w:jc w:val="both"/>
        <w:rPr>
          <w:rFonts w:ascii="Arial" w:hAnsi="Arial" w:cs="Arial"/>
          <w:sz w:val="22"/>
          <w:szCs w:val="22"/>
        </w:rPr>
      </w:pPr>
      <w:r w:rsidRPr="00ED2901">
        <w:rPr>
          <w:rFonts w:ascii="Arial" w:hAnsi="Arial" w:cs="Arial"/>
          <w:sz w:val="22"/>
          <w:szCs w:val="22"/>
        </w:rPr>
        <w:t xml:space="preserve">These combined methodologies produce a multidimensional framework grounded in scholarship and responsive to the lived experiences of trans performers. The Module 5 artefact </w:t>
      </w:r>
      <w:r w:rsidRPr="00ED2901">
        <w:rPr>
          <w:rFonts w:ascii="Arial" w:hAnsi="Arial" w:cs="Arial"/>
          <w:sz w:val="22"/>
          <w:szCs w:val="22"/>
        </w:rPr>
        <w:lastRenderedPageBreak/>
        <w:t>represents the first integrated iteration of this approach, and Module 6 will pilot the framework through workshops with trans and non-binary singers. The evaluation will consider technical outcomes such as resonance balance, stamina, and registration shifts, alongside expressive measures relating to emotional alignment and narrative intent, and pedagogical factors including inclusivity and perceived safety.</w:t>
      </w:r>
    </w:p>
    <w:p w14:paraId="6847264B" w14:textId="6B13F9AF" w:rsidR="00364E3C" w:rsidRPr="00ED2901" w:rsidRDefault="00911BC2" w:rsidP="00ED2901">
      <w:pPr>
        <w:spacing w:line="360" w:lineRule="auto"/>
        <w:jc w:val="both"/>
        <w:rPr>
          <w:rFonts w:ascii="Arial" w:hAnsi="Arial" w:cs="Arial"/>
          <w:sz w:val="22"/>
          <w:szCs w:val="22"/>
        </w:rPr>
      </w:pPr>
      <w:r w:rsidRPr="00ED2901">
        <w:rPr>
          <w:rFonts w:ascii="Arial" w:hAnsi="Arial" w:cs="Arial"/>
          <w:sz w:val="22"/>
          <w:szCs w:val="22"/>
        </w:rPr>
        <w:t>Data will be gathered through participant logs, self-assessments, observations, and recordings, following qualitative approaches that prioritise embodied experience and participant voice (Tracy, 2020; Charmaz, 2014). Ethical safeguards will include informed consent, voluntary participation, anonymised data, and trauma-informed protocols emphasising predictability and choice (Carello and Butler, 2015; Warriner, 2021). The insights generated will guide refinement of the framework and position the artefact as both a teaching tool and a scholarly contribution capable of informing inclusive conservatoire practice. Kolb’s experiential learning cycle underpins this development, moving from concrete experience to reflection, conceptualisation, and experimentation, reinforcing inclusive pedagogy as both a creative necessity and a professional responsibility.</w:t>
      </w:r>
    </w:p>
    <w:p w14:paraId="7921E1B7" w14:textId="22A3355E" w:rsidR="00275FD8" w:rsidRPr="00ED2901" w:rsidRDefault="00993057" w:rsidP="00ED2901">
      <w:pPr>
        <w:spacing w:line="360" w:lineRule="auto"/>
        <w:jc w:val="both"/>
        <w:rPr>
          <w:rFonts w:ascii="Arial" w:hAnsi="Arial" w:cs="Arial"/>
          <w:sz w:val="22"/>
          <w:szCs w:val="22"/>
        </w:rPr>
      </w:pPr>
      <w:r w:rsidRPr="00ED2901">
        <w:rPr>
          <w:rFonts w:ascii="Arial" w:hAnsi="Arial" w:cs="Arial"/>
          <w:b/>
          <w:bCs/>
          <w:sz w:val="22"/>
          <w:szCs w:val="22"/>
        </w:rPr>
        <w:t xml:space="preserve"> </w:t>
      </w:r>
      <w:r w:rsidR="00275FD8" w:rsidRPr="00ED2901">
        <w:rPr>
          <w:rFonts w:ascii="Arial" w:hAnsi="Arial" w:cs="Arial"/>
          <w:b/>
          <w:bCs/>
          <w:sz w:val="22"/>
          <w:szCs w:val="22"/>
        </w:rPr>
        <w:t>Limitations</w:t>
      </w:r>
    </w:p>
    <w:p w14:paraId="5F7DBC39" w14:textId="32637065" w:rsidR="009F5B96" w:rsidRPr="00ED2901" w:rsidRDefault="009F5B96" w:rsidP="00ED2901">
      <w:pPr>
        <w:spacing w:line="360" w:lineRule="auto"/>
        <w:jc w:val="both"/>
        <w:rPr>
          <w:rFonts w:ascii="Arial" w:hAnsi="Arial" w:cs="Arial"/>
          <w:sz w:val="22"/>
          <w:szCs w:val="22"/>
        </w:rPr>
      </w:pPr>
      <w:r w:rsidRPr="00ED2901">
        <w:rPr>
          <w:rFonts w:ascii="Arial" w:hAnsi="Arial" w:cs="Arial"/>
          <w:sz w:val="22"/>
          <w:szCs w:val="22"/>
        </w:rPr>
        <w:t>The artefact’s development faces limitations typical of practice-based research. Initial testing occurred in my immediate professional environment, restricting scale, demographic diversity, and methodological rigour compared to larger empirical studies</w:t>
      </w:r>
      <w:r w:rsidR="003F0A4E" w:rsidRPr="00ED2901">
        <w:rPr>
          <w:rFonts w:ascii="Arial" w:hAnsi="Arial" w:cs="Arial"/>
          <w:sz w:val="22"/>
          <w:szCs w:val="22"/>
        </w:rPr>
        <w:t xml:space="preserve">, which are </w:t>
      </w:r>
      <w:r w:rsidRPr="00ED2901">
        <w:rPr>
          <w:rFonts w:ascii="Arial" w:hAnsi="Arial" w:cs="Arial"/>
          <w:sz w:val="22"/>
          <w:szCs w:val="22"/>
        </w:rPr>
        <w:t>a common constraint in early-stage pedagogical inquiry where resources and participant availability limit systematic data collection (Nelson, 2013; McNiff, 2013). Additionally, hormone-related vocal changes introduce significant variability in outcomes among trans and non-binary performers. While adaptability is a core strength, this variability underscores the need for ongoing refinement to ensure responsiveness to diverse developmental trajectories.</w:t>
      </w:r>
    </w:p>
    <w:p w14:paraId="75AAAD05" w14:textId="77777777" w:rsidR="009F5B96" w:rsidRPr="00ED2901" w:rsidRDefault="009F5B96" w:rsidP="00ED2901">
      <w:pPr>
        <w:spacing w:line="360" w:lineRule="auto"/>
        <w:jc w:val="both"/>
        <w:rPr>
          <w:rFonts w:ascii="Arial" w:hAnsi="Arial" w:cs="Arial"/>
          <w:sz w:val="22"/>
          <w:szCs w:val="22"/>
        </w:rPr>
      </w:pPr>
      <w:r w:rsidRPr="00ED2901">
        <w:rPr>
          <w:rFonts w:ascii="Arial" w:hAnsi="Arial" w:cs="Arial"/>
          <w:sz w:val="22"/>
          <w:szCs w:val="22"/>
        </w:rPr>
        <w:t>Future iterations should incorporate longitudinal data, broader participant sampling, and multi-institutional implementation to enable comprehensive evaluation of applicability, effectiveness, and scalability (Tracy, 2020; Charmaz, 2014). Ethical considerations remain central: expanded studies must uphold informed consent, confidentiality, and trauma-aware protocols, ensuring psychological safety and identity affirmation throughout. These measures will strengthen both the validity and integrity of the research while advancing inclusive practice.</w:t>
      </w:r>
    </w:p>
    <w:p w14:paraId="4947ED88" w14:textId="42060995" w:rsidR="00275FD8" w:rsidRPr="00ED2901" w:rsidRDefault="00275FD8" w:rsidP="00ED2901">
      <w:pPr>
        <w:spacing w:line="360" w:lineRule="auto"/>
        <w:jc w:val="both"/>
        <w:rPr>
          <w:rFonts w:ascii="Arial" w:hAnsi="Arial" w:cs="Arial"/>
          <w:sz w:val="22"/>
          <w:szCs w:val="22"/>
        </w:rPr>
      </w:pPr>
      <w:r w:rsidRPr="00ED2901">
        <w:rPr>
          <w:rFonts w:ascii="Arial" w:hAnsi="Arial" w:cs="Arial"/>
          <w:b/>
          <w:bCs/>
          <w:sz w:val="22"/>
          <w:szCs w:val="22"/>
        </w:rPr>
        <w:t>Future Development and Module 6 Pilot</w:t>
      </w:r>
    </w:p>
    <w:p w14:paraId="359A3D83" w14:textId="73A56DA2" w:rsidR="00A60499" w:rsidRPr="00ED2901" w:rsidRDefault="00A60499" w:rsidP="00ED2901">
      <w:pPr>
        <w:spacing w:line="360" w:lineRule="auto"/>
        <w:jc w:val="both"/>
        <w:rPr>
          <w:rFonts w:ascii="Arial" w:hAnsi="Arial" w:cs="Arial"/>
          <w:sz w:val="22"/>
          <w:szCs w:val="22"/>
        </w:rPr>
      </w:pPr>
      <w:r w:rsidRPr="00ED2901">
        <w:rPr>
          <w:rFonts w:ascii="Arial" w:hAnsi="Arial" w:cs="Arial"/>
          <w:sz w:val="22"/>
          <w:szCs w:val="22"/>
        </w:rPr>
        <w:t xml:space="preserve">The subsequent phase of this project will commence in Module 6, during which the framework will move from development to practical application. A small group of transgender and </w:t>
      </w:r>
      <w:r w:rsidR="00201FE0" w:rsidRPr="00ED2901">
        <w:rPr>
          <w:rFonts w:ascii="Arial" w:hAnsi="Arial" w:cs="Arial"/>
          <w:sz w:val="22"/>
          <w:szCs w:val="22"/>
        </w:rPr>
        <w:t>non-</w:t>
      </w:r>
      <w:r w:rsidR="00201FE0" w:rsidRPr="00ED2901">
        <w:rPr>
          <w:rFonts w:ascii="Arial" w:hAnsi="Arial" w:cs="Arial"/>
          <w:sz w:val="22"/>
          <w:szCs w:val="22"/>
        </w:rPr>
        <w:lastRenderedPageBreak/>
        <w:t>binary</w:t>
      </w:r>
      <w:r w:rsidRPr="00ED2901">
        <w:rPr>
          <w:rFonts w:ascii="Arial" w:hAnsi="Arial" w:cs="Arial"/>
          <w:sz w:val="22"/>
          <w:szCs w:val="22"/>
        </w:rPr>
        <w:t xml:space="preserve"> performers will participate in a structured pilot, offering the framework its first opportunity to operate within an authentic studio environment. This stage is designed not only to test the framework but also to prioritise the lived experiences, perspectives and needs of the singers for whom it has been created. This emphasis is consistent with inclusive and participatory models of </w:t>
      </w:r>
      <w:r w:rsidR="00201FE0" w:rsidRPr="00ED2901">
        <w:rPr>
          <w:rFonts w:ascii="Arial" w:hAnsi="Arial" w:cs="Arial"/>
          <w:sz w:val="22"/>
          <w:szCs w:val="22"/>
        </w:rPr>
        <w:t>arts-based</w:t>
      </w:r>
      <w:r w:rsidRPr="00ED2901">
        <w:rPr>
          <w:rFonts w:ascii="Arial" w:hAnsi="Arial" w:cs="Arial"/>
          <w:sz w:val="22"/>
          <w:szCs w:val="22"/>
        </w:rPr>
        <w:t xml:space="preserve"> research, which foreground the voices of marginalised learners as essential to the refinement of pedagogical practice (Nelson, 2013; Mertens, 2014).</w:t>
      </w:r>
    </w:p>
    <w:p w14:paraId="19876446" w14:textId="75AEF418" w:rsidR="005C7AFB" w:rsidRPr="00ED2901" w:rsidRDefault="005C7AFB" w:rsidP="00ED2901">
      <w:pPr>
        <w:spacing w:line="360" w:lineRule="auto"/>
        <w:jc w:val="both"/>
        <w:rPr>
          <w:rFonts w:ascii="Arial" w:hAnsi="Arial" w:cs="Arial"/>
          <w:b/>
          <w:bCs/>
          <w:sz w:val="22"/>
          <w:szCs w:val="22"/>
        </w:rPr>
      </w:pPr>
      <w:r w:rsidRPr="00ED2901">
        <w:rPr>
          <w:rFonts w:ascii="Arial" w:hAnsi="Arial" w:cs="Arial"/>
          <w:b/>
          <w:bCs/>
          <w:sz w:val="22"/>
          <w:szCs w:val="22"/>
        </w:rPr>
        <w:t>Pilot Study Evaluation</w:t>
      </w:r>
    </w:p>
    <w:p w14:paraId="2DF50EFC" w14:textId="0E6D7DFF" w:rsidR="005C7AFB" w:rsidRPr="00ED2901" w:rsidRDefault="005C7AFB" w:rsidP="00ED2901">
      <w:pPr>
        <w:spacing w:line="360" w:lineRule="auto"/>
        <w:jc w:val="both"/>
        <w:rPr>
          <w:rFonts w:ascii="Arial" w:hAnsi="Arial" w:cs="Arial"/>
          <w:sz w:val="22"/>
          <w:szCs w:val="22"/>
        </w:rPr>
      </w:pPr>
      <w:r w:rsidRPr="00ED2901">
        <w:rPr>
          <w:rFonts w:ascii="Arial" w:hAnsi="Arial" w:cs="Arial"/>
          <w:sz w:val="22"/>
          <w:szCs w:val="22"/>
        </w:rPr>
        <w:t>The evaluation framework for the pilot study encompasses three interrelated dimensions, examining how technical development, expressive communication, and learner autonomy function in practice. In line with qualitative voice research, it employs multimethod data to capture nuanced changes in vocal coordination, embodiment, and performer identity that isolated measures may miss (Tracy, 2020; Charmaz, 2014). The design also follows principles of inclusivity and trauma-informed pedagogy, supporting psychological safety and transparency throughout the evaluation process.</w:t>
      </w:r>
    </w:p>
    <w:p w14:paraId="5D81BA7E" w14:textId="2AC05A0B" w:rsidR="00A43101" w:rsidRDefault="00A43101" w:rsidP="00ED2901">
      <w:pPr>
        <w:spacing w:line="360" w:lineRule="auto"/>
        <w:jc w:val="both"/>
        <w:rPr>
          <w:rFonts w:ascii="Arial" w:hAnsi="Arial" w:cs="Arial"/>
          <w:sz w:val="22"/>
          <w:szCs w:val="22"/>
        </w:rPr>
      </w:pPr>
      <w:r w:rsidRPr="00ED2901">
        <w:rPr>
          <w:rFonts w:ascii="Arial" w:hAnsi="Arial" w:cs="Arial"/>
          <w:sz w:val="22"/>
          <w:szCs w:val="22"/>
        </w:rPr>
        <w:t>The following table outlines the technical development assessment, using logs, structured tasks, and observations. This multimethod approach reflects qualitative voice research, which emphasises embodied and context-specific data (Tracy, 2020; Charmaz, 2014).</w:t>
      </w:r>
    </w:p>
    <w:p w14:paraId="1C3F2663" w14:textId="6AD45FC6" w:rsidR="00562AEB" w:rsidRPr="00562AEB" w:rsidRDefault="00562AEB" w:rsidP="00ED2901">
      <w:pPr>
        <w:spacing w:line="360" w:lineRule="auto"/>
        <w:jc w:val="both"/>
        <w:rPr>
          <w:rFonts w:ascii="Arial" w:hAnsi="Arial" w:cs="Arial"/>
          <w:i/>
          <w:iCs/>
          <w:sz w:val="22"/>
          <w:szCs w:val="22"/>
        </w:rPr>
      </w:pPr>
      <w:r>
        <w:rPr>
          <w:rFonts w:ascii="Arial" w:hAnsi="Arial" w:cs="Arial"/>
          <w:i/>
          <w:iCs/>
          <w:sz w:val="22"/>
          <w:szCs w:val="22"/>
        </w:rPr>
        <w:t>Technical Development Evaluation</w:t>
      </w:r>
    </w:p>
    <w:p w14:paraId="72796F69" w14:textId="69143173" w:rsidR="005C7AFB" w:rsidRPr="00ED2901" w:rsidRDefault="00B16E7C" w:rsidP="00ED2901">
      <w:pPr>
        <w:spacing w:line="360" w:lineRule="auto"/>
        <w:jc w:val="both"/>
        <w:rPr>
          <w:rFonts w:ascii="Arial" w:hAnsi="Arial" w:cs="Arial"/>
          <w:sz w:val="22"/>
          <w:szCs w:val="22"/>
        </w:rPr>
      </w:pPr>
      <w:r w:rsidRPr="00B16E7C">
        <w:rPr>
          <w:noProof/>
        </w:rPr>
        <w:drawing>
          <wp:inline distT="0" distB="0" distL="0" distR="0" wp14:anchorId="28A0CE67" wp14:editId="23F56585">
            <wp:extent cx="5731510" cy="1455420"/>
            <wp:effectExtent l="0" t="0" r="2540" b="0"/>
            <wp:docPr id="180078359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1455420"/>
                    </a:xfrm>
                    <a:prstGeom prst="rect">
                      <a:avLst/>
                    </a:prstGeom>
                    <a:noFill/>
                    <a:ln>
                      <a:noFill/>
                    </a:ln>
                  </pic:spPr>
                </pic:pic>
              </a:graphicData>
            </a:graphic>
          </wp:inline>
        </w:drawing>
      </w:r>
    </w:p>
    <w:p w14:paraId="47073A39" w14:textId="60DFC008" w:rsidR="00A43101" w:rsidRDefault="00A43101" w:rsidP="00ED2901">
      <w:pPr>
        <w:spacing w:line="360" w:lineRule="auto"/>
        <w:jc w:val="both"/>
        <w:rPr>
          <w:rFonts w:ascii="Arial" w:hAnsi="Arial" w:cs="Arial"/>
          <w:sz w:val="22"/>
          <w:szCs w:val="22"/>
        </w:rPr>
      </w:pPr>
      <w:r w:rsidRPr="00ED2901">
        <w:rPr>
          <w:rFonts w:ascii="Arial" w:hAnsi="Arial" w:cs="Arial"/>
          <w:sz w:val="22"/>
          <w:szCs w:val="22"/>
        </w:rPr>
        <w:t xml:space="preserve">The table below evaluates performer engagement with </w:t>
      </w:r>
      <w:r w:rsidR="0020428C" w:rsidRPr="00ED2901">
        <w:rPr>
          <w:rFonts w:ascii="Arial" w:hAnsi="Arial" w:cs="Arial"/>
          <w:sz w:val="22"/>
          <w:szCs w:val="22"/>
        </w:rPr>
        <w:t>ATS</w:t>
      </w:r>
      <w:r w:rsidRPr="00ED2901">
        <w:rPr>
          <w:rFonts w:ascii="Arial" w:hAnsi="Arial" w:cs="Arial"/>
          <w:sz w:val="22"/>
          <w:szCs w:val="22"/>
        </w:rPr>
        <w:t xml:space="preserve"> across expression, autonomy, transparency, and emotional safety. These areas reflect the embodied and relational nature of vocal work, where identity alignment is central for trans and non-binary singers. Using self-assessment, tutor observations, and reflection, the evaluation considers how well performers communicate intention, shape narrative meaning, and maintain psychological safety while developing interpretive choices.</w:t>
      </w:r>
    </w:p>
    <w:p w14:paraId="439E53EF" w14:textId="77777777" w:rsidR="00510887" w:rsidRDefault="00510887" w:rsidP="00ED2901">
      <w:pPr>
        <w:spacing w:line="360" w:lineRule="auto"/>
        <w:jc w:val="both"/>
        <w:rPr>
          <w:rFonts w:ascii="Arial" w:hAnsi="Arial" w:cs="Arial"/>
          <w:i/>
          <w:iCs/>
          <w:sz w:val="22"/>
          <w:szCs w:val="22"/>
        </w:rPr>
      </w:pPr>
    </w:p>
    <w:p w14:paraId="61DA6B2B" w14:textId="1F9FA3FD" w:rsidR="00562AEB" w:rsidRDefault="00562AEB" w:rsidP="00ED2901">
      <w:pPr>
        <w:spacing w:line="360" w:lineRule="auto"/>
        <w:jc w:val="both"/>
        <w:rPr>
          <w:rFonts w:ascii="Arial" w:hAnsi="Arial" w:cs="Arial"/>
          <w:i/>
          <w:iCs/>
          <w:sz w:val="22"/>
          <w:szCs w:val="22"/>
        </w:rPr>
      </w:pPr>
      <w:r w:rsidRPr="00562AEB">
        <w:rPr>
          <w:rFonts w:ascii="Arial" w:hAnsi="Arial" w:cs="Arial"/>
          <w:i/>
          <w:iCs/>
          <w:sz w:val="22"/>
          <w:szCs w:val="22"/>
        </w:rPr>
        <w:lastRenderedPageBreak/>
        <w:t>ATS Evaluation: Expression, Autonomy, Transparency and Safety</w:t>
      </w:r>
    </w:p>
    <w:p w14:paraId="16F12620" w14:textId="2BF4E3A5" w:rsidR="005C7AFB" w:rsidRPr="00562AEB" w:rsidRDefault="00562AEB" w:rsidP="00ED2901">
      <w:pPr>
        <w:spacing w:line="360" w:lineRule="auto"/>
        <w:jc w:val="both"/>
        <w:rPr>
          <w:rFonts w:ascii="Arial" w:hAnsi="Arial" w:cs="Arial"/>
          <w:i/>
          <w:iCs/>
          <w:sz w:val="22"/>
          <w:szCs w:val="22"/>
        </w:rPr>
      </w:pPr>
      <w:r w:rsidRPr="00562AEB">
        <w:rPr>
          <w:noProof/>
        </w:rPr>
        <w:drawing>
          <wp:inline distT="0" distB="0" distL="0" distR="0" wp14:anchorId="112447EE" wp14:editId="5186659C">
            <wp:extent cx="5731510" cy="1334770"/>
            <wp:effectExtent l="0" t="0" r="2540" b="0"/>
            <wp:docPr id="88085166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1334770"/>
                    </a:xfrm>
                    <a:prstGeom prst="rect">
                      <a:avLst/>
                    </a:prstGeom>
                    <a:noFill/>
                    <a:ln>
                      <a:noFill/>
                    </a:ln>
                  </pic:spPr>
                </pic:pic>
              </a:graphicData>
            </a:graphic>
          </wp:inline>
        </w:drawing>
      </w:r>
    </w:p>
    <w:p w14:paraId="1B3829FE" w14:textId="75DEA74B" w:rsidR="00B16E7C" w:rsidRDefault="00A43101" w:rsidP="00ED2901">
      <w:pPr>
        <w:spacing w:line="360" w:lineRule="auto"/>
        <w:jc w:val="both"/>
        <w:rPr>
          <w:rFonts w:ascii="Arial" w:hAnsi="Arial" w:cs="Arial"/>
          <w:sz w:val="22"/>
          <w:szCs w:val="22"/>
        </w:rPr>
      </w:pPr>
      <w:r w:rsidRPr="00ED2901">
        <w:rPr>
          <w:rFonts w:ascii="Arial" w:hAnsi="Arial" w:cs="Arial"/>
          <w:sz w:val="22"/>
          <w:szCs w:val="22"/>
        </w:rPr>
        <w:t xml:space="preserve">The expressive outcomes dimension examines how performers use </w:t>
      </w:r>
      <w:r w:rsidR="0020428C" w:rsidRPr="00ED2901">
        <w:rPr>
          <w:rFonts w:ascii="Arial" w:hAnsi="Arial" w:cs="Arial"/>
          <w:sz w:val="22"/>
          <w:szCs w:val="22"/>
        </w:rPr>
        <w:t>ATS</w:t>
      </w:r>
      <w:r w:rsidRPr="00ED2901">
        <w:rPr>
          <w:rFonts w:ascii="Arial" w:hAnsi="Arial" w:cs="Arial"/>
          <w:sz w:val="22"/>
          <w:szCs w:val="22"/>
        </w:rPr>
        <w:t xml:space="preserve"> to convey emotional authenticity, narrative coherence, and identity alignment. Because ATS involves vulnerability, the evaluation considers not only clarity of intention and storytelling but also how genuinely performers feel able to engage with the material. Self-assessment logs, tutor observations, and peer reflections will provide insight into whether the framework supports expressive freedom while maintaining emotional grounding and personal integrity. Assessment therefore addresses both performance quality and the performer’s lived experience of authenticity and safety, offering a holistic view of expressive development.</w:t>
      </w:r>
    </w:p>
    <w:p w14:paraId="72B8681A" w14:textId="41A4DB69" w:rsidR="00B16E7C" w:rsidRPr="00B16E7C" w:rsidRDefault="00B16E7C" w:rsidP="00ED2901">
      <w:pPr>
        <w:spacing w:line="360" w:lineRule="auto"/>
        <w:jc w:val="both"/>
        <w:rPr>
          <w:rFonts w:ascii="Arial" w:hAnsi="Arial" w:cs="Arial"/>
          <w:i/>
          <w:iCs/>
          <w:sz w:val="22"/>
          <w:szCs w:val="22"/>
        </w:rPr>
      </w:pPr>
      <w:r w:rsidRPr="00B16E7C">
        <w:rPr>
          <w:rFonts w:ascii="Arial" w:hAnsi="Arial" w:cs="Arial"/>
          <w:i/>
          <w:iCs/>
          <w:sz w:val="22"/>
          <w:szCs w:val="22"/>
        </w:rPr>
        <w:t>Expressive Outcome Measures</w:t>
      </w:r>
    </w:p>
    <w:p w14:paraId="537D47ED" w14:textId="6902928C" w:rsidR="00A43101" w:rsidRPr="00ED2901" w:rsidRDefault="00B16E7C" w:rsidP="00ED2901">
      <w:pPr>
        <w:spacing w:line="360" w:lineRule="auto"/>
        <w:jc w:val="both"/>
        <w:rPr>
          <w:rFonts w:ascii="Arial" w:hAnsi="Arial" w:cs="Arial"/>
          <w:sz w:val="22"/>
          <w:szCs w:val="22"/>
        </w:rPr>
      </w:pPr>
      <w:r w:rsidRPr="00B16E7C">
        <w:rPr>
          <w:noProof/>
        </w:rPr>
        <w:drawing>
          <wp:inline distT="0" distB="0" distL="0" distR="0" wp14:anchorId="3912E182" wp14:editId="6AEB8963">
            <wp:extent cx="5731510" cy="730885"/>
            <wp:effectExtent l="0" t="0" r="2540" b="0"/>
            <wp:docPr id="200033375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730885"/>
                    </a:xfrm>
                    <a:prstGeom prst="rect">
                      <a:avLst/>
                    </a:prstGeom>
                    <a:noFill/>
                    <a:ln>
                      <a:noFill/>
                    </a:ln>
                  </pic:spPr>
                </pic:pic>
              </a:graphicData>
            </a:graphic>
          </wp:inline>
        </w:drawing>
      </w:r>
    </w:p>
    <w:p w14:paraId="1A6C4632" w14:textId="1CD823CE" w:rsidR="00A43101" w:rsidRDefault="00471FD8" w:rsidP="00ED2901">
      <w:pPr>
        <w:spacing w:line="360" w:lineRule="auto"/>
        <w:jc w:val="both"/>
        <w:rPr>
          <w:rFonts w:ascii="Arial" w:hAnsi="Arial" w:cs="Arial"/>
          <w:sz w:val="22"/>
          <w:szCs w:val="22"/>
        </w:rPr>
      </w:pPr>
      <w:r w:rsidRPr="00ED2901">
        <w:rPr>
          <w:rFonts w:ascii="Arial" w:hAnsi="Arial" w:cs="Arial"/>
          <w:sz w:val="22"/>
          <w:szCs w:val="22"/>
        </w:rPr>
        <w:t>The examination of the pedagogical environment reveals its supportive role for performers, emphasizing several critical aspects: structural organization, linguistic choices, instructional methodologies, inclusivity, and the promotion of learner autonomy.</w:t>
      </w:r>
    </w:p>
    <w:p w14:paraId="47E28F36" w14:textId="1B7B26DD" w:rsidR="00B16E7C" w:rsidRPr="00B16E7C" w:rsidRDefault="00B16E7C" w:rsidP="00ED2901">
      <w:pPr>
        <w:spacing w:line="360" w:lineRule="auto"/>
        <w:jc w:val="both"/>
        <w:rPr>
          <w:rFonts w:ascii="Arial" w:hAnsi="Arial" w:cs="Arial"/>
          <w:i/>
          <w:iCs/>
          <w:sz w:val="22"/>
          <w:szCs w:val="22"/>
        </w:rPr>
      </w:pPr>
      <w:r w:rsidRPr="00B16E7C">
        <w:rPr>
          <w:rFonts w:ascii="Arial" w:hAnsi="Arial" w:cs="Arial"/>
          <w:i/>
          <w:iCs/>
          <w:sz w:val="22"/>
          <w:szCs w:val="22"/>
        </w:rPr>
        <w:t>Pedagogical Experience Evaluation</w:t>
      </w:r>
    </w:p>
    <w:p w14:paraId="1A277F13" w14:textId="047CFF0C" w:rsidR="00A43101" w:rsidRPr="00ED2901" w:rsidRDefault="00B16E7C" w:rsidP="00ED2901">
      <w:pPr>
        <w:spacing w:line="360" w:lineRule="auto"/>
        <w:jc w:val="both"/>
        <w:rPr>
          <w:rFonts w:ascii="Arial" w:hAnsi="Arial" w:cs="Arial"/>
          <w:sz w:val="22"/>
          <w:szCs w:val="22"/>
        </w:rPr>
      </w:pPr>
      <w:r w:rsidRPr="00B16E7C">
        <w:rPr>
          <w:noProof/>
        </w:rPr>
        <w:drawing>
          <wp:inline distT="0" distB="0" distL="0" distR="0" wp14:anchorId="3333562B" wp14:editId="43F0E611">
            <wp:extent cx="5731510" cy="1455420"/>
            <wp:effectExtent l="0" t="0" r="2540" b="0"/>
            <wp:docPr id="80625092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1455420"/>
                    </a:xfrm>
                    <a:prstGeom prst="rect">
                      <a:avLst/>
                    </a:prstGeom>
                    <a:noFill/>
                    <a:ln>
                      <a:noFill/>
                    </a:ln>
                  </pic:spPr>
                </pic:pic>
              </a:graphicData>
            </a:graphic>
          </wp:inline>
        </w:drawing>
      </w:r>
    </w:p>
    <w:p w14:paraId="07C3715B" w14:textId="0CA4679C" w:rsidR="00FC7076" w:rsidRPr="00ED2901" w:rsidRDefault="00FC7076" w:rsidP="00ED2901">
      <w:pPr>
        <w:spacing w:line="360" w:lineRule="auto"/>
        <w:jc w:val="both"/>
        <w:rPr>
          <w:rFonts w:ascii="Arial" w:hAnsi="Arial" w:cs="Arial"/>
          <w:sz w:val="22"/>
          <w:szCs w:val="22"/>
        </w:rPr>
      </w:pPr>
      <w:r w:rsidRPr="00ED2901">
        <w:rPr>
          <w:rFonts w:ascii="Arial" w:hAnsi="Arial" w:cs="Arial"/>
          <w:sz w:val="22"/>
          <w:szCs w:val="22"/>
        </w:rPr>
        <w:t xml:space="preserve">Beyond Module 6, this work will extend through workshops, conference papers, and publications, embedding the framework into professional voice training and wider industry </w:t>
      </w:r>
      <w:r w:rsidRPr="00ED2901">
        <w:rPr>
          <w:rFonts w:ascii="Arial" w:hAnsi="Arial" w:cs="Arial"/>
          <w:sz w:val="22"/>
          <w:szCs w:val="22"/>
        </w:rPr>
        <w:lastRenderedPageBreak/>
        <w:t>practice. The goal is a dynamic, evolving model that drives systemic change in how transgender voices</w:t>
      </w:r>
      <w:r w:rsidR="00CC1BD1" w:rsidRPr="00ED2901">
        <w:rPr>
          <w:rFonts w:ascii="Arial" w:hAnsi="Arial" w:cs="Arial"/>
          <w:sz w:val="22"/>
          <w:szCs w:val="22"/>
        </w:rPr>
        <w:t xml:space="preserve"> </w:t>
      </w:r>
      <w:r w:rsidRPr="00ED2901">
        <w:rPr>
          <w:rFonts w:ascii="Arial" w:hAnsi="Arial" w:cs="Arial"/>
          <w:sz w:val="22"/>
          <w:szCs w:val="22"/>
        </w:rPr>
        <w:t>are supported in musical theatre.</w:t>
      </w:r>
    </w:p>
    <w:p w14:paraId="6FE0524C" w14:textId="2774D4F2" w:rsidR="00FC7076" w:rsidRPr="00ED2901" w:rsidRDefault="0020428C" w:rsidP="00ED2901">
      <w:pPr>
        <w:spacing w:line="360" w:lineRule="auto"/>
        <w:jc w:val="both"/>
        <w:rPr>
          <w:rFonts w:ascii="Arial" w:hAnsi="Arial" w:cs="Arial"/>
          <w:sz w:val="22"/>
          <w:szCs w:val="22"/>
        </w:rPr>
      </w:pPr>
      <w:r w:rsidRPr="00ED2901">
        <w:rPr>
          <w:rFonts w:ascii="Arial" w:hAnsi="Arial" w:cs="Arial"/>
          <w:i/>
          <w:iCs/>
          <w:sz w:val="22"/>
          <w:szCs w:val="22"/>
        </w:rPr>
        <w:t>ATS</w:t>
      </w:r>
      <w:r w:rsidR="00FC7076" w:rsidRPr="00ED2901">
        <w:rPr>
          <w:rFonts w:ascii="Arial" w:hAnsi="Arial" w:cs="Arial"/>
          <w:i/>
          <w:iCs/>
          <w:sz w:val="22"/>
          <w:szCs w:val="22"/>
        </w:rPr>
        <w:t>: Trans Voices</w:t>
      </w:r>
      <w:r w:rsidR="00FC7076" w:rsidRPr="00ED2901">
        <w:rPr>
          <w:rFonts w:ascii="Arial" w:hAnsi="Arial" w:cs="Arial"/>
          <w:sz w:val="22"/>
          <w:szCs w:val="22"/>
        </w:rPr>
        <w:t xml:space="preserve"> synthesises professional expertise, research-informed knowledge, and sustained reflection. It reflects a long-term commitment to creating learning environments where trans and non-binary performers develop technical skill, expressive authenticity, and confidence in vocal identity. The framework stands as both a practical pedagogical tool and an ethical statement, positioning empathy, creativity, and identity at the heart of musical theatre education.</w:t>
      </w:r>
    </w:p>
    <w:p w14:paraId="0BC22E31" w14:textId="2DBFE6B8" w:rsidR="00FC7076" w:rsidRPr="00ED2901" w:rsidRDefault="00FC7076" w:rsidP="00ED2901">
      <w:pPr>
        <w:spacing w:line="360" w:lineRule="auto"/>
        <w:jc w:val="both"/>
        <w:rPr>
          <w:rFonts w:ascii="Arial" w:hAnsi="Arial" w:cs="Arial"/>
          <w:sz w:val="22"/>
          <w:szCs w:val="22"/>
        </w:rPr>
      </w:pPr>
      <w:r w:rsidRPr="00ED2901">
        <w:rPr>
          <w:rFonts w:ascii="Arial" w:hAnsi="Arial" w:cs="Arial"/>
          <w:sz w:val="22"/>
          <w:szCs w:val="22"/>
        </w:rPr>
        <w:t>The Module 6 pilot marks the shift from concept to lived practice. Through iterative refinement, collaboration, and community engagement, the framework aims to contribute to lasting cultural transformation</w:t>
      </w:r>
      <w:r w:rsidR="00534AF2" w:rsidRPr="00ED2901">
        <w:rPr>
          <w:rFonts w:ascii="Arial" w:hAnsi="Arial" w:cs="Arial"/>
          <w:sz w:val="22"/>
          <w:szCs w:val="22"/>
        </w:rPr>
        <w:t xml:space="preserve">, </w:t>
      </w:r>
      <w:r w:rsidRPr="00ED2901">
        <w:rPr>
          <w:rFonts w:ascii="Arial" w:hAnsi="Arial" w:cs="Arial"/>
          <w:sz w:val="22"/>
          <w:szCs w:val="22"/>
        </w:rPr>
        <w:t>supporting a future where diverse voices are recognised, valued, and artistically empowered.</w:t>
      </w:r>
    </w:p>
    <w:p w14:paraId="53B31261" w14:textId="2B674A83" w:rsidR="00471FD8" w:rsidRPr="00ED2901" w:rsidRDefault="00471FD8" w:rsidP="00ED2901">
      <w:pPr>
        <w:spacing w:line="360" w:lineRule="auto"/>
        <w:jc w:val="both"/>
        <w:rPr>
          <w:rFonts w:ascii="Arial" w:hAnsi="Arial" w:cs="Arial"/>
          <w:b/>
          <w:bCs/>
          <w:sz w:val="22"/>
          <w:szCs w:val="22"/>
        </w:rPr>
      </w:pPr>
      <w:r w:rsidRPr="00ED2901">
        <w:rPr>
          <w:rFonts w:ascii="Arial" w:hAnsi="Arial" w:cs="Arial"/>
          <w:b/>
          <w:bCs/>
          <w:sz w:val="22"/>
          <w:szCs w:val="22"/>
        </w:rPr>
        <w:t xml:space="preserve">Word Count: </w:t>
      </w:r>
      <w:r w:rsidR="00562AEB">
        <w:rPr>
          <w:rFonts w:ascii="Arial" w:hAnsi="Arial" w:cs="Arial"/>
          <w:b/>
          <w:bCs/>
          <w:sz w:val="22"/>
          <w:szCs w:val="22"/>
        </w:rPr>
        <w:t>57</w:t>
      </w:r>
      <w:r w:rsidR="00510887">
        <w:rPr>
          <w:rFonts w:ascii="Arial" w:hAnsi="Arial" w:cs="Arial"/>
          <w:b/>
          <w:bCs/>
          <w:sz w:val="22"/>
          <w:szCs w:val="22"/>
        </w:rPr>
        <w:t>76</w:t>
      </w:r>
    </w:p>
    <w:p w14:paraId="4F358CB1" w14:textId="77777777" w:rsidR="00510887" w:rsidRDefault="00510887">
      <w:pPr>
        <w:rPr>
          <w:rFonts w:ascii="Arial" w:hAnsi="Arial" w:cs="Arial"/>
          <w:b/>
          <w:bCs/>
          <w:sz w:val="22"/>
          <w:szCs w:val="22"/>
        </w:rPr>
      </w:pPr>
      <w:r>
        <w:rPr>
          <w:rFonts w:ascii="Arial" w:hAnsi="Arial" w:cs="Arial"/>
          <w:b/>
          <w:bCs/>
          <w:sz w:val="22"/>
          <w:szCs w:val="22"/>
        </w:rPr>
        <w:br w:type="page"/>
      </w:r>
    </w:p>
    <w:p w14:paraId="3578F1F8" w14:textId="34A23E1C" w:rsidR="00D43EE9" w:rsidRPr="00ED2901" w:rsidRDefault="00D43EE9" w:rsidP="00ED2901">
      <w:pPr>
        <w:spacing w:line="360" w:lineRule="auto"/>
        <w:jc w:val="both"/>
        <w:rPr>
          <w:rFonts w:ascii="Arial" w:hAnsi="Arial" w:cs="Arial"/>
          <w:b/>
          <w:bCs/>
          <w:sz w:val="22"/>
          <w:szCs w:val="22"/>
        </w:rPr>
      </w:pPr>
      <w:r w:rsidRPr="00ED2901">
        <w:rPr>
          <w:rFonts w:ascii="Arial" w:hAnsi="Arial" w:cs="Arial"/>
          <w:b/>
          <w:bCs/>
          <w:sz w:val="22"/>
          <w:szCs w:val="22"/>
        </w:rPr>
        <w:lastRenderedPageBreak/>
        <w:t>PART TWO: WRITTEN ASSESSMENT</w:t>
      </w:r>
    </w:p>
    <w:p w14:paraId="7B9F0A4A" w14:textId="290E7E95" w:rsidR="00D43EE9" w:rsidRPr="00ED2901" w:rsidRDefault="0020428C" w:rsidP="00ED2901">
      <w:pPr>
        <w:spacing w:line="360" w:lineRule="auto"/>
        <w:jc w:val="both"/>
        <w:rPr>
          <w:rFonts w:ascii="Arial" w:hAnsi="Arial" w:cs="Arial"/>
          <w:b/>
          <w:bCs/>
          <w:sz w:val="22"/>
          <w:szCs w:val="22"/>
        </w:rPr>
      </w:pPr>
      <w:r w:rsidRPr="00ED2901">
        <w:rPr>
          <w:rFonts w:ascii="Arial" w:hAnsi="Arial" w:cs="Arial"/>
          <w:b/>
          <w:bCs/>
          <w:i/>
          <w:iCs/>
          <w:sz w:val="22"/>
          <w:szCs w:val="22"/>
        </w:rPr>
        <w:t>ATS</w:t>
      </w:r>
      <w:r w:rsidR="00D43EE9" w:rsidRPr="00ED2901">
        <w:rPr>
          <w:rFonts w:ascii="Arial" w:hAnsi="Arial" w:cs="Arial"/>
          <w:b/>
          <w:bCs/>
          <w:i/>
          <w:iCs/>
          <w:sz w:val="22"/>
          <w:szCs w:val="22"/>
        </w:rPr>
        <w:t xml:space="preserve"> – A Trans-Inclusive Framework for Developing the Belt Voice</w:t>
      </w:r>
    </w:p>
    <w:p w14:paraId="1F5AAFCC" w14:textId="7128FCBF" w:rsidR="00D43EE9" w:rsidRPr="00ED2901" w:rsidRDefault="00D43EE9" w:rsidP="00ED2901">
      <w:pPr>
        <w:spacing w:line="360" w:lineRule="auto"/>
        <w:jc w:val="both"/>
        <w:rPr>
          <w:rFonts w:ascii="Arial" w:hAnsi="Arial" w:cs="Arial"/>
          <w:b/>
          <w:bCs/>
          <w:sz w:val="22"/>
          <w:szCs w:val="22"/>
        </w:rPr>
      </w:pPr>
      <w:r w:rsidRPr="00ED2901">
        <w:rPr>
          <w:rFonts w:ascii="Arial" w:hAnsi="Arial" w:cs="Arial"/>
          <w:b/>
          <w:bCs/>
          <w:sz w:val="22"/>
          <w:szCs w:val="22"/>
        </w:rPr>
        <w:t>Introduction</w:t>
      </w:r>
    </w:p>
    <w:p w14:paraId="20D238EA" w14:textId="176D0552" w:rsidR="00BF2750" w:rsidRPr="00ED2901" w:rsidRDefault="00AB6F8F" w:rsidP="00ED2901">
      <w:pPr>
        <w:spacing w:line="360" w:lineRule="auto"/>
        <w:jc w:val="both"/>
        <w:rPr>
          <w:rFonts w:ascii="Arial" w:hAnsi="Arial" w:cs="Arial"/>
          <w:sz w:val="22"/>
          <w:szCs w:val="22"/>
        </w:rPr>
      </w:pPr>
      <w:r w:rsidRPr="00ED2901">
        <w:rPr>
          <w:rFonts w:ascii="Arial" w:hAnsi="Arial" w:cs="Arial"/>
          <w:sz w:val="22"/>
          <w:szCs w:val="22"/>
        </w:rPr>
        <w:t>T</w:t>
      </w:r>
      <w:r w:rsidR="00BF2750" w:rsidRPr="00ED2901">
        <w:rPr>
          <w:rFonts w:ascii="Arial" w:hAnsi="Arial" w:cs="Arial"/>
          <w:sz w:val="22"/>
          <w:szCs w:val="22"/>
        </w:rPr>
        <w:t>his study addresses a critical gap in musical theatre pedagogy: the absence of a structured, evidence-based, identity-affirming approach that integrates belt voice development with ATS for trans and non-binary performers. Conventional frameworks rely on binary vocal classifications (e.g., soprano, tenor) and gendered repertoire norms, creating technical and psychological barriers (Hancock &amp; Garabedian, 2013; Potter, 2014). For trans singers, these assumptions often result in misalignment between vocal identity and pedagogical expectations, amplifying dysphoria and limiting artistic agency (Azul, 2015; Zimman, 2018).</w:t>
      </w:r>
    </w:p>
    <w:p w14:paraId="3BDE20FB" w14:textId="77777777" w:rsidR="00BF2750" w:rsidRPr="00ED2901" w:rsidRDefault="00BF2750" w:rsidP="00ED2901">
      <w:pPr>
        <w:spacing w:line="360" w:lineRule="auto"/>
        <w:jc w:val="both"/>
        <w:rPr>
          <w:rFonts w:ascii="Arial" w:hAnsi="Arial" w:cs="Arial"/>
          <w:sz w:val="22"/>
          <w:szCs w:val="22"/>
        </w:rPr>
      </w:pPr>
      <w:r w:rsidRPr="00ED2901">
        <w:rPr>
          <w:rFonts w:ascii="Arial" w:hAnsi="Arial" w:cs="Arial"/>
          <w:sz w:val="22"/>
          <w:szCs w:val="22"/>
        </w:rPr>
        <w:t>Belting, a technique central to musical theatre, carries cultural associations with gendered sound. Hormone-related changes further complicate belt development, introducing instability, fatigue, and range shifts that traditional methods cannot accommodate (Spencer, 2020; Azul, 2016). ATS compounds these challenges by demanding emotional authenticity and narrative coherence within frameworks that rarely account for gender diversity (Moore &amp; Bergman, 2016). These conditions underscore the need for pedagogical models that integrate technical adaptability with identity-affirming practices.</w:t>
      </w:r>
    </w:p>
    <w:p w14:paraId="53A40AF5" w14:textId="77777777" w:rsidR="00BF2750" w:rsidRPr="00ED2901" w:rsidRDefault="00BF2750" w:rsidP="00ED2901">
      <w:pPr>
        <w:spacing w:line="360" w:lineRule="auto"/>
        <w:jc w:val="both"/>
        <w:rPr>
          <w:rFonts w:ascii="Arial" w:hAnsi="Arial" w:cs="Arial"/>
          <w:sz w:val="22"/>
          <w:szCs w:val="22"/>
        </w:rPr>
      </w:pPr>
      <w:r w:rsidRPr="00ED2901">
        <w:rPr>
          <w:rFonts w:ascii="Arial" w:hAnsi="Arial" w:cs="Arial"/>
          <w:sz w:val="22"/>
          <w:szCs w:val="22"/>
        </w:rPr>
        <w:t xml:space="preserve">The artefact, </w:t>
      </w:r>
      <w:r w:rsidRPr="00ED2901">
        <w:rPr>
          <w:rFonts w:ascii="Arial" w:hAnsi="Arial" w:cs="Arial"/>
          <w:i/>
          <w:iCs/>
          <w:sz w:val="22"/>
          <w:szCs w:val="22"/>
        </w:rPr>
        <w:t>ATS: A Trans-Inclusive Framework for Developing the Belt Voice</w:t>
      </w:r>
      <w:r w:rsidRPr="00ED2901">
        <w:rPr>
          <w:rFonts w:ascii="Arial" w:hAnsi="Arial" w:cs="Arial"/>
          <w:sz w:val="22"/>
          <w:szCs w:val="22"/>
        </w:rPr>
        <w:t>, responds to this gap by combining functional voice science, trauma-informed pedagogy, and queer theory. It reframes ATS as a space for identity exploration rather than gender conformity, embedding technical, expressive, and reflective strands within a psychologically safe environment. This approach advances new knowledge by operationalising inclusive principles into a replicable, evidence-based resource for conservatoire training and private coaching. Unlike existing literature, which often theorises inclusivity without offering practical frameworks, this study delivers a structured model grounded in empirical observation and iterative refinement.</w:t>
      </w:r>
    </w:p>
    <w:p w14:paraId="250A9588" w14:textId="77777777" w:rsidR="00EF0535" w:rsidRDefault="00D43EE9" w:rsidP="00ED2901">
      <w:pPr>
        <w:spacing w:line="360" w:lineRule="auto"/>
        <w:jc w:val="both"/>
        <w:rPr>
          <w:rFonts w:ascii="Arial" w:hAnsi="Arial" w:cs="Arial"/>
          <w:b/>
          <w:bCs/>
          <w:sz w:val="22"/>
          <w:szCs w:val="22"/>
        </w:rPr>
      </w:pPr>
      <w:r w:rsidRPr="00B16E7C">
        <w:rPr>
          <w:rFonts w:ascii="Arial" w:hAnsi="Arial" w:cs="Arial"/>
          <w:b/>
          <w:bCs/>
          <w:sz w:val="22"/>
          <w:szCs w:val="22"/>
        </w:rPr>
        <w:t>Literature Review</w:t>
      </w:r>
    </w:p>
    <w:p w14:paraId="4849DFE9" w14:textId="5B1DE5ED" w:rsidR="005B243A" w:rsidRPr="00EF0535" w:rsidRDefault="00EF0535" w:rsidP="00ED2901">
      <w:pPr>
        <w:spacing w:line="360" w:lineRule="auto"/>
        <w:jc w:val="both"/>
        <w:rPr>
          <w:rFonts w:ascii="Arial" w:hAnsi="Arial" w:cs="Arial"/>
          <w:b/>
          <w:bCs/>
          <w:sz w:val="22"/>
          <w:szCs w:val="22"/>
        </w:rPr>
      </w:pPr>
      <w:r w:rsidRPr="00EF0535">
        <w:rPr>
          <w:rFonts w:ascii="Arial" w:hAnsi="Arial" w:cs="Arial"/>
          <w:sz w:val="22"/>
          <w:szCs w:val="22"/>
        </w:rPr>
        <w:t>The present section identifies a considerable deficiency in prevailing practices</w:t>
      </w:r>
      <w:r>
        <w:rPr>
          <w:rFonts w:ascii="Arial" w:hAnsi="Arial" w:cs="Arial"/>
          <w:sz w:val="22"/>
          <w:szCs w:val="22"/>
        </w:rPr>
        <w:t xml:space="preserve">. </w:t>
      </w:r>
      <w:r w:rsidR="0007536C" w:rsidRPr="00ED2901">
        <w:rPr>
          <w:rFonts w:ascii="Arial" w:hAnsi="Arial" w:cs="Arial"/>
          <w:sz w:val="22"/>
          <w:szCs w:val="22"/>
        </w:rPr>
        <w:t xml:space="preserve">Binary vocal typology in Western classical music originated grounded in biological assumptions that later solidified into aesthetic norms (Potter, 2014). These conventions were carried into twentieth-century musical theatre, where voice type continues to influence casting decisions, character construction, and expectations for emotional expression and narrative depth (Hancock and Garabedian, 2013). Contemporary practices reinforce this framework through gender-specific </w:t>
      </w:r>
      <w:r w:rsidR="0007536C" w:rsidRPr="00ED2901">
        <w:rPr>
          <w:rFonts w:ascii="Arial" w:hAnsi="Arial" w:cs="Arial"/>
          <w:sz w:val="22"/>
          <w:szCs w:val="22"/>
        </w:rPr>
        <w:lastRenderedPageBreak/>
        <w:t xml:space="preserve">casting calls, curated repertoire, and pedagogies that link vocal qualities such as range, resonance, and timbre to gendered ideals. </w:t>
      </w:r>
      <w:r w:rsidR="005B243A" w:rsidRPr="00ED2901">
        <w:rPr>
          <w:rFonts w:ascii="Arial" w:hAnsi="Arial" w:cs="Arial"/>
          <w:sz w:val="22"/>
          <w:szCs w:val="22"/>
        </w:rPr>
        <w:t xml:space="preserve">Gramsci notes (1999), hegemony (egemonia) operates alongside institutional structures. </w:t>
      </w:r>
    </w:p>
    <w:p w14:paraId="2ADEE0D8" w14:textId="551FD7D1" w:rsidR="0007536C" w:rsidRPr="00ED2901" w:rsidRDefault="0007536C" w:rsidP="00ED2901">
      <w:pPr>
        <w:spacing w:line="360" w:lineRule="auto"/>
        <w:jc w:val="both"/>
        <w:rPr>
          <w:rFonts w:ascii="Arial" w:hAnsi="Arial" w:cs="Arial"/>
          <w:sz w:val="22"/>
          <w:szCs w:val="22"/>
        </w:rPr>
      </w:pPr>
      <w:r w:rsidRPr="00ED2901">
        <w:rPr>
          <w:rFonts w:ascii="Arial" w:hAnsi="Arial" w:cs="Arial"/>
          <w:sz w:val="22"/>
          <w:szCs w:val="22"/>
        </w:rPr>
        <w:t>Higher, agile voices are often coded as feminine, while lower, more robust voices are aligned with masculinity, signalling innocence, strength, or authority (Davies, Papp and Antoni, 2015). Despite increasing stylistic diversity in musical theatre, these norms remain deeply embedded.</w:t>
      </w:r>
    </w:p>
    <w:p w14:paraId="2327E34D" w14:textId="590F6BBF" w:rsidR="006246B6" w:rsidRPr="00ED2901" w:rsidRDefault="007C3CE8" w:rsidP="00ED2901">
      <w:pPr>
        <w:spacing w:line="360" w:lineRule="auto"/>
        <w:jc w:val="both"/>
        <w:rPr>
          <w:rFonts w:ascii="Arial" w:hAnsi="Arial" w:cs="Arial"/>
          <w:sz w:val="22"/>
          <w:szCs w:val="22"/>
        </w:rPr>
      </w:pPr>
      <w:r w:rsidRPr="00ED2901">
        <w:rPr>
          <w:rFonts w:ascii="Arial" w:hAnsi="Arial" w:cs="Arial"/>
          <w:sz w:val="22"/>
          <w:szCs w:val="22"/>
        </w:rPr>
        <w:t xml:space="preserve">For transgender and non-binary performers, such systems </w:t>
      </w:r>
      <w:r w:rsidR="000A1474" w:rsidRPr="00ED2901">
        <w:rPr>
          <w:rFonts w:ascii="Arial" w:hAnsi="Arial" w:cs="Arial"/>
          <w:sz w:val="22"/>
          <w:szCs w:val="22"/>
        </w:rPr>
        <w:t xml:space="preserve">operate </w:t>
      </w:r>
      <w:r w:rsidR="008F504C" w:rsidRPr="00ED2901">
        <w:rPr>
          <w:rFonts w:ascii="Arial" w:hAnsi="Arial" w:cs="Arial"/>
          <w:sz w:val="22"/>
          <w:szCs w:val="22"/>
        </w:rPr>
        <w:t>as technical</w:t>
      </w:r>
      <w:r w:rsidRPr="00ED2901">
        <w:rPr>
          <w:rFonts w:ascii="Arial" w:hAnsi="Arial" w:cs="Arial"/>
          <w:sz w:val="22"/>
          <w:szCs w:val="22"/>
        </w:rPr>
        <w:t xml:space="preserve"> and psychological </w:t>
      </w:r>
      <w:r w:rsidR="000A1474" w:rsidRPr="00ED2901">
        <w:rPr>
          <w:rFonts w:ascii="Arial" w:hAnsi="Arial" w:cs="Arial"/>
          <w:sz w:val="22"/>
          <w:szCs w:val="22"/>
        </w:rPr>
        <w:t>barriers</w:t>
      </w:r>
      <w:r w:rsidR="003544CB" w:rsidRPr="00ED2901">
        <w:rPr>
          <w:rFonts w:ascii="Arial" w:hAnsi="Arial" w:cs="Arial"/>
          <w:sz w:val="22"/>
          <w:szCs w:val="22"/>
        </w:rPr>
        <w:t xml:space="preserve"> (Arke et al,2024</w:t>
      </w:r>
      <w:r w:rsidR="008F504C" w:rsidRPr="00ED2901">
        <w:rPr>
          <w:rFonts w:ascii="Arial" w:hAnsi="Arial" w:cs="Arial"/>
          <w:sz w:val="22"/>
          <w:szCs w:val="22"/>
        </w:rPr>
        <w:t>).</w:t>
      </w:r>
      <w:r w:rsidRPr="00ED2901">
        <w:rPr>
          <w:rFonts w:ascii="Arial" w:hAnsi="Arial" w:cs="Arial"/>
          <w:sz w:val="22"/>
          <w:szCs w:val="22"/>
        </w:rPr>
        <w:t xml:space="preserve"> Transmasculine singers undergoing testosterone treatment may experience pitch instability and reduced stamina, limiting access to tenor or baritone repertoire, while transfeminine singers may struggle to produce culturally recognised “feminine” qualities such as mix or belt due to an unchanged vocal-fold structure (Nygren et al., 2022). cisnormative </w:t>
      </w:r>
      <w:r w:rsidR="002B152A" w:rsidRPr="00ED2901">
        <w:rPr>
          <w:rFonts w:ascii="Arial" w:hAnsi="Arial" w:cs="Arial"/>
          <w:sz w:val="22"/>
          <w:szCs w:val="22"/>
        </w:rPr>
        <w:t>pedagogies interpret</w:t>
      </w:r>
      <w:r w:rsidRPr="00ED2901">
        <w:rPr>
          <w:rFonts w:ascii="Arial" w:hAnsi="Arial" w:cs="Arial"/>
          <w:sz w:val="22"/>
          <w:szCs w:val="22"/>
        </w:rPr>
        <w:t xml:space="preserve"> these natural variations as deficits rather than legitimate expressions of vocal diversity, restricting repertoire options and narrowing opportunities for meaningful artistic representation.</w:t>
      </w:r>
      <w:r w:rsidR="006246B6" w:rsidRPr="00ED2901">
        <w:rPr>
          <w:rFonts w:ascii="Arial" w:eastAsia="Times New Roman" w:hAnsi="Arial" w:cs="Arial"/>
          <w:kern w:val="0"/>
          <w:sz w:val="22"/>
          <w:szCs w:val="22"/>
          <w:lang w:eastAsia="en-GB"/>
          <w14:ligatures w14:val="none"/>
        </w:rPr>
        <w:t xml:space="preserve"> </w:t>
      </w:r>
      <w:r w:rsidR="006246B6" w:rsidRPr="00ED2901">
        <w:rPr>
          <w:rFonts w:ascii="Arial" w:hAnsi="Arial" w:cs="Arial"/>
          <w:sz w:val="22"/>
          <w:szCs w:val="22"/>
        </w:rPr>
        <w:t>These artistic barriers intersect with broader inequities in gender-affirming care (GAC), essential for TGD health yet often inaccessible due to geographic isolation, insurance hurdles, and practitioners lacking expertise. Such systemic obstacles compound vocal challenges, making gender-aligned goals harder to achieve.</w:t>
      </w:r>
    </w:p>
    <w:p w14:paraId="0932E1C8" w14:textId="77777777" w:rsidR="00B16E7C" w:rsidRDefault="00715A36" w:rsidP="00ED2901">
      <w:pPr>
        <w:spacing w:line="360" w:lineRule="auto"/>
        <w:jc w:val="both"/>
        <w:rPr>
          <w:rFonts w:ascii="Arial" w:hAnsi="Arial" w:cs="Arial"/>
          <w:sz w:val="22"/>
          <w:szCs w:val="22"/>
        </w:rPr>
      </w:pPr>
      <w:r w:rsidRPr="00ED2901">
        <w:rPr>
          <w:rFonts w:ascii="Arial" w:hAnsi="Arial" w:cs="Arial"/>
          <w:sz w:val="22"/>
          <w:szCs w:val="22"/>
        </w:rPr>
        <w:t>Gender Performativity and Vocal Identity</w:t>
      </w:r>
    </w:p>
    <w:p w14:paraId="42537082" w14:textId="6754094E" w:rsidR="00B16E7C" w:rsidRPr="00B16E7C" w:rsidRDefault="00B16E7C" w:rsidP="00ED2901">
      <w:pPr>
        <w:spacing w:line="360" w:lineRule="auto"/>
        <w:jc w:val="both"/>
        <w:rPr>
          <w:rFonts w:ascii="Arial" w:hAnsi="Arial" w:cs="Arial"/>
          <w:sz w:val="22"/>
          <w:szCs w:val="22"/>
        </w:rPr>
      </w:pPr>
      <w:r w:rsidRPr="00B16E7C">
        <w:rPr>
          <w:rFonts w:ascii="Arial" w:hAnsi="Arial" w:cs="Arial"/>
          <w:sz w:val="22"/>
          <w:szCs w:val="22"/>
        </w:rPr>
        <w:t>Butler’s theory of gender performativity reframes gender as a socially enacted process rather than a fixed trait, positioning vocal expression as a performative act rather than a purely biological function (Butler, 1990). Eidsheim (2015) extends this by arguing that voice is culturally conditioned and shaped through listener perception, making vocal identity a relational construct negotiated between internal self-understanding and external interpretation—an especially salient dynamic for transgender performers. Pedagogies that enforce rigid gendered vocal ideals risk reinforcing norms misaligned with lived identity, whereas approaches informed by performativity enable spaces for self-construction and resistance to normative expectations. This aligns with queer pedagogical principles that centre agency, affirm diversity, and prioritise lived experience (Britzman, 1995; hooks, 1994), fostering more inclusive understandings of vocal identity.</w:t>
      </w:r>
    </w:p>
    <w:p w14:paraId="5A884E4A" w14:textId="77777777" w:rsidR="00B16E7C" w:rsidRDefault="00B16E7C" w:rsidP="00ED2901">
      <w:pPr>
        <w:spacing w:line="360" w:lineRule="auto"/>
        <w:jc w:val="both"/>
        <w:rPr>
          <w:rFonts w:ascii="Arial" w:hAnsi="Arial" w:cs="Arial"/>
          <w:b/>
          <w:bCs/>
          <w:sz w:val="22"/>
          <w:szCs w:val="22"/>
        </w:rPr>
      </w:pPr>
    </w:p>
    <w:p w14:paraId="4B6B5E56" w14:textId="77777777" w:rsidR="00E51F3B" w:rsidRDefault="00E51F3B" w:rsidP="00ED2901">
      <w:pPr>
        <w:spacing w:line="360" w:lineRule="auto"/>
        <w:jc w:val="both"/>
        <w:rPr>
          <w:rFonts w:ascii="Arial" w:hAnsi="Arial" w:cs="Arial"/>
          <w:b/>
          <w:bCs/>
          <w:sz w:val="22"/>
          <w:szCs w:val="22"/>
        </w:rPr>
      </w:pPr>
    </w:p>
    <w:p w14:paraId="3DBC1BDC" w14:textId="3D218EAD" w:rsidR="004A12C3" w:rsidRPr="00ED2901" w:rsidRDefault="004A12C3" w:rsidP="00ED2901">
      <w:pPr>
        <w:spacing w:line="360" w:lineRule="auto"/>
        <w:jc w:val="both"/>
        <w:rPr>
          <w:rFonts w:ascii="Arial" w:hAnsi="Arial" w:cs="Arial"/>
          <w:b/>
          <w:bCs/>
          <w:sz w:val="22"/>
          <w:szCs w:val="22"/>
        </w:rPr>
      </w:pPr>
      <w:r w:rsidRPr="00ED2901">
        <w:rPr>
          <w:rFonts w:ascii="Arial" w:hAnsi="Arial" w:cs="Arial"/>
          <w:b/>
          <w:bCs/>
          <w:sz w:val="22"/>
          <w:szCs w:val="22"/>
        </w:rPr>
        <w:lastRenderedPageBreak/>
        <w:t>Embodied Voice and Trans Experience</w:t>
      </w:r>
    </w:p>
    <w:p w14:paraId="74858ABB" w14:textId="446A63ED" w:rsidR="004A12C3" w:rsidRPr="00ED2901" w:rsidRDefault="004A12C3" w:rsidP="00ED2901">
      <w:pPr>
        <w:spacing w:line="360" w:lineRule="auto"/>
        <w:jc w:val="both"/>
        <w:rPr>
          <w:rFonts w:ascii="Arial" w:hAnsi="Arial" w:cs="Arial"/>
          <w:sz w:val="22"/>
          <w:szCs w:val="22"/>
        </w:rPr>
      </w:pPr>
      <w:r w:rsidRPr="00ED2901">
        <w:rPr>
          <w:rFonts w:ascii="Arial" w:hAnsi="Arial" w:cs="Arial"/>
          <w:sz w:val="22"/>
          <w:szCs w:val="22"/>
        </w:rPr>
        <w:t xml:space="preserve">Trans vocal development is a multifaceted process shaped by physiological, psychological, and sociocultural factors. Azul (2015) highlights the interplay of sensation, identity, and emotion, positioning the voice as an embodied site where memory and transition intersect. Azul et al. (2022) note that pre-transition vocal memories often persist, influencing confidence and willingness to experiment. Zimman (2018) further emphasises the relational nature of vocal identity, formed through speaker intention and listener perception, with implications for validation and emotional safety. These complexities call for pedagogies blending technical training with identity-responsive methods: integrating sensation-based exercises; affirming ATS tasks, </w:t>
      </w:r>
      <w:r w:rsidR="008F504C" w:rsidRPr="00ED2901">
        <w:rPr>
          <w:rFonts w:ascii="Arial" w:hAnsi="Arial" w:cs="Arial"/>
          <w:sz w:val="22"/>
          <w:szCs w:val="22"/>
        </w:rPr>
        <w:t>and</w:t>
      </w:r>
      <w:r w:rsidRPr="00ED2901">
        <w:rPr>
          <w:rFonts w:ascii="Arial" w:hAnsi="Arial" w:cs="Arial"/>
          <w:sz w:val="22"/>
          <w:szCs w:val="22"/>
        </w:rPr>
        <w:t xml:space="preserve"> reflective tools </w:t>
      </w:r>
      <w:r w:rsidR="005B3393" w:rsidRPr="00ED2901">
        <w:rPr>
          <w:rFonts w:ascii="Arial" w:hAnsi="Arial" w:cs="Arial"/>
          <w:sz w:val="22"/>
          <w:szCs w:val="22"/>
        </w:rPr>
        <w:t>which</w:t>
      </w:r>
      <w:r w:rsidRPr="00ED2901">
        <w:rPr>
          <w:rFonts w:ascii="Arial" w:hAnsi="Arial" w:cs="Arial"/>
          <w:sz w:val="22"/>
          <w:szCs w:val="22"/>
        </w:rPr>
        <w:t xml:space="preserve"> build self-awareness. The artefact draws on these strategies to help singers observe, articulate, and contextualise embodied and emotional development throughout training.</w:t>
      </w:r>
    </w:p>
    <w:p w14:paraId="5AE25273" w14:textId="36CF8418" w:rsidR="00071771" w:rsidRPr="00ED2901" w:rsidRDefault="0020428C" w:rsidP="00ED2901">
      <w:pPr>
        <w:spacing w:line="360" w:lineRule="auto"/>
        <w:jc w:val="both"/>
        <w:rPr>
          <w:rFonts w:ascii="Arial" w:hAnsi="Arial" w:cs="Arial"/>
          <w:b/>
          <w:bCs/>
          <w:sz w:val="22"/>
          <w:szCs w:val="22"/>
        </w:rPr>
      </w:pPr>
      <w:r w:rsidRPr="00ED2901">
        <w:rPr>
          <w:rFonts w:ascii="Arial" w:hAnsi="Arial" w:cs="Arial"/>
          <w:b/>
          <w:bCs/>
          <w:sz w:val="22"/>
          <w:szCs w:val="22"/>
        </w:rPr>
        <w:t>ATS</w:t>
      </w:r>
      <w:r w:rsidR="00071771" w:rsidRPr="00ED2901">
        <w:rPr>
          <w:rFonts w:ascii="Arial" w:hAnsi="Arial" w:cs="Arial"/>
          <w:b/>
          <w:bCs/>
          <w:sz w:val="22"/>
          <w:szCs w:val="22"/>
        </w:rPr>
        <w:t xml:space="preserve"> as a Site of Identity Work</w:t>
      </w:r>
    </w:p>
    <w:p w14:paraId="6E204A44" w14:textId="165D70C3" w:rsidR="007C3CE8" w:rsidRPr="00ED2901" w:rsidRDefault="0020428C" w:rsidP="00ED2901">
      <w:pPr>
        <w:spacing w:line="360" w:lineRule="auto"/>
        <w:jc w:val="both"/>
        <w:rPr>
          <w:rFonts w:ascii="Arial" w:hAnsi="Arial" w:cs="Arial"/>
          <w:sz w:val="22"/>
          <w:szCs w:val="22"/>
        </w:rPr>
      </w:pPr>
      <w:r w:rsidRPr="00ED2901">
        <w:rPr>
          <w:rFonts w:ascii="Arial" w:hAnsi="Arial" w:cs="Arial"/>
          <w:sz w:val="22"/>
          <w:szCs w:val="22"/>
        </w:rPr>
        <w:t>A</w:t>
      </w:r>
      <w:r w:rsidR="00B16E7C">
        <w:rPr>
          <w:rFonts w:ascii="Arial" w:hAnsi="Arial" w:cs="Arial"/>
          <w:sz w:val="22"/>
          <w:szCs w:val="22"/>
        </w:rPr>
        <w:t xml:space="preserve">cting Through </w:t>
      </w:r>
      <w:r w:rsidR="008F504C">
        <w:rPr>
          <w:rFonts w:ascii="Arial" w:hAnsi="Arial" w:cs="Arial"/>
          <w:sz w:val="22"/>
          <w:szCs w:val="22"/>
        </w:rPr>
        <w:t xml:space="preserve">Song </w:t>
      </w:r>
      <w:r w:rsidR="008F504C" w:rsidRPr="00ED2901">
        <w:rPr>
          <w:rFonts w:ascii="Arial" w:hAnsi="Arial" w:cs="Arial"/>
          <w:sz w:val="22"/>
          <w:szCs w:val="22"/>
        </w:rPr>
        <w:t>(</w:t>
      </w:r>
      <w:r w:rsidR="007C3CE8" w:rsidRPr="00ED2901">
        <w:rPr>
          <w:rFonts w:ascii="Arial" w:hAnsi="Arial" w:cs="Arial"/>
          <w:sz w:val="22"/>
          <w:szCs w:val="22"/>
        </w:rPr>
        <w:t xml:space="preserve">ATS) is </w:t>
      </w:r>
      <w:r w:rsidR="00D74CD8" w:rsidRPr="00ED2901">
        <w:rPr>
          <w:rFonts w:ascii="Arial" w:hAnsi="Arial" w:cs="Arial"/>
          <w:sz w:val="22"/>
          <w:szCs w:val="22"/>
        </w:rPr>
        <w:t>a principal component</w:t>
      </w:r>
      <w:r w:rsidR="007C3CE8" w:rsidRPr="00ED2901">
        <w:rPr>
          <w:rFonts w:ascii="Arial" w:hAnsi="Arial" w:cs="Arial"/>
          <w:sz w:val="22"/>
          <w:szCs w:val="22"/>
        </w:rPr>
        <w:t xml:space="preserve"> of musical theatre pedagogy, integrating technical vocal coordination with emotional engagement, narrative understanding, and character motivation. Practitioners such as Donnellan (2005) and Linklater (2006) highlight impulse, imagination, and emotional honesty as essential features, positioning ATS as a practice dependent on vulnerability and alignment between vocal expression and inner experience. For trans and non-binary performers, ATS can be both empowering and challenging, especially when repertoire reinforces binary gender norms or when vocal qualities are interpreted in ways that contradict lived identity. In these circumstances, the vulnerability ATS requires may shift from creative opportunity to emotional risk, as misalignment between identity and performative expectation can restrict expressive freedom, heighten self-monitoring, and intensify dysphoria (Owen, 2023; Azul, 2015). Reframing ATS as a space for identity exploration rather than gender conformity enables performers to engage with narrative and character work more authentically. This demands pedagogical flexibility, including identity-affirming repertoire choices, space for personalised interpretation, and trauma-informed approaches that prioritise predictability, consent, emotional safety, and agency. Such practices reflect queer pedagogical theories that conceptualise performance as a site of agency, self-construction, and resistance to normative structures (Britzman, 1995; hooks, 1994; Halberstam, 2005), allowing vocal expression to operate as a true articulation of identity rather than a replication of gendered convention.</w:t>
      </w:r>
    </w:p>
    <w:p w14:paraId="61EB5CA7" w14:textId="77777777" w:rsidR="00E51F3B" w:rsidRDefault="00E51F3B" w:rsidP="00ED2901">
      <w:pPr>
        <w:spacing w:line="360" w:lineRule="auto"/>
        <w:jc w:val="both"/>
        <w:rPr>
          <w:rFonts w:ascii="Arial" w:hAnsi="Arial" w:cs="Arial"/>
          <w:b/>
          <w:bCs/>
          <w:sz w:val="22"/>
          <w:szCs w:val="22"/>
        </w:rPr>
      </w:pPr>
    </w:p>
    <w:p w14:paraId="0EF6E5FE" w14:textId="710EDAC3" w:rsidR="00582C8D" w:rsidRPr="00ED2901" w:rsidRDefault="00582C8D" w:rsidP="00ED2901">
      <w:pPr>
        <w:spacing w:line="360" w:lineRule="auto"/>
        <w:jc w:val="both"/>
        <w:rPr>
          <w:rFonts w:ascii="Arial" w:hAnsi="Arial" w:cs="Arial"/>
          <w:b/>
          <w:bCs/>
          <w:sz w:val="22"/>
          <w:szCs w:val="22"/>
        </w:rPr>
      </w:pPr>
      <w:r w:rsidRPr="00ED2901">
        <w:rPr>
          <w:rFonts w:ascii="Arial" w:hAnsi="Arial" w:cs="Arial"/>
          <w:b/>
          <w:bCs/>
          <w:sz w:val="22"/>
          <w:szCs w:val="22"/>
        </w:rPr>
        <w:lastRenderedPageBreak/>
        <w:t>Theoretical Framework</w:t>
      </w:r>
    </w:p>
    <w:p w14:paraId="1FEF3399" w14:textId="6303418F" w:rsidR="00582C8D" w:rsidRPr="00B16E7C" w:rsidRDefault="00582C8D" w:rsidP="00ED2901">
      <w:pPr>
        <w:spacing w:line="360" w:lineRule="auto"/>
        <w:jc w:val="both"/>
        <w:rPr>
          <w:rFonts w:ascii="Arial" w:hAnsi="Arial" w:cs="Arial"/>
          <w:sz w:val="22"/>
          <w:szCs w:val="22"/>
        </w:rPr>
      </w:pPr>
      <w:r w:rsidRPr="00B16E7C">
        <w:rPr>
          <w:rFonts w:ascii="Arial" w:hAnsi="Arial" w:cs="Arial"/>
          <w:sz w:val="22"/>
          <w:szCs w:val="22"/>
        </w:rPr>
        <w:t>Queer and Inclusive Pedagogy</w:t>
      </w:r>
    </w:p>
    <w:p w14:paraId="52CCB5A5" w14:textId="77777777" w:rsidR="005F11E4" w:rsidRPr="00ED2901" w:rsidRDefault="005F11E4" w:rsidP="00ED2901">
      <w:pPr>
        <w:spacing w:line="360" w:lineRule="auto"/>
        <w:jc w:val="both"/>
        <w:rPr>
          <w:rFonts w:ascii="Arial" w:hAnsi="Arial" w:cs="Arial"/>
          <w:sz w:val="22"/>
          <w:szCs w:val="22"/>
        </w:rPr>
      </w:pPr>
      <w:r w:rsidRPr="00ED2901">
        <w:rPr>
          <w:rFonts w:ascii="Arial" w:hAnsi="Arial" w:cs="Arial"/>
          <w:sz w:val="22"/>
          <w:szCs w:val="22"/>
        </w:rPr>
        <w:t>Queer pedagogy provides a critical framework for interrogating traditional teaching structures, particularly the ways they reinforce normative assumptions about gender, sound, and authority. As Britzman (1995) argues, this pedagogical stance not only questions but actively unsettles established norms, creating learning environments that affirm those whose identities fall outside conventional categories. Rather than viewing knowledge as fixed or hierarchical, queer pedagogy values plurality, ambiguity, and collaborative meaning-making. This perspective is especially relevant in musical theatre voice training, where the teacher’s role shifts from expert gatekeeper to collaborative facilitator, decentralising authority and promoting shared responsibility for learning. Davies (2019) extends these principles into voice pedagogy, emphasising empathetic teaching practices, flexibility in vocal classification, and sensitivity to the lived experiences of learners. These approaches recognise that vocal expression is intimately tied to identity, making the imposition of a singular “correct” sound particularly problematic for transgender and non-binary singers whose vocal development intersects with processes of identity formation (Azul, 2015; Owen, 2023). To operationalise queer pedagogy in practice, the framework avoids binary terminology and anchors technical work in sensation, resonance strategies, airflow, and expressive intention. Learners are invited to co-create warm-ups, goals, and repertoire, validating lived experience as knowledge and supporting reflective dialogue, self-awareness, and agency. These qualities are essential as trans performers navigate evolving relationships with voice and identity.</w:t>
      </w:r>
    </w:p>
    <w:p w14:paraId="1E65C02F" w14:textId="31883E59" w:rsidR="00582C8D" w:rsidRPr="00ED2901" w:rsidRDefault="00582C8D" w:rsidP="00ED2901">
      <w:pPr>
        <w:spacing w:line="360" w:lineRule="auto"/>
        <w:jc w:val="both"/>
        <w:rPr>
          <w:rFonts w:ascii="Arial" w:hAnsi="Arial" w:cs="Arial"/>
          <w:b/>
          <w:bCs/>
          <w:sz w:val="22"/>
          <w:szCs w:val="22"/>
        </w:rPr>
      </w:pPr>
      <w:r w:rsidRPr="00ED2901">
        <w:rPr>
          <w:rFonts w:ascii="Arial" w:hAnsi="Arial" w:cs="Arial"/>
          <w:b/>
          <w:bCs/>
          <w:sz w:val="22"/>
          <w:szCs w:val="22"/>
        </w:rPr>
        <w:t>Trauma Informed Pedagogy</w:t>
      </w:r>
    </w:p>
    <w:p w14:paraId="1980CE68" w14:textId="0D99CF8F" w:rsidR="005F11E4" w:rsidRPr="00ED2901" w:rsidRDefault="005F11E4" w:rsidP="00ED2901">
      <w:pPr>
        <w:spacing w:line="360" w:lineRule="auto"/>
        <w:jc w:val="both"/>
        <w:rPr>
          <w:rFonts w:ascii="Arial" w:hAnsi="Arial" w:cs="Arial"/>
          <w:sz w:val="22"/>
          <w:szCs w:val="22"/>
        </w:rPr>
      </w:pPr>
      <w:r w:rsidRPr="00ED2901">
        <w:rPr>
          <w:rFonts w:ascii="Arial" w:hAnsi="Arial" w:cs="Arial"/>
          <w:sz w:val="22"/>
          <w:szCs w:val="22"/>
        </w:rPr>
        <w:t xml:space="preserve">A trauma-informed approach forms a central pillar of the pedagogical framework underpinning the artefact. Although this practice emerged in mental health and social care, it is now widely applied in arts education to support learners whose emotional histories and embodied experiences shape both vocal expression and their responses to feedback (Carello and Butler, 2015). Warriner (2021) notes that traditional vocal training, particularly when reliant on imitation, correction, or evaluative critique, can recreate conditions of psychological risk for transgender and marginalised singers. Experiences of dysphoria, misgendering, or previous negative interactions with voice work heighten vulnerability, making predictability and emotional grounding essential components of the learning environment. Trauma-informed pedagogy therefore prioritises safety, agency, and emotional regulation, recognising that nervous system responses and embodied memory can significantly influence vocal behaviour. </w:t>
      </w:r>
      <w:r w:rsidRPr="00ED2901">
        <w:rPr>
          <w:rFonts w:ascii="Arial" w:hAnsi="Arial" w:cs="Arial"/>
          <w:sz w:val="22"/>
          <w:szCs w:val="22"/>
        </w:rPr>
        <w:lastRenderedPageBreak/>
        <w:t xml:space="preserve">This is especially relevant for transgender performers, who may associate </w:t>
      </w:r>
      <w:r w:rsidR="001F0300" w:rsidRPr="00ED2901">
        <w:rPr>
          <w:rFonts w:ascii="Arial" w:hAnsi="Arial" w:cs="Arial"/>
          <w:sz w:val="22"/>
          <w:szCs w:val="22"/>
        </w:rPr>
        <w:t>vocal</w:t>
      </w:r>
      <w:r w:rsidRPr="00ED2901">
        <w:rPr>
          <w:rFonts w:ascii="Arial" w:hAnsi="Arial" w:cs="Arial"/>
          <w:sz w:val="22"/>
          <w:szCs w:val="22"/>
        </w:rPr>
        <w:t xml:space="preserve"> qualities with pre-transition identities or external gendered expectations (Zimman, 2018; Azul et al., 2022). The artefact integrates these principles through its Reflective Practice strand, incorporating grounding activities, identity-affirming prompts, journaling templates linking vocal function with emotional states, and instructional language that emphasises choice and exploratory learning. These strategies establish psychological safety as a foundation for technical development and position emotional wellbeing at the centre of the pedagogical process.</w:t>
      </w:r>
    </w:p>
    <w:p w14:paraId="6D2737AE" w14:textId="358F394B" w:rsidR="005F11E4" w:rsidRPr="00B16E7C" w:rsidRDefault="005F11E4" w:rsidP="00ED2901">
      <w:pPr>
        <w:spacing w:line="360" w:lineRule="auto"/>
        <w:jc w:val="both"/>
        <w:rPr>
          <w:rFonts w:ascii="Arial" w:hAnsi="Arial" w:cs="Arial"/>
          <w:sz w:val="22"/>
          <w:szCs w:val="22"/>
        </w:rPr>
      </w:pPr>
      <w:r w:rsidRPr="00ED2901">
        <w:rPr>
          <w:rFonts w:ascii="Arial" w:hAnsi="Arial" w:cs="Arial"/>
          <w:sz w:val="22"/>
          <w:szCs w:val="22"/>
        </w:rPr>
        <w:t xml:space="preserve">Alongside this trauma-informed framing, the artefact is grounded in contemporary voice science and functional pedagogical methodologies essential for sustainable belt development. Effective belting requires coordinated management of breath flow, vocal fold closure, and resonance strategies. Functional models such as Estill Voice Training outline physiological adjustments for healthy belt production, including modifications to thyroid tilt, variations in vocal fold mass, and the use of physical anchoring to support system stability (Estill, 1988). Research on semi-occluded vocal tract exercises reinforces this technical base, with Titze (2006) demonstrating that such exercises increase back pressure, enhance phonatory efficiency, and reduce strain, offering </w:t>
      </w:r>
      <w:r w:rsidR="001F0300" w:rsidRPr="00ED2901">
        <w:rPr>
          <w:rFonts w:ascii="Arial" w:hAnsi="Arial" w:cs="Arial"/>
          <w:sz w:val="22"/>
          <w:szCs w:val="22"/>
        </w:rPr>
        <w:t>support</w:t>
      </w:r>
      <w:r w:rsidRPr="00ED2901">
        <w:rPr>
          <w:rFonts w:ascii="Arial" w:hAnsi="Arial" w:cs="Arial"/>
          <w:sz w:val="22"/>
          <w:szCs w:val="22"/>
        </w:rPr>
        <w:t xml:space="preserve"> for singers experiencing hormone-related vocal instability. Complementary practices, including cry-quality slides and speech-to-song transitions, further integrate physiological coordination with expressive intent. By embedding these methods within ATS processes, the artefact enables singers to experience belting as a form of narrative agency and identity expression rather than a purely mechanical undertaking</w:t>
      </w:r>
      <w:r w:rsidR="00B16E7C">
        <w:rPr>
          <w:rFonts w:ascii="Arial" w:hAnsi="Arial" w:cs="Arial"/>
          <w:sz w:val="22"/>
          <w:szCs w:val="22"/>
        </w:rPr>
        <w:t>.</w:t>
      </w:r>
    </w:p>
    <w:p w14:paraId="598EB12D" w14:textId="68ADC42B" w:rsidR="00BA5F30" w:rsidRPr="00BA5F30" w:rsidRDefault="00BA5F30" w:rsidP="00ED2901">
      <w:pPr>
        <w:spacing w:line="360" w:lineRule="auto"/>
        <w:jc w:val="both"/>
        <w:rPr>
          <w:rFonts w:ascii="Arial" w:hAnsi="Arial" w:cs="Arial"/>
          <w:sz w:val="22"/>
          <w:szCs w:val="22"/>
        </w:rPr>
      </w:pPr>
      <w:r w:rsidRPr="00BA5F30">
        <w:rPr>
          <w:rFonts w:ascii="Arial" w:hAnsi="Arial" w:cs="Arial"/>
          <w:sz w:val="22"/>
          <w:szCs w:val="22"/>
        </w:rPr>
        <w:t>The cumulative evidence presented in the studies supports the necessity for</w:t>
      </w:r>
      <w:r>
        <w:rPr>
          <w:rFonts w:ascii="Arial" w:hAnsi="Arial" w:cs="Arial"/>
          <w:sz w:val="22"/>
          <w:szCs w:val="22"/>
        </w:rPr>
        <w:t xml:space="preserve"> </w:t>
      </w:r>
      <w:r w:rsidRPr="00BA5F30">
        <w:rPr>
          <w:rFonts w:ascii="Arial" w:hAnsi="Arial" w:cs="Arial"/>
          <w:sz w:val="22"/>
          <w:szCs w:val="22"/>
        </w:rPr>
        <w:t>an ATS approach that aligns with identity considerations.</w:t>
      </w:r>
    </w:p>
    <w:p w14:paraId="7C413929" w14:textId="7F791701" w:rsidR="006C6B89" w:rsidRPr="00ED2901" w:rsidRDefault="006C6B89" w:rsidP="00ED2901">
      <w:pPr>
        <w:spacing w:line="360" w:lineRule="auto"/>
        <w:jc w:val="both"/>
        <w:rPr>
          <w:rFonts w:ascii="Arial" w:hAnsi="Arial" w:cs="Arial"/>
          <w:b/>
          <w:bCs/>
          <w:sz w:val="22"/>
          <w:szCs w:val="22"/>
        </w:rPr>
      </w:pPr>
      <w:r w:rsidRPr="00ED2901">
        <w:rPr>
          <w:rFonts w:ascii="Arial" w:hAnsi="Arial" w:cs="Arial"/>
          <w:b/>
          <w:bCs/>
          <w:sz w:val="22"/>
          <w:szCs w:val="22"/>
        </w:rPr>
        <w:t>Methodological Framework</w:t>
      </w:r>
    </w:p>
    <w:p w14:paraId="64A7D1A4" w14:textId="77777777" w:rsidR="00DD7F62" w:rsidRPr="00B16E7C" w:rsidRDefault="00DD7F62" w:rsidP="00ED2901">
      <w:pPr>
        <w:spacing w:line="360" w:lineRule="auto"/>
        <w:jc w:val="both"/>
        <w:rPr>
          <w:rFonts w:ascii="Arial" w:hAnsi="Arial" w:cs="Arial"/>
          <w:sz w:val="22"/>
          <w:szCs w:val="22"/>
        </w:rPr>
      </w:pPr>
      <w:r w:rsidRPr="00B16E7C">
        <w:rPr>
          <w:rFonts w:ascii="Arial" w:hAnsi="Arial" w:cs="Arial"/>
          <w:sz w:val="22"/>
          <w:szCs w:val="22"/>
        </w:rPr>
        <w:t>This study employs an integrated framework combining Action Research, Design-Based Research (DBR), and Reflective Practice to develop and refine an ATS-based artefact that unites technique and expression in support of emotionally truthful, identity-aligned performance (McNiff, 2013; Nelson, 2013). These approaches enable iterative cycles of planning, application, observation, and reflection, ensuring the artefact remains responsive to learner experience and inclusive pedagogy.</w:t>
      </w:r>
    </w:p>
    <w:p w14:paraId="75486F54" w14:textId="77777777" w:rsidR="00B16E7C" w:rsidRDefault="00B16E7C" w:rsidP="00ED2901">
      <w:pPr>
        <w:spacing w:line="360" w:lineRule="auto"/>
        <w:jc w:val="both"/>
        <w:rPr>
          <w:rFonts w:ascii="Arial" w:hAnsi="Arial" w:cs="Arial"/>
          <w:b/>
          <w:bCs/>
          <w:sz w:val="22"/>
          <w:szCs w:val="22"/>
        </w:rPr>
      </w:pPr>
    </w:p>
    <w:p w14:paraId="1FEED094" w14:textId="77777777" w:rsidR="00B16E7C" w:rsidRDefault="00B16E7C" w:rsidP="00ED2901">
      <w:pPr>
        <w:spacing w:line="360" w:lineRule="auto"/>
        <w:jc w:val="both"/>
        <w:rPr>
          <w:rFonts w:ascii="Arial" w:hAnsi="Arial" w:cs="Arial"/>
          <w:b/>
          <w:bCs/>
          <w:sz w:val="22"/>
          <w:szCs w:val="22"/>
        </w:rPr>
      </w:pPr>
    </w:p>
    <w:p w14:paraId="651B2C5F" w14:textId="77777777" w:rsidR="00E51F3B" w:rsidRDefault="00E51F3B" w:rsidP="00ED2901">
      <w:pPr>
        <w:spacing w:line="360" w:lineRule="auto"/>
        <w:jc w:val="both"/>
        <w:rPr>
          <w:rFonts w:ascii="Arial" w:hAnsi="Arial" w:cs="Arial"/>
          <w:b/>
          <w:bCs/>
          <w:sz w:val="22"/>
          <w:szCs w:val="22"/>
        </w:rPr>
      </w:pPr>
    </w:p>
    <w:p w14:paraId="056C073B" w14:textId="1D4E6F93" w:rsidR="006C6B89" w:rsidRPr="00ED2901" w:rsidRDefault="006C6B89" w:rsidP="00ED2901">
      <w:pPr>
        <w:spacing w:line="360" w:lineRule="auto"/>
        <w:jc w:val="both"/>
        <w:rPr>
          <w:rFonts w:ascii="Arial" w:hAnsi="Arial" w:cs="Arial"/>
          <w:b/>
          <w:bCs/>
          <w:sz w:val="22"/>
          <w:szCs w:val="22"/>
        </w:rPr>
      </w:pPr>
      <w:r w:rsidRPr="00ED2901">
        <w:rPr>
          <w:rFonts w:ascii="Arial" w:hAnsi="Arial" w:cs="Arial"/>
          <w:b/>
          <w:bCs/>
          <w:sz w:val="22"/>
          <w:szCs w:val="22"/>
        </w:rPr>
        <w:lastRenderedPageBreak/>
        <w:t>Action Research</w:t>
      </w:r>
    </w:p>
    <w:p w14:paraId="7DD936B4" w14:textId="26087AF2" w:rsidR="005F11E4" w:rsidRPr="00ED2901" w:rsidRDefault="0075071E" w:rsidP="00ED2901">
      <w:pPr>
        <w:spacing w:line="360" w:lineRule="auto"/>
        <w:jc w:val="both"/>
        <w:rPr>
          <w:rFonts w:ascii="Arial" w:hAnsi="Arial" w:cs="Arial"/>
          <w:sz w:val="22"/>
          <w:szCs w:val="22"/>
        </w:rPr>
      </w:pPr>
      <w:r w:rsidRPr="00ED2901">
        <w:rPr>
          <w:rFonts w:ascii="Arial" w:hAnsi="Arial" w:cs="Arial"/>
          <w:sz w:val="22"/>
          <w:szCs w:val="22"/>
        </w:rPr>
        <w:t xml:space="preserve">Action Research provides the foundation, using democratic, practice-centred cycles of inquiry (Kemmis &amp; McTaggart, 2000). Studio observations identified key needs: technical challenges linked to hormone-related vocal changes, psychological safety, and authenticity for trans and non-binary performers. Each cycle introduced targeted ATS interventions, evaluated outcomes against the project’s objectives: emotional truth; identity alignment; narrative clarity, </w:t>
      </w:r>
      <w:r w:rsidR="008F504C" w:rsidRPr="00ED2901">
        <w:rPr>
          <w:rFonts w:ascii="Arial" w:hAnsi="Arial" w:cs="Arial"/>
          <w:sz w:val="22"/>
          <w:szCs w:val="22"/>
        </w:rPr>
        <w:t>and</w:t>
      </w:r>
      <w:r w:rsidRPr="00ED2901">
        <w:rPr>
          <w:rFonts w:ascii="Arial" w:hAnsi="Arial" w:cs="Arial"/>
          <w:sz w:val="22"/>
          <w:szCs w:val="22"/>
        </w:rPr>
        <w:t xml:space="preserve"> vocal ease, and refined exercises accordingly. This iterative process grounded the artefact in real-world practice rather than theoretical abstraction.</w:t>
      </w:r>
    </w:p>
    <w:p w14:paraId="32F68BA8" w14:textId="5A619499" w:rsidR="006C6B89" w:rsidRPr="00ED2901" w:rsidRDefault="006C6B89" w:rsidP="00ED2901">
      <w:pPr>
        <w:spacing w:line="360" w:lineRule="auto"/>
        <w:jc w:val="both"/>
        <w:rPr>
          <w:rFonts w:ascii="Arial" w:hAnsi="Arial" w:cs="Arial"/>
          <w:b/>
          <w:bCs/>
          <w:sz w:val="22"/>
          <w:szCs w:val="22"/>
        </w:rPr>
      </w:pPr>
      <w:r w:rsidRPr="00ED2901">
        <w:rPr>
          <w:rFonts w:ascii="Arial" w:hAnsi="Arial" w:cs="Arial"/>
          <w:b/>
          <w:bCs/>
          <w:sz w:val="22"/>
          <w:szCs w:val="22"/>
        </w:rPr>
        <w:t>Design Based Research</w:t>
      </w:r>
    </w:p>
    <w:p w14:paraId="7DA8FCE7" w14:textId="77777777" w:rsidR="00A9514A" w:rsidRPr="00ED2901" w:rsidRDefault="00A9514A" w:rsidP="00ED2901">
      <w:pPr>
        <w:spacing w:line="360" w:lineRule="auto"/>
        <w:jc w:val="both"/>
        <w:rPr>
          <w:rFonts w:ascii="Arial" w:hAnsi="Arial" w:cs="Arial"/>
          <w:sz w:val="22"/>
          <w:szCs w:val="22"/>
        </w:rPr>
      </w:pPr>
      <w:r w:rsidRPr="00ED2901">
        <w:rPr>
          <w:rFonts w:ascii="Arial" w:hAnsi="Arial" w:cs="Arial"/>
          <w:sz w:val="22"/>
          <w:szCs w:val="22"/>
        </w:rPr>
        <w:t>DBR complements Action Research by embedding theory-informed interventions in authentic learning contexts (Brown, 1992; DBR Collective, 2003). Piloting ATS tasks and belt exercises with trans and non-binary singers at the University of Chichester enabled evaluation of clarity, emotional impact, and accessibility. Feedback informed sequencing, language, and framing, ensuring the artefact evolved as a flexible, identity-affirming resource for inclusive musical theatre voice training.</w:t>
      </w:r>
    </w:p>
    <w:p w14:paraId="51F7D422" w14:textId="77777777" w:rsidR="006C6B89" w:rsidRPr="00ED2901" w:rsidRDefault="006C6B89" w:rsidP="00ED2901">
      <w:pPr>
        <w:spacing w:line="360" w:lineRule="auto"/>
        <w:jc w:val="both"/>
        <w:rPr>
          <w:rFonts w:ascii="Arial" w:hAnsi="Arial" w:cs="Arial"/>
          <w:sz w:val="22"/>
          <w:szCs w:val="22"/>
        </w:rPr>
      </w:pPr>
      <w:r w:rsidRPr="00ED2901">
        <w:rPr>
          <w:rFonts w:ascii="Arial" w:hAnsi="Arial" w:cs="Arial"/>
          <w:sz w:val="22"/>
          <w:szCs w:val="22"/>
        </w:rPr>
        <w:t>Reflective Methodology</w:t>
      </w:r>
    </w:p>
    <w:p w14:paraId="765A08E5" w14:textId="77777777" w:rsidR="00A9514A" w:rsidRPr="00ED2901" w:rsidRDefault="00A9514A" w:rsidP="00ED2901">
      <w:pPr>
        <w:spacing w:line="360" w:lineRule="auto"/>
        <w:jc w:val="both"/>
        <w:rPr>
          <w:rFonts w:ascii="Arial" w:hAnsi="Arial" w:cs="Arial"/>
          <w:sz w:val="22"/>
          <w:szCs w:val="22"/>
        </w:rPr>
      </w:pPr>
      <w:r w:rsidRPr="00ED2901">
        <w:rPr>
          <w:rFonts w:ascii="Arial" w:hAnsi="Arial" w:cs="Arial"/>
          <w:sz w:val="22"/>
          <w:szCs w:val="22"/>
        </w:rPr>
        <w:t>Kolb’s Experiential Learning Cycle structured reflection across concrete experience, observation, conceptualisation, and experimentation. Learners used journals and an ATS Tracker to score emotional truth, identity alignment, narrative clarity, and vocal ease, while researcher logs documented pedagogical decisions. These tools revealed patterns linked to hormone-related change and psychological safety, supporting iterative refinement and alignment with inclusive principles (Azul, 2015; Zimman, 2018).</w:t>
      </w:r>
    </w:p>
    <w:p w14:paraId="54DB46D6" w14:textId="77777777" w:rsidR="00243CC7" w:rsidRPr="00ED2901" w:rsidRDefault="00243CC7" w:rsidP="00ED2901">
      <w:pPr>
        <w:spacing w:line="360" w:lineRule="auto"/>
        <w:jc w:val="both"/>
        <w:rPr>
          <w:rFonts w:ascii="Arial" w:hAnsi="Arial" w:cs="Arial"/>
          <w:sz w:val="22"/>
          <w:szCs w:val="22"/>
        </w:rPr>
      </w:pPr>
      <w:r w:rsidRPr="00ED2901">
        <w:rPr>
          <w:rFonts w:ascii="Arial" w:hAnsi="Arial" w:cs="Arial"/>
          <w:sz w:val="22"/>
          <w:szCs w:val="22"/>
        </w:rPr>
        <w:t>Together, these methodologies created a rigorous, ethically grounded process for developing a pedagogical artefact that integrates technical skill with identity expression. By combining responsive adjustments, theory-informed design, and sustained reflection, the framework supports performances that feel emotionally authentic and vocally secure, advancing inclusive practice in musical theatre voice pedagogy.</w:t>
      </w:r>
    </w:p>
    <w:p w14:paraId="0D8FBC7A" w14:textId="77777777" w:rsidR="0049796B" w:rsidRDefault="0049796B" w:rsidP="00ED2901">
      <w:pPr>
        <w:spacing w:line="360" w:lineRule="auto"/>
        <w:jc w:val="both"/>
        <w:rPr>
          <w:rFonts w:ascii="Arial" w:hAnsi="Arial" w:cs="Arial"/>
          <w:b/>
          <w:bCs/>
          <w:sz w:val="22"/>
          <w:szCs w:val="22"/>
        </w:rPr>
      </w:pPr>
    </w:p>
    <w:p w14:paraId="17B3DF02" w14:textId="77777777" w:rsidR="0049796B" w:rsidRDefault="0049796B" w:rsidP="00ED2901">
      <w:pPr>
        <w:spacing w:line="360" w:lineRule="auto"/>
        <w:jc w:val="both"/>
        <w:rPr>
          <w:rFonts w:ascii="Arial" w:hAnsi="Arial" w:cs="Arial"/>
          <w:b/>
          <w:bCs/>
          <w:sz w:val="22"/>
          <w:szCs w:val="22"/>
        </w:rPr>
      </w:pPr>
    </w:p>
    <w:p w14:paraId="4322E909" w14:textId="77777777" w:rsidR="00E51F3B" w:rsidRDefault="00E51F3B" w:rsidP="00ED2901">
      <w:pPr>
        <w:spacing w:line="360" w:lineRule="auto"/>
        <w:jc w:val="both"/>
        <w:rPr>
          <w:rFonts w:ascii="Arial" w:hAnsi="Arial" w:cs="Arial"/>
          <w:b/>
          <w:bCs/>
          <w:sz w:val="22"/>
          <w:szCs w:val="22"/>
        </w:rPr>
      </w:pPr>
    </w:p>
    <w:p w14:paraId="5C569192" w14:textId="77777777" w:rsidR="00E51F3B" w:rsidRDefault="00E51F3B" w:rsidP="00ED2901">
      <w:pPr>
        <w:spacing w:line="360" w:lineRule="auto"/>
        <w:jc w:val="both"/>
        <w:rPr>
          <w:rFonts w:ascii="Arial" w:hAnsi="Arial" w:cs="Arial"/>
          <w:b/>
          <w:bCs/>
          <w:sz w:val="22"/>
          <w:szCs w:val="22"/>
        </w:rPr>
      </w:pPr>
    </w:p>
    <w:p w14:paraId="3D4231C4" w14:textId="2D52CB86" w:rsidR="00DD30C1" w:rsidRPr="00ED2901" w:rsidRDefault="00DD30C1" w:rsidP="00ED2901">
      <w:pPr>
        <w:spacing w:line="360" w:lineRule="auto"/>
        <w:jc w:val="both"/>
        <w:rPr>
          <w:rFonts w:ascii="Arial" w:hAnsi="Arial" w:cs="Arial"/>
          <w:b/>
          <w:bCs/>
          <w:sz w:val="22"/>
          <w:szCs w:val="22"/>
        </w:rPr>
      </w:pPr>
      <w:r w:rsidRPr="00ED2901">
        <w:rPr>
          <w:rFonts w:ascii="Arial" w:hAnsi="Arial" w:cs="Arial"/>
          <w:b/>
          <w:bCs/>
          <w:sz w:val="22"/>
          <w:szCs w:val="22"/>
        </w:rPr>
        <w:lastRenderedPageBreak/>
        <w:t>Technical Development of Belt Vocals</w:t>
      </w:r>
    </w:p>
    <w:p w14:paraId="4A0E78CE" w14:textId="77777777" w:rsidR="00313617" w:rsidRDefault="00313617" w:rsidP="00ED2901">
      <w:pPr>
        <w:spacing w:line="360" w:lineRule="auto"/>
        <w:jc w:val="both"/>
        <w:rPr>
          <w:rFonts w:ascii="Arial" w:hAnsi="Arial" w:cs="Arial"/>
          <w:sz w:val="22"/>
          <w:szCs w:val="22"/>
        </w:rPr>
      </w:pPr>
      <w:r w:rsidRPr="00313617">
        <w:rPr>
          <w:rFonts w:ascii="Arial" w:hAnsi="Arial" w:cs="Arial"/>
          <w:sz w:val="22"/>
          <w:szCs w:val="22"/>
        </w:rPr>
        <w:t>The vocal function of transgender singers is profoundly influenced by hormonal changes, which alter various physiological aspects, such as vocal fold mass, flexibility, airflow, and resonance. These alterations exhibit significant divergence from the developmental patterns typically observed in cisgender individuals.   The administration of testosterone results in thickening of the vocal folds, consequently leading to a reduction in habitual pitch. This hormonal transition is often accompanied by an initial phase characterized by instability of the voice, erratic shifts between vocal registers, and a temporary inability to access higher vocal ranges (Azul, 2015; Davies, Papp, and Antoni, 2015; Hancock and Garabedian, 2013; Spencer, 2020).   Conversely, oestrogen does not induce structural modifications to the larynx; however, it exerts an influence on other critical aspects of vocal production, including breath coordination, muscle tension, and the distribution of resonance. Such alterations have a direct impact on belt clarity, dynamic control, and the stability of the upper vocal range, which are essential for effective vocal performance (Azul, 2016; Sataloff, 2017).</w:t>
      </w:r>
    </w:p>
    <w:p w14:paraId="431D8FE3" w14:textId="14062036" w:rsidR="00DD30C1" w:rsidRPr="00ED2901" w:rsidRDefault="00DD30C1" w:rsidP="00ED2901">
      <w:pPr>
        <w:spacing w:line="360" w:lineRule="auto"/>
        <w:jc w:val="both"/>
        <w:rPr>
          <w:rFonts w:ascii="Arial" w:hAnsi="Arial" w:cs="Arial"/>
          <w:b/>
          <w:bCs/>
          <w:sz w:val="22"/>
          <w:szCs w:val="22"/>
        </w:rPr>
      </w:pPr>
      <w:r w:rsidRPr="00ED2901">
        <w:rPr>
          <w:rFonts w:ascii="Arial" w:hAnsi="Arial" w:cs="Arial"/>
          <w:b/>
          <w:bCs/>
          <w:sz w:val="22"/>
          <w:szCs w:val="22"/>
        </w:rPr>
        <w:t>Framework for Belt Technique Development</w:t>
      </w:r>
    </w:p>
    <w:p w14:paraId="72973867" w14:textId="3C83F116" w:rsidR="007B3DA0" w:rsidRPr="00ED2901" w:rsidRDefault="007B3DA0" w:rsidP="00ED2901">
      <w:pPr>
        <w:spacing w:line="360" w:lineRule="auto"/>
        <w:rPr>
          <w:rFonts w:ascii="Arial" w:hAnsi="Arial" w:cs="Arial"/>
          <w:sz w:val="22"/>
          <w:szCs w:val="22"/>
        </w:rPr>
      </w:pPr>
      <w:r w:rsidRPr="00ED2901">
        <w:rPr>
          <w:rFonts w:ascii="Arial" w:hAnsi="Arial" w:cs="Arial"/>
          <w:sz w:val="22"/>
          <w:szCs w:val="22"/>
        </w:rPr>
        <w:t>A progressive, identity</w:t>
      </w:r>
      <w:r w:rsidRPr="00ED2901">
        <w:rPr>
          <w:rFonts w:ascii="Arial" w:hAnsi="Arial" w:cs="Arial"/>
          <w:sz w:val="22"/>
          <w:szCs w:val="22"/>
        </w:rPr>
        <w:noBreakHyphen/>
        <w:t>affirming pathway that stabilises function while integrating expressive aims.</w:t>
      </w:r>
      <w:r w:rsidR="006148D6" w:rsidRPr="00ED2901">
        <w:rPr>
          <w:rFonts w:ascii="Arial" w:hAnsi="Arial" w:cs="Arial"/>
          <w:sz w:val="22"/>
          <w:szCs w:val="22"/>
        </w:rPr>
        <w:t xml:space="preserve"> </w:t>
      </w:r>
      <w:r w:rsidRPr="00ED2901">
        <w:rPr>
          <w:rFonts w:ascii="Arial" w:hAnsi="Arial" w:cs="Arial"/>
          <w:sz w:val="22"/>
          <w:szCs w:val="22"/>
        </w:rPr>
        <w:t>Chest</w:t>
      </w:r>
      <w:r w:rsidRPr="00ED2901">
        <w:rPr>
          <w:rFonts w:ascii="Arial" w:hAnsi="Arial" w:cs="Arial"/>
          <w:sz w:val="22"/>
          <w:szCs w:val="22"/>
        </w:rPr>
        <w:noBreakHyphen/>
        <w:t>resonance exploration</w:t>
      </w:r>
      <w:r w:rsidR="006148D6" w:rsidRPr="00ED2901">
        <w:rPr>
          <w:rFonts w:ascii="Arial" w:hAnsi="Arial" w:cs="Arial"/>
          <w:sz w:val="22"/>
          <w:szCs w:val="22"/>
        </w:rPr>
        <w:t xml:space="preserve"> should be introduced via c</w:t>
      </w:r>
      <w:r w:rsidRPr="00ED2901">
        <w:rPr>
          <w:rFonts w:ascii="Arial" w:hAnsi="Arial" w:cs="Arial"/>
          <w:sz w:val="22"/>
          <w:szCs w:val="22"/>
        </w:rPr>
        <w:t xml:space="preserve">onversational tones </w:t>
      </w:r>
      <w:r w:rsidR="006148D6" w:rsidRPr="00ED2901">
        <w:rPr>
          <w:rFonts w:ascii="Arial" w:hAnsi="Arial" w:cs="Arial"/>
          <w:sz w:val="22"/>
          <w:szCs w:val="22"/>
        </w:rPr>
        <w:t>and</w:t>
      </w:r>
      <w:r w:rsidRPr="00ED2901">
        <w:rPr>
          <w:rFonts w:ascii="Arial" w:hAnsi="Arial" w:cs="Arial"/>
          <w:sz w:val="22"/>
          <w:szCs w:val="22"/>
        </w:rPr>
        <w:t xml:space="preserve"> light chest engagement to stabilise airflow; Estill</w:t>
      </w:r>
      <w:r w:rsidRPr="00ED2901">
        <w:rPr>
          <w:rFonts w:ascii="Arial" w:hAnsi="Arial" w:cs="Arial"/>
          <w:sz w:val="22"/>
          <w:szCs w:val="22"/>
        </w:rPr>
        <w:noBreakHyphen/>
        <w:t>informed efficiency (Steinhauer et al., 2017) and flow phonation principles (Titze, 2000). Especially supportive in early testosterone stages (Azul, 2015; Spencer, 2020).</w:t>
      </w:r>
      <w:r w:rsidRPr="00ED2901">
        <w:rPr>
          <w:rFonts w:ascii="Arial" w:hAnsi="Arial" w:cs="Arial"/>
          <w:sz w:val="22"/>
          <w:szCs w:val="22"/>
        </w:rPr>
        <w:br/>
      </w:r>
      <w:r w:rsidR="00B04829" w:rsidRPr="00ED2901">
        <w:rPr>
          <w:rFonts w:ascii="Arial" w:hAnsi="Arial" w:cs="Arial"/>
          <w:sz w:val="22"/>
          <w:szCs w:val="22"/>
        </w:rPr>
        <w:t xml:space="preserve">This should be measured by asking the participant to rate: </w:t>
      </w:r>
      <w:r w:rsidRPr="00ED2901">
        <w:rPr>
          <w:rFonts w:ascii="Arial" w:hAnsi="Arial" w:cs="Arial"/>
          <w:sz w:val="22"/>
          <w:szCs w:val="22"/>
        </w:rPr>
        <w:t>Vocal Ease: 1–5 effort rating</w:t>
      </w:r>
      <w:r w:rsidR="001E1947" w:rsidRPr="00ED2901">
        <w:rPr>
          <w:rFonts w:ascii="Arial" w:hAnsi="Arial" w:cs="Arial"/>
          <w:sz w:val="22"/>
          <w:szCs w:val="22"/>
        </w:rPr>
        <w:t xml:space="preserve">; </w:t>
      </w:r>
      <w:r w:rsidRPr="00ED2901">
        <w:rPr>
          <w:rFonts w:ascii="Arial" w:hAnsi="Arial" w:cs="Arial"/>
          <w:sz w:val="22"/>
          <w:szCs w:val="22"/>
        </w:rPr>
        <w:t>not</w:t>
      </w:r>
      <w:r w:rsidR="001E1947" w:rsidRPr="00ED2901">
        <w:rPr>
          <w:rFonts w:ascii="Arial" w:hAnsi="Arial" w:cs="Arial"/>
          <w:sz w:val="22"/>
          <w:szCs w:val="22"/>
        </w:rPr>
        <w:t>ing</w:t>
      </w:r>
      <w:r w:rsidRPr="00ED2901">
        <w:rPr>
          <w:rFonts w:ascii="Arial" w:hAnsi="Arial" w:cs="Arial"/>
          <w:sz w:val="22"/>
          <w:szCs w:val="22"/>
        </w:rPr>
        <w:t xml:space="preserve"> breath steadiness and absence of pressing.</w:t>
      </w:r>
      <w:r w:rsidR="001E1947" w:rsidRPr="00ED2901">
        <w:rPr>
          <w:rFonts w:ascii="Arial" w:hAnsi="Arial" w:cs="Arial"/>
          <w:sz w:val="22"/>
          <w:szCs w:val="22"/>
        </w:rPr>
        <w:t xml:space="preserve"> </w:t>
      </w:r>
      <w:r w:rsidRPr="00ED2901">
        <w:rPr>
          <w:rFonts w:ascii="Arial" w:hAnsi="Arial" w:cs="Arial"/>
          <w:sz w:val="22"/>
          <w:szCs w:val="22"/>
        </w:rPr>
        <w:t xml:space="preserve">Identity Alignment: “Does this resonance feel congruent with how you want to sound?” </w:t>
      </w:r>
      <w:r w:rsidR="001E1947" w:rsidRPr="00ED2901">
        <w:rPr>
          <w:rFonts w:ascii="Arial" w:hAnsi="Arial" w:cs="Arial"/>
          <w:sz w:val="22"/>
          <w:szCs w:val="22"/>
        </w:rPr>
        <w:t xml:space="preserve">This approach incorporates both open and closed responses, encouraging </w:t>
      </w:r>
      <w:r w:rsidR="00381772" w:rsidRPr="00ED2901">
        <w:rPr>
          <w:rFonts w:ascii="Arial" w:hAnsi="Arial" w:cs="Arial"/>
          <w:sz w:val="22"/>
          <w:szCs w:val="22"/>
        </w:rPr>
        <w:t xml:space="preserve">self reflection and expression.  </w:t>
      </w:r>
    </w:p>
    <w:p w14:paraId="06358A05" w14:textId="77777777" w:rsidR="00E14EDC" w:rsidRPr="00B16E7C" w:rsidRDefault="00E14EDC" w:rsidP="00ED2901">
      <w:pPr>
        <w:spacing w:line="360" w:lineRule="auto"/>
        <w:jc w:val="both"/>
        <w:rPr>
          <w:rFonts w:ascii="Arial" w:hAnsi="Arial" w:cs="Arial"/>
          <w:sz w:val="22"/>
          <w:szCs w:val="22"/>
        </w:rPr>
      </w:pPr>
      <w:r w:rsidRPr="00B16E7C">
        <w:rPr>
          <w:rFonts w:ascii="Arial" w:hAnsi="Arial" w:cs="Arial"/>
          <w:sz w:val="22"/>
          <w:szCs w:val="22"/>
        </w:rPr>
        <w:t>Cry-inflected octave slides, particularly supportive for transfeminine singers, use light vocal fold engagement combined with steady airflow to facilitate mixed-register coordination (Henrich, 2014; Coffin, 1989; Azul, 2016). These exercises aim to reduce tension and promote smooth transitions across the passaggio, helping singers achieve a timbre that feels authentic to their gendered vocal goals. Progress is evaluated through two measures: Vocal Ease, rated on a 1–5 scale based on smoothness and the presence or absence of pitch breaks, and Identity Alignment, also rated 1–5, accompanied by a brief note describing timbre qualities that felt congruent with the singer’s intended identity.</w:t>
      </w:r>
    </w:p>
    <w:p w14:paraId="25697EF9" w14:textId="4836A343" w:rsidR="00B16E7C" w:rsidRDefault="00E14EDC" w:rsidP="00ED2901">
      <w:pPr>
        <w:spacing w:line="360" w:lineRule="auto"/>
        <w:jc w:val="both"/>
        <w:rPr>
          <w:rFonts w:ascii="Arial" w:hAnsi="Arial" w:cs="Arial"/>
          <w:sz w:val="22"/>
          <w:szCs w:val="22"/>
        </w:rPr>
      </w:pPr>
      <w:r w:rsidRPr="00B16E7C">
        <w:rPr>
          <w:rFonts w:ascii="Arial" w:hAnsi="Arial" w:cs="Arial"/>
          <w:sz w:val="22"/>
          <w:szCs w:val="22"/>
        </w:rPr>
        <w:lastRenderedPageBreak/>
        <w:t xml:space="preserve">Similarly, semi-occluded vocal tract (SOVT) tasks—such as straw phonation—are employed to improve efficiency and stability by balancing subglottic pressure and airflow (Titze, 2006; Laukkanen et al., 2012; Davies et al., 2015). To assess their impact, singers perform a </w:t>
      </w:r>
      <w:r w:rsidR="008F504C" w:rsidRPr="00B16E7C">
        <w:rPr>
          <w:rFonts w:ascii="Arial" w:hAnsi="Arial" w:cs="Arial"/>
          <w:sz w:val="22"/>
          <w:szCs w:val="22"/>
        </w:rPr>
        <w:t>short-spoken</w:t>
      </w:r>
      <w:r w:rsidRPr="00B16E7C">
        <w:rPr>
          <w:rFonts w:ascii="Arial" w:hAnsi="Arial" w:cs="Arial"/>
          <w:sz w:val="22"/>
          <w:szCs w:val="22"/>
        </w:rPr>
        <w:t xml:space="preserve"> phrase followed by a sung line before and after the exercise, rating perceived changes in Vocal Ease and Emotional Truth. Gains are recorded as a delta score, providing a clear indicator of how the intervention supports both technical comfort and expressive authenticity.</w:t>
      </w:r>
    </w:p>
    <w:p w14:paraId="605BDBBA" w14:textId="42147216" w:rsidR="0001311E" w:rsidRPr="00ED2901" w:rsidRDefault="0001311E" w:rsidP="00ED2901">
      <w:pPr>
        <w:spacing w:line="360" w:lineRule="auto"/>
        <w:jc w:val="both"/>
        <w:rPr>
          <w:rFonts w:ascii="Arial" w:hAnsi="Arial" w:cs="Arial"/>
          <w:sz w:val="22"/>
          <w:szCs w:val="22"/>
        </w:rPr>
      </w:pPr>
      <w:r w:rsidRPr="00ED2901">
        <w:rPr>
          <w:rFonts w:ascii="Arial" w:hAnsi="Arial" w:cs="Arial"/>
          <w:sz w:val="22"/>
          <w:szCs w:val="22"/>
        </w:rPr>
        <w:t>Expressive Integration</w:t>
      </w:r>
    </w:p>
    <w:p w14:paraId="4FB16127" w14:textId="6365D930" w:rsidR="00572A79" w:rsidRPr="00ED2901" w:rsidRDefault="00572A79" w:rsidP="00ED2901">
      <w:pPr>
        <w:spacing w:line="360" w:lineRule="auto"/>
        <w:jc w:val="both"/>
        <w:rPr>
          <w:rFonts w:ascii="Arial" w:hAnsi="Arial" w:cs="Arial"/>
          <w:sz w:val="22"/>
          <w:szCs w:val="22"/>
        </w:rPr>
      </w:pPr>
      <w:r w:rsidRPr="00ED2901">
        <w:rPr>
          <w:rFonts w:ascii="Arial" w:hAnsi="Arial" w:cs="Arial"/>
          <w:sz w:val="22"/>
          <w:szCs w:val="22"/>
        </w:rPr>
        <w:t xml:space="preserve">Expressive integration pairs technical progress with emotional and narrative intention to ensure performances feel authentic and </w:t>
      </w:r>
      <w:r w:rsidR="008F504C" w:rsidRPr="00ED2901">
        <w:rPr>
          <w:rFonts w:ascii="Arial" w:hAnsi="Arial" w:cs="Arial"/>
          <w:sz w:val="22"/>
          <w:szCs w:val="22"/>
        </w:rPr>
        <w:t>identity aligned</w:t>
      </w:r>
      <w:r w:rsidRPr="00ED2901">
        <w:rPr>
          <w:rFonts w:ascii="Arial" w:hAnsi="Arial" w:cs="Arial"/>
          <w:sz w:val="22"/>
          <w:szCs w:val="22"/>
        </w:rPr>
        <w:t>. Emotional engagement is widely linked to freer, healthier vocal production and may help reduce dysphoria by reinforcing congruence between voice and self-perception (Linklater, 2006; Ziegler &amp; Barton, 2022). To evaluate this dimension, each repertoire task is assessed against four objectives: Emotional Truth, rated on a 1–5 scale with a brief note identifying the cue that unlocked authenticity; Narrative Clarity, scored 1–5 based on whether the character’s objective could be clearly summarised; Identity Alignment, rated 1–5 to indicate how well vocal choices supported gendered artistic goals; and Vocal Ease, also scored 1–5, accompanied by observations of tension sites and any semi-occluded or flow strategies applied to reduce strain.</w:t>
      </w:r>
    </w:p>
    <w:p w14:paraId="6930F8DE" w14:textId="16C850B7" w:rsidR="00B16E7C" w:rsidRDefault="00572A79" w:rsidP="00ED2901">
      <w:pPr>
        <w:spacing w:line="360" w:lineRule="auto"/>
        <w:jc w:val="both"/>
        <w:rPr>
          <w:rFonts w:ascii="Arial" w:hAnsi="Arial" w:cs="Arial"/>
          <w:sz w:val="22"/>
          <w:szCs w:val="22"/>
        </w:rPr>
      </w:pPr>
      <w:r w:rsidRPr="00ED2901">
        <w:rPr>
          <w:rFonts w:ascii="Arial" w:hAnsi="Arial" w:cs="Arial"/>
          <w:sz w:val="22"/>
          <w:szCs w:val="22"/>
        </w:rPr>
        <w:t>These measures are operationalised through the ATS Tracker, which documents forty-eight tasks across twelve weeks. Each entry records the lyric or section explored, the technical focus (eg chest resonance, SOVT), and the four objective scores, followed by a short reflection on discoveries and next steps. Evidence sources include learner self-ratings and reflections, teacher observations, optional peer or coach feedback, and basic acoustic markers such as range endpoints, passaggio smoothness, and stamina duration. Progress is defined as a median score increase of at least one point across two consecutive weeks or consistent qualitative indicators, such as reduced throat tension or clearer narrative beats. To maintain reliability, periodic co-rating with a second tutor is conducted on two dimensions - Narrative Clarity and Vocal Ease, providing an audit check against rater drift within the Design-Based Research framework.</w:t>
      </w:r>
    </w:p>
    <w:p w14:paraId="65C963C0" w14:textId="7A049B02" w:rsidR="00B16E7C" w:rsidRDefault="00B16E7C">
      <w:pPr>
        <w:rPr>
          <w:rFonts w:ascii="Arial" w:hAnsi="Arial" w:cs="Arial"/>
          <w:sz w:val="22"/>
          <w:szCs w:val="22"/>
        </w:rPr>
      </w:pPr>
      <w:r>
        <w:rPr>
          <w:rFonts w:ascii="Arial" w:hAnsi="Arial" w:cs="Arial"/>
          <w:sz w:val="22"/>
          <w:szCs w:val="22"/>
        </w:rPr>
        <w:br w:type="page"/>
      </w:r>
    </w:p>
    <w:p w14:paraId="1DBB88E6" w14:textId="1040A503" w:rsidR="00B16E7C" w:rsidRPr="00116317" w:rsidRDefault="00116317" w:rsidP="00ED2901">
      <w:pPr>
        <w:spacing w:line="360" w:lineRule="auto"/>
        <w:jc w:val="both"/>
        <w:rPr>
          <w:rFonts w:ascii="Arial" w:hAnsi="Arial" w:cs="Arial"/>
          <w:i/>
          <w:iCs/>
          <w:sz w:val="22"/>
          <w:szCs w:val="22"/>
        </w:rPr>
      </w:pPr>
      <w:r w:rsidRPr="00116317">
        <w:rPr>
          <w:rFonts w:ascii="Arial" w:hAnsi="Arial" w:cs="Arial"/>
          <w:i/>
          <w:iCs/>
          <w:sz w:val="22"/>
          <w:szCs w:val="22"/>
        </w:rPr>
        <w:lastRenderedPageBreak/>
        <w:t>Key Technical Components in Belt Development for Trans Singers</w:t>
      </w:r>
    </w:p>
    <w:p w14:paraId="3B9BBB3F" w14:textId="202E264D" w:rsidR="00B16E7C" w:rsidRPr="00ED2901" w:rsidRDefault="00116317" w:rsidP="00ED2901">
      <w:pPr>
        <w:spacing w:line="360" w:lineRule="auto"/>
        <w:jc w:val="both"/>
        <w:rPr>
          <w:rFonts w:ascii="Arial" w:hAnsi="Arial" w:cs="Arial"/>
          <w:sz w:val="22"/>
          <w:szCs w:val="22"/>
        </w:rPr>
      </w:pPr>
      <w:r w:rsidRPr="00116317">
        <w:rPr>
          <w:noProof/>
        </w:rPr>
        <w:drawing>
          <wp:inline distT="0" distB="0" distL="0" distR="0" wp14:anchorId="6CE953C0" wp14:editId="1B471B05">
            <wp:extent cx="5731510" cy="3629660"/>
            <wp:effectExtent l="0" t="0" r="2540" b="8890"/>
            <wp:docPr id="131104383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3629660"/>
                    </a:xfrm>
                    <a:prstGeom prst="rect">
                      <a:avLst/>
                    </a:prstGeom>
                    <a:noFill/>
                    <a:ln>
                      <a:noFill/>
                    </a:ln>
                  </pic:spPr>
                </pic:pic>
              </a:graphicData>
            </a:graphic>
          </wp:inline>
        </w:drawing>
      </w:r>
    </w:p>
    <w:p w14:paraId="3BAAB0DD" w14:textId="310B3510" w:rsidR="00A53A11" w:rsidRPr="00ED2901" w:rsidRDefault="0020428C" w:rsidP="00ED2901">
      <w:pPr>
        <w:spacing w:line="360" w:lineRule="auto"/>
        <w:jc w:val="both"/>
        <w:rPr>
          <w:rFonts w:ascii="Arial" w:hAnsi="Arial" w:cs="Arial"/>
          <w:sz w:val="22"/>
          <w:szCs w:val="22"/>
        </w:rPr>
      </w:pPr>
      <w:r w:rsidRPr="00ED2901">
        <w:rPr>
          <w:rFonts w:ascii="Arial" w:hAnsi="Arial" w:cs="Arial"/>
          <w:sz w:val="22"/>
          <w:szCs w:val="22"/>
        </w:rPr>
        <w:t>ATS</w:t>
      </w:r>
      <w:r w:rsidR="00A53A11" w:rsidRPr="00ED2901">
        <w:rPr>
          <w:rFonts w:ascii="Arial" w:hAnsi="Arial" w:cs="Arial"/>
          <w:sz w:val="22"/>
          <w:szCs w:val="22"/>
        </w:rPr>
        <w:t xml:space="preserve"> Integration</w:t>
      </w:r>
    </w:p>
    <w:p w14:paraId="747BA1B7" w14:textId="0672F2C8" w:rsidR="008262DD" w:rsidRPr="00ED2901" w:rsidRDefault="0020428C" w:rsidP="00ED2901">
      <w:pPr>
        <w:spacing w:line="360" w:lineRule="auto"/>
        <w:jc w:val="both"/>
        <w:rPr>
          <w:rFonts w:ascii="Arial" w:hAnsi="Arial" w:cs="Arial"/>
          <w:sz w:val="22"/>
          <w:szCs w:val="22"/>
        </w:rPr>
      </w:pPr>
      <w:r w:rsidRPr="00ED2901">
        <w:rPr>
          <w:rFonts w:ascii="Arial" w:hAnsi="Arial" w:cs="Arial"/>
          <w:sz w:val="22"/>
          <w:szCs w:val="22"/>
        </w:rPr>
        <w:t>ATS</w:t>
      </w:r>
      <w:r w:rsidR="008262DD" w:rsidRPr="00ED2901">
        <w:rPr>
          <w:rFonts w:ascii="Arial" w:hAnsi="Arial" w:cs="Arial"/>
          <w:sz w:val="22"/>
          <w:szCs w:val="22"/>
        </w:rPr>
        <w:t xml:space="preserve"> (ATS) represents the convergence of technical capability, emotional authenticity and interpretative intention. For trans and non-binary performers, however, ATS can become a source of conflict when traditional repertoire reinforces binary gender paradigms or when vocal identity feels misaligned with lived experience (Azul, 2015; Hancock and Garabedian, 2013). To address these challenges, this project proposes a reframed approach to ATS that prioritises personal authenticity, emotional coherence and identity alignment, reflecting contemporary pedagogical calls for embodied, meaning-driven performance training (Linklater, 2006; Ziegler and Barton, 2022; Milloy and Mills, 2021).</w:t>
      </w:r>
    </w:p>
    <w:p w14:paraId="45F7DD18" w14:textId="77777777" w:rsidR="008262DD" w:rsidRPr="00ED2901" w:rsidRDefault="008262DD" w:rsidP="00ED2901">
      <w:pPr>
        <w:spacing w:line="360" w:lineRule="auto"/>
        <w:jc w:val="both"/>
        <w:rPr>
          <w:rFonts w:ascii="Arial" w:hAnsi="Arial" w:cs="Arial"/>
          <w:sz w:val="22"/>
          <w:szCs w:val="22"/>
        </w:rPr>
      </w:pPr>
      <w:r w:rsidRPr="00ED2901">
        <w:rPr>
          <w:rFonts w:ascii="Arial" w:hAnsi="Arial" w:cs="Arial"/>
          <w:sz w:val="22"/>
          <w:szCs w:val="22"/>
        </w:rPr>
        <w:t xml:space="preserve">This reimagined ATS model is structured around several core strategies. Emotional Text Mapping anchors interpretation in language that holds personal significance, enhancing expressive clarity while reducing dissonance between the text and the singer’s identity (Cohen, 2012; House, 2018). Intention-based inquiry, supported by prompts such as “Why am I singing?”, links psychological motivation to vocal execution and helps performers navigate emotional and identity-related complexity without defaulting to gendered performance norms (Stanislavski, 1936; Kornfeld, 2019). Character Lens Exploration enables performers to adapt </w:t>
      </w:r>
      <w:r w:rsidRPr="00ED2901">
        <w:rPr>
          <w:rFonts w:ascii="Arial" w:hAnsi="Arial" w:cs="Arial"/>
          <w:sz w:val="22"/>
          <w:szCs w:val="22"/>
        </w:rPr>
        <w:lastRenderedPageBreak/>
        <w:t>pronouns, narrative framing or thematic focus, establishing identity-affirming pathways for interpretation (Pearl, 2020; Cooper, 2023).</w:t>
      </w:r>
    </w:p>
    <w:p w14:paraId="2969EC92" w14:textId="3AD29B7F" w:rsidR="00CF14EF" w:rsidRPr="00ED2901" w:rsidRDefault="00CF14EF" w:rsidP="00ED2901">
      <w:pPr>
        <w:spacing w:line="360" w:lineRule="auto"/>
        <w:jc w:val="both"/>
        <w:rPr>
          <w:rFonts w:ascii="Arial" w:hAnsi="Arial" w:cs="Arial"/>
          <w:sz w:val="22"/>
          <w:szCs w:val="22"/>
        </w:rPr>
      </w:pPr>
      <w:r w:rsidRPr="00ED2901">
        <w:rPr>
          <w:rFonts w:ascii="Arial" w:hAnsi="Arial" w:cs="Arial"/>
          <w:sz w:val="22"/>
          <w:szCs w:val="22"/>
        </w:rPr>
        <w:t>Each ATS task is evaluated against four objectives These metrics are logged in the ATS Tracker alongside reflections on discoveries and next steps, providing both quantitative and qualitative evidence of progress.</w:t>
      </w:r>
    </w:p>
    <w:p w14:paraId="7EA493D6" w14:textId="54F2683F" w:rsidR="00116317" w:rsidRPr="00ED2901" w:rsidRDefault="008262DD" w:rsidP="00ED2901">
      <w:pPr>
        <w:spacing w:line="360" w:lineRule="auto"/>
        <w:jc w:val="both"/>
        <w:rPr>
          <w:rFonts w:ascii="Arial" w:hAnsi="Arial" w:cs="Arial"/>
          <w:sz w:val="22"/>
          <w:szCs w:val="22"/>
        </w:rPr>
      </w:pPr>
      <w:r w:rsidRPr="00ED2901">
        <w:rPr>
          <w:rFonts w:ascii="Arial" w:hAnsi="Arial" w:cs="Arial"/>
          <w:sz w:val="22"/>
          <w:szCs w:val="22"/>
        </w:rPr>
        <w:t>The table below summarises these components, outlining their pedagogical purpose, relevance to trans voices and contribution to ATS integration.</w:t>
      </w:r>
    </w:p>
    <w:p w14:paraId="3A1514BF" w14:textId="23136F09" w:rsidR="006A156C" w:rsidRPr="00ED2901" w:rsidRDefault="00116317" w:rsidP="00ED2901">
      <w:pPr>
        <w:spacing w:line="360" w:lineRule="auto"/>
        <w:jc w:val="both"/>
        <w:rPr>
          <w:rFonts w:ascii="Arial" w:hAnsi="Arial" w:cs="Arial"/>
          <w:sz w:val="22"/>
          <w:szCs w:val="22"/>
        </w:rPr>
      </w:pPr>
      <w:r w:rsidRPr="00116317">
        <w:rPr>
          <w:noProof/>
        </w:rPr>
        <w:drawing>
          <wp:inline distT="0" distB="0" distL="0" distR="0" wp14:anchorId="467B1C63" wp14:editId="54ACF957">
            <wp:extent cx="5731510" cy="4112895"/>
            <wp:effectExtent l="0" t="0" r="2540" b="1905"/>
            <wp:docPr id="168677097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4112895"/>
                    </a:xfrm>
                    <a:prstGeom prst="rect">
                      <a:avLst/>
                    </a:prstGeom>
                    <a:noFill/>
                    <a:ln>
                      <a:noFill/>
                    </a:ln>
                  </pic:spPr>
                </pic:pic>
              </a:graphicData>
            </a:graphic>
          </wp:inline>
        </w:drawing>
      </w:r>
    </w:p>
    <w:p w14:paraId="2D1065C9" w14:textId="6C1699BF" w:rsidR="00EE1640" w:rsidRPr="00ED2901" w:rsidRDefault="00EE1640" w:rsidP="00ED2901">
      <w:pPr>
        <w:spacing w:line="360" w:lineRule="auto"/>
        <w:jc w:val="both"/>
        <w:rPr>
          <w:rFonts w:ascii="Arial" w:hAnsi="Arial" w:cs="Arial"/>
          <w:b/>
          <w:bCs/>
          <w:sz w:val="22"/>
          <w:szCs w:val="22"/>
        </w:rPr>
      </w:pPr>
      <w:r w:rsidRPr="00ED2901">
        <w:rPr>
          <w:rFonts w:ascii="Arial" w:hAnsi="Arial" w:cs="Arial"/>
          <w:b/>
          <w:bCs/>
          <w:sz w:val="22"/>
          <w:szCs w:val="22"/>
        </w:rPr>
        <w:t>Reflective Practice and Self-Agency</w:t>
      </w:r>
    </w:p>
    <w:p w14:paraId="691DA7D5" w14:textId="4C858B50" w:rsidR="00EE1640" w:rsidRPr="00ED2901" w:rsidRDefault="00EE1640" w:rsidP="00ED2901">
      <w:pPr>
        <w:spacing w:line="360" w:lineRule="auto"/>
        <w:jc w:val="both"/>
        <w:rPr>
          <w:rFonts w:ascii="Arial" w:hAnsi="Arial" w:cs="Arial"/>
          <w:sz w:val="22"/>
          <w:szCs w:val="22"/>
        </w:rPr>
      </w:pPr>
      <w:r w:rsidRPr="00ED2901">
        <w:rPr>
          <w:rFonts w:ascii="Arial" w:hAnsi="Arial" w:cs="Arial"/>
          <w:sz w:val="22"/>
          <w:szCs w:val="22"/>
        </w:rPr>
        <w:t xml:space="preserve">The Reflective Practice pillar is designed to cultivate self-awareness, emotional literacy and </w:t>
      </w:r>
      <w:r w:rsidR="00D74CD8" w:rsidRPr="00ED2901">
        <w:rPr>
          <w:rFonts w:ascii="Arial" w:hAnsi="Arial" w:cs="Arial"/>
          <w:sz w:val="22"/>
          <w:szCs w:val="22"/>
        </w:rPr>
        <w:t>a keen sense</w:t>
      </w:r>
      <w:r w:rsidRPr="00ED2901">
        <w:rPr>
          <w:rFonts w:ascii="Arial" w:hAnsi="Arial" w:cs="Arial"/>
          <w:sz w:val="22"/>
          <w:szCs w:val="22"/>
        </w:rPr>
        <w:t xml:space="preserve"> of autonomy within the learning process. Reflection is widely recognised as central to embodied performance training (Schön, 1983; Bolton, 2014), and its relevance becomes even more pronounced for trans singers whose vocal identities may be evolving across hormonal, social and psychological dimensions. Through structured reflection, performers learn to observe bodily sensations, emotional triggers and technical successes, offering crucial insight into how their voices respond to physiological fluctuation and emotional context (Davies, Papp &amp; Antoni, 2015; Azul, 2019).</w:t>
      </w:r>
    </w:p>
    <w:p w14:paraId="31BC9216" w14:textId="77777777" w:rsidR="00EE1640" w:rsidRPr="00ED2901" w:rsidRDefault="00EE1640" w:rsidP="00ED2901">
      <w:pPr>
        <w:spacing w:line="360" w:lineRule="auto"/>
        <w:jc w:val="both"/>
        <w:rPr>
          <w:rFonts w:ascii="Arial" w:hAnsi="Arial" w:cs="Arial"/>
          <w:sz w:val="22"/>
          <w:szCs w:val="22"/>
        </w:rPr>
      </w:pPr>
      <w:r w:rsidRPr="00ED2901">
        <w:rPr>
          <w:rFonts w:ascii="Arial" w:hAnsi="Arial" w:cs="Arial"/>
          <w:sz w:val="22"/>
          <w:szCs w:val="22"/>
        </w:rPr>
        <w:lastRenderedPageBreak/>
        <w:t>Within this pillar, singers employ vocal and emotional self-rating scales to track day-to-day changes in ease, resonance and confidence. These scales illuminate patterns linked to hormone-related shifts, performance anxiety or dysphoria, drawing on practices from somatic therapy where heightened bodily awareness forms the basis of adaptive change (Van der Kolk, 2014; Giddens, 2019). Such monitoring helps singers identify emerging themes in their vocal experience while fostering self-trust and grounding their sense of progress.</w:t>
      </w:r>
    </w:p>
    <w:p w14:paraId="2A3D2B90" w14:textId="77777777" w:rsidR="00EE1640" w:rsidRPr="00ED2901" w:rsidRDefault="00EE1640" w:rsidP="00ED2901">
      <w:pPr>
        <w:spacing w:line="360" w:lineRule="auto"/>
        <w:jc w:val="both"/>
        <w:rPr>
          <w:rFonts w:ascii="Arial" w:hAnsi="Arial" w:cs="Arial"/>
          <w:sz w:val="22"/>
          <w:szCs w:val="22"/>
        </w:rPr>
      </w:pPr>
      <w:r w:rsidRPr="00ED2901">
        <w:rPr>
          <w:rFonts w:ascii="Arial" w:hAnsi="Arial" w:cs="Arial"/>
          <w:sz w:val="22"/>
          <w:szCs w:val="22"/>
        </w:rPr>
        <w:t>This work is complemented by guided journaling prompts, including questions such as “What felt authentic today?”, “Where did I feel supported?” and “What did I avoid, and why?”. These facilitate deeper introspection and enable performers to link vocal behaviour with identity experience and emotional states. Journaling supports metacognition, agency and identity processing within creative arts training (Boud, Keogh &amp; Walker, 2005; Trede, 2012), making it particularly relevant for trans performers navigating questions of voice–self congruence (Hancock &amp; Garabedian, 2013; Owen, 2023).</w:t>
      </w:r>
    </w:p>
    <w:p w14:paraId="07BCF76D" w14:textId="1E01934E" w:rsidR="00EE1640" w:rsidRPr="00ED2901" w:rsidRDefault="00EE1640" w:rsidP="00ED2901">
      <w:pPr>
        <w:spacing w:line="360" w:lineRule="auto"/>
        <w:jc w:val="both"/>
        <w:rPr>
          <w:rFonts w:ascii="Arial" w:hAnsi="Arial" w:cs="Arial"/>
          <w:sz w:val="22"/>
          <w:szCs w:val="22"/>
        </w:rPr>
      </w:pPr>
      <w:r w:rsidRPr="00ED2901">
        <w:rPr>
          <w:rFonts w:ascii="Arial" w:hAnsi="Arial" w:cs="Arial"/>
          <w:sz w:val="22"/>
          <w:szCs w:val="22"/>
        </w:rPr>
        <w:t xml:space="preserve">A further layer of the strand involves post-session goal setting, encouraging singers to articulate personal aims, establish desired outcomes and shape the pace and direction of their development. This aligns with trauma-informed pedagogical models that prioritise learner autonomy and psychological safety (Carello &amp; Butler, 2015; Immes &amp; Rogers, 2021). For trans singers who may have experienced restrictive or </w:t>
      </w:r>
      <w:r w:rsidR="003C72D0" w:rsidRPr="00ED2901">
        <w:rPr>
          <w:rFonts w:ascii="Arial" w:hAnsi="Arial" w:cs="Arial"/>
          <w:sz w:val="22"/>
          <w:szCs w:val="22"/>
        </w:rPr>
        <w:t>pathologizing</w:t>
      </w:r>
      <w:r w:rsidRPr="00ED2901">
        <w:rPr>
          <w:rFonts w:ascii="Arial" w:hAnsi="Arial" w:cs="Arial"/>
          <w:sz w:val="22"/>
          <w:szCs w:val="22"/>
        </w:rPr>
        <w:t xml:space="preserve"> approaches to their voices in other contexts, goal setting reinforces agency and fosters a more supportive learning environment.</w:t>
      </w:r>
    </w:p>
    <w:p w14:paraId="776CC857" w14:textId="796B5686" w:rsidR="00EE1640" w:rsidRPr="00ED2901" w:rsidRDefault="00EE1640" w:rsidP="00ED2901">
      <w:pPr>
        <w:spacing w:line="360" w:lineRule="auto"/>
        <w:jc w:val="both"/>
        <w:rPr>
          <w:rFonts w:ascii="Arial" w:hAnsi="Arial" w:cs="Arial"/>
          <w:sz w:val="22"/>
          <w:szCs w:val="22"/>
        </w:rPr>
      </w:pPr>
      <w:r w:rsidRPr="00ED2901">
        <w:rPr>
          <w:rFonts w:ascii="Arial" w:hAnsi="Arial" w:cs="Arial"/>
          <w:sz w:val="22"/>
          <w:szCs w:val="22"/>
        </w:rPr>
        <w:t>Together, these reflective tools operate not only as pedagogical supports but as identity-affirming mechanisms. By documenting emotional and vocal journeys over time, performers gain insight into the evolving relationship between embodiment, technique and self-perception. This fosters resilience, strengthens self-advocacy and supports an empowered sense of ownership over the developing vocal identity. These processes and their pedagogical implications are summarised in the table below.</w:t>
      </w:r>
    </w:p>
    <w:p w14:paraId="5B67C5DB" w14:textId="6B290D13" w:rsidR="009747F8" w:rsidRPr="00ED2901" w:rsidRDefault="00116317" w:rsidP="00ED2901">
      <w:pPr>
        <w:spacing w:line="360" w:lineRule="auto"/>
        <w:jc w:val="both"/>
        <w:rPr>
          <w:rFonts w:ascii="Arial" w:hAnsi="Arial" w:cs="Arial"/>
          <w:sz w:val="22"/>
          <w:szCs w:val="22"/>
        </w:rPr>
      </w:pPr>
      <w:r w:rsidRPr="00116317">
        <w:rPr>
          <w:noProof/>
        </w:rPr>
        <w:lastRenderedPageBreak/>
        <w:drawing>
          <wp:inline distT="0" distB="0" distL="0" distR="0" wp14:anchorId="78D07783" wp14:editId="341E8F14">
            <wp:extent cx="5731510" cy="3509010"/>
            <wp:effectExtent l="0" t="0" r="2540" b="0"/>
            <wp:docPr id="162212993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3509010"/>
                    </a:xfrm>
                    <a:prstGeom prst="rect">
                      <a:avLst/>
                    </a:prstGeom>
                    <a:noFill/>
                    <a:ln>
                      <a:noFill/>
                    </a:ln>
                  </pic:spPr>
                </pic:pic>
              </a:graphicData>
            </a:graphic>
          </wp:inline>
        </w:drawing>
      </w:r>
    </w:p>
    <w:p w14:paraId="635D5D42" w14:textId="77777777" w:rsidR="001B5F61" w:rsidRPr="001B5F61" w:rsidRDefault="001B5F61" w:rsidP="001B5F61">
      <w:pPr>
        <w:spacing w:line="360" w:lineRule="auto"/>
        <w:jc w:val="both"/>
        <w:rPr>
          <w:rFonts w:ascii="Arial" w:hAnsi="Arial" w:cs="Arial"/>
          <w:sz w:val="22"/>
          <w:szCs w:val="22"/>
        </w:rPr>
      </w:pPr>
      <w:r w:rsidRPr="001B5F61">
        <w:rPr>
          <w:rFonts w:ascii="Arial" w:hAnsi="Arial" w:cs="Arial"/>
          <w:b/>
          <w:bCs/>
          <w:sz w:val="22"/>
          <w:szCs w:val="22"/>
        </w:rPr>
        <w:t>Discussion and Conclusions</w:t>
      </w:r>
    </w:p>
    <w:p w14:paraId="42BFBBF8" w14:textId="51DA27E0" w:rsidR="00B64E06" w:rsidRPr="001B5F61" w:rsidRDefault="009C0C21" w:rsidP="001B5F61">
      <w:pPr>
        <w:spacing w:line="360" w:lineRule="auto"/>
        <w:jc w:val="both"/>
        <w:rPr>
          <w:rFonts w:ascii="Arial" w:hAnsi="Arial" w:cs="Arial"/>
          <w:sz w:val="22"/>
          <w:szCs w:val="22"/>
        </w:rPr>
      </w:pPr>
      <w:r w:rsidRPr="009C0C21">
        <w:rPr>
          <w:rFonts w:ascii="Arial" w:hAnsi="Arial" w:cs="Arial"/>
          <w:sz w:val="22"/>
          <w:szCs w:val="22"/>
        </w:rPr>
        <w:t>The development of a trans-inclusive framework for musical theatre vocal training, particularly in relation to Belt technique, demonstrates the necessity of identity-affirming practice within contemporary performance education. Inclusivity and technical proficiency function symbiotically; when learning environments acknowledge identity, prioritise psychological safety, and validate lived experience, performers engage more fully with the physical, emotional and interpretative demands of training. Research in voice pedagogy and trauma-informed education shows that emotional security enhances risk-taking, stamina, exploratory behaviour and technical problem-solving—essential for sustainable belt development and effective Acting Through Song (Carello &amp; Butler, 2015; Warriner, 2021). Within this framework, psychological safety becomes a fundamental technical requirement, shaping breath management, registration and vocal-motor learning. Integrating these principles creates a pedagogical environment that supports both inclusive practice and advanced skill acquisition.</w:t>
      </w:r>
    </w:p>
    <w:p w14:paraId="321C7E55" w14:textId="77777777" w:rsidR="001B5F61" w:rsidRPr="001B5F61" w:rsidRDefault="001B5F61" w:rsidP="001B5F61">
      <w:pPr>
        <w:spacing w:line="360" w:lineRule="auto"/>
        <w:jc w:val="both"/>
        <w:rPr>
          <w:rFonts w:ascii="Arial" w:hAnsi="Arial" w:cs="Arial"/>
          <w:b/>
          <w:bCs/>
          <w:sz w:val="22"/>
          <w:szCs w:val="22"/>
        </w:rPr>
      </w:pPr>
      <w:r w:rsidRPr="001B5F61">
        <w:rPr>
          <w:rFonts w:ascii="Arial" w:hAnsi="Arial" w:cs="Arial"/>
          <w:b/>
          <w:bCs/>
          <w:sz w:val="22"/>
          <w:szCs w:val="22"/>
        </w:rPr>
        <w:t>Reconfiguring Teacher–Student Dynamics</w:t>
      </w:r>
    </w:p>
    <w:p w14:paraId="7FE5E803" w14:textId="35828E7D" w:rsidR="001B5F61" w:rsidRPr="001B5F61" w:rsidRDefault="009C0C21" w:rsidP="001B5F61">
      <w:pPr>
        <w:spacing w:line="360" w:lineRule="auto"/>
        <w:jc w:val="both"/>
        <w:rPr>
          <w:rFonts w:ascii="Arial" w:hAnsi="Arial" w:cs="Arial"/>
          <w:sz w:val="22"/>
          <w:szCs w:val="22"/>
        </w:rPr>
      </w:pPr>
      <w:r w:rsidRPr="009C0C21">
        <w:rPr>
          <w:rFonts w:ascii="Arial" w:hAnsi="Arial" w:cs="Arial"/>
          <w:sz w:val="22"/>
          <w:szCs w:val="22"/>
        </w:rPr>
        <w:t xml:space="preserve">The artefact advances current understandings of the teacher–student relationship by reframing it through queer pedagogies, inclusive education, and trauma-informed models (Britzman, 1995; hooks, 1994; Davies, 2019). Moving away from the hierarchical structures typical of conservatoire culture, it positions the studio as a collaborative space in which </w:t>
      </w:r>
      <w:r w:rsidRPr="009C0C21">
        <w:rPr>
          <w:rFonts w:ascii="Arial" w:hAnsi="Arial" w:cs="Arial"/>
          <w:sz w:val="22"/>
          <w:szCs w:val="22"/>
        </w:rPr>
        <w:lastRenderedPageBreak/>
        <w:t>knowledge is co-constructed through dialogue rather than transmitted unilaterally. Learners participate actively in shaping warm-ups, technical aims, repertoire choices, and reflective goals—an approach consistent with research linking autonomy and agency to increased motivation, identity congruence, and vocal confidence. This is particularly significant for trans and non-binary performers, whose experiences often include histories of vocal correction, surveillance, or misrecognition (Azul, 2015; Zimman, 2018). By decentralising authority, the studio becomes a relational and responsive environment rather than one defined by critique or compliance, fostering empowerment and supporting performers as they navigate the intersections of gender, sound, embodiment, and emotional expression.</w:t>
      </w:r>
    </w:p>
    <w:p w14:paraId="3202C8C8" w14:textId="77777777" w:rsidR="001B5F61" w:rsidRPr="001B5F61" w:rsidRDefault="001B5F61" w:rsidP="001B5F61">
      <w:pPr>
        <w:spacing w:line="360" w:lineRule="auto"/>
        <w:jc w:val="both"/>
        <w:rPr>
          <w:rFonts w:ascii="Arial" w:hAnsi="Arial" w:cs="Arial"/>
          <w:b/>
          <w:bCs/>
          <w:sz w:val="22"/>
          <w:szCs w:val="22"/>
        </w:rPr>
      </w:pPr>
      <w:r w:rsidRPr="001B5F61">
        <w:rPr>
          <w:rFonts w:ascii="Arial" w:hAnsi="Arial" w:cs="Arial"/>
          <w:b/>
          <w:bCs/>
          <w:sz w:val="22"/>
          <w:szCs w:val="22"/>
        </w:rPr>
        <w:t>Pedagogical Implications</w:t>
      </w:r>
    </w:p>
    <w:p w14:paraId="34A00657" w14:textId="77777777" w:rsidR="009C0C21" w:rsidRPr="009C0C21" w:rsidRDefault="009C0C21" w:rsidP="009C0C21">
      <w:pPr>
        <w:spacing w:line="360" w:lineRule="auto"/>
        <w:jc w:val="both"/>
        <w:rPr>
          <w:rFonts w:ascii="Arial" w:hAnsi="Arial" w:cs="Arial"/>
          <w:sz w:val="22"/>
          <w:szCs w:val="22"/>
        </w:rPr>
      </w:pPr>
      <w:r w:rsidRPr="009C0C21">
        <w:rPr>
          <w:rFonts w:ascii="Arial" w:hAnsi="Arial" w:cs="Arial"/>
          <w:sz w:val="22"/>
          <w:szCs w:val="22"/>
        </w:rPr>
        <w:t>The pedagogical implications of this study extend across assessment practices, exercise design, instructional communication, and the broader ethos of the learning environment. A central outcome is the redistribution of authority within the studio, which enables students to take increased ownership of technical and interpretative choices. This shift supports the development of intrinsic evaluative frameworks grounded in personal values, vocal health, and authenticity. Such autonomy is central to inclusive arts pedagogy, where agency is positioned as both an educational principle and a matter of social justice (Kumashiro, 2002; Nelson, 2013).</w:t>
      </w:r>
    </w:p>
    <w:p w14:paraId="7A200168" w14:textId="77777777" w:rsidR="009C0C21" w:rsidRPr="009C0C21" w:rsidRDefault="009C0C21" w:rsidP="009C0C21">
      <w:pPr>
        <w:spacing w:line="360" w:lineRule="auto"/>
        <w:jc w:val="both"/>
        <w:rPr>
          <w:rFonts w:ascii="Arial" w:hAnsi="Arial" w:cs="Arial"/>
          <w:sz w:val="22"/>
          <w:szCs w:val="22"/>
        </w:rPr>
      </w:pPr>
      <w:r w:rsidRPr="009C0C21">
        <w:rPr>
          <w:rFonts w:ascii="Arial" w:hAnsi="Arial" w:cs="Arial"/>
          <w:sz w:val="22"/>
          <w:szCs w:val="22"/>
        </w:rPr>
        <w:t>A reimagining of assessment criteria further reflects this pedagogical evolution. Traditional measures—accuracy, stylistic replication, and adherence to normative vocal aesthetics—are expanded to include emotional sincerity, identity alignment, narrative clarity, and coherence of intent. These expanded criteria respond to ATS scholarship that prioritises authenticity over gendered norms (Donnellan, 2005; Linklater, 2006). For trans and non-binary performers, this reframing holds particular significance, acknowledging diverse expressive identities and decentring binary performance expectations (Azul, 2015; Zimman, 2018).</w:t>
      </w:r>
    </w:p>
    <w:p w14:paraId="38E2EFC3" w14:textId="77777777" w:rsidR="009C0C21" w:rsidRPr="009C0C21" w:rsidRDefault="009C0C21" w:rsidP="009C0C21">
      <w:pPr>
        <w:spacing w:line="360" w:lineRule="auto"/>
        <w:jc w:val="both"/>
        <w:rPr>
          <w:rFonts w:ascii="Arial" w:hAnsi="Arial" w:cs="Arial"/>
          <w:sz w:val="22"/>
          <w:szCs w:val="22"/>
        </w:rPr>
      </w:pPr>
      <w:r w:rsidRPr="009C0C21">
        <w:rPr>
          <w:rFonts w:ascii="Arial" w:hAnsi="Arial" w:cs="Arial"/>
          <w:sz w:val="22"/>
          <w:szCs w:val="22"/>
        </w:rPr>
        <w:t>Reflective practices—such as journaling, sensation mapping, and identity-focused prompts—play a critical role in developing emotional literacy and physiological awareness. These tools enable learners to monitor the effects of hormone-related change, identify sensory triggers, and understand relationships between technical strategies and emotional or identity-based experiences. Trauma-informed research further links emotional grounding with vocal ease, clarity, and resilience (Carello &amp; Butler, 2015; Owen, 2023). As such, reflection functions both as a pedagogical strategy and an essential safeguard for wellbeing.</w:t>
      </w:r>
    </w:p>
    <w:p w14:paraId="67EC0037" w14:textId="72F79C46" w:rsidR="009C0C21" w:rsidRPr="009C0C21" w:rsidRDefault="009C0C21" w:rsidP="001B5F61">
      <w:pPr>
        <w:spacing w:line="360" w:lineRule="auto"/>
        <w:jc w:val="both"/>
        <w:rPr>
          <w:rFonts w:ascii="Arial" w:hAnsi="Arial" w:cs="Arial"/>
          <w:sz w:val="22"/>
          <w:szCs w:val="22"/>
        </w:rPr>
      </w:pPr>
      <w:r w:rsidRPr="009C0C21">
        <w:rPr>
          <w:rFonts w:ascii="Arial" w:hAnsi="Arial" w:cs="Arial"/>
          <w:sz w:val="22"/>
          <w:szCs w:val="22"/>
        </w:rPr>
        <w:lastRenderedPageBreak/>
        <w:t>Collectively, these implications signify a shift toward pedagogies that value experiential nuance, embodied knowledge, and identity authenticity alongside technical skill, positioning inclusive vocal training as both ethically necessary and artistically generative.</w:t>
      </w:r>
    </w:p>
    <w:p w14:paraId="2B38A148" w14:textId="62977839" w:rsidR="001B5F61" w:rsidRPr="001B5F61" w:rsidRDefault="001B5F61" w:rsidP="001B5F61">
      <w:pPr>
        <w:spacing w:line="360" w:lineRule="auto"/>
        <w:jc w:val="both"/>
        <w:rPr>
          <w:rFonts w:ascii="Arial" w:hAnsi="Arial" w:cs="Arial"/>
          <w:b/>
          <w:bCs/>
          <w:sz w:val="22"/>
          <w:szCs w:val="22"/>
        </w:rPr>
      </w:pPr>
      <w:r w:rsidRPr="001B5F61">
        <w:rPr>
          <w:rFonts w:ascii="Arial" w:hAnsi="Arial" w:cs="Arial"/>
          <w:b/>
          <w:bCs/>
          <w:sz w:val="22"/>
          <w:szCs w:val="22"/>
        </w:rPr>
        <w:t>Structural Considerations</w:t>
      </w:r>
    </w:p>
    <w:p w14:paraId="2208D97D" w14:textId="77777777" w:rsidR="00E91715" w:rsidRDefault="00E91715" w:rsidP="001B5F61">
      <w:pPr>
        <w:spacing w:line="360" w:lineRule="auto"/>
        <w:jc w:val="both"/>
        <w:rPr>
          <w:rFonts w:ascii="Arial" w:hAnsi="Arial" w:cs="Arial"/>
          <w:sz w:val="22"/>
          <w:szCs w:val="22"/>
        </w:rPr>
      </w:pPr>
      <w:r w:rsidRPr="00E91715">
        <w:rPr>
          <w:rFonts w:ascii="Arial" w:hAnsi="Arial" w:cs="Arial"/>
          <w:sz w:val="22"/>
          <w:szCs w:val="22"/>
        </w:rPr>
        <w:t>The artefact offers a flexible, practitioner-focused framework, but its successful implementation depends on educators who are confident using identity-affirming language, trans-informed voice science, and trauma-aware pedagogy. These skills enable teachers to interpret vocal behaviour not only physiologically but also through emotional, cultural, and identity-based contexts. However, institutional structures may limit the integration of identity-aligned training. Fixed timetables, traditional assessment models, canonical repertoire expectations, and binary casting conventions can restrict opportunities for trans and non-binary singers, narrowing both artistic and technical development. Many conservatoires still operate within gendered voice-type systems, reducing the availability of suitable repertoire and limiting interpretative agency. While the artefact provides a strong pedagogical tool, meaningful, sustainable change requires systemic support. Curriculum reform is essential so that inclusive practice becomes embedded rather than optional, aligning with sector-wide movements toward equitable, decolonised, and trauma-informed educational environments.</w:t>
      </w:r>
    </w:p>
    <w:p w14:paraId="5E76FB0B" w14:textId="7C0D3721" w:rsidR="001B5F61" w:rsidRPr="001B5F61" w:rsidRDefault="001B5F61" w:rsidP="001B5F61">
      <w:pPr>
        <w:spacing w:line="360" w:lineRule="auto"/>
        <w:jc w:val="both"/>
        <w:rPr>
          <w:rFonts w:ascii="Arial" w:hAnsi="Arial" w:cs="Arial"/>
          <w:b/>
          <w:bCs/>
          <w:sz w:val="22"/>
          <w:szCs w:val="22"/>
        </w:rPr>
      </w:pPr>
      <w:r w:rsidRPr="001B5F61">
        <w:rPr>
          <w:rFonts w:ascii="Arial" w:hAnsi="Arial" w:cs="Arial"/>
          <w:b/>
          <w:bCs/>
          <w:sz w:val="22"/>
          <w:szCs w:val="22"/>
        </w:rPr>
        <w:t>Final Reflections</w:t>
      </w:r>
    </w:p>
    <w:p w14:paraId="2B17D216" w14:textId="77777777" w:rsidR="00E91715" w:rsidRDefault="00E91715" w:rsidP="001B5F61">
      <w:pPr>
        <w:spacing w:line="360" w:lineRule="auto"/>
        <w:jc w:val="both"/>
        <w:rPr>
          <w:rFonts w:ascii="Arial" w:hAnsi="Arial" w:cs="Arial"/>
          <w:sz w:val="22"/>
          <w:szCs w:val="22"/>
        </w:rPr>
      </w:pPr>
      <w:r w:rsidRPr="00E91715">
        <w:rPr>
          <w:rFonts w:ascii="Arial" w:hAnsi="Arial" w:cs="Arial"/>
          <w:sz w:val="22"/>
          <w:szCs w:val="22"/>
        </w:rPr>
        <w:t>This study presents a framework that synthesizes evidence-based techniques for belt singing, expressive methodologies from the American Tribal Style (ATS), and a structured approach to reflective practice. The resultant model illustrates the harmonious interplay between technical precision and personal expression. Historically, voice training in musical theatre has been influenced by binary assumptions; however, this artefact posits a need to reconceptualize the voice as a dynamic, relational, and multifaceted construct, which is shaped by an interplay of physiological, psychological, and sociocultural factors. Such a perspective aligns with contemporary academic discourse that perceives the voice as more than merely an instrument; instead, it is viewed as an embodied locus for identity, agency, and the construction of meaning, as articulated by scholars such as Eidsheim (2015) and Azul et al. (2022).</w:t>
      </w:r>
    </w:p>
    <w:p w14:paraId="2B96069A" w14:textId="77777777" w:rsidR="00201C6F" w:rsidRDefault="00201C6F" w:rsidP="001B5F61">
      <w:pPr>
        <w:spacing w:line="360" w:lineRule="auto"/>
        <w:jc w:val="both"/>
        <w:rPr>
          <w:rFonts w:ascii="Arial" w:hAnsi="Arial" w:cs="Arial"/>
          <w:sz w:val="22"/>
          <w:szCs w:val="22"/>
        </w:rPr>
      </w:pPr>
      <w:r w:rsidRPr="00201C6F">
        <w:rPr>
          <w:rFonts w:ascii="Arial" w:hAnsi="Arial" w:cs="Arial"/>
          <w:sz w:val="22"/>
          <w:szCs w:val="22"/>
        </w:rPr>
        <w:t xml:space="preserve">The impending implementation of Module 6 serves as a critical opportunity to evaluate the framework in a practical teaching context, thereby producing experiential data that will inform its technical, expressive, and pedagogical aspects. The assessment will be informed by participant feedback, observational documentation, and reflective materials, which will </w:t>
      </w:r>
      <w:r w:rsidRPr="00201C6F">
        <w:rPr>
          <w:rFonts w:ascii="Arial" w:hAnsi="Arial" w:cs="Arial"/>
          <w:sz w:val="22"/>
          <w:szCs w:val="22"/>
        </w:rPr>
        <w:lastRenderedPageBreak/>
        <w:t>collectively elucidate the operational efficacy of the framework across varied learner contexts and identify areas that may require further modification.</w:t>
      </w:r>
    </w:p>
    <w:p w14:paraId="0FAD9F2C" w14:textId="77777777" w:rsidR="00201C6F" w:rsidRDefault="00201C6F" w:rsidP="001B5F61">
      <w:pPr>
        <w:spacing w:line="360" w:lineRule="auto"/>
        <w:jc w:val="both"/>
        <w:rPr>
          <w:rFonts w:ascii="Arial" w:hAnsi="Arial" w:cs="Arial"/>
          <w:sz w:val="22"/>
          <w:szCs w:val="22"/>
        </w:rPr>
      </w:pPr>
      <w:r w:rsidRPr="00201C6F">
        <w:rPr>
          <w:rFonts w:ascii="Arial" w:hAnsi="Arial" w:cs="Arial"/>
          <w:sz w:val="22"/>
          <w:szCs w:val="22"/>
        </w:rPr>
        <w:t>This research significantly advances the discourse surrounding equity and representation in the performing arts sector. By prioritizing trans and non-binary perspectives, the study validates their entitlement to not merely engage but also to excel in the domain of musical theatre training. Furthermore, the artifact serves to interrogate established norms, thereby facilitating the emergence of a pedagogical environment that is more inclusive, adaptive, and ethically oriented. In this revised context, each vocalist is afforded the opportunity to investigate, cultivate, and honor their unique vocal expression according to their individual values and conditions.</w:t>
      </w:r>
    </w:p>
    <w:p w14:paraId="0CFA21A2" w14:textId="2B72BDF9" w:rsidR="00313617" w:rsidRPr="001B5F61" w:rsidRDefault="00313617" w:rsidP="00ED2901">
      <w:pPr>
        <w:spacing w:line="360" w:lineRule="auto"/>
        <w:jc w:val="both"/>
        <w:rPr>
          <w:rFonts w:ascii="Arial" w:hAnsi="Arial" w:cs="Arial"/>
          <w:sz w:val="22"/>
          <w:szCs w:val="22"/>
        </w:rPr>
      </w:pPr>
      <w:r w:rsidRPr="00313617">
        <w:rPr>
          <w:rFonts w:ascii="Arial" w:hAnsi="Arial" w:cs="Arial"/>
          <w:sz w:val="22"/>
          <w:szCs w:val="22"/>
        </w:rPr>
        <w:t>The evolution of musical theatre, both in artistic expression and social dynamics, necessitates the establishment of frameworks that prioritize diversity in vocal identity. Within this context, vocal diversity should not be perceived as a challenge to be addressed but rather as an essential element that contributes to creative richness. The present study provides a foundational basis for subsequent pedagogical innovations, aiming to transform voice education into a domain characterized by liberation, authenticity, and the promotion of flourishing for performers across all gender identities.</w:t>
      </w:r>
    </w:p>
    <w:p w14:paraId="15556AD4" w14:textId="406C322E" w:rsidR="00074377" w:rsidRPr="00ED2901" w:rsidRDefault="00074377" w:rsidP="00ED2901">
      <w:pPr>
        <w:spacing w:line="360" w:lineRule="auto"/>
        <w:jc w:val="both"/>
        <w:rPr>
          <w:rFonts w:ascii="Arial" w:hAnsi="Arial" w:cs="Arial"/>
          <w:b/>
          <w:bCs/>
          <w:sz w:val="22"/>
          <w:szCs w:val="22"/>
        </w:rPr>
      </w:pPr>
      <w:r w:rsidRPr="00ED2901">
        <w:rPr>
          <w:rFonts w:ascii="Arial" w:hAnsi="Arial" w:cs="Arial"/>
          <w:b/>
          <w:bCs/>
          <w:sz w:val="22"/>
          <w:szCs w:val="22"/>
        </w:rPr>
        <w:t xml:space="preserve">Word Count: </w:t>
      </w:r>
      <w:r w:rsidR="00313617">
        <w:rPr>
          <w:rFonts w:ascii="Arial" w:hAnsi="Arial" w:cs="Arial"/>
          <w:b/>
          <w:bCs/>
          <w:sz w:val="22"/>
          <w:szCs w:val="22"/>
        </w:rPr>
        <w:t>4</w:t>
      </w:r>
      <w:r w:rsidR="00D0734F">
        <w:rPr>
          <w:rFonts w:ascii="Arial" w:hAnsi="Arial" w:cs="Arial"/>
          <w:b/>
          <w:bCs/>
          <w:sz w:val="22"/>
          <w:szCs w:val="22"/>
        </w:rPr>
        <w:t>323</w:t>
      </w:r>
    </w:p>
    <w:p w14:paraId="5C54F0BD" w14:textId="50909570" w:rsidR="005E655B" w:rsidRDefault="0042409E" w:rsidP="00D55899">
      <w:pPr>
        <w:rPr>
          <w:rFonts w:ascii="Arial" w:hAnsi="Arial" w:cs="Arial"/>
          <w:b/>
          <w:bCs/>
          <w:sz w:val="22"/>
          <w:szCs w:val="22"/>
        </w:rPr>
      </w:pPr>
      <w:r w:rsidRPr="00ED2901">
        <w:rPr>
          <w:rFonts w:ascii="Arial" w:hAnsi="Arial" w:cs="Arial"/>
          <w:sz w:val="22"/>
          <w:szCs w:val="22"/>
        </w:rPr>
        <w:br w:type="page"/>
      </w:r>
    </w:p>
    <w:p w14:paraId="6090C599" w14:textId="77777777" w:rsidR="00D55899" w:rsidRPr="00D55899" w:rsidRDefault="00D55899" w:rsidP="0038603C">
      <w:pPr>
        <w:spacing w:line="360" w:lineRule="auto"/>
        <w:rPr>
          <w:rFonts w:ascii="Arial" w:hAnsi="Arial" w:cs="Arial"/>
          <w:b/>
          <w:bCs/>
          <w:sz w:val="22"/>
          <w:szCs w:val="22"/>
        </w:rPr>
      </w:pPr>
      <w:r w:rsidRPr="00D55899">
        <w:rPr>
          <w:rFonts w:ascii="Arial" w:hAnsi="Arial" w:cs="Arial"/>
          <w:b/>
          <w:bCs/>
          <w:sz w:val="22"/>
          <w:szCs w:val="22"/>
        </w:rPr>
        <w:lastRenderedPageBreak/>
        <w:t>Appendix A: User Guide and Exercise Framework for the Trans Voices Belt and ATS Tracker</w:t>
      </w:r>
    </w:p>
    <w:p w14:paraId="23651780" w14:textId="77777777" w:rsidR="00D63C5B" w:rsidRPr="0038603C" w:rsidRDefault="00D63C5B" w:rsidP="0038603C">
      <w:pPr>
        <w:spacing w:line="360" w:lineRule="auto"/>
        <w:rPr>
          <w:rFonts w:ascii="Arial" w:hAnsi="Arial" w:cs="Arial"/>
          <w:sz w:val="22"/>
          <w:szCs w:val="22"/>
        </w:rPr>
      </w:pPr>
      <w:r w:rsidRPr="0038603C">
        <w:rPr>
          <w:rFonts w:ascii="Arial" w:hAnsi="Arial" w:cs="Arial"/>
          <w:sz w:val="22"/>
          <w:szCs w:val="22"/>
        </w:rPr>
        <w:t>This appendix provides a detailed guide on the utilization of the Trans Voices Belt and ATS Tracker, serving as a supplementary resource to ATS: A Trans-Inclusive Framework for Developing the Belt Voice. The tracker is designed to facilitate transgender and non-binary performers in the systematic monitoring of technical development, emotional alignment, and identity congruence throughout a twelve-week timeframe. Its application extends to individual practice, personalized coaching sessions, or integration into conservatoire training programs.</w:t>
      </w:r>
    </w:p>
    <w:p w14:paraId="1F36D894" w14:textId="51F79D94" w:rsidR="00D55899" w:rsidRPr="00D55899" w:rsidRDefault="00D55899" w:rsidP="0038603C">
      <w:pPr>
        <w:spacing w:line="360" w:lineRule="auto"/>
        <w:rPr>
          <w:rFonts w:ascii="Arial" w:hAnsi="Arial" w:cs="Arial"/>
          <w:b/>
          <w:bCs/>
          <w:sz w:val="22"/>
          <w:szCs w:val="22"/>
        </w:rPr>
      </w:pPr>
      <w:r w:rsidRPr="00D55899">
        <w:rPr>
          <w:rFonts w:ascii="Arial" w:hAnsi="Arial" w:cs="Arial"/>
          <w:b/>
          <w:bCs/>
          <w:sz w:val="22"/>
          <w:szCs w:val="22"/>
        </w:rPr>
        <w:t>Introduction to the Tracker</w:t>
      </w:r>
    </w:p>
    <w:p w14:paraId="161F77D1" w14:textId="77777777" w:rsidR="00D55899" w:rsidRPr="00D55899" w:rsidRDefault="00D55899" w:rsidP="0038603C">
      <w:pPr>
        <w:spacing w:line="360" w:lineRule="auto"/>
        <w:rPr>
          <w:rFonts w:ascii="Arial" w:hAnsi="Arial" w:cs="Arial"/>
          <w:sz w:val="22"/>
          <w:szCs w:val="22"/>
        </w:rPr>
      </w:pPr>
      <w:r w:rsidRPr="00D55899">
        <w:rPr>
          <w:rFonts w:ascii="Arial" w:hAnsi="Arial" w:cs="Arial"/>
          <w:sz w:val="22"/>
          <w:szCs w:val="22"/>
        </w:rPr>
        <w:t>The tracker is organised into four connected sheets:</w:t>
      </w:r>
    </w:p>
    <w:p w14:paraId="50443C6E" w14:textId="77777777" w:rsidR="00D55899" w:rsidRPr="00D55899" w:rsidRDefault="00D55899" w:rsidP="0038603C">
      <w:pPr>
        <w:numPr>
          <w:ilvl w:val="0"/>
          <w:numId w:val="27"/>
        </w:numPr>
        <w:spacing w:line="360" w:lineRule="auto"/>
        <w:rPr>
          <w:rFonts w:ascii="Arial" w:hAnsi="Arial" w:cs="Arial"/>
          <w:sz w:val="22"/>
          <w:szCs w:val="22"/>
        </w:rPr>
      </w:pPr>
      <w:r w:rsidRPr="00D55899">
        <w:rPr>
          <w:rFonts w:ascii="Arial" w:hAnsi="Arial" w:cs="Arial"/>
          <w:b/>
          <w:bCs/>
          <w:sz w:val="22"/>
          <w:szCs w:val="22"/>
        </w:rPr>
        <w:t>Belt Tracker</w:t>
      </w:r>
      <w:r w:rsidRPr="00D55899">
        <w:rPr>
          <w:rFonts w:ascii="Arial" w:hAnsi="Arial" w:cs="Arial"/>
          <w:sz w:val="22"/>
          <w:szCs w:val="22"/>
        </w:rPr>
        <w:br/>
        <w:t>Monitors the development of belt technique and how it feels over time.</w:t>
      </w:r>
    </w:p>
    <w:p w14:paraId="64CF27F1" w14:textId="77777777" w:rsidR="00D55899" w:rsidRPr="00D55899" w:rsidRDefault="00D55899" w:rsidP="0038603C">
      <w:pPr>
        <w:numPr>
          <w:ilvl w:val="0"/>
          <w:numId w:val="27"/>
        </w:numPr>
        <w:spacing w:line="360" w:lineRule="auto"/>
        <w:rPr>
          <w:rFonts w:ascii="Arial" w:hAnsi="Arial" w:cs="Arial"/>
          <w:sz w:val="22"/>
          <w:szCs w:val="22"/>
        </w:rPr>
      </w:pPr>
      <w:r w:rsidRPr="00D55899">
        <w:rPr>
          <w:rFonts w:ascii="Arial" w:hAnsi="Arial" w:cs="Arial"/>
          <w:b/>
          <w:bCs/>
          <w:sz w:val="22"/>
          <w:szCs w:val="22"/>
        </w:rPr>
        <w:t>ATS Tracker</w:t>
      </w:r>
      <w:r w:rsidRPr="00D55899">
        <w:rPr>
          <w:rFonts w:ascii="Arial" w:hAnsi="Arial" w:cs="Arial"/>
          <w:sz w:val="22"/>
          <w:szCs w:val="22"/>
        </w:rPr>
        <w:br/>
        <w:t>Supports exploration of storytelling, emotional clarity, intention and identity while singing.</w:t>
      </w:r>
    </w:p>
    <w:p w14:paraId="7A3C3C89" w14:textId="77777777" w:rsidR="00D55899" w:rsidRPr="00D55899" w:rsidRDefault="00D55899" w:rsidP="0038603C">
      <w:pPr>
        <w:numPr>
          <w:ilvl w:val="0"/>
          <w:numId w:val="27"/>
        </w:numPr>
        <w:spacing w:line="360" w:lineRule="auto"/>
        <w:rPr>
          <w:rFonts w:ascii="Arial" w:hAnsi="Arial" w:cs="Arial"/>
          <w:sz w:val="22"/>
          <w:szCs w:val="22"/>
        </w:rPr>
      </w:pPr>
      <w:r w:rsidRPr="00D55899">
        <w:rPr>
          <w:rFonts w:ascii="Arial" w:hAnsi="Arial" w:cs="Arial"/>
          <w:b/>
          <w:bCs/>
          <w:sz w:val="22"/>
          <w:szCs w:val="22"/>
        </w:rPr>
        <w:t>Reflection Log</w:t>
      </w:r>
      <w:r w:rsidRPr="00D55899">
        <w:rPr>
          <w:rFonts w:ascii="Arial" w:hAnsi="Arial" w:cs="Arial"/>
          <w:sz w:val="22"/>
          <w:szCs w:val="22"/>
        </w:rPr>
        <w:br/>
        <w:t>Provides space to document lived experience, emotional responses and moments of authenticity.</w:t>
      </w:r>
    </w:p>
    <w:p w14:paraId="73EB5ADD" w14:textId="77777777" w:rsidR="00D55899" w:rsidRPr="00D55899" w:rsidRDefault="00D55899" w:rsidP="0038603C">
      <w:pPr>
        <w:numPr>
          <w:ilvl w:val="0"/>
          <w:numId w:val="27"/>
        </w:numPr>
        <w:spacing w:line="360" w:lineRule="auto"/>
        <w:rPr>
          <w:rFonts w:ascii="Arial" w:hAnsi="Arial" w:cs="Arial"/>
          <w:sz w:val="22"/>
          <w:szCs w:val="22"/>
        </w:rPr>
      </w:pPr>
      <w:r w:rsidRPr="00D55899">
        <w:rPr>
          <w:rFonts w:ascii="Arial" w:hAnsi="Arial" w:cs="Arial"/>
          <w:b/>
          <w:bCs/>
          <w:sz w:val="22"/>
          <w:szCs w:val="22"/>
        </w:rPr>
        <w:t>Overview</w:t>
      </w:r>
      <w:r w:rsidRPr="00D55899">
        <w:rPr>
          <w:rFonts w:ascii="Arial" w:hAnsi="Arial" w:cs="Arial"/>
          <w:sz w:val="22"/>
          <w:szCs w:val="22"/>
        </w:rPr>
        <w:br/>
        <w:t>Offers a weekly summary that shows emerging patterns across all areas.</w:t>
      </w:r>
    </w:p>
    <w:p w14:paraId="3BB03E44" w14:textId="7A35800E" w:rsidR="00D55899" w:rsidRPr="00D55899" w:rsidRDefault="00D55899" w:rsidP="0038603C">
      <w:pPr>
        <w:spacing w:line="360" w:lineRule="auto"/>
        <w:rPr>
          <w:rFonts w:ascii="Arial" w:hAnsi="Arial" w:cs="Arial"/>
          <w:sz w:val="22"/>
          <w:szCs w:val="22"/>
        </w:rPr>
      </w:pPr>
      <w:r w:rsidRPr="00D55899">
        <w:rPr>
          <w:rFonts w:ascii="Arial" w:hAnsi="Arial" w:cs="Arial"/>
          <w:sz w:val="22"/>
          <w:szCs w:val="22"/>
        </w:rPr>
        <w:t>Together, these sheets create a holistic picture of how voice, expression and identity evolve during the training process.</w:t>
      </w:r>
    </w:p>
    <w:p w14:paraId="735183E0" w14:textId="77777777" w:rsidR="00D55899" w:rsidRPr="00D55899" w:rsidRDefault="00D55899" w:rsidP="0038603C">
      <w:pPr>
        <w:spacing w:line="360" w:lineRule="auto"/>
        <w:rPr>
          <w:rFonts w:ascii="Arial" w:hAnsi="Arial" w:cs="Arial"/>
          <w:b/>
          <w:bCs/>
          <w:sz w:val="22"/>
          <w:szCs w:val="22"/>
        </w:rPr>
      </w:pPr>
      <w:r w:rsidRPr="00D55899">
        <w:rPr>
          <w:rFonts w:ascii="Arial" w:hAnsi="Arial" w:cs="Arial"/>
          <w:b/>
          <w:bCs/>
          <w:sz w:val="22"/>
          <w:szCs w:val="22"/>
        </w:rPr>
        <w:t>Instructions for Using Each Sheet</w:t>
      </w:r>
    </w:p>
    <w:p w14:paraId="193D2C07" w14:textId="77777777" w:rsidR="00D55899" w:rsidRPr="00D55899" w:rsidRDefault="00D55899" w:rsidP="0038603C">
      <w:pPr>
        <w:spacing w:line="360" w:lineRule="auto"/>
        <w:rPr>
          <w:rFonts w:ascii="Arial" w:hAnsi="Arial" w:cs="Arial"/>
          <w:b/>
          <w:bCs/>
          <w:sz w:val="22"/>
          <w:szCs w:val="22"/>
        </w:rPr>
      </w:pPr>
      <w:r w:rsidRPr="00D55899">
        <w:rPr>
          <w:rFonts w:ascii="Arial" w:hAnsi="Arial" w:cs="Arial"/>
          <w:b/>
          <w:bCs/>
          <w:sz w:val="22"/>
          <w:szCs w:val="22"/>
        </w:rPr>
        <w:t>Belt Tracker</w:t>
      </w:r>
    </w:p>
    <w:p w14:paraId="5ACEC190" w14:textId="77777777" w:rsidR="00D55899" w:rsidRPr="00D55899" w:rsidRDefault="00D55899" w:rsidP="0038603C">
      <w:pPr>
        <w:spacing w:line="360" w:lineRule="auto"/>
        <w:rPr>
          <w:rFonts w:ascii="Arial" w:hAnsi="Arial" w:cs="Arial"/>
          <w:sz w:val="22"/>
          <w:szCs w:val="22"/>
        </w:rPr>
      </w:pPr>
      <w:r w:rsidRPr="00D55899">
        <w:rPr>
          <w:rFonts w:ascii="Arial" w:hAnsi="Arial" w:cs="Arial"/>
          <w:sz w:val="22"/>
          <w:szCs w:val="22"/>
        </w:rPr>
        <w:t>This sheet contains seventy-two rows covering six exercises across twelve weeks.</w:t>
      </w:r>
    </w:p>
    <w:p w14:paraId="48E493EB" w14:textId="77777777" w:rsidR="00D55899" w:rsidRPr="00D55899" w:rsidRDefault="00D55899" w:rsidP="0038603C">
      <w:pPr>
        <w:spacing w:line="360" w:lineRule="auto"/>
        <w:rPr>
          <w:rFonts w:ascii="Arial" w:hAnsi="Arial" w:cs="Arial"/>
          <w:sz w:val="22"/>
          <w:szCs w:val="22"/>
        </w:rPr>
      </w:pPr>
      <w:r w:rsidRPr="00D55899">
        <w:rPr>
          <w:rFonts w:ascii="Arial" w:hAnsi="Arial" w:cs="Arial"/>
          <w:b/>
          <w:bCs/>
          <w:sz w:val="22"/>
          <w:szCs w:val="22"/>
        </w:rPr>
        <w:t>Purpose</w:t>
      </w:r>
      <w:r w:rsidRPr="00D55899">
        <w:rPr>
          <w:rFonts w:ascii="Arial" w:hAnsi="Arial" w:cs="Arial"/>
          <w:sz w:val="22"/>
          <w:szCs w:val="22"/>
        </w:rPr>
        <w:br/>
        <w:t>To support healthy belt development that feels physically safe, emotionally grounded and aligned with personal identity.</w:t>
      </w:r>
    </w:p>
    <w:p w14:paraId="040B79B6" w14:textId="77777777" w:rsidR="00D55899" w:rsidRPr="00D55899" w:rsidRDefault="00D55899" w:rsidP="0038603C">
      <w:pPr>
        <w:spacing w:line="360" w:lineRule="auto"/>
        <w:rPr>
          <w:rFonts w:ascii="Arial" w:hAnsi="Arial" w:cs="Arial"/>
          <w:sz w:val="22"/>
          <w:szCs w:val="22"/>
        </w:rPr>
      </w:pPr>
      <w:r w:rsidRPr="00D55899">
        <w:rPr>
          <w:rFonts w:ascii="Arial" w:hAnsi="Arial" w:cs="Arial"/>
          <w:b/>
          <w:bCs/>
          <w:sz w:val="22"/>
          <w:szCs w:val="22"/>
        </w:rPr>
        <w:lastRenderedPageBreak/>
        <w:t>How to use it</w:t>
      </w:r>
      <w:r w:rsidRPr="00D55899">
        <w:rPr>
          <w:rFonts w:ascii="Arial" w:hAnsi="Arial" w:cs="Arial"/>
          <w:sz w:val="22"/>
          <w:szCs w:val="22"/>
        </w:rPr>
        <w:br/>
        <w:t>After completing each exercise:</w:t>
      </w:r>
    </w:p>
    <w:p w14:paraId="4748FEB4" w14:textId="77777777" w:rsidR="00D55899" w:rsidRPr="00D55899" w:rsidRDefault="00D55899" w:rsidP="0038603C">
      <w:pPr>
        <w:numPr>
          <w:ilvl w:val="0"/>
          <w:numId w:val="28"/>
        </w:numPr>
        <w:spacing w:line="360" w:lineRule="auto"/>
        <w:rPr>
          <w:rFonts w:ascii="Arial" w:hAnsi="Arial" w:cs="Arial"/>
          <w:sz w:val="22"/>
          <w:szCs w:val="22"/>
        </w:rPr>
      </w:pPr>
      <w:r w:rsidRPr="00D55899">
        <w:rPr>
          <w:rFonts w:ascii="Arial" w:hAnsi="Arial" w:cs="Arial"/>
          <w:sz w:val="22"/>
          <w:szCs w:val="22"/>
        </w:rPr>
        <w:t>Record the number of repetitions completed.</w:t>
      </w:r>
    </w:p>
    <w:p w14:paraId="56601316" w14:textId="77777777" w:rsidR="00D55899" w:rsidRPr="00D55899" w:rsidRDefault="00D55899" w:rsidP="0038603C">
      <w:pPr>
        <w:numPr>
          <w:ilvl w:val="0"/>
          <w:numId w:val="28"/>
        </w:numPr>
        <w:spacing w:line="360" w:lineRule="auto"/>
        <w:rPr>
          <w:rFonts w:ascii="Arial" w:hAnsi="Arial" w:cs="Arial"/>
          <w:sz w:val="22"/>
          <w:szCs w:val="22"/>
        </w:rPr>
      </w:pPr>
      <w:r w:rsidRPr="00D55899">
        <w:rPr>
          <w:rFonts w:ascii="Arial" w:hAnsi="Arial" w:cs="Arial"/>
          <w:sz w:val="22"/>
          <w:szCs w:val="22"/>
        </w:rPr>
        <w:t>Rate Ease, Resonance, Airflow and Identity Congruence.</w:t>
      </w:r>
    </w:p>
    <w:p w14:paraId="3EC908B6" w14:textId="77777777" w:rsidR="00D55899" w:rsidRPr="00D55899" w:rsidRDefault="00D55899" w:rsidP="0038603C">
      <w:pPr>
        <w:numPr>
          <w:ilvl w:val="0"/>
          <w:numId w:val="28"/>
        </w:numPr>
        <w:spacing w:line="360" w:lineRule="auto"/>
        <w:rPr>
          <w:rFonts w:ascii="Arial" w:hAnsi="Arial" w:cs="Arial"/>
          <w:sz w:val="22"/>
          <w:szCs w:val="22"/>
        </w:rPr>
      </w:pPr>
      <w:r w:rsidRPr="00D55899">
        <w:rPr>
          <w:rFonts w:ascii="Arial" w:hAnsi="Arial" w:cs="Arial"/>
          <w:sz w:val="22"/>
          <w:szCs w:val="22"/>
        </w:rPr>
        <w:t>Write observations about sensations, challenges or discoveries.</w:t>
      </w:r>
    </w:p>
    <w:p w14:paraId="4160002A" w14:textId="77777777" w:rsidR="00D55899" w:rsidRPr="00D55899" w:rsidRDefault="00D55899" w:rsidP="0038603C">
      <w:pPr>
        <w:numPr>
          <w:ilvl w:val="0"/>
          <w:numId w:val="28"/>
        </w:numPr>
        <w:spacing w:line="360" w:lineRule="auto"/>
        <w:rPr>
          <w:rFonts w:ascii="Arial" w:hAnsi="Arial" w:cs="Arial"/>
          <w:sz w:val="22"/>
          <w:szCs w:val="22"/>
        </w:rPr>
      </w:pPr>
      <w:r w:rsidRPr="00D55899">
        <w:rPr>
          <w:rFonts w:ascii="Arial" w:hAnsi="Arial" w:cs="Arial"/>
          <w:sz w:val="22"/>
          <w:szCs w:val="22"/>
        </w:rPr>
        <w:t>Add tutor feedback if you are working in lessons.</w:t>
      </w:r>
    </w:p>
    <w:p w14:paraId="1AF32121" w14:textId="77777777" w:rsidR="00D55899" w:rsidRPr="00D55899" w:rsidRDefault="00D55899" w:rsidP="0038603C">
      <w:pPr>
        <w:numPr>
          <w:ilvl w:val="0"/>
          <w:numId w:val="28"/>
        </w:numPr>
        <w:spacing w:line="360" w:lineRule="auto"/>
        <w:rPr>
          <w:rFonts w:ascii="Arial" w:hAnsi="Arial" w:cs="Arial"/>
          <w:sz w:val="22"/>
          <w:szCs w:val="22"/>
        </w:rPr>
      </w:pPr>
      <w:r w:rsidRPr="00D55899">
        <w:rPr>
          <w:rFonts w:ascii="Arial" w:hAnsi="Arial" w:cs="Arial"/>
          <w:sz w:val="22"/>
          <w:szCs w:val="22"/>
        </w:rPr>
        <w:t>Set a Technique Focus for the next session.</w:t>
      </w:r>
    </w:p>
    <w:p w14:paraId="7C4AA89B" w14:textId="77777777" w:rsidR="00D55899" w:rsidRPr="00D55899" w:rsidRDefault="00D55899" w:rsidP="0038603C">
      <w:pPr>
        <w:spacing w:line="360" w:lineRule="auto"/>
        <w:rPr>
          <w:rFonts w:ascii="Arial" w:hAnsi="Arial" w:cs="Arial"/>
          <w:sz w:val="22"/>
          <w:szCs w:val="22"/>
        </w:rPr>
      </w:pPr>
      <w:r w:rsidRPr="00D55899">
        <w:rPr>
          <w:rFonts w:ascii="Arial" w:hAnsi="Arial" w:cs="Arial"/>
          <w:b/>
          <w:bCs/>
          <w:sz w:val="22"/>
          <w:szCs w:val="22"/>
        </w:rPr>
        <w:t>How to read your scores</w:t>
      </w:r>
    </w:p>
    <w:p w14:paraId="5733364C" w14:textId="77777777" w:rsidR="00D55899" w:rsidRPr="00D55899" w:rsidRDefault="00D55899" w:rsidP="0038603C">
      <w:pPr>
        <w:numPr>
          <w:ilvl w:val="0"/>
          <w:numId w:val="29"/>
        </w:numPr>
        <w:spacing w:line="360" w:lineRule="auto"/>
        <w:rPr>
          <w:rFonts w:ascii="Arial" w:hAnsi="Arial" w:cs="Arial"/>
          <w:sz w:val="22"/>
          <w:szCs w:val="22"/>
        </w:rPr>
      </w:pPr>
      <w:r w:rsidRPr="00D55899">
        <w:rPr>
          <w:rFonts w:ascii="Arial" w:hAnsi="Arial" w:cs="Arial"/>
          <w:sz w:val="22"/>
          <w:szCs w:val="22"/>
        </w:rPr>
        <w:t>Ease reflects comfort, breath support and vocal effort.</w:t>
      </w:r>
    </w:p>
    <w:p w14:paraId="62B6E257" w14:textId="77777777" w:rsidR="00D55899" w:rsidRPr="00D55899" w:rsidRDefault="00D55899" w:rsidP="0038603C">
      <w:pPr>
        <w:numPr>
          <w:ilvl w:val="0"/>
          <w:numId w:val="29"/>
        </w:numPr>
        <w:spacing w:line="360" w:lineRule="auto"/>
        <w:rPr>
          <w:rFonts w:ascii="Arial" w:hAnsi="Arial" w:cs="Arial"/>
          <w:sz w:val="22"/>
          <w:szCs w:val="22"/>
        </w:rPr>
      </w:pPr>
      <w:r w:rsidRPr="00D55899">
        <w:rPr>
          <w:rFonts w:ascii="Arial" w:hAnsi="Arial" w:cs="Arial"/>
          <w:sz w:val="22"/>
          <w:szCs w:val="22"/>
        </w:rPr>
        <w:t>Resonance indicates how vibrant, forward or balanced the tone feels.</w:t>
      </w:r>
    </w:p>
    <w:p w14:paraId="1D16108E" w14:textId="77777777" w:rsidR="00D55899" w:rsidRPr="00D55899" w:rsidRDefault="00D55899" w:rsidP="0038603C">
      <w:pPr>
        <w:numPr>
          <w:ilvl w:val="0"/>
          <w:numId w:val="29"/>
        </w:numPr>
        <w:spacing w:line="360" w:lineRule="auto"/>
        <w:rPr>
          <w:rFonts w:ascii="Arial" w:hAnsi="Arial" w:cs="Arial"/>
          <w:sz w:val="22"/>
          <w:szCs w:val="22"/>
        </w:rPr>
      </w:pPr>
      <w:r w:rsidRPr="00D55899">
        <w:rPr>
          <w:rFonts w:ascii="Arial" w:hAnsi="Arial" w:cs="Arial"/>
          <w:sz w:val="22"/>
          <w:szCs w:val="22"/>
        </w:rPr>
        <w:t>Airflow reflects breath freedom and stability.</w:t>
      </w:r>
    </w:p>
    <w:p w14:paraId="7285CF1B" w14:textId="77777777" w:rsidR="00D55899" w:rsidRPr="00D55899" w:rsidRDefault="00D55899" w:rsidP="0038603C">
      <w:pPr>
        <w:numPr>
          <w:ilvl w:val="0"/>
          <w:numId w:val="29"/>
        </w:numPr>
        <w:spacing w:line="360" w:lineRule="auto"/>
        <w:rPr>
          <w:rFonts w:ascii="Arial" w:hAnsi="Arial" w:cs="Arial"/>
          <w:sz w:val="22"/>
          <w:szCs w:val="22"/>
        </w:rPr>
      </w:pPr>
      <w:r w:rsidRPr="00D55899">
        <w:rPr>
          <w:rFonts w:ascii="Arial" w:hAnsi="Arial" w:cs="Arial"/>
          <w:sz w:val="22"/>
          <w:szCs w:val="22"/>
        </w:rPr>
        <w:t>Identity Congruence tracks how aligned the sound felt with your sense of self.</w:t>
      </w:r>
    </w:p>
    <w:p w14:paraId="12672F81" w14:textId="77777777" w:rsidR="00D55899" w:rsidRPr="00D55899" w:rsidRDefault="00D55899" w:rsidP="0038603C">
      <w:pPr>
        <w:spacing w:line="360" w:lineRule="auto"/>
        <w:rPr>
          <w:rFonts w:ascii="Arial" w:hAnsi="Arial" w:cs="Arial"/>
          <w:sz w:val="22"/>
          <w:szCs w:val="22"/>
        </w:rPr>
      </w:pPr>
      <w:r w:rsidRPr="00D55899">
        <w:rPr>
          <w:rFonts w:ascii="Arial" w:hAnsi="Arial" w:cs="Arial"/>
          <w:b/>
          <w:bCs/>
          <w:sz w:val="22"/>
          <w:szCs w:val="22"/>
        </w:rPr>
        <w:t>Patterns to notice</w:t>
      </w:r>
    </w:p>
    <w:p w14:paraId="1B962289" w14:textId="77777777" w:rsidR="00D55899" w:rsidRPr="00D55899" w:rsidRDefault="00D55899" w:rsidP="0038603C">
      <w:pPr>
        <w:numPr>
          <w:ilvl w:val="0"/>
          <w:numId w:val="30"/>
        </w:numPr>
        <w:spacing w:line="360" w:lineRule="auto"/>
        <w:rPr>
          <w:rFonts w:ascii="Arial" w:hAnsi="Arial" w:cs="Arial"/>
          <w:sz w:val="22"/>
          <w:szCs w:val="22"/>
        </w:rPr>
      </w:pPr>
      <w:r w:rsidRPr="00D55899">
        <w:rPr>
          <w:rFonts w:ascii="Arial" w:hAnsi="Arial" w:cs="Arial"/>
          <w:sz w:val="22"/>
          <w:szCs w:val="22"/>
        </w:rPr>
        <w:t>Rising Ease and Resonance often indicate healthy belt development.</w:t>
      </w:r>
    </w:p>
    <w:p w14:paraId="69B79DDC" w14:textId="77777777" w:rsidR="00D55899" w:rsidRPr="00D55899" w:rsidRDefault="00D55899" w:rsidP="0038603C">
      <w:pPr>
        <w:numPr>
          <w:ilvl w:val="0"/>
          <w:numId w:val="30"/>
        </w:numPr>
        <w:spacing w:line="360" w:lineRule="auto"/>
        <w:rPr>
          <w:rFonts w:ascii="Arial" w:hAnsi="Arial" w:cs="Arial"/>
          <w:sz w:val="22"/>
          <w:szCs w:val="22"/>
        </w:rPr>
      </w:pPr>
      <w:r w:rsidRPr="00D55899">
        <w:rPr>
          <w:rFonts w:ascii="Arial" w:hAnsi="Arial" w:cs="Arial"/>
          <w:sz w:val="22"/>
          <w:szCs w:val="22"/>
        </w:rPr>
        <w:t>High Ease with low Identity may suggest technically safe work that does not yet feel authentic.</w:t>
      </w:r>
    </w:p>
    <w:p w14:paraId="442FF4B0" w14:textId="77777777" w:rsidR="00D55899" w:rsidRPr="00D55899" w:rsidRDefault="00D55899" w:rsidP="0038603C">
      <w:pPr>
        <w:numPr>
          <w:ilvl w:val="0"/>
          <w:numId w:val="30"/>
        </w:numPr>
        <w:spacing w:line="360" w:lineRule="auto"/>
        <w:rPr>
          <w:rFonts w:ascii="Arial" w:hAnsi="Arial" w:cs="Arial"/>
          <w:sz w:val="22"/>
          <w:szCs w:val="22"/>
        </w:rPr>
      </w:pPr>
      <w:r w:rsidRPr="00D55899">
        <w:rPr>
          <w:rFonts w:ascii="Arial" w:hAnsi="Arial" w:cs="Arial"/>
          <w:sz w:val="22"/>
          <w:szCs w:val="22"/>
        </w:rPr>
        <w:t>High Identity with low Ease may show emotional connection but technical inconsistency.</w:t>
      </w:r>
    </w:p>
    <w:p w14:paraId="45916526" w14:textId="521E9BE7" w:rsidR="00D55899" w:rsidRPr="00D55899" w:rsidRDefault="00D55899" w:rsidP="0038603C">
      <w:pPr>
        <w:numPr>
          <w:ilvl w:val="0"/>
          <w:numId w:val="30"/>
        </w:numPr>
        <w:spacing w:line="360" w:lineRule="auto"/>
        <w:rPr>
          <w:rFonts w:ascii="Arial" w:hAnsi="Arial" w:cs="Arial"/>
          <w:sz w:val="22"/>
          <w:szCs w:val="22"/>
        </w:rPr>
      </w:pPr>
      <w:r w:rsidRPr="00D55899">
        <w:rPr>
          <w:rFonts w:ascii="Arial" w:hAnsi="Arial" w:cs="Arial"/>
          <w:sz w:val="22"/>
          <w:szCs w:val="22"/>
        </w:rPr>
        <w:t>Consistently low scores may indicate the need for adjustments or additional support.</w:t>
      </w:r>
    </w:p>
    <w:p w14:paraId="75E23FA3" w14:textId="77777777" w:rsidR="00D55899" w:rsidRPr="00D55899" w:rsidRDefault="00D55899" w:rsidP="0038603C">
      <w:pPr>
        <w:spacing w:line="360" w:lineRule="auto"/>
        <w:rPr>
          <w:rFonts w:ascii="Arial" w:hAnsi="Arial" w:cs="Arial"/>
          <w:b/>
          <w:bCs/>
          <w:sz w:val="22"/>
          <w:szCs w:val="22"/>
        </w:rPr>
      </w:pPr>
      <w:r w:rsidRPr="00D55899">
        <w:rPr>
          <w:rFonts w:ascii="Arial" w:hAnsi="Arial" w:cs="Arial"/>
          <w:b/>
          <w:bCs/>
          <w:sz w:val="22"/>
          <w:szCs w:val="22"/>
        </w:rPr>
        <w:t>ATS Tracker</w:t>
      </w:r>
    </w:p>
    <w:p w14:paraId="03B05272" w14:textId="77777777" w:rsidR="00D55899" w:rsidRPr="00D55899" w:rsidRDefault="00D55899" w:rsidP="0038603C">
      <w:pPr>
        <w:spacing w:line="360" w:lineRule="auto"/>
        <w:rPr>
          <w:rFonts w:ascii="Arial" w:hAnsi="Arial" w:cs="Arial"/>
          <w:sz w:val="22"/>
          <w:szCs w:val="22"/>
        </w:rPr>
      </w:pPr>
      <w:r w:rsidRPr="00D55899">
        <w:rPr>
          <w:rFonts w:ascii="Arial" w:hAnsi="Arial" w:cs="Arial"/>
          <w:sz w:val="22"/>
          <w:szCs w:val="22"/>
        </w:rPr>
        <w:t>This sheet outlines forty-eight ATS exercises completed across a twelve-week period.</w:t>
      </w:r>
    </w:p>
    <w:p w14:paraId="1E578734" w14:textId="77777777" w:rsidR="00D55899" w:rsidRPr="00D55899" w:rsidRDefault="00D55899" w:rsidP="0038603C">
      <w:pPr>
        <w:spacing w:line="360" w:lineRule="auto"/>
        <w:rPr>
          <w:rFonts w:ascii="Arial" w:hAnsi="Arial" w:cs="Arial"/>
          <w:sz w:val="22"/>
          <w:szCs w:val="22"/>
        </w:rPr>
      </w:pPr>
      <w:r w:rsidRPr="00D55899">
        <w:rPr>
          <w:rFonts w:ascii="Arial" w:hAnsi="Arial" w:cs="Arial"/>
          <w:b/>
          <w:bCs/>
          <w:sz w:val="22"/>
          <w:szCs w:val="22"/>
        </w:rPr>
        <w:t>Objective</w:t>
      </w:r>
      <w:r w:rsidRPr="00D55899">
        <w:rPr>
          <w:rFonts w:ascii="Arial" w:hAnsi="Arial" w:cs="Arial"/>
          <w:sz w:val="22"/>
          <w:szCs w:val="22"/>
        </w:rPr>
        <w:br/>
        <w:t>To bring technique and expression together and support performances that feel emotionally truthful and aligned with identity.</w:t>
      </w:r>
    </w:p>
    <w:p w14:paraId="5AE47835" w14:textId="77777777" w:rsidR="0038603C" w:rsidRDefault="0038603C" w:rsidP="0038603C">
      <w:pPr>
        <w:spacing w:line="360" w:lineRule="auto"/>
        <w:rPr>
          <w:rFonts w:ascii="Arial" w:hAnsi="Arial" w:cs="Arial"/>
          <w:b/>
          <w:bCs/>
          <w:sz w:val="22"/>
          <w:szCs w:val="22"/>
        </w:rPr>
      </w:pPr>
    </w:p>
    <w:p w14:paraId="1DC532D6" w14:textId="77777777" w:rsidR="0038603C" w:rsidRDefault="0038603C" w:rsidP="0038603C">
      <w:pPr>
        <w:spacing w:line="360" w:lineRule="auto"/>
        <w:rPr>
          <w:rFonts w:ascii="Arial" w:hAnsi="Arial" w:cs="Arial"/>
          <w:b/>
          <w:bCs/>
          <w:sz w:val="22"/>
          <w:szCs w:val="22"/>
        </w:rPr>
      </w:pPr>
    </w:p>
    <w:p w14:paraId="1EEA9AAD" w14:textId="09E47E12" w:rsidR="00D55899" w:rsidRPr="00D55899" w:rsidRDefault="00D55899" w:rsidP="0038603C">
      <w:pPr>
        <w:spacing w:line="360" w:lineRule="auto"/>
        <w:rPr>
          <w:rFonts w:ascii="Arial" w:hAnsi="Arial" w:cs="Arial"/>
          <w:b/>
          <w:bCs/>
          <w:sz w:val="22"/>
          <w:szCs w:val="22"/>
        </w:rPr>
      </w:pPr>
      <w:r w:rsidRPr="00D55899">
        <w:rPr>
          <w:rFonts w:ascii="Arial" w:hAnsi="Arial" w:cs="Arial"/>
          <w:b/>
          <w:bCs/>
          <w:sz w:val="22"/>
          <w:szCs w:val="22"/>
        </w:rPr>
        <w:lastRenderedPageBreak/>
        <w:t>Instructions for use</w:t>
      </w:r>
    </w:p>
    <w:p w14:paraId="293CAEF3" w14:textId="77777777" w:rsidR="00D55899" w:rsidRPr="00D55899" w:rsidRDefault="00D55899" w:rsidP="0038603C">
      <w:pPr>
        <w:spacing w:line="360" w:lineRule="auto"/>
        <w:rPr>
          <w:rFonts w:ascii="Arial" w:hAnsi="Arial" w:cs="Arial"/>
          <w:sz w:val="22"/>
          <w:szCs w:val="22"/>
        </w:rPr>
      </w:pPr>
      <w:r w:rsidRPr="00D55899">
        <w:rPr>
          <w:rFonts w:ascii="Arial" w:hAnsi="Arial" w:cs="Arial"/>
          <w:sz w:val="22"/>
          <w:szCs w:val="22"/>
        </w:rPr>
        <w:t>For each weekly ATS task:</w:t>
      </w:r>
    </w:p>
    <w:p w14:paraId="18105A6D" w14:textId="77777777" w:rsidR="00D55899" w:rsidRPr="00D55899" w:rsidRDefault="00D55899" w:rsidP="0038603C">
      <w:pPr>
        <w:numPr>
          <w:ilvl w:val="0"/>
          <w:numId w:val="31"/>
        </w:numPr>
        <w:spacing w:line="360" w:lineRule="auto"/>
        <w:rPr>
          <w:rFonts w:ascii="Arial" w:hAnsi="Arial" w:cs="Arial"/>
          <w:sz w:val="22"/>
          <w:szCs w:val="22"/>
        </w:rPr>
      </w:pPr>
      <w:r w:rsidRPr="00D55899">
        <w:rPr>
          <w:rFonts w:ascii="Arial" w:hAnsi="Arial" w:cs="Arial"/>
          <w:sz w:val="22"/>
          <w:szCs w:val="22"/>
        </w:rPr>
        <w:t>Note the lyric or section explored.</w:t>
      </w:r>
    </w:p>
    <w:p w14:paraId="4669B946" w14:textId="77777777" w:rsidR="00D55899" w:rsidRPr="00D55899" w:rsidRDefault="00D55899" w:rsidP="0038603C">
      <w:pPr>
        <w:numPr>
          <w:ilvl w:val="0"/>
          <w:numId w:val="31"/>
        </w:numPr>
        <w:spacing w:line="360" w:lineRule="auto"/>
        <w:rPr>
          <w:rFonts w:ascii="Arial" w:hAnsi="Arial" w:cs="Arial"/>
          <w:sz w:val="22"/>
          <w:szCs w:val="22"/>
        </w:rPr>
      </w:pPr>
      <w:r w:rsidRPr="00D55899">
        <w:rPr>
          <w:rFonts w:ascii="Arial" w:hAnsi="Arial" w:cs="Arial"/>
          <w:sz w:val="22"/>
          <w:szCs w:val="22"/>
        </w:rPr>
        <w:t>Score Emotional Truth, Identity Alignment, Narrative Clarity and Vocal Ease.</w:t>
      </w:r>
    </w:p>
    <w:p w14:paraId="60F59CAD" w14:textId="77777777" w:rsidR="00D55899" w:rsidRPr="00D55899" w:rsidRDefault="00D55899" w:rsidP="0038603C">
      <w:pPr>
        <w:numPr>
          <w:ilvl w:val="0"/>
          <w:numId w:val="31"/>
        </w:numPr>
        <w:spacing w:line="360" w:lineRule="auto"/>
        <w:rPr>
          <w:rFonts w:ascii="Arial" w:hAnsi="Arial" w:cs="Arial"/>
          <w:sz w:val="22"/>
          <w:szCs w:val="22"/>
        </w:rPr>
      </w:pPr>
      <w:r w:rsidRPr="00D55899">
        <w:rPr>
          <w:rFonts w:ascii="Arial" w:hAnsi="Arial" w:cs="Arial"/>
          <w:sz w:val="22"/>
          <w:szCs w:val="22"/>
        </w:rPr>
        <w:t>Write a short reflection describing what you discovered.</w:t>
      </w:r>
    </w:p>
    <w:p w14:paraId="4988886A" w14:textId="77777777" w:rsidR="00D55899" w:rsidRPr="00D55899" w:rsidRDefault="00D55899" w:rsidP="0038603C">
      <w:pPr>
        <w:numPr>
          <w:ilvl w:val="0"/>
          <w:numId w:val="31"/>
        </w:numPr>
        <w:spacing w:line="360" w:lineRule="auto"/>
        <w:rPr>
          <w:rFonts w:ascii="Arial" w:hAnsi="Arial" w:cs="Arial"/>
          <w:sz w:val="22"/>
          <w:szCs w:val="22"/>
        </w:rPr>
      </w:pPr>
      <w:r w:rsidRPr="00D55899">
        <w:rPr>
          <w:rFonts w:ascii="Arial" w:hAnsi="Arial" w:cs="Arial"/>
          <w:sz w:val="22"/>
          <w:szCs w:val="22"/>
        </w:rPr>
        <w:t>Add tutor feedback if applicable.</w:t>
      </w:r>
    </w:p>
    <w:p w14:paraId="15E6361C" w14:textId="77777777" w:rsidR="00D55899" w:rsidRPr="00D55899" w:rsidRDefault="00D55899" w:rsidP="0038603C">
      <w:pPr>
        <w:numPr>
          <w:ilvl w:val="0"/>
          <w:numId w:val="31"/>
        </w:numPr>
        <w:spacing w:line="360" w:lineRule="auto"/>
        <w:rPr>
          <w:rFonts w:ascii="Arial" w:hAnsi="Arial" w:cs="Arial"/>
          <w:sz w:val="22"/>
          <w:szCs w:val="22"/>
        </w:rPr>
      </w:pPr>
      <w:r w:rsidRPr="00D55899">
        <w:rPr>
          <w:rFonts w:ascii="Arial" w:hAnsi="Arial" w:cs="Arial"/>
          <w:sz w:val="22"/>
          <w:szCs w:val="22"/>
        </w:rPr>
        <w:t>Set an ATS Focus for the week ahead.</w:t>
      </w:r>
    </w:p>
    <w:p w14:paraId="3BB67D5B" w14:textId="77777777" w:rsidR="00D55899" w:rsidRPr="00D55899" w:rsidRDefault="00D55899" w:rsidP="0038603C">
      <w:pPr>
        <w:spacing w:line="360" w:lineRule="auto"/>
        <w:rPr>
          <w:rFonts w:ascii="Arial" w:hAnsi="Arial" w:cs="Arial"/>
          <w:sz w:val="22"/>
          <w:szCs w:val="22"/>
        </w:rPr>
      </w:pPr>
      <w:r w:rsidRPr="00D55899">
        <w:rPr>
          <w:rFonts w:ascii="Arial" w:hAnsi="Arial" w:cs="Arial"/>
          <w:b/>
          <w:bCs/>
          <w:sz w:val="22"/>
          <w:szCs w:val="22"/>
        </w:rPr>
        <w:t>Identifying patterns</w:t>
      </w:r>
    </w:p>
    <w:p w14:paraId="62F3D3D7" w14:textId="77777777" w:rsidR="00D55899" w:rsidRPr="00D55899" w:rsidRDefault="00D55899" w:rsidP="0038603C">
      <w:pPr>
        <w:numPr>
          <w:ilvl w:val="0"/>
          <w:numId w:val="32"/>
        </w:numPr>
        <w:spacing w:line="360" w:lineRule="auto"/>
        <w:rPr>
          <w:rFonts w:ascii="Arial" w:hAnsi="Arial" w:cs="Arial"/>
          <w:sz w:val="22"/>
          <w:szCs w:val="22"/>
        </w:rPr>
      </w:pPr>
      <w:r w:rsidRPr="00D55899">
        <w:rPr>
          <w:rFonts w:ascii="Arial" w:hAnsi="Arial" w:cs="Arial"/>
          <w:sz w:val="22"/>
          <w:szCs w:val="22"/>
        </w:rPr>
        <w:t>Increased Narrative Clarity often indicates stronger storytelling and clearer interpretive choices.</w:t>
      </w:r>
    </w:p>
    <w:p w14:paraId="3F12B965" w14:textId="77777777" w:rsidR="00D55899" w:rsidRPr="00D55899" w:rsidRDefault="00D55899" w:rsidP="0038603C">
      <w:pPr>
        <w:numPr>
          <w:ilvl w:val="0"/>
          <w:numId w:val="32"/>
        </w:numPr>
        <w:spacing w:line="360" w:lineRule="auto"/>
        <w:rPr>
          <w:rFonts w:ascii="Arial" w:hAnsi="Arial" w:cs="Arial"/>
          <w:sz w:val="22"/>
          <w:szCs w:val="22"/>
        </w:rPr>
      </w:pPr>
      <w:r w:rsidRPr="00D55899">
        <w:rPr>
          <w:rFonts w:ascii="Arial" w:hAnsi="Arial" w:cs="Arial"/>
          <w:sz w:val="22"/>
          <w:szCs w:val="22"/>
        </w:rPr>
        <w:t>Rising Emotional Truth suggests a deeper connection to the material.</w:t>
      </w:r>
    </w:p>
    <w:p w14:paraId="4C5F2CCF" w14:textId="77777777" w:rsidR="00D55899" w:rsidRPr="00D55899" w:rsidRDefault="00D55899" w:rsidP="0038603C">
      <w:pPr>
        <w:numPr>
          <w:ilvl w:val="0"/>
          <w:numId w:val="32"/>
        </w:numPr>
        <w:spacing w:line="360" w:lineRule="auto"/>
        <w:rPr>
          <w:rFonts w:ascii="Arial" w:hAnsi="Arial" w:cs="Arial"/>
          <w:sz w:val="22"/>
          <w:szCs w:val="22"/>
        </w:rPr>
      </w:pPr>
      <w:r w:rsidRPr="00D55899">
        <w:rPr>
          <w:rFonts w:ascii="Arial" w:hAnsi="Arial" w:cs="Arial"/>
          <w:sz w:val="22"/>
          <w:szCs w:val="22"/>
        </w:rPr>
        <w:t>Identity Alignment scores of seven or above usually reflect an affirming and coherent performance experience.</w:t>
      </w:r>
    </w:p>
    <w:p w14:paraId="0D47C98C" w14:textId="67B065D7" w:rsidR="00D55899" w:rsidRPr="00D55899" w:rsidRDefault="00D55899" w:rsidP="0038603C">
      <w:pPr>
        <w:numPr>
          <w:ilvl w:val="0"/>
          <w:numId w:val="32"/>
        </w:numPr>
        <w:spacing w:line="360" w:lineRule="auto"/>
        <w:rPr>
          <w:rFonts w:ascii="Arial" w:hAnsi="Arial" w:cs="Arial"/>
          <w:sz w:val="22"/>
          <w:szCs w:val="22"/>
        </w:rPr>
      </w:pPr>
      <w:r w:rsidRPr="00D55899">
        <w:rPr>
          <w:rFonts w:ascii="Arial" w:hAnsi="Arial" w:cs="Arial"/>
          <w:sz w:val="22"/>
          <w:szCs w:val="22"/>
        </w:rPr>
        <w:t xml:space="preserve">Large differences between Vocal Ease and Emotional Truth may show where emotional engagement leads technique or </w:t>
      </w:r>
      <w:proofErr w:type="gramStart"/>
      <w:r w:rsidRPr="00D55899">
        <w:rPr>
          <w:rFonts w:ascii="Arial" w:hAnsi="Arial" w:cs="Arial"/>
          <w:sz w:val="22"/>
          <w:szCs w:val="22"/>
        </w:rPr>
        <w:t>where</w:t>
      </w:r>
      <w:proofErr w:type="gramEnd"/>
      <w:r w:rsidRPr="00D55899">
        <w:rPr>
          <w:rFonts w:ascii="Arial" w:hAnsi="Arial" w:cs="Arial"/>
          <w:sz w:val="22"/>
          <w:szCs w:val="22"/>
        </w:rPr>
        <w:t xml:space="preserve"> technical demands limit expression.</w:t>
      </w:r>
    </w:p>
    <w:p w14:paraId="160BB6A3" w14:textId="77777777" w:rsidR="00D55899" w:rsidRPr="00D55899" w:rsidRDefault="00D55899" w:rsidP="0038603C">
      <w:pPr>
        <w:spacing w:line="360" w:lineRule="auto"/>
        <w:rPr>
          <w:rFonts w:ascii="Arial" w:hAnsi="Arial" w:cs="Arial"/>
          <w:b/>
          <w:bCs/>
          <w:sz w:val="22"/>
          <w:szCs w:val="22"/>
        </w:rPr>
      </w:pPr>
      <w:r w:rsidRPr="00D55899">
        <w:rPr>
          <w:rFonts w:ascii="Arial" w:hAnsi="Arial" w:cs="Arial"/>
          <w:b/>
          <w:bCs/>
          <w:sz w:val="22"/>
          <w:szCs w:val="22"/>
        </w:rPr>
        <w:t>Reflection Log</w:t>
      </w:r>
    </w:p>
    <w:p w14:paraId="5A6A3639" w14:textId="77777777" w:rsidR="00D55899" w:rsidRPr="00D55899" w:rsidRDefault="00D55899" w:rsidP="0038603C">
      <w:pPr>
        <w:spacing w:line="360" w:lineRule="auto"/>
        <w:rPr>
          <w:rFonts w:ascii="Arial" w:hAnsi="Arial" w:cs="Arial"/>
          <w:sz w:val="22"/>
          <w:szCs w:val="22"/>
        </w:rPr>
      </w:pPr>
      <w:r w:rsidRPr="00D55899">
        <w:rPr>
          <w:rFonts w:ascii="Arial" w:hAnsi="Arial" w:cs="Arial"/>
          <w:sz w:val="22"/>
          <w:szCs w:val="22"/>
        </w:rPr>
        <w:t>This sheet provides a personal space to explore the relationship between voice, identity and emotional experience.</w:t>
      </w:r>
    </w:p>
    <w:p w14:paraId="37AF0C96" w14:textId="77777777" w:rsidR="00D55899" w:rsidRPr="00D55899" w:rsidRDefault="00D55899" w:rsidP="0038603C">
      <w:pPr>
        <w:spacing w:line="360" w:lineRule="auto"/>
        <w:rPr>
          <w:rFonts w:ascii="Arial" w:hAnsi="Arial" w:cs="Arial"/>
          <w:sz w:val="22"/>
          <w:szCs w:val="22"/>
        </w:rPr>
      </w:pPr>
      <w:r w:rsidRPr="00D55899">
        <w:rPr>
          <w:rFonts w:ascii="Arial" w:hAnsi="Arial" w:cs="Arial"/>
          <w:b/>
          <w:bCs/>
          <w:sz w:val="22"/>
          <w:szCs w:val="22"/>
        </w:rPr>
        <w:t>Instructions for use</w:t>
      </w:r>
    </w:p>
    <w:p w14:paraId="5182B533" w14:textId="77777777" w:rsidR="00D55899" w:rsidRPr="00D55899" w:rsidRDefault="00D55899" w:rsidP="0038603C">
      <w:pPr>
        <w:spacing w:line="360" w:lineRule="auto"/>
        <w:rPr>
          <w:rFonts w:ascii="Arial" w:hAnsi="Arial" w:cs="Arial"/>
          <w:sz w:val="22"/>
          <w:szCs w:val="22"/>
        </w:rPr>
      </w:pPr>
      <w:r w:rsidRPr="00D55899">
        <w:rPr>
          <w:rFonts w:ascii="Arial" w:hAnsi="Arial" w:cs="Arial"/>
          <w:sz w:val="22"/>
          <w:szCs w:val="22"/>
        </w:rPr>
        <w:t>After each practice session:</w:t>
      </w:r>
    </w:p>
    <w:p w14:paraId="1E6E5626" w14:textId="77777777" w:rsidR="00D55899" w:rsidRPr="00D55899" w:rsidRDefault="00D55899" w:rsidP="0038603C">
      <w:pPr>
        <w:numPr>
          <w:ilvl w:val="0"/>
          <w:numId w:val="33"/>
        </w:numPr>
        <w:spacing w:line="360" w:lineRule="auto"/>
        <w:rPr>
          <w:rFonts w:ascii="Arial" w:hAnsi="Arial" w:cs="Arial"/>
          <w:sz w:val="22"/>
          <w:szCs w:val="22"/>
        </w:rPr>
      </w:pPr>
      <w:r w:rsidRPr="00D55899">
        <w:rPr>
          <w:rFonts w:ascii="Arial" w:hAnsi="Arial" w:cs="Arial"/>
          <w:sz w:val="22"/>
          <w:szCs w:val="22"/>
        </w:rPr>
        <w:t>Record the date and week number.</w:t>
      </w:r>
    </w:p>
    <w:p w14:paraId="09EBA382" w14:textId="77777777" w:rsidR="00D55899" w:rsidRPr="00D55899" w:rsidRDefault="00D55899" w:rsidP="0038603C">
      <w:pPr>
        <w:numPr>
          <w:ilvl w:val="0"/>
          <w:numId w:val="33"/>
        </w:numPr>
        <w:spacing w:line="360" w:lineRule="auto"/>
        <w:rPr>
          <w:rFonts w:ascii="Arial" w:hAnsi="Arial" w:cs="Arial"/>
          <w:sz w:val="22"/>
          <w:szCs w:val="22"/>
        </w:rPr>
      </w:pPr>
      <w:r w:rsidRPr="00D55899">
        <w:rPr>
          <w:rFonts w:ascii="Arial" w:hAnsi="Arial" w:cs="Arial"/>
          <w:sz w:val="22"/>
          <w:szCs w:val="22"/>
        </w:rPr>
        <w:t>Rate Vocal Ease, Emotional Alignment and Identity Congruence.</w:t>
      </w:r>
    </w:p>
    <w:p w14:paraId="2FEC7271" w14:textId="77777777" w:rsidR="00D55899" w:rsidRPr="00D55899" w:rsidRDefault="00D55899" w:rsidP="0038603C">
      <w:pPr>
        <w:numPr>
          <w:ilvl w:val="0"/>
          <w:numId w:val="33"/>
        </w:numPr>
        <w:spacing w:line="360" w:lineRule="auto"/>
        <w:rPr>
          <w:rFonts w:ascii="Arial" w:hAnsi="Arial" w:cs="Arial"/>
          <w:sz w:val="22"/>
          <w:szCs w:val="22"/>
        </w:rPr>
      </w:pPr>
      <w:r w:rsidRPr="00D55899">
        <w:rPr>
          <w:rFonts w:ascii="Arial" w:hAnsi="Arial" w:cs="Arial"/>
          <w:sz w:val="22"/>
          <w:szCs w:val="22"/>
        </w:rPr>
        <w:t>Describe what felt authentic in the session.</w:t>
      </w:r>
    </w:p>
    <w:p w14:paraId="1CEF2614" w14:textId="77777777" w:rsidR="00D55899" w:rsidRPr="00D55899" w:rsidRDefault="00D55899" w:rsidP="0038603C">
      <w:pPr>
        <w:numPr>
          <w:ilvl w:val="0"/>
          <w:numId w:val="33"/>
        </w:numPr>
        <w:spacing w:line="360" w:lineRule="auto"/>
        <w:rPr>
          <w:rFonts w:ascii="Arial" w:hAnsi="Arial" w:cs="Arial"/>
          <w:sz w:val="22"/>
          <w:szCs w:val="22"/>
        </w:rPr>
      </w:pPr>
      <w:r w:rsidRPr="00D55899">
        <w:rPr>
          <w:rFonts w:ascii="Arial" w:hAnsi="Arial" w:cs="Arial"/>
          <w:sz w:val="22"/>
          <w:szCs w:val="22"/>
        </w:rPr>
        <w:t>Note any technical observations or significant physical sensations.</w:t>
      </w:r>
    </w:p>
    <w:p w14:paraId="1D949C9E" w14:textId="77777777" w:rsidR="00D55899" w:rsidRPr="00D55899" w:rsidRDefault="00D55899" w:rsidP="0038603C">
      <w:pPr>
        <w:numPr>
          <w:ilvl w:val="0"/>
          <w:numId w:val="33"/>
        </w:numPr>
        <w:spacing w:line="360" w:lineRule="auto"/>
        <w:rPr>
          <w:rFonts w:ascii="Arial" w:hAnsi="Arial" w:cs="Arial"/>
          <w:sz w:val="22"/>
          <w:szCs w:val="22"/>
        </w:rPr>
      </w:pPr>
      <w:r w:rsidRPr="00D55899">
        <w:rPr>
          <w:rFonts w:ascii="Arial" w:hAnsi="Arial" w:cs="Arial"/>
          <w:sz w:val="22"/>
          <w:szCs w:val="22"/>
        </w:rPr>
        <w:t>Set a small, achievable goal for next time.</w:t>
      </w:r>
    </w:p>
    <w:p w14:paraId="69491A95" w14:textId="77777777" w:rsidR="00D55899" w:rsidRPr="00D55899" w:rsidRDefault="00D55899" w:rsidP="0038603C">
      <w:pPr>
        <w:numPr>
          <w:ilvl w:val="0"/>
          <w:numId w:val="33"/>
        </w:numPr>
        <w:spacing w:line="360" w:lineRule="auto"/>
        <w:rPr>
          <w:rFonts w:ascii="Arial" w:hAnsi="Arial" w:cs="Arial"/>
          <w:sz w:val="22"/>
          <w:szCs w:val="22"/>
        </w:rPr>
      </w:pPr>
      <w:r w:rsidRPr="00D55899">
        <w:rPr>
          <w:rFonts w:ascii="Arial" w:hAnsi="Arial" w:cs="Arial"/>
          <w:sz w:val="22"/>
          <w:szCs w:val="22"/>
        </w:rPr>
        <w:t>Tutors may add a brief supportive comment in lesson settings.</w:t>
      </w:r>
    </w:p>
    <w:p w14:paraId="3E26BABE" w14:textId="163672FE" w:rsidR="00D55899" w:rsidRPr="00D55899" w:rsidRDefault="00D55899" w:rsidP="0038603C">
      <w:pPr>
        <w:spacing w:line="360" w:lineRule="auto"/>
        <w:rPr>
          <w:rFonts w:ascii="Arial" w:hAnsi="Arial" w:cs="Arial"/>
          <w:sz w:val="22"/>
          <w:szCs w:val="22"/>
        </w:rPr>
      </w:pPr>
      <w:r w:rsidRPr="00D55899">
        <w:rPr>
          <w:rFonts w:ascii="Arial" w:hAnsi="Arial" w:cs="Arial"/>
          <w:sz w:val="22"/>
          <w:szCs w:val="22"/>
        </w:rPr>
        <w:lastRenderedPageBreak/>
        <w:t>This log promotes emotional awareness, reflective thinking and growing independence in both technical work and expressive development.</w:t>
      </w:r>
    </w:p>
    <w:p w14:paraId="6ED6D114" w14:textId="77777777" w:rsidR="00D55899" w:rsidRPr="00D55899" w:rsidRDefault="00D55899" w:rsidP="0038603C">
      <w:pPr>
        <w:spacing w:line="360" w:lineRule="auto"/>
        <w:rPr>
          <w:rFonts w:ascii="Arial" w:hAnsi="Arial" w:cs="Arial"/>
          <w:b/>
          <w:bCs/>
          <w:sz w:val="22"/>
          <w:szCs w:val="22"/>
        </w:rPr>
      </w:pPr>
      <w:r w:rsidRPr="00D55899">
        <w:rPr>
          <w:rFonts w:ascii="Arial" w:hAnsi="Arial" w:cs="Arial"/>
          <w:b/>
          <w:bCs/>
          <w:sz w:val="22"/>
          <w:szCs w:val="22"/>
        </w:rPr>
        <w:t>Overview Sheet</w:t>
      </w:r>
    </w:p>
    <w:p w14:paraId="421FE619" w14:textId="77777777" w:rsidR="00D55899" w:rsidRPr="00D55899" w:rsidRDefault="00D55899" w:rsidP="0038603C">
      <w:pPr>
        <w:spacing w:line="360" w:lineRule="auto"/>
        <w:rPr>
          <w:rFonts w:ascii="Arial" w:hAnsi="Arial" w:cs="Arial"/>
          <w:sz w:val="22"/>
          <w:szCs w:val="22"/>
        </w:rPr>
      </w:pPr>
      <w:r w:rsidRPr="00D55899">
        <w:rPr>
          <w:rFonts w:ascii="Arial" w:hAnsi="Arial" w:cs="Arial"/>
          <w:b/>
          <w:bCs/>
          <w:sz w:val="22"/>
          <w:szCs w:val="22"/>
        </w:rPr>
        <w:t>Objective</w:t>
      </w:r>
      <w:r w:rsidRPr="00D55899">
        <w:rPr>
          <w:rFonts w:ascii="Arial" w:hAnsi="Arial" w:cs="Arial"/>
          <w:sz w:val="22"/>
          <w:szCs w:val="22"/>
        </w:rPr>
        <w:br/>
        <w:t>To offer a clear weekly overview of progress across the full tracker.</w:t>
      </w:r>
    </w:p>
    <w:p w14:paraId="5CCB3468" w14:textId="77777777" w:rsidR="00D55899" w:rsidRPr="00D55899" w:rsidRDefault="00D55899" w:rsidP="0038603C">
      <w:pPr>
        <w:spacing w:line="360" w:lineRule="auto"/>
        <w:rPr>
          <w:rFonts w:ascii="Arial" w:hAnsi="Arial" w:cs="Arial"/>
          <w:sz w:val="22"/>
          <w:szCs w:val="22"/>
        </w:rPr>
      </w:pPr>
      <w:r w:rsidRPr="00D55899">
        <w:rPr>
          <w:rFonts w:ascii="Arial" w:hAnsi="Arial" w:cs="Arial"/>
          <w:b/>
          <w:bCs/>
          <w:sz w:val="22"/>
          <w:szCs w:val="22"/>
        </w:rPr>
        <w:t>Instructions for use</w:t>
      </w:r>
    </w:p>
    <w:p w14:paraId="7AA66620" w14:textId="77777777" w:rsidR="00D55899" w:rsidRPr="00D55899" w:rsidRDefault="00D55899" w:rsidP="0038603C">
      <w:pPr>
        <w:spacing w:line="360" w:lineRule="auto"/>
        <w:rPr>
          <w:rFonts w:ascii="Arial" w:hAnsi="Arial" w:cs="Arial"/>
          <w:sz w:val="22"/>
          <w:szCs w:val="22"/>
        </w:rPr>
      </w:pPr>
      <w:r w:rsidRPr="00D55899">
        <w:rPr>
          <w:rFonts w:ascii="Arial" w:hAnsi="Arial" w:cs="Arial"/>
          <w:sz w:val="22"/>
          <w:szCs w:val="22"/>
        </w:rPr>
        <w:t>At the end of each week:</w:t>
      </w:r>
    </w:p>
    <w:p w14:paraId="5CA8CC7D" w14:textId="77777777" w:rsidR="00D55899" w:rsidRPr="00D55899" w:rsidRDefault="00D55899" w:rsidP="0038603C">
      <w:pPr>
        <w:numPr>
          <w:ilvl w:val="0"/>
          <w:numId w:val="34"/>
        </w:numPr>
        <w:spacing w:line="360" w:lineRule="auto"/>
        <w:rPr>
          <w:rFonts w:ascii="Arial" w:hAnsi="Arial" w:cs="Arial"/>
          <w:sz w:val="22"/>
          <w:szCs w:val="22"/>
        </w:rPr>
      </w:pPr>
      <w:r w:rsidRPr="00D55899">
        <w:rPr>
          <w:rFonts w:ascii="Arial" w:hAnsi="Arial" w:cs="Arial"/>
          <w:sz w:val="22"/>
          <w:szCs w:val="22"/>
        </w:rPr>
        <w:t>Review the metrics from the Belt, ATS and Reflection sheets.</w:t>
      </w:r>
    </w:p>
    <w:p w14:paraId="52B9C2C8" w14:textId="77777777" w:rsidR="00D55899" w:rsidRPr="00D55899" w:rsidRDefault="00D55899" w:rsidP="0038603C">
      <w:pPr>
        <w:numPr>
          <w:ilvl w:val="0"/>
          <w:numId w:val="34"/>
        </w:numPr>
        <w:spacing w:line="360" w:lineRule="auto"/>
        <w:rPr>
          <w:rFonts w:ascii="Arial" w:hAnsi="Arial" w:cs="Arial"/>
          <w:sz w:val="22"/>
          <w:szCs w:val="22"/>
        </w:rPr>
      </w:pPr>
      <w:r w:rsidRPr="00D55899">
        <w:rPr>
          <w:rFonts w:ascii="Arial" w:hAnsi="Arial" w:cs="Arial"/>
          <w:sz w:val="22"/>
          <w:szCs w:val="22"/>
        </w:rPr>
        <w:t>Notice trends, consistencies and any areas that may need attention.</w:t>
      </w:r>
    </w:p>
    <w:p w14:paraId="2C99C28A" w14:textId="164177EC" w:rsidR="00D55899" w:rsidRPr="00D55899" w:rsidRDefault="00D55899" w:rsidP="0038603C">
      <w:pPr>
        <w:numPr>
          <w:ilvl w:val="0"/>
          <w:numId w:val="34"/>
        </w:numPr>
        <w:spacing w:line="360" w:lineRule="auto"/>
        <w:rPr>
          <w:rFonts w:ascii="Arial" w:hAnsi="Arial" w:cs="Arial"/>
          <w:sz w:val="22"/>
          <w:szCs w:val="22"/>
        </w:rPr>
      </w:pPr>
      <w:r w:rsidRPr="00D55899">
        <w:rPr>
          <w:rFonts w:ascii="Arial" w:hAnsi="Arial" w:cs="Arial"/>
          <w:sz w:val="22"/>
          <w:szCs w:val="22"/>
        </w:rPr>
        <w:t>Bring these observations into future practice sessions and discussions with your tutor.</w:t>
      </w:r>
    </w:p>
    <w:p w14:paraId="21C9014D" w14:textId="77777777" w:rsidR="00D55899" w:rsidRPr="00D55899" w:rsidRDefault="00D55899" w:rsidP="0038603C">
      <w:pPr>
        <w:spacing w:line="360" w:lineRule="auto"/>
        <w:rPr>
          <w:rFonts w:ascii="Arial" w:hAnsi="Arial" w:cs="Arial"/>
          <w:b/>
          <w:bCs/>
          <w:sz w:val="22"/>
          <w:szCs w:val="22"/>
        </w:rPr>
      </w:pPr>
      <w:r w:rsidRPr="00D55899">
        <w:rPr>
          <w:rFonts w:ascii="Arial" w:hAnsi="Arial" w:cs="Arial"/>
          <w:b/>
          <w:bCs/>
          <w:sz w:val="22"/>
          <w:szCs w:val="22"/>
        </w:rPr>
        <w:t>Support for Trans Voice Development Through the Tracker</w:t>
      </w:r>
    </w:p>
    <w:p w14:paraId="3743A04B" w14:textId="77777777" w:rsidR="00D55899" w:rsidRPr="00D55899" w:rsidRDefault="00D55899" w:rsidP="0038603C">
      <w:pPr>
        <w:spacing w:line="360" w:lineRule="auto"/>
        <w:rPr>
          <w:rFonts w:ascii="Arial" w:hAnsi="Arial" w:cs="Arial"/>
          <w:sz w:val="22"/>
          <w:szCs w:val="22"/>
        </w:rPr>
      </w:pPr>
      <w:r w:rsidRPr="00D55899">
        <w:rPr>
          <w:rFonts w:ascii="Arial" w:hAnsi="Arial" w:cs="Arial"/>
          <w:sz w:val="22"/>
          <w:szCs w:val="22"/>
        </w:rPr>
        <w:t>The tracker is designed to accommodate the diverse vocal, emotional and identity-related experiences that shape the journeys of trans and non-binary singers. It helps users recognise vocal changes linked to hormonal transition and fosters identity awareness that is often absent in traditional vocal training.</w:t>
      </w:r>
    </w:p>
    <w:p w14:paraId="3869355D" w14:textId="77777777" w:rsidR="00D55899" w:rsidRPr="00D55899" w:rsidRDefault="00D55899" w:rsidP="0038603C">
      <w:pPr>
        <w:spacing w:line="360" w:lineRule="auto"/>
        <w:rPr>
          <w:rFonts w:ascii="Arial" w:hAnsi="Arial" w:cs="Arial"/>
          <w:sz w:val="22"/>
          <w:szCs w:val="22"/>
        </w:rPr>
      </w:pPr>
      <w:r w:rsidRPr="00D55899">
        <w:rPr>
          <w:rFonts w:ascii="Arial" w:hAnsi="Arial" w:cs="Arial"/>
          <w:sz w:val="22"/>
          <w:szCs w:val="22"/>
        </w:rPr>
        <w:t>By integrating technical development and narrative work, the tracker supports simultaneous growth in vocal skill and artistic expression. It promotes autonomy, choice and self-definition, enabling singers to guide their own learning rather than follow externally imposed expectations. Psychological safety is central, and the tracker provides tools that encourage grounding, affirmation and emotional support.</w:t>
      </w:r>
    </w:p>
    <w:p w14:paraId="3730FBA4" w14:textId="77777777" w:rsidR="00D55899" w:rsidRPr="00D55899" w:rsidRDefault="00D55899" w:rsidP="0038603C">
      <w:pPr>
        <w:spacing w:line="360" w:lineRule="auto"/>
        <w:rPr>
          <w:rFonts w:ascii="Arial" w:hAnsi="Arial" w:cs="Arial"/>
          <w:sz w:val="22"/>
          <w:szCs w:val="22"/>
        </w:rPr>
      </w:pPr>
      <w:r w:rsidRPr="00D55899">
        <w:rPr>
          <w:rFonts w:ascii="Arial" w:hAnsi="Arial" w:cs="Arial"/>
          <w:sz w:val="22"/>
          <w:szCs w:val="22"/>
        </w:rPr>
        <w:t>This tracker is intended to evolve with you. Use it with sincerity and compassion, allowing it to support the development of both your voice and your identity.</w:t>
      </w:r>
    </w:p>
    <w:p w14:paraId="0BF9A123" w14:textId="77777777" w:rsidR="0038603C" w:rsidRDefault="0038603C" w:rsidP="0038603C">
      <w:pPr>
        <w:spacing w:line="360" w:lineRule="auto"/>
        <w:rPr>
          <w:rFonts w:ascii="Arial" w:hAnsi="Arial" w:cs="Arial"/>
          <w:b/>
          <w:bCs/>
          <w:sz w:val="22"/>
          <w:szCs w:val="22"/>
        </w:rPr>
      </w:pPr>
    </w:p>
    <w:p w14:paraId="6C83FAEB" w14:textId="77777777" w:rsidR="0038603C" w:rsidRDefault="0038603C" w:rsidP="0038603C">
      <w:pPr>
        <w:spacing w:line="360" w:lineRule="auto"/>
        <w:rPr>
          <w:rFonts w:ascii="Arial" w:hAnsi="Arial" w:cs="Arial"/>
          <w:b/>
          <w:bCs/>
          <w:sz w:val="22"/>
          <w:szCs w:val="22"/>
        </w:rPr>
      </w:pPr>
    </w:p>
    <w:p w14:paraId="4B4788FE" w14:textId="77777777" w:rsidR="0038603C" w:rsidRDefault="0038603C" w:rsidP="0038603C">
      <w:pPr>
        <w:spacing w:line="360" w:lineRule="auto"/>
        <w:rPr>
          <w:rFonts w:ascii="Arial" w:hAnsi="Arial" w:cs="Arial"/>
          <w:b/>
          <w:bCs/>
          <w:sz w:val="22"/>
          <w:szCs w:val="22"/>
        </w:rPr>
      </w:pPr>
    </w:p>
    <w:p w14:paraId="6F9000AD" w14:textId="77777777" w:rsidR="0038603C" w:rsidRDefault="0038603C" w:rsidP="0038603C">
      <w:pPr>
        <w:spacing w:line="360" w:lineRule="auto"/>
        <w:rPr>
          <w:rFonts w:ascii="Arial" w:hAnsi="Arial" w:cs="Arial"/>
          <w:b/>
          <w:bCs/>
          <w:sz w:val="22"/>
          <w:szCs w:val="22"/>
        </w:rPr>
      </w:pPr>
    </w:p>
    <w:p w14:paraId="261ACCC9" w14:textId="77777777" w:rsidR="0038603C" w:rsidRDefault="0038603C" w:rsidP="0038603C">
      <w:pPr>
        <w:spacing w:line="360" w:lineRule="auto"/>
        <w:rPr>
          <w:rFonts w:ascii="Arial" w:hAnsi="Arial" w:cs="Arial"/>
          <w:b/>
          <w:bCs/>
          <w:sz w:val="22"/>
          <w:szCs w:val="22"/>
        </w:rPr>
      </w:pPr>
    </w:p>
    <w:p w14:paraId="44396338" w14:textId="4B9A6CB2" w:rsidR="005E655B" w:rsidRPr="0038603C" w:rsidRDefault="00ED7BDA" w:rsidP="0038603C">
      <w:pPr>
        <w:spacing w:line="360" w:lineRule="auto"/>
        <w:rPr>
          <w:rFonts w:ascii="Arial" w:hAnsi="Arial" w:cs="Arial"/>
          <w:b/>
          <w:bCs/>
          <w:sz w:val="22"/>
          <w:szCs w:val="22"/>
        </w:rPr>
      </w:pPr>
      <w:r w:rsidRPr="0038603C">
        <w:rPr>
          <w:rFonts w:ascii="Arial" w:hAnsi="Arial" w:cs="Arial"/>
          <w:b/>
          <w:bCs/>
          <w:sz w:val="22"/>
          <w:szCs w:val="22"/>
        </w:rPr>
        <w:lastRenderedPageBreak/>
        <w:t>Tracker Screen Shots</w:t>
      </w:r>
    </w:p>
    <w:p w14:paraId="451ACA15" w14:textId="3795A69B" w:rsidR="00A5558C" w:rsidRPr="0038603C" w:rsidRDefault="00A5558C" w:rsidP="0038603C">
      <w:pPr>
        <w:spacing w:line="360" w:lineRule="auto"/>
        <w:rPr>
          <w:rFonts w:ascii="Arial" w:hAnsi="Arial" w:cs="Arial"/>
          <w:b/>
          <w:bCs/>
          <w:sz w:val="22"/>
          <w:szCs w:val="22"/>
        </w:rPr>
      </w:pPr>
      <w:r w:rsidRPr="0038603C">
        <w:rPr>
          <w:rFonts w:ascii="Arial" w:hAnsi="Arial" w:cs="Arial"/>
          <w:b/>
          <w:bCs/>
          <w:sz w:val="22"/>
          <w:szCs w:val="22"/>
        </w:rPr>
        <w:t>User Exercises</w:t>
      </w:r>
    </w:p>
    <w:p w14:paraId="5BAAE912" w14:textId="77777777" w:rsidR="00F2353A" w:rsidRPr="0038603C" w:rsidRDefault="00F2353A" w:rsidP="0038603C">
      <w:pPr>
        <w:spacing w:line="360" w:lineRule="auto"/>
        <w:rPr>
          <w:rFonts w:ascii="Arial" w:hAnsi="Arial" w:cs="Arial"/>
          <w:b/>
          <w:bCs/>
          <w:sz w:val="22"/>
          <w:szCs w:val="22"/>
        </w:rPr>
      </w:pPr>
      <w:r w:rsidRPr="0038603C">
        <w:rPr>
          <w:rFonts w:ascii="Arial" w:hAnsi="Arial" w:cs="Arial"/>
          <w:noProof/>
          <w:sz w:val="22"/>
          <w:szCs w:val="22"/>
        </w:rPr>
        <w:drawing>
          <wp:inline distT="0" distB="0" distL="0" distR="0" wp14:anchorId="435780B8" wp14:editId="2D8E01E6">
            <wp:extent cx="5731510" cy="3028315"/>
            <wp:effectExtent l="0" t="0" r="2540" b="635"/>
            <wp:docPr id="5658005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3028315"/>
                    </a:xfrm>
                    <a:prstGeom prst="rect">
                      <a:avLst/>
                    </a:prstGeom>
                    <a:noFill/>
                    <a:ln>
                      <a:noFill/>
                    </a:ln>
                  </pic:spPr>
                </pic:pic>
              </a:graphicData>
            </a:graphic>
          </wp:inline>
        </w:drawing>
      </w:r>
    </w:p>
    <w:p w14:paraId="05F39EC5" w14:textId="77777777" w:rsidR="007332C7" w:rsidRPr="0038603C" w:rsidRDefault="00E15F3D" w:rsidP="0038603C">
      <w:pPr>
        <w:spacing w:line="360" w:lineRule="auto"/>
        <w:rPr>
          <w:rFonts w:ascii="Arial" w:hAnsi="Arial" w:cs="Arial"/>
          <w:b/>
          <w:bCs/>
          <w:sz w:val="22"/>
          <w:szCs w:val="22"/>
        </w:rPr>
      </w:pPr>
      <w:r w:rsidRPr="0038603C">
        <w:rPr>
          <w:rFonts w:ascii="Arial" w:hAnsi="Arial" w:cs="Arial"/>
          <w:noProof/>
          <w:sz w:val="22"/>
          <w:szCs w:val="22"/>
        </w:rPr>
        <w:drawing>
          <wp:inline distT="0" distB="0" distL="0" distR="0" wp14:anchorId="4DB6ABAB" wp14:editId="1EEF0127">
            <wp:extent cx="5731510" cy="1471295"/>
            <wp:effectExtent l="0" t="0" r="2540" b="0"/>
            <wp:docPr id="193274037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1471295"/>
                    </a:xfrm>
                    <a:prstGeom prst="rect">
                      <a:avLst/>
                    </a:prstGeom>
                    <a:noFill/>
                    <a:ln>
                      <a:noFill/>
                    </a:ln>
                  </pic:spPr>
                </pic:pic>
              </a:graphicData>
            </a:graphic>
          </wp:inline>
        </w:drawing>
      </w:r>
    </w:p>
    <w:p w14:paraId="57C4CAC7" w14:textId="77777777" w:rsidR="007332C7" w:rsidRPr="0038603C" w:rsidRDefault="007332C7" w:rsidP="0038603C">
      <w:pPr>
        <w:spacing w:line="360" w:lineRule="auto"/>
        <w:rPr>
          <w:rFonts w:ascii="Arial" w:hAnsi="Arial" w:cs="Arial"/>
          <w:b/>
          <w:bCs/>
          <w:sz w:val="22"/>
          <w:szCs w:val="22"/>
        </w:rPr>
      </w:pPr>
      <w:r w:rsidRPr="0038603C">
        <w:rPr>
          <w:rFonts w:ascii="Arial" w:hAnsi="Arial" w:cs="Arial"/>
          <w:noProof/>
          <w:sz w:val="22"/>
          <w:szCs w:val="22"/>
        </w:rPr>
        <w:drawing>
          <wp:inline distT="0" distB="0" distL="0" distR="0" wp14:anchorId="3489D792" wp14:editId="2E932B4C">
            <wp:extent cx="5731510" cy="2056130"/>
            <wp:effectExtent l="0" t="0" r="2540" b="1270"/>
            <wp:docPr id="61266019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2056130"/>
                    </a:xfrm>
                    <a:prstGeom prst="rect">
                      <a:avLst/>
                    </a:prstGeom>
                    <a:noFill/>
                    <a:ln>
                      <a:noFill/>
                    </a:ln>
                  </pic:spPr>
                </pic:pic>
              </a:graphicData>
            </a:graphic>
          </wp:inline>
        </w:drawing>
      </w:r>
    </w:p>
    <w:p w14:paraId="39F266AD" w14:textId="77777777" w:rsidR="007332C7" w:rsidRPr="0038603C" w:rsidRDefault="007332C7" w:rsidP="0038603C">
      <w:pPr>
        <w:spacing w:line="360" w:lineRule="auto"/>
        <w:rPr>
          <w:rFonts w:ascii="Arial" w:hAnsi="Arial" w:cs="Arial"/>
          <w:b/>
          <w:bCs/>
          <w:sz w:val="22"/>
          <w:szCs w:val="22"/>
        </w:rPr>
      </w:pPr>
      <w:r w:rsidRPr="0038603C">
        <w:rPr>
          <w:rFonts w:ascii="Arial" w:hAnsi="Arial" w:cs="Arial"/>
          <w:b/>
          <w:bCs/>
          <w:sz w:val="22"/>
          <w:szCs w:val="22"/>
        </w:rPr>
        <w:br w:type="page"/>
      </w:r>
    </w:p>
    <w:p w14:paraId="2C039B67" w14:textId="77777777" w:rsidR="00CB2F7A" w:rsidRPr="0038603C" w:rsidRDefault="007332C7" w:rsidP="0038603C">
      <w:pPr>
        <w:spacing w:line="360" w:lineRule="auto"/>
        <w:rPr>
          <w:rFonts w:ascii="Arial" w:hAnsi="Arial" w:cs="Arial"/>
          <w:b/>
          <w:bCs/>
          <w:sz w:val="22"/>
          <w:szCs w:val="22"/>
        </w:rPr>
      </w:pPr>
      <w:r w:rsidRPr="0038603C">
        <w:rPr>
          <w:rFonts w:ascii="Arial" w:hAnsi="Arial" w:cs="Arial"/>
          <w:noProof/>
          <w:sz w:val="22"/>
          <w:szCs w:val="22"/>
        </w:rPr>
        <w:lastRenderedPageBreak/>
        <w:drawing>
          <wp:inline distT="0" distB="0" distL="0" distR="0" wp14:anchorId="6CFC051C" wp14:editId="5C368016">
            <wp:extent cx="5731510" cy="1481455"/>
            <wp:effectExtent l="0" t="0" r="2540" b="4445"/>
            <wp:docPr id="8990915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1481455"/>
                    </a:xfrm>
                    <a:prstGeom prst="rect">
                      <a:avLst/>
                    </a:prstGeom>
                    <a:noFill/>
                    <a:ln>
                      <a:noFill/>
                    </a:ln>
                  </pic:spPr>
                </pic:pic>
              </a:graphicData>
            </a:graphic>
          </wp:inline>
        </w:drawing>
      </w:r>
    </w:p>
    <w:p w14:paraId="25E7092E" w14:textId="77777777" w:rsidR="0038603C" w:rsidRPr="0038603C" w:rsidRDefault="0038603C" w:rsidP="0038603C">
      <w:pPr>
        <w:spacing w:line="360" w:lineRule="auto"/>
        <w:rPr>
          <w:rFonts w:ascii="Arial" w:hAnsi="Arial" w:cs="Arial"/>
          <w:b/>
          <w:bCs/>
          <w:sz w:val="22"/>
          <w:szCs w:val="22"/>
        </w:rPr>
      </w:pPr>
      <w:r w:rsidRPr="0038603C">
        <w:rPr>
          <w:rFonts w:ascii="Arial" w:hAnsi="Arial" w:cs="Arial"/>
          <w:b/>
          <w:bCs/>
          <w:sz w:val="22"/>
          <w:szCs w:val="22"/>
        </w:rPr>
        <w:br w:type="page"/>
      </w:r>
    </w:p>
    <w:p w14:paraId="52A7028F" w14:textId="6DDF2DA5" w:rsidR="0038603C" w:rsidRPr="00D55899" w:rsidRDefault="0038603C" w:rsidP="0038603C">
      <w:pPr>
        <w:spacing w:line="360" w:lineRule="auto"/>
        <w:rPr>
          <w:rFonts w:ascii="Arial" w:hAnsi="Arial" w:cs="Arial"/>
          <w:b/>
          <w:bCs/>
          <w:sz w:val="22"/>
          <w:szCs w:val="22"/>
        </w:rPr>
      </w:pPr>
      <w:r w:rsidRPr="00D55899">
        <w:rPr>
          <w:rFonts w:ascii="Arial" w:hAnsi="Arial" w:cs="Arial"/>
          <w:b/>
          <w:bCs/>
          <w:sz w:val="22"/>
          <w:szCs w:val="22"/>
        </w:rPr>
        <w:lastRenderedPageBreak/>
        <w:t>User Tracker (with examples)</w:t>
      </w:r>
    </w:p>
    <w:p w14:paraId="2696E079" w14:textId="644A69F3" w:rsidR="00992DDB" w:rsidRPr="0038603C" w:rsidRDefault="00992DDB" w:rsidP="0038603C">
      <w:pPr>
        <w:spacing w:line="360" w:lineRule="auto"/>
        <w:rPr>
          <w:rFonts w:ascii="Arial" w:hAnsi="Arial" w:cs="Arial"/>
          <w:sz w:val="22"/>
          <w:szCs w:val="22"/>
        </w:rPr>
      </w:pPr>
      <w:r w:rsidRPr="0038603C">
        <w:rPr>
          <w:rFonts w:ascii="Arial" w:hAnsi="Arial" w:cs="Arial"/>
          <w:sz w:val="22"/>
          <w:szCs w:val="22"/>
        </w:rPr>
        <w:t>Overview:</w:t>
      </w:r>
    </w:p>
    <w:p w14:paraId="51901BED" w14:textId="77777777" w:rsidR="00D45741" w:rsidRPr="0038603C" w:rsidRDefault="00D45741" w:rsidP="0038603C">
      <w:pPr>
        <w:spacing w:line="360" w:lineRule="auto"/>
        <w:rPr>
          <w:rFonts w:ascii="Arial" w:hAnsi="Arial" w:cs="Arial"/>
          <w:sz w:val="22"/>
          <w:szCs w:val="22"/>
        </w:rPr>
      </w:pPr>
      <w:r w:rsidRPr="0038603C">
        <w:rPr>
          <w:rFonts w:ascii="Arial" w:hAnsi="Arial" w:cs="Arial"/>
          <w:noProof/>
          <w:sz w:val="22"/>
          <w:szCs w:val="22"/>
        </w:rPr>
        <w:drawing>
          <wp:inline distT="0" distB="0" distL="0" distR="0" wp14:anchorId="1A3A3A9A" wp14:editId="1B576533">
            <wp:extent cx="5731510" cy="585470"/>
            <wp:effectExtent l="0" t="0" r="2540" b="5080"/>
            <wp:docPr id="111203484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585470"/>
                    </a:xfrm>
                    <a:prstGeom prst="rect">
                      <a:avLst/>
                    </a:prstGeom>
                    <a:noFill/>
                    <a:ln>
                      <a:noFill/>
                    </a:ln>
                  </pic:spPr>
                </pic:pic>
              </a:graphicData>
            </a:graphic>
          </wp:inline>
        </w:drawing>
      </w:r>
    </w:p>
    <w:p w14:paraId="4CB855A4" w14:textId="2B57F577" w:rsidR="00D45741" w:rsidRPr="0038603C" w:rsidRDefault="00D45741" w:rsidP="0038603C">
      <w:pPr>
        <w:spacing w:line="360" w:lineRule="auto"/>
        <w:rPr>
          <w:rFonts w:ascii="Arial" w:hAnsi="Arial" w:cs="Arial"/>
          <w:sz w:val="22"/>
          <w:szCs w:val="22"/>
        </w:rPr>
      </w:pPr>
      <w:r w:rsidRPr="0038603C">
        <w:rPr>
          <w:rFonts w:ascii="Arial" w:hAnsi="Arial" w:cs="Arial"/>
          <w:sz w:val="22"/>
          <w:szCs w:val="22"/>
        </w:rPr>
        <w:t>Belt Tracker</w:t>
      </w:r>
      <w:r w:rsidR="0038603C" w:rsidRPr="0038603C">
        <w:rPr>
          <w:rFonts w:ascii="Arial" w:hAnsi="Arial" w:cs="Arial"/>
          <w:sz w:val="22"/>
          <w:szCs w:val="22"/>
        </w:rPr>
        <w:t>:</w:t>
      </w:r>
    </w:p>
    <w:p w14:paraId="73430E44" w14:textId="77777777" w:rsidR="00494A70" w:rsidRPr="0038603C" w:rsidRDefault="00D45741" w:rsidP="0038603C">
      <w:pPr>
        <w:spacing w:line="360" w:lineRule="auto"/>
        <w:rPr>
          <w:rFonts w:ascii="Arial" w:hAnsi="Arial" w:cs="Arial"/>
          <w:sz w:val="22"/>
          <w:szCs w:val="22"/>
        </w:rPr>
      </w:pPr>
      <w:r w:rsidRPr="0038603C">
        <w:rPr>
          <w:rFonts w:ascii="Arial" w:hAnsi="Arial" w:cs="Arial"/>
          <w:noProof/>
          <w:sz w:val="22"/>
          <w:szCs w:val="22"/>
        </w:rPr>
        <w:drawing>
          <wp:inline distT="0" distB="0" distL="0" distR="0" wp14:anchorId="2579CF06" wp14:editId="1A1081B1">
            <wp:extent cx="5731510" cy="5989955"/>
            <wp:effectExtent l="0" t="0" r="2540" b="0"/>
            <wp:docPr id="79502365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1510" cy="5989955"/>
                    </a:xfrm>
                    <a:prstGeom prst="rect">
                      <a:avLst/>
                    </a:prstGeom>
                    <a:noFill/>
                    <a:ln>
                      <a:noFill/>
                    </a:ln>
                  </pic:spPr>
                </pic:pic>
              </a:graphicData>
            </a:graphic>
          </wp:inline>
        </w:drawing>
      </w:r>
    </w:p>
    <w:p w14:paraId="53E9645C" w14:textId="77777777" w:rsidR="00494A70" w:rsidRPr="0038603C" w:rsidRDefault="00494A70" w:rsidP="0038603C">
      <w:pPr>
        <w:spacing w:line="360" w:lineRule="auto"/>
        <w:rPr>
          <w:rFonts w:ascii="Arial" w:hAnsi="Arial" w:cs="Arial"/>
          <w:sz w:val="22"/>
          <w:szCs w:val="22"/>
        </w:rPr>
      </w:pPr>
      <w:r w:rsidRPr="0038603C">
        <w:rPr>
          <w:rFonts w:ascii="Arial" w:hAnsi="Arial" w:cs="Arial"/>
          <w:sz w:val="22"/>
          <w:szCs w:val="22"/>
        </w:rPr>
        <w:br w:type="page"/>
      </w:r>
    </w:p>
    <w:p w14:paraId="50850A32" w14:textId="6870A235" w:rsidR="00494A70" w:rsidRPr="0038603C" w:rsidRDefault="00494A70" w:rsidP="0038603C">
      <w:pPr>
        <w:spacing w:line="360" w:lineRule="auto"/>
        <w:rPr>
          <w:rFonts w:ascii="Arial" w:hAnsi="Arial" w:cs="Arial"/>
          <w:sz w:val="22"/>
          <w:szCs w:val="22"/>
        </w:rPr>
      </w:pPr>
      <w:r w:rsidRPr="0038603C">
        <w:rPr>
          <w:rFonts w:ascii="Arial" w:hAnsi="Arial" w:cs="Arial"/>
          <w:sz w:val="22"/>
          <w:szCs w:val="22"/>
        </w:rPr>
        <w:lastRenderedPageBreak/>
        <w:t>ATS Tracker</w:t>
      </w:r>
      <w:r w:rsidR="0038603C" w:rsidRPr="0038603C">
        <w:rPr>
          <w:rFonts w:ascii="Arial" w:hAnsi="Arial" w:cs="Arial"/>
          <w:sz w:val="22"/>
          <w:szCs w:val="22"/>
        </w:rPr>
        <w:t>:</w:t>
      </w:r>
    </w:p>
    <w:p w14:paraId="6DE74375" w14:textId="77777777" w:rsidR="00170D67" w:rsidRPr="0038603C" w:rsidRDefault="00494A70" w:rsidP="0038603C">
      <w:pPr>
        <w:spacing w:line="360" w:lineRule="auto"/>
        <w:rPr>
          <w:rFonts w:ascii="Arial" w:hAnsi="Arial" w:cs="Arial"/>
          <w:sz w:val="22"/>
          <w:szCs w:val="22"/>
        </w:rPr>
      </w:pPr>
      <w:r w:rsidRPr="0038603C">
        <w:rPr>
          <w:rFonts w:ascii="Arial" w:hAnsi="Arial" w:cs="Arial"/>
          <w:noProof/>
          <w:sz w:val="22"/>
          <w:szCs w:val="22"/>
        </w:rPr>
        <w:drawing>
          <wp:inline distT="0" distB="0" distL="0" distR="0" wp14:anchorId="543F8DCD" wp14:editId="25BB1F9C">
            <wp:extent cx="5731510" cy="3956685"/>
            <wp:effectExtent l="0" t="0" r="2540" b="5715"/>
            <wp:docPr id="50476200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1510" cy="3956685"/>
                    </a:xfrm>
                    <a:prstGeom prst="rect">
                      <a:avLst/>
                    </a:prstGeom>
                    <a:noFill/>
                    <a:ln>
                      <a:noFill/>
                    </a:ln>
                  </pic:spPr>
                </pic:pic>
              </a:graphicData>
            </a:graphic>
          </wp:inline>
        </w:drawing>
      </w:r>
    </w:p>
    <w:p w14:paraId="7154C267" w14:textId="440BAC23" w:rsidR="00170D67" w:rsidRPr="0038603C" w:rsidRDefault="00170D67" w:rsidP="0038603C">
      <w:pPr>
        <w:spacing w:line="360" w:lineRule="auto"/>
        <w:rPr>
          <w:rFonts w:ascii="Arial" w:hAnsi="Arial" w:cs="Arial"/>
          <w:sz w:val="22"/>
          <w:szCs w:val="22"/>
        </w:rPr>
      </w:pPr>
      <w:r w:rsidRPr="0038603C">
        <w:rPr>
          <w:rFonts w:ascii="Arial" w:hAnsi="Arial" w:cs="Arial"/>
          <w:sz w:val="22"/>
          <w:szCs w:val="22"/>
        </w:rPr>
        <w:t>Reflection Log</w:t>
      </w:r>
      <w:r w:rsidR="0038603C" w:rsidRPr="0038603C">
        <w:rPr>
          <w:rFonts w:ascii="Arial" w:hAnsi="Arial" w:cs="Arial"/>
          <w:sz w:val="22"/>
          <w:szCs w:val="22"/>
        </w:rPr>
        <w:t>:</w:t>
      </w:r>
    </w:p>
    <w:p w14:paraId="31BEC350" w14:textId="28386D9A" w:rsidR="00FB7256" w:rsidRPr="00ED2901" w:rsidRDefault="00170D67" w:rsidP="00ED2901">
      <w:pPr>
        <w:spacing w:line="360" w:lineRule="auto"/>
        <w:rPr>
          <w:rFonts w:ascii="Arial" w:hAnsi="Arial" w:cs="Arial"/>
          <w:sz w:val="22"/>
          <w:szCs w:val="22"/>
        </w:rPr>
      </w:pPr>
      <w:r w:rsidRPr="00170D67">
        <w:rPr>
          <w:noProof/>
        </w:rPr>
        <w:drawing>
          <wp:inline distT="0" distB="0" distL="0" distR="0" wp14:anchorId="668A705B" wp14:editId="6D32947E">
            <wp:extent cx="5731510" cy="511175"/>
            <wp:effectExtent l="0" t="0" r="2540" b="3175"/>
            <wp:docPr id="23722756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1510" cy="511175"/>
                    </a:xfrm>
                    <a:prstGeom prst="rect">
                      <a:avLst/>
                    </a:prstGeom>
                    <a:noFill/>
                    <a:ln>
                      <a:noFill/>
                    </a:ln>
                  </pic:spPr>
                </pic:pic>
              </a:graphicData>
            </a:graphic>
          </wp:inline>
        </w:drawing>
      </w:r>
      <w:r w:rsidR="00FB7256" w:rsidRPr="00ED2901">
        <w:rPr>
          <w:rFonts w:ascii="Arial" w:hAnsi="Arial" w:cs="Arial"/>
          <w:sz w:val="22"/>
          <w:szCs w:val="22"/>
        </w:rPr>
        <w:br w:type="page"/>
      </w:r>
    </w:p>
    <w:p w14:paraId="6DA87354" w14:textId="537E5CE6" w:rsidR="007A135E" w:rsidRPr="00ED2901" w:rsidRDefault="007A135E" w:rsidP="00ED2901">
      <w:pPr>
        <w:spacing w:line="360" w:lineRule="auto"/>
        <w:rPr>
          <w:rFonts w:ascii="Arial" w:hAnsi="Arial" w:cs="Arial"/>
          <w:sz w:val="22"/>
          <w:szCs w:val="22"/>
        </w:rPr>
      </w:pPr>
      <w:r w:rsidRPr="00ED2901">
        <w:rPr>
          <w:rFonts w:ascii="Arial" w:hAnsi="Arial" w:cs="Arial"/>
          <w:b/>
          <w:bCs/>
          <w:sz w:val="22"/>
          <w:szCs w:val="22"/>
        </w:rPr>
        <w:lastRenderedPageBreak/>
        <w:t>References</w:t>
      </w:r>
    </w:p>
    <w:p w14:paraId="186CCFA2" w14:textId="77777777" w:rsidR="00F92F80" w:rsidRPr="00ED2901" w:rsidRDefault="00F92F80" w:rsidP="00ED2901">
      <w:pPr>
        <w:spacing w:line="360" w:lineRule="auto"/>
        <w:rPr>
          <w:rFonts w:ascii="Arial" w:hAnsi="Arial" w:cs="Arial"/>
          <w:sz w:val="22"/>
          <w:szCs w:val="22"/>
        </w:rPr>
      </w:pPr>
      <w:r w:rsidRPr="00ED2901">
        <w:rPr>
          <w:rFonts w:ascii="Arial" w:hAnsi="Arial" w:cs="Arial"/>
          <w:sz w:val="22"/>
          <w:szCs w:val="22"/>
        </w:rPr>
        <w:t xml:space="preserve">Abbate, C. and Parker, R. (2017) </w:t>
      </w:r>
      <w:r w:rsidRPr="00ED2901">
        <w:rPr>
          <w:rFonts w:ascii="Arial" w:hAnsi="Arial" w:cs="Arial"/>
          <w:i/>
          <w:iCs/>
          <w:sz w:val="22"/>
          <w:szCs w:val="22"/>
        </w:rPr>
        <w:t>A History of Opera: The Last Four Hundred Years</w:t>
      </w:r>
      <w:r w:rsidRPr="00ED2901">
        <w:rPr>
          <w:rFonts w:ascii="Arial" w:hAnsi="Arial" w:cs="Arial"/>
          <w:sz w:val="22"/>
          <w:szCs w:val="22"/>
        </w:rPr>
        <w:t>. London: Penguin.</w:t>
      </w:r>
    </w:p>
    <w:p w14:paraId="21662743" w14:textId="77777777" w:rsidR="00F92F80" w:rsidRPr="00ED2901" w:rsidRDefault="00F92F80" w:rsidP="00ED2901">
      <w:pPr>
        <w:spacing w:line="360" w:lineRule="auto"/>
        <w:rPr>
          <w:rFonts w:ascii="Arial" w:hAnsi="Arial" w:cs="Arial"/>
          <w:sz w:val="22"/>
          <w:szCs w:val="22"/>
        </w:rPr>
      </w:pPr>
      <w:r w:rsidRPr="00ED2901">
        <w:rPr>
          <w:rFonts w:ascii="Arial" w:hAnsi="Arial" w:cs="Arial"/>
          <w:sz w:val="22"/>
          <w:szCs w:val="22"/>
        </w:rPr>
        <w:t xml:space="preserve">Adler, R., Hirsch, S. and Mordaunt, M. (2012) </w:t>
      </w:r>
      <w:r w:rsidRPr="00ED2901">
        <w:rPr>
          <w:rFonts w:ascii="Arial" w:hAnsi="Arial" w:cs="Arial"/>
          <w:i/>
          <w:iCs/>
          <w:sz w:val="22"/>
          <w:szCs w:val="22"/>
        </w:rPr>
        <w:t>Voice and Communication Therapy for the Transgender/Transsexual Client: A Comprehensive Clinical Guide</w:t>
      </w:r>
      <w:r w:rsidRPr="00ED2901">
        <w:rPr>
          <w:rFonts w:ascii="Arial" w:hAnsi="Arial" w:cs="Arial"/>
          <w:sz w:val="22"/>
          <w:szCs w:val="22"/>
        </w:rPr>
        <w:t>. San Diego: Plural.</w:t>
      </w:r>
    </w:p>
    <w:p w14:paraId="66FCEBA9" w14:textId="77777777" w:rsidR="00F92F80" w:rsidRPr="00ED2901" w:rsidRDefault="00F92F80" w:rsidP="00ED2901">
      <w:pPr>
        <w:spacing w:line="360" w:lineRule="auto"/>
        <w:rPr>
          <w:rFonts w:ascii="Arial" w:hAnsi="Arial" w:cs="Arial"/>
          <w:sz w:val="22"/>
          <w:szCs w:val="22"/>
        </w:rPr>
      </w:pPr>
      <w:r w:rsidRPr="00ED2901">
        <w:rPr>
          <w:rFonts w:ascii="Arial" w:hAnsi="Arial" w:cs="Arial"/>
          <w:sz w:val="22"/>
          <w:szCs w:val="22"/>
        </w:rPr>
        <w:t xml:space="preserve">Advance HE (2021) </w:t>
      </w:r>
      <w:r w:rsidRPr="00ED2901">
        <w:rPr>
          <w:rFonts w:ascii="Arial" w:hAnsi="Arial" w:cs="Arial"/>
          <w:i/>
          <w:iCs/>
          <w:sz w:val="22"/>
          <w:szCs w:val="22"/>
        </w:rPr>
        <w:t>Equality, Diversity and Inclusion Framework</w:t>
      </w:r>
      <w:r w:rsidRPr="00ED2901">
        <w:rPr>
          <w:rFonts w:ascii="Arial" w:hAnsi="Arial" w:cs="Arial"/>
          <w:sz w:val="22"/>
          <w:szCs w:val="22"/>
        </w:rPr>
        <w:t>. York: Advance HE.</w:t>
      </w:r>
    </w:p>
    <w:p w14:paraId="124D9B56" w14:textId="5A1FF9D6" w:rsidR="003544CB" w:rsidRPr="00ED2901" w:rsidRDefault="003544CB" w:rsidP="00ED2901">
      <w:pPr>
        <w:spacing w:line="360" w:lineRule="auto"/>
        <w:rPr>
          <w:rFonts w:ascii="Arial" w:hAnsi="Arial" w:cs="Arial"/>
          <w:sz w:val="22"/>
          <w:szCs w:val="22"/>
        </w:rPr>
      </w:pPr>
      <w:r w:rsidRPr="00ED2901">
        <w:rPr>
          <w:rFonts w:ascii="Arial" w:hAnsi="Arial" w:cs="Arial"/>
          <w:sz w:val="22"/>
          <w:szCs w:val="22"/>
        </w:rPr>
        <w:t>Akré, E. R. L., Barbee, H., &amp; Lampe, N. M. (2024). Structural barriers to accessing gender-affirming care for transgender and gender diverse (TGD) individuals in the United States. </w:t>
      </w:r>
      <w:r w:rsidRPr="00ED2901">
        <w:rPr>
          <w:rFonts w:ascii="Arial" w:hAnsi="Arial" w:cs="Arial"/>
          <w:i/>
          <w:iCs/>
          <w:sz w:val="22"/>
          <w:szCs w:val="22"/>
        </w:rPr>
        <w:t>International Journal of Transgender Health</w:t>
      </w:r>
      <w:r w:rsidRPr="00ED2901">
        <w:rPr>
          <w:rFonts w:ascii="Arial" w:hAnsi="Arial" w:cs="Arial"/>
          <w:sz w:val="22"/>
          <w:szCs w:val="22"/>
        </w:rPr>
        <w:t>, 1-11.</w:t>
      </w:r>
    </w:p>
    <w:p w14:paraId="1C97F764" w14:textId="77777777" w:rsidR="00F92F80" w:rsidRPr="00ED2901" w:rsidRDefault="00F92F80" w:rsidP="00ED2901">
      <w:pPr>
        <w:spacing w:line="360" w:lineRule="auto"/>
        <w:rPr>
          <w:rFonts w:ascii="Arial" w:hAnsi="Arial" w:cs="Arial"/>
          <w:sz w:val="22"/>
          <w:szCs w:val="22"/>
        </w:rPr>
      </w:pPr>
      <w:r w:rsidRPr="00ED2901">
        <w:rPr>
          <w:rFonts w:ascii="Arial" w:hAnsi="Arial" w:cs="Arial"/>
          <w:sz w:val="22"/>
          <w:szCs w:val="22"/>
        </w:rPr>
        <w:t xml:space="preserve">Azul, D. (2015) ‘Transmasculine People’s Vocal Situations: Embodiment, Perception and the Materiality of Sound’, </w:t>
      </w:r>
      <w:r w:rsidRPr="00ED2901">
        <w:rPr>
          <w:rFonts w:ascii="Arial" w:hAnsi="Arial" w:cs="Arial"/>
          <w:i/>
          <w:iCs/>
          <w:sz w:val="22"/>
          <w:szCs w:val="22"/>
        </w:rPr>
        <w:t>Journal of Language &amp; Sexuality</w:t>
      </w:r>
      <w:r w:rsidRPr="00ED2901">
        <w:rPr>
          <w:rFonts w:ascii="Arial" w:hAnsi="Arial" w:cs="Arial"/>
          <w:sz w:val="22"/>
          <w:szCs w:val="22"/>
        </w:rPr>
        <w:t>, 4(2), pp. 221–247.</w:t>
      </w:r>
    </w:p>
    <w:p w14:paraId="0CFA705A" w14:textId="77777777" w:rsidR="00F92F80" w:rsidRPr="00ED2901" w:rsidRDefault="00F92F80" w:rsidP="00ED2901">
      <w:pPr>
        <w:spacing w:line="360" w:lineRule="auto"/>
        <w:rPr>
          <w:rFonts w:ascii="Arial" w:hAnsi="Arial" w:cs="Arial"/>
          <w:sz w:val="22"/>
          <w:szCs w:val="22"/>
        </w:rPr>
      </w:pPr>
      <w:r w:rsidRPr="00ED2901">
        <w:rPr>
          <w:rFonts w:ascii="Arial" w:hAnsi="Arial" w:cs="Arial"/>
          <w:sz w:val="22"/>
          <w:szCs w:val="22"/>
        </w:rPr>
        <w:t xml:space="preserve">Azul, D. (2016) ‘Hormone-Induced Voice Change: Pedagogical Implications’, </w:t>
      </w:r>
      <w:r w:rsidRPr="00ED2901">
        <w:rPr>
          <w:rFonts w:ascii="Arial" w:hAnsi="Arial" w:cs="Arial"/>
          <w:i/>
          <w:iCs/>
          <w:sz w:val="22"/>
          <w:szCs w:val="22"/>
        </w:rPr>
        <w:t>Voice and Speech Review</w:t>
      </w:r>
      <w:r w:rsidRPr="00ED2901">
        <w:rPr>
          <w:rFonts w:ascii="Arial" w:hAnsi="Arial" w:cs="Arial"/>
          <w:sz w:val="22"/>
          <w:szCs w:val="22"/>
        </w:rPr>
        <w:t>, 10(1), pp. 45–59.</w:t>
      </w:r>
    </w:p>
    <w:p w14:paraId="7EB4E8EF" w14:textId="77777777" w:rsidR="00F92F80" w:rsidRPr="00ED2901" w:rsidRDefault="00F92F80" w:rsidP="00ED2901">
      <w:pPr>
        <w:spacing w:line="360" w:lineRule="auto"/>
        <w:rPr>
          <w:rFonts w:ascii="Arial" w:hAnsi="Arial" w:cs="Arial"/>
          <w:sz w:val="22"/>
          <w:szCs w:val="22"/>
        </w:rPr>
      </w:pPr>
      <w:r w:rsidRPr="00ED2901">
        <w:rPr>
          <w:rFonts w:ascii="Arial" w:hAnsi="Arial" w:cs="Arial"/>
          <w:sz w:val="22"/>
          <w:szCs w:val="22"/>
        </w:rPr>
        <w:t xml:space="preserve">Azul, D. (2019) ‘Trans Voices: Perspectives on Vocal Practice’, in </w:t>
      </w:r>
      <w:r w:rsidRPr="00ED2901">
        <w:rPr>
          <w:rFonts w:ascii="Arial" w:hAnsi="Arial" w:cs="Arial"/>
          <w:i/>
          <w:iCs/>
          <w:sz w:val="22"/>
          <w:szCs w:val="22"/>
        </w:rPr>
        <w:t>The Oxford Handbook of Voice Studies</w:t>
      </w:r>
      <w:r w:rsidRPr="00ED2901">
        <w:rPr>
          <w:rFonts w:ascii="Arial" w:hAnsi="Arial" w:cs="Arial"/>
          <w:sz w:val="22"/>
          <w:szCs w:val="22"/>
        </w:rPr>
        <w:t>. Oxford: Oxford University Press.</w:t>
      </w:r>
    </w:p>
    <w:p w14:paraId="7D591A86" w14:textId="77777777" w:rsidR="00F92F80" w:rsidRPr="00ED2901" w:rsidRDefault="00F92F80" w:rsidP="00ED2901">
      <w:pPr>
        <w:spacing w:line="360" w:lineRule="auto"/>
        <w:rPr>
          <w:rFonts w:ascii="Arial" w:hAnsi="Arial" w:cs="Arial"/>
          <w:sz w:val="22"/>
          <w:szCs w:val="22"/>
        </w:rPr>
      </w:pPr>
      <w:r w:rsidRPr="00ED2901">
        <w:rPr>
          <w:rFonts w:ascii="Arial" w:hAnsi="Arial" w:cs="Arial"/>
          <w:sz w:val="22"/>
          <w:szCs w:val="22"/>
        </w:rPr>
        <w:t xml:space="preserve">Azul, D., Nygren, U. and Sataloff, R. (2022) ‘Embodied Memory and Vocal Transition in Transgender Singers’, </w:t>
      </w:r>
      <w:r w:rsidRPr="00ED2901">
        <w:rPr>
          <w:rFonts w:ascii="Arial" w:hAnsi="Arial" w:cs="Arial"/>
          <w:i/>
          <w:iCs/>
          <w:sz w:val="22"/>
          <w:szCs w:val="22"/>
        </w:rPr>
        <w:t>Journal of Voice</w:t>
      </w:r>
      <w:r w:rsidRPr="00ED2901">
        <w:rPr>
          <w:rFonts w:ascii="Arial" w:hAnsi="Arial" w:cs="Arial"/>
          <w:sz w:val="22"/>
          <w:szCs w:val="22"/>
        </w:rPr>
        <w:t>, 36(6), pp. 945–960.</w:t>
      </w:r>
    </w:p>
    <w:p w14:paraId="5E5B70B4" w14:textId="77777777" w:rsidR="00F92F80" w:rsidRPr="00ED2901" w:rsidRDefault="00F92F80" w:rsidP="00ED2901">
      <w:pPr>
        <w:spacing w:line="360" w:lineRule="auto"/>
        <w:rPr>
          <w:rFonts w:ascii="Arial" w:hAnsi="Arial" w:cs="Arial"/>
          <w:sz w:val="22"/>
          <w:szCs w:val="22"/>
        </w:rPr>
      </w:pPr>
      <w:r w:rsidRPr="00ED2901">
        <w:rPr>
          <w:rFonts w:ascii="Arial" w:hAnsi="Arial" w:cs="Arial"/>
          <w:sz w:val="22"/>
          <w:szCs w:val="22"/>
        </w:rPr>
        <w:t xml:space="preserve">Barab, S. and Squire, K. (2004) ‘Design-Based Research: Putting a Stake in the Ground’, </w:t>
      </w:r>
      <w:r w:rsidRPr="00ED2901">
        <w:rPr>
          <w:rFonts w:ascii="Arial" w:hAnsi="Arial" w:cs="Arial"/>
          <w:i/>
          <w:iCs/>
          <w:sz w:val="22"/>
          <w:szCs w:val="22"/>
        </w:rPr>
        <w:t>The Journal of the Learning Sciences</w:t>
      </w:r>
      <w:r w:rsidRPr="00ED2901">
        <w:rPr>
          <w:rFonts w:ascii="Arial" w:hAnsi="Arial" w:cs="Arial"/>
          <w:sz w:val="22"/>
          <w:szCs w:val="22"/>
        </w:rPr>
        <w:t>, 13(1), pp. 1–14.</w:t>
      </w:r>
    </w:p>
    <w:p w14:paraId="74FF8420" w14:textId="77777777" w:rsidR="00F92F80" w:rsidRPr="00ED2901" w:rsidRDefault="00F92F80" w:rsidP="00ED2901">
      <w:pPr>
        <w:spacing w:line="360" w:lineRule="auto"/>
        <w:rPr>
          <w:rFonts w:ascii="Arial" w:hAnsi="Arial" w:cs="Arial"/>
          <w:sz w:val="22"/>
          <w:szCs w:val="22"/>
        </w:rPr>
      </w:pPr>
      <w:r w:rsidRPr="00ED2901">
        <w:rPr>
          <w:rFonts w:ascii="Arial" w:hAnsi="Arial" w:cs="Arial"/>
          <w:sz w:val="22"/>
          <w:szCs w:val="22"/>
        </w:rPr>
        <w:t xml:space="preserve">BERA (2018) </w:t>
      </w:r>
      <w:r w:rsidRPr="00ED2901">
        <w:rPr>
          <w:rFonts w:ascii="Arial" w:hAnsi="Arial" w:cs="Arial"/>
          <w:i/>
          <w:iCs/>
          <w:sz w:val="22"/>
          <w:szCs w:val="22"/>
        </w:rPr>
        <w:t>Ethical Guidelines for Educational Research</w:t>
      </w:r>
      <w:r w:rsidRPr="00ED2901">
        <w:rPr>
          <w:rFonts w:ascii="Arial" w:hAnsi="Arial" w:cs="Arial"/>
          <w:sz w:val="22"/>
          <w:szCs w:val="22"/>
        </w:rPr>
        <w:t>. 4th edn. London: British Educational Research Association.</w:t>
      </w:r>
    </w:p>
    <w:p w14:paraId="097CBE8F" w14:textId="77777777" w:rsidR="00F92F80" w:rsidRPr="00ED2901" w:rsidRDefault="00F92F80" w:rsidP="00ED2901">
      <w:pPr>
        <w:spacing w:line="360" w:lineRule="auto"/>
        <w:rPr>
          <w:rFonts w:ascii="Arial" w:hAnsi="Arial" w:cs="Arial"/>
          <w:sz w:val="22"/>
          <w:szCs w:val="22"/>
        </w:rPr>
      </w:pPr>
      <w:r w:rsidRPr="00ED2901">
        <w:rPr>
          <w:rFonts w:ascii="Arial" w:hAnsi="Arial" w:cs="Arial"/>
          <w:sz w:val="22"/>
          <w:szCs w:val="22"/>
        </w:rPr>
        <w:t xml:space="preserve">Bolton, G. (2014) </w:t>
      </w:r>
      <w:r w:rsidRPr="00ED2901">
        <w:rPr>
          <w:rFonts w:ascii="Arial" w:hAnsi="Arial" w:cs="Arial"/>
          <w:i/>
          <w:iCs/>
          <w:sz w:val="22"/>
          <w:szCs w:val="22"/>
        </w:rPr>
        <w:t>Reflective Practice: Writing and Professional Development</w:t>
      </w:r>
      <w:r w:rsidRPr="00ED2901">
        <w:rPr>
          <w:rFonts w:ascii="Arial" w:hAnsi="Arial" w:cs="Arial"/>
          <w:sz w:val="22"/>
          <w:szCs w:val="22"/>
        </w:rPr>
        <w:t>. London: Sage.</w:t>
      </w:r>
    </w:p>
    <w:p w14:paraId="11A71C0A" w14:textId="77777777" w:rsidR="00F92F80" w:rsidRPr="00ED2901" w:rsidRDefault="00F92F80" w:rsidP="00ED2901">
      <w:pPr>
        <w:spacing w:line="360" w:lineRule="auto"/>
        <w:rPr>
          <w:rFonts w:ascii="Arial" w:hAnsi="Arial" w:cs="Arial"/>
          <w:sz w:val="22"/>
          <w:szCs w:val="22"/>
        </w:rPr>
      </w:pPr>
      <w:r w:rsidRPr="00ED2901">
        <w:rPr>
          <w:rFonts w:ascii="Arial" w:hAnsi="Arial" w:cs="Arial"/>
          <w:sz w:val="22"/>
          <w:szCs w:val="22"/>
        </w:rPr>
        <w:t xml:space="preserve">Boud, D., Keogh, R. and Walker, D. (2005) </w:t>
      </w:r>
      <w:r w:rsidRPr="00ED2901">
        <w:rPr>
          <w:rFonts w:ascii="Arial" w:hAnsi="Arial" w:cs="Arial"/>
          <w:i/>
          <w:iCs/>
          <w:sz w:val="22"/>
          <w:szCs w:val="22"/>
        </w:rPr>
        <w:t>Reflection: Turning Experience into Learning</w:t>
      </w:r>
      <w:r w:rsidRPr="00ED2901">
        <w:rPr>
          <w:rFonts w:ascii="Arial" w:hAnsi="Arial" w:cs="Arial"/>
          <w:sz w:val="22"/>
          <w:szCs w:val="22"/>
        </w:rPr>
        <w:t>. London: Routledge.</w:t>
      </w:r>
    </w:p>
    <w:p w14:paraId="52EB65ED" w14:textId="77777777" w:rsidR="00F92F80" w:rsidRPr="00ED2901" w:rsidRDefault="00F92F80" w:rsidP="00ED2901">
      <w:pPr>
        <w:spacing w:line="360" w:lineRule="auto"/>
        <w:rPr>
          <w:rFonts w:ascii="Arial" w:hAnsi="Arial" w:cs="Arial"/>
          <w:sz w:val="22"/>
          <w:szCs w:val="22"/>
        </w:rPr>
      </w:pPr>
      <w:r w:rsidRPr="00ED2901">
        <w:rPr>
          <w:rFonts w:ascii="Arial" w:hAnsi="Arial" w:cs="Arial"/>
          <w:sz w:val="22"/>
          <w:szCs w:val="22"/>
        </w:rPr>
        <w:t xml:space="preserve">Britzman, D. (1995) ‘Is There a Queer Pedagogy? Or Stop Reading Straight’, </w:t>
      </w:r>
      <w:r w:rsidRPr="00ED2901">
        <w:rPr>
          <w:rFonts w:ascii="Arial" w:hAnsi="Arial" w:cs="Arial"/>
          <w:i/>
          <w:iCs/>
          <w:sz w:val="22"/>
          <w:szCs w:val="22"/>
        </w:rPr>
        <w:t>Educational Theory</w:t>
      </w:r>
      <w:r w:rsidRPr="00ED2901">
        <w:rPr>
          <w:rFonts w:ascii="Arial" w:hAnsi="Arial" w:cs="Arial"/>
          <w:sz w:val="22"/>
          <w:szCs w:val="22"/>
        </w:rPr>
        <w:t>, 45(2), pp. 151–165.</w:t>
      </w:r>
    </w:p>
    <w:p w14:paraId="2BB21B14" w14:textId="77777777" w:rsidR="00F92F80" w:rsidRPr="00ED2901" w:rsidRDefault="00F92F80" w:rsidP="00ED2901">
      <w:pPr>
        <w:spacing w:line="360" w:lineRule="auto"/>
        <w:rPr>
          <w:rFonts w:ascii="Arial" w:hAnsi="Arial" w:cs="Arial"/>
          <w:sz w:val="22"/>
          <w:szCs w:val="22"/>
        </w:rPr>
      </w:pPr>
      <w:r w:rsidRPr="00ED2901">
        <w:rPr>
          <w:rFonts w:ascii="Arial" w:hAnsi="Arial" w:cs="Arial"/>
          <w:sz w:val="22"/>
          <w:szCs w:val="22"/>
        </w:rPr>
        <w:t xml:space="preserve">Brown, A. (1992) ‘Design Experiments: Theoretical and Methodological Challenges’, </w:t>
      </w:r>
      <w:r w:rsidRPr="00ED2901">
        <w:rPr>
          <w:rFonts w:ascii="Arial" w:hAnsi="Arial" w:cs="Arial"/>
          <w:i/>
          <w:iCs/>
          <w:sz w:val="22"/>
          <w:szCs w:val="22"/>
        </w:rPr>
        <w:t>The Journal of the Learning Sciences</w:t>
      </w:r>
      <w:r w:rsidRPr="00ED2901">
        <w:rPr>
          <w:rFonts w:ascii="Arial" w:hAnsi="Arial" w:cs="Arial"/>
          <w:sz w:val="22"/>
          <w:szCs w:val="22"/>
        </w:rPr>
        <w:t>, 2(2), pp. 141–178.</w:t>
      </w:r>
    </w:p>
    <w:p w14:paraId="6AC589E8" w14:textId="77777777" w:rsidR="00F92F80" w:rsidRPr="00ED2901" w:rsidRDefault="00F92F80" w:rsidP="00ED2901">
      <w:pPr>
        <w:spacing w:line="360" w:lineRule="auto"/>
        <w:rPr>
          <w:rFonts w:ascii="Arial" w:hAnsi="Arial" w:cs="Arial"/>
          <w:sz w:val="22"/>
          <w:szCs w:val="22"/>
        </w:rPr>
      </w:pPr>
      <w:r w:rsidRPr="00ED2901">
        <w:rPr>
          <w:rFonts w:ascii="Arial" w:hAnsi="Arial" w:cs="Arial"/>
          <w:sz w:val="22"/>
          <w:szCs w:val="22"/>
        </w:rPr>
        <w:lastRenderedPageBreak/>
        <w:t xml:space="preserve">Butler, J. (1990) </w:t>
      </w:r>
      <w:r w:rsidRPr="00ED2901">
        <w:rPr>
          <w:rFonts w:ascii="Arial" w:hAnsi="Arial" w:cs="Arial"/>
          <w:i/>
          <w:iCs/>
          <w:sz w:val="22"/>
          <w:szCs w:val="22"/>
        </w:rPr>
        <w:t>Gender Trouble: Feminism and the Subversion of Identity</w:t>
      </w:r>
      <w:r w:rsidRPr="00ED2901">
        <w:rPr>
          <w:rFonts w:ascii="Arial" w:hAnsi="Arial" w:cs="Arial"/>
          <w:sz w:val="22"/>
          <w:szCs w:val="22"/>
        </w:rPr>
        <w:t>. New York: Routledge.</w:t>
      </w:r>
    </w:p>
    <w:p w14:paraId="3748799A" w14:textId="77777777" w:rsidR="00F92F80" w:rsidRPr="00ED2901" w:rsidRDefault="00F92F80" w:rsidP="00ED2901">
      <w:pPr>
        <w:spacing w:line="360" w:lineRule="auto"/>
        <w:rPr>
          <w:rFonts w:ascii="Arial" w:hAnsi="Arial" w:cs="Arial"/>
          <w:sz w:val="22"/>
          <w:szCs w:val="22"/>
        </w:rPr>
      </w:pPr>
      <w:r w:rsidRPr="00ED2901">
        <w:rPr>
          <w:rFonts w:ascii="Arial" w:hAnsi="Arial" w:cs="Arial"/>
          <w:sz w:val="22"/>
          <w:szCs w:val="22"/>
        </w:rPr>
        <w:t xml:space="preserve">Carello, J. and Butler, L. (2015) ‘Potentially Perilous Pedagogies: Teaching Trauma Is Not the Same as Trauma-Informed Teaching’, </w:t>
      </w:r>
      <w:r w:rsidRPr="00ED2901">
        <w:rPr>
          <w:rFonts w:ascii="Arial" w:hAnsi="Arial" w:cs="Arial"/>
          <w:i/>
          <w:iCs/>
          <w:sz w:val="22"/>
          <w:szCs w:val="22"/>
        </w:rPr>
        <w:t>Journal of Trauma &amp; Dissociation</w:t>
      </w:r>
      <w:r w:rsidRPr="00ED2901">
        <w:rPr>
          <w:rFonts w:ascii="Arial" w:hAnsi="Arial" w:cs="Arial"/>
          <w:sz w:val="22"/>
          <w:szCs w:val="22"/>
        </w:rPr>
        <w:t>, 15(2), pp. 153–168.</w:t>
      </w:r>
    </w:p>
    <w:p w14:paraId="726DC735" w14:textId="77777777" w:rsidR="00F92F80" w:rsidRPr="00ED2901" w:rsidRDefault="00F92F80" w:rsidP="00ED2901">
      <w:pPr>
        <w:spacing w:line="360" w:lineRule="auto"/>
        <w:rPr>
          <w:rFonts w:ascii="Arial" w:hAnsi="Arial" w:cs="Arial"/>
          <w:sz w:val="22"/>
          <w:szCs w:val="22"/>
        </w:rPr>
      </w:pPr>
      <w:r w:rsidRPr="00ED2901">
        <w:rPr>
          <w:rFonts w:ascii="Arial" w:hAnsi="Arial" w:cs="Arial"/>
          <w:sz w:val="22"/>
          <w:szCs w:val="22"/>
        </w:rPr>
        <w:t xml:space="preserve">Charmaz, K. (2014) </w:t>
      </w:r>
      <w:r w:rsidRPr="00ED2901">
        <w:rPr>
          <w:rFonts w:ascii="Arial" w:hAnsi="Arial" w:cs="Arial"/>
          <w:i/>
          <w:iCs/>
          <w:sz w:val="22"/>
          <w:szCs w:val="22"/>
        </w:rPr>
        <w:t>Constructing Grounded Theory</w:t>
      </w:r>
      <w:r w:rsidRPr="00ED2901">
        <w:rPr>
          <w:rFonts w:ascii="Arial" w:hAnsi="Arial" w:cs="Arial"/>
          <w:sz w:val="22"/>
          <w:szCs w:val="22"/>
        </w:rPr>
        <w:t>. London: Sage.</w:t>
      </w:r>
    </w:p>
    <w:p w14:paraId="78803A48" w14:textId="77777777" w:rsidR="00F92F80" w:rsidRPr="00ED2901" w:rsidRDefault="00F92F80" w:rsidP="00ED2901">
      <w:pPr>
        <w:spacing w:line="360" w:lineRule="auto"/>
        <w:rPr>
          <w:rFonts w:ascii="Arial" w:hAnsi="Arial" w:cs="Arial"/>
          <w:sz w:val="22"/>
          <w:szCs w:val="22"/>
        </w:rPr>
      </w:pPr>
      <w:r w:rsidRPr="00ED2901">
        <w:rPr>
          <w:rFonts w:ascii="Arial" w:hAnsi="Arial" w:cs="Arial"/>
          <w:sz w:val="22"/>
          <w:szCs w:val="22"/>
        </w:rPr>
        <w:t xml:space="preserve">Clift, B. and McKeown, J. (2019) ‘Vocal Identity and Transgender Singers in Higher Education’, </w:t>
      </w:r>
      <w:r w:rsidRPr="00ED2901">
        <w:rPr>
          <w:rFonts w:ascii="Arial" w:hAnsi="Arial" w:cs="Arial"/>
          <w:i/>
          <w:iCs/>
          <w:sz w:val="22"/>
          <w:szCs w:val="22"/>
        </w:rPr>
        <w:t>British Journal of Music Education</w:t>
      </w:r>
      <w:r w:rsidRPr="00ED2901">
        <w:rPr>
          <w:rFonts w:ascii="Arial" w:hAnsi="Arial" w:cs="Arial"/>
          <w:sz w:val="22"/>
          <w:szCs w:val="22"/>
        </w:rPr>
        <w:t>, 36(3), pp. 345–358.</w:t>
      </w:r>
    </w:p>
    <w:p w14:paraId="057D26BA" w14:textId="42AFC56D" w:rsidR="00F92F80" w:rsidRPr="00ED2901" w:rsidRDefault="00F92F80" w:rsidP="00ED2901">
      <w:pPr>
        <w:spacing w:line="360" w:lineRule="auto"/>
        <w:rPr>
          <w:rFonts w:ascii="Arial" w:hAnsi="Arial" w:cs="Arial"/>
          <w:sz w:val="22"/>
          <w:szCs w:val="22"/>
        </w:rPr>
      </w:pPr>
      <w:r w:rsidRPr="00ED2901">
        <w:rPr>
          <w:rFonts w:ascii="Arial" w:hAnsi="Arial" w:cs="Arial"/>
          <w:sz w:val="22"/>
          <w:szCs w:val="22"/>
        </w:rPr>
        <w:t xml:space="preserve">Cooper, L. (2023) </w:t>
      </w:r>
      <w:r w:rsidRPr="00ED2901">
        <w:rPr>
          <w:rFonts w:ascii="Arial" w:hAnsi="Arial" w:cs="Arial"/>
          <w:i/>
          <w:iCs/>
          <w:sz w:val="22"/>
          <w:szCs w:val="22"/>
        </w:rPr>
        <w:t>Acting, Gender and Musical Theatre: Performance Beyond the Binary</w:t>
      </w:r>
      <w:r w:rsidRPr="00ED2901">
        <w:rPr>
          <w:rFonts w:ascii="Arial" w:hAnsi="Arial" w:cs="Arial"/>
          <w:sz w:val="22"/>
          <w:szCs w:val="22"/>
        </w:rPr>
        <w:t>. London: Methuen.</w:t>
      </w:r>
    </w:p>
    <w:p w14:paraId="2D436FA9" w14:textId="77777777" w:rsidR="00F92F80" w:rsidRPr="00ED2901" w:rsidRDefault="00F92F80" w:rsidP="00ED2901">
      <w:pPr>
        <w:spacing w:line="360" w:lineRule="auto"/>
        <w:rPr>
          <w:rFonts w:ascii="Arial" w:hAnsi="Arial" w:cs="Arial"/>
          <w:sz w:val="22"/>
          <w:szCs w:val="22"/>
        </w:rPr>
      </w:pPr>
      <w:r w:rsidRPr="00ED2901">
        <w:rPr>
          <w:rFonts w:ascii="Arial" w:hAnsi="Arial" w:cs="Arial"/>
          <w:sz w:val="22"/>
          <w:szCs w:val="22"/>
        </w:rPr>
        <w:t xml:space="preserve">Davies, B. (2019) </w:t>
      </w:r>
      <w:r w:rsidRPr="00ED2901">
        <w:rPr>
          <w:rFonts w:ascii="Arial" w:hAnsi="Arial" w:cs="Arial"/>
          <w:i/>
          <w:iCs/>
          <w:sz w:val="22"/>
          <w:szCs w:val="22"/>
        </w:rPr>
        <w:t>Teaching Voice: Inclusive and Critical Pedagogy</w:t>
      </w:r>
      <w:r w:rsidRPr="00ED2901">
        <w:rPr>
          <w:rFonts w:ascii="Arial" w:hAnsi="Arial" w:cs="Arial"/>
          <w:sz w:val="22"/>
          <w:szCs w:val="22"/>
        </w:rPr>
        <w:t>. New York: Routledge.</w:t>
      </w:r>
    </w:p>
    <w:p w14:paraId="41F843FA" w14:textId="3913513B" w:rsidR="00F92F80" w:rsidRPr="00ED2901" w:rsidRDefault="00F92F80" w:rsidP="00ED2901">
      <w:pPr>
        <w:spacing w:line="360" w:lineRule="auto"/>
        <w:rPr>
          <w:rFonts w:ascii="Arial" w:hAnsi="Arial" w:cs="Arial"/>
          <w:sz w:val="22"/>
          <w:szCs w:val="22"/>
        </w:rPr>
      </w:pPr>
      <w:r w:rsidRPr="00ED2901">
        <w:rPr>
          <w:rFonts w:ascii="Arial" w:hAnsi="Arial" w:cs="Arial"/>
          <w:sz w:val="22"/>
          <w:szCs w:val="22"/>
        </w:rPr>
        <w:t xml:space="preserve">Davies, S., Papp, V. and Antoni, C. (2015) </w:t>
      </w:r>
      <w:r w:rsidRPr="00ED2901">
        <w:rPr>
          <w:rFonts w:ascii="Arial" w:hAnsi="Arial" w:cs="Arial"/>
          <w:i/>
          <w:iCs/>
          <w:sz w:val="22"/>
          <w:szCs w:val="22"/>
        </w:rPr>
        <w:t>Voice and Communication Therapy for the Transgender Client: A Comprehensive Clinical Guide</w:t>
      </w:r>
      <w:r w:rsidRPr="00ED2901">
        <w:rPr>
          <w:rFonts w:ascii="Arial" w:hAnsi="Arial" w:cs="Arial"/>
          <w:sz w:val="22"/>
          <w:szCs w:val="22"/>
        </w:rPr>
        <w:t xml:space="preserve">. 2nd edn. San Diego: </w:t>
      </w:r>
      <w:r w:rsidR="00D70A73" w:rsidRPr="00ED2901">
        <w:rPr>
          <w:rFonts w:ascii="Arial" w:hAnsi="Arial" w:cs="Arial"/>
          <w:sz w:val="22"/>
          <w:szCs w:val="22"/>
        </w:rPr>
        <w:t>Plural.</w:t>
      </w:r>
    </w:p>
    <w:p w14:paraId="6C54985F" w14:textId="77777777" w:rsidR="00F92F80" w:rsidRPr="00ED2901" w:rsidRDefault="00F92F80" w:rsidP="00ED2901">
      <w:pPr>
        <w:spacing w:line="360" w:lineRule="auto"/>
        <w:rPr>
          <w:rFonts w:ascii="Arial" w:hAnsi="Arial" w:cs="Arial"/>
          <w:sz w:val="22"/>
          <w:szCs w:val="22"/>
        </w:rPr>
      </w:pPr>
      <w:r w:rsidRPr="00ED2901">
        <w:rPr>
          <w:rFonts w:ascii="Arial" w:hAnsi="Arial" w:cs="Arial"/>
          <w:sz w:val="22"/>
          <w:szCs w:val="22"/>
        </w:rPr>
        <w:t xml:space="preserve">Daykin, N. (2020) </w:t>
      </w:r>
      <w:r w:rsidRPr="00ED2901">
        <w:rPr>
          <w:rFonts w:ascii="Arial" w:hAnsi="Arial" w:cs="Arial"/>
          <w:i/>
          <w:iCs/>
          <w:sz w:val="22"/>
          <w:szCs w:val="22"/>
        </w:rPr>
        <w:t>Arts, Health and Wellbeing: A Theoretical Inquiry</w:t>
      </w:r>
      <w:r w:rsidRPr="00ED2901">
        <w:rPr>
          <w:rFonts w:ascii="Arial" w:hAnsi="Arial" w:cs="Arial"/>
          <w:sz w:val="22"/>
          <w:szCs w:val="22"/>
        </w:rPr>
        <w:t>. London: Routledge.</w:t>
      </w:r>
    </w:p>
    <w:p w14:paraId="04666A74" w14:textId="77777777" w:rsidR="00F92F80" w:rsidRPr="00ED2901" w:rsidRDefault="00F92F80" w:rsidP="00ED2901">
      <w:pPr>
        <w:spacing w:line="360" w:lineRule="auto"/>
        <w:rPr>
          <w:rFonts w:ascii="Arial" w:hAnsi="Arial" w:cs="Arial"/>
          <w:sz w:val="22"/>
          <w:szCs w:val="22"/>
        </w:rPr>
      </w:pPr>
      <w:r w:rsidRPr="00ED2901">
        <w:rPr>
          <w:rFonts w:ascii="Arial" w:hAnsi="Arial" w:cs="Arial"/>
          <w:sz w:val="22"/>
          <w:szCs w:val="22"/>
        </w:rPr>
        <w:t xml:space="preserve">Design-Based Research Collective (2003) ‘Design-Based Research: An Emerging Paradigm for Educational Inquiry’, </w:t>
      </w:r>
      <w:r w:rsidRPr="00ED2901">
        <w:rPr>
          <w:rFonts w:ascii="Arial" w:hAnsi="Arial" w:cs="Arial"/>
          <w:i/>
          <w:iCs/>
          <w:sz w:val="22"/>
          <w:szCs w:val="22"/>
        </w:rPr>
        <w:t>Educational Researcher</w:t>
      </w:r>
      <w:r w:rsidRPr="00ED2901">
        <w:rPr>
          <w:rFonts w:ascii="Arial" w:hAnsi="Arial" w:cs="Arial"/>
          <w:sz w:val="22"/>
          <w:szCs w:val="22"/>
        </w:rPr>
        <w:t>, 32(1), pp. 5–8.</w:t>
      </w:r>
    </w:p>
    <w:p w14:paraId="680E9405" w14:textId="77777777" w:rsidR="00F92F80" w:rsidRPr="00ED2901" w:rsidRDefault="00F92F80" w:rsidP="00ED2901">
      <w:pPr>
        <w:spacing w:line="360" w:lineRule="auto"/>
        <w:rPr>
          <w:rFonts w:ascii="Arial" w:hAnsi="Arial" w:cs="Arial"/>
          <w:sz w:val="22"/>
          <w:szCs w:val="22"/>
        </w:rPr>
      </w:pPr>
      <w:r w:rsidRPr="00ED2901">
        <w:rPr>
          <w:rFonts w:ascii="Arial" w:hAnsi="Arial" w:cs="Arial"/>
          <w:sz w:val="22"/>
          <w:szCs w:val="22"/>
        </w:rPr>
        <w:t xml:space="preserve">Donnellan, D. (2005) </w:t>
      </w:r>
      <w:r w:rsidRPr="00ED2901">
        <w:rPr>
          <w:rFonts w:ascii="Arial" w:hAnsi="Arial" w:cs="Arial"/>
          <w:i/>
          <w:iCs/>
          <w:sz w:val="22"/>
          <w:szCs w:val="22"/>
        </w:rPr>
        <w:t>The Actor and the Target</w:t>
      </w:r>
      <w:r w:rsidRPr="00ED2901">
        <w:rPr>
          <w:rFonts w:ascii="Arial" w:hAnsi="Arial" w:cs="Arial"/>
          <w:sz w:val="22"/>
          <w:szCs w:val="22"/>
        </w:rPr>
        <w:t>. London: Nick Hern Books.</w:t>
      </w:r>
    </w:p>
    <w:p w14:paraId="75CE6C17" w14:textId="77777777" w:rsidR="00B55872" w:rsidRPr="00ED2901" w:rsidRDefault="00B55872" w:rsidP="00ED2901">
      <w:pPr>
        <w:spacing w:line="360" w:lineRule="auto"/>
        <w:rPr>
          <w:rFonts w:ascii="Arial" w:hAnsi="Arial" w:cs="Arial"/>
          <w:sz w:val="22"/>
          <w:szCs w:val="22"/>
        </w:rPr>
      </w:pPr>
      <w:r w:rsidRPr="00ED2901">
        <w:rPr>
          <w:rFonts w:ascii="Arial" w:hAnsi="Arial" w:cs="Arial"/>
          <w:sz w:val="22"/>
          <w:szCs w:val="22"/>
        </w:rPr>
        <w:t>Duggan, P., &amp; Wallis, M. (2011). Trauma and Performance: Maps, narratives and folds. </w:t>
      </w:r>
      <w:r w:rsidRPr="00ED2901">
        <w:rPr>
          <w:rFonts w:ascii="Arial" w:hAnsi="Arial" w:cs="Arial"/>
          <w:i/>
          <w:iCs/>
          <w:sz w:val="22"/>
          <w:szCs w:val="22"/>
        </w:rPr>
        <w:t>Performance Research</w:t>
      </w:r>
      <w:r w:rsidRPr="00ED2901">
        <w:rPr>
          <w:rFonts w:ascii="Arial" w:hAnsi="Arial" w:cs="Arial"/>
          <w:sz w:val="22"/>
          <w:szCs w:val="22"/>
        </w:rPr>
        <w:t>, </w:t>
      </w:r>
      <w:r w:rsidRPr="00ED2901">
        <w:rPr>
          <w:rFonts w:ascii="Arial" w:hAnsi="Arial" w:cs="Arial"/>
          <w:i/>
          <w:iCs/>
          <w:sz w:val="22"/>
          <w:szCs w:val="22"/>
        </w:rPr>
        <w:t>16</w:t>
      </w:r>
      <w:r w:rsidRPr="00ED2901">
        <w:rPr>
          <w:rFonts w:ascii="Arial" w:hAnsi="Arial" w:cs="Arial"/>
          <w:sz w:val="22"/>
          <w:szCs w:val="22"/>
        </w:rPr>
        <w:t>(1), 4-17.</w:t>
      </w:r>
    </w:p>
    <w:p w14:paraId="12516048" w14:textId="136070A7" w:rsidR="00F92F80" w:rsidRPr="00ED2901" w:rsidRDefault="00F92F80" w:rsidP="00ED2901">
      <w:pPr>
        <w:spacing w:line="360" w:lineRule="auto"/>
        <w:rPr>
          <w:rFonts w:ascii="Arial" w:hAnsi="Arial" w:cs="Arial"/>
          <w:sz w:val="22"/>
          <w:szCs w:val="22"/>
        </w:rPr>
      </w:pPr>
      <w:r w:rsidRPr="00ED2901">
        <w:rPr>
          <w:rFonts w:ascii="Arial" w:hAnsi="Arial" w:cs="Arial"/>
          <w:sz w:val="22"/>
          <w:szCs w:val="22"/>
        </w:rPr>
        <w:t xml:space="preserve">Eidsheim, N. (2015) </w:t>
      </w:r>
      <w:r w:rsidRPr="00ED2901">
        <w:rPr>
          <w:rFonts w:ascii="Arial" w:hAnsi="Arial" w:cs="Arial"/>
          <w:i/>
          <w:iCs/>
          <w:sz w:val="22"/>
          <w:szCs w:val="22"/>
        </w:rPr>
        <w:t>Sensing Sound: Singing and Listening as Vibrational Practice</w:t>
      </w:r>
      <w:r w:rsidRPr="00ED2901">
        <w:rPr>
          <w:rFonts w:ascii="Arial" w:hAnsi="Arial" w:cs="Arial"/>
          <w:sz w:val="22"/>
          <w:szCs w:val="22"/>
        </w:rPr>
        <w:t>. Durham: Duke University Press.</w:t>
      </w:r>
    </w:p>
    <w:p w14:paraId="56E7632D" w14:textId="77777777" w:rsidR="00F92F80" w:rsidRPr="00ED2901" w:rsidRDefault="00F92F80" w:rsidP="00ED2901">
      <w:pPr>
        <w:spacing w:line="360" w:lineRule="auto"/>
        <w:rPr>
          <w:rFonts w:ascii="Arial" w:hAnsi="Arial" w:cs="Arial"/>
          <w:sz w:val="22"/>
          <w:szCs w:val="22"/>
        </w:rPr>
      </w:pPr>
      <w:r w:rsidRPr="00ED2901">
        <w:rPr>
          <w:rFonts w:ascii="Arial" w:hAnsi="Arial" w:cs="Arial"/>
          <w:sz w:val="22"/>
          <w:szCs w:val="22"/>
        </w:rPr>
        <w:t xml:space="preserve">Estill, J. (1988) </w:t>
      </w:r>
      <w:r w:rsidRPr="00ED2901">
        <w:rPr>
          <w:rFonts w:ascii="Arial" w:hAnsi="Arial" w:cs="Arial"/>
          <w:i/>
          <w:iCs/>
          <w:sz w:val="22"/>
          <w:szCs w:val="22"/>
        </w:rPr>
        <w:t>Estill Voice Training Level 1 &amp; 2 Manuals</w:t>
      </w:r>
      <w:r w:rsidRPr="00ED2901">
        <w:rPr>
          <w:rFonts w:ascii="Arial" w:hAnsi="Arial" w:cs="Arial"/>
          <w:sz w:val="22"/>
          <w:szCs w:val="22"/>
        </w:rPr>
        <w:t>. London: Estill Voice International.</w:t>
      </w:r>
    </w:p>
    <w:p w14:paraId="05D497F5" w14:textId="77777777" w:rsidR="00F92F80" w:rsidRPr="00ED2901" w:rsidRDefault="00F92F80" w:rsidP="00ED2901">
      <w:pPr>
        <w:spacing w:line="360" w:lineRule="auto"/>
        <w:rPr>
          <w:rFonts w:ascii="Arial" w:hAnsi="Arial" w:cs="Arial"/>
          <w:sz w:val="22"/>
          <w:szCs w:val="22"/>
        </w:rPr>
      </w:pPr>
      <w:r w:rsidRPr="00ED2901">
        <w:rPr>
          <w:rFonts w:ascii="Arial" w:hAnsi="Arial" w:cs="Arial"/>
          <w:sz w:val="22"/>
          <w:szCs w:val="22"/>
        </w:rPr>
        <w:t xml:space="preserve">Giddens, A. (2019) ‘Reflective Processes in Musical Theatre Training’, </w:t>
      </w:r>
      <w:r w:rsidRPr="00ED2901">
        <w:rPr>
          <w:rFonts w:ascii="Arial" w:hAnsi="Arial" w:cs="Arial"/>
          <w:i/>
          <w:iCs/>
          <w:sz w:val="22"/>
          <w:szCs w:val="22"/>
        </w:rPr>
        <w:t>Research in Drama Education</w:t>
      </w:r>
      <w:r w:rsidRPr="00ED2901">
        <w:rPr>
          <w:rFonts w:ascii="Arial" w:hAnsi="Arial" w:cs="Arial"/>
          <w:sz w:val="22"/>
          <w:szCs w:val="22"/>
        </w:rPr>
        <w:t>, 24(4), pp. 521–537.</w:t>
      </w:r>
    </w:p>
    <w:p w14:paraId="6C3BC0C3" w14:textId="598CD377" w:rsidR="005B243A" w:rsidRPr="00ED2901" w:rsidRDefault="009B44AD" w:rsidP="00ED2901">
      <w:pPr>
        <w:spacing w:line="360" w:lineRule="auto"/>
        <w:rPr>
          <w:rFonts w:ascii="Arial" w:hAnsi="Arial" w:cs="Arial"/>
          <w:sz w:val="22"/>
          <w:szCs w:val="22"/>
        </w:rPr>
      </w:pPr>
      <w:r w:rsidRPr="00ED2901">
        <w:rPr>
          <w:rFonts w:ascii="Arial" w:hAnsi="Arial" w:cs="Arial"/>
          <w:sz w:val="22"/>
          <w:szCs w:val="22"/>
        </w:rPr>
        <w:t>Gramsci, A. (1999). </w:t>
      </w:r>
      <w:r w:rsidRPr="00ED2901">
        <w:rPr>
          <w:rFonts w:ascii="Arial" w:hAnsi="Arial" w:cs="Arial"/>
          <w:i/>
          <w:iCs/>
          <w:sz w:val="22"/>
          <w:szCs w:val="22"/>
        </w:rPr>
        <w:t>Antonio Gramsci</w:t>
      </w:r>
      <w:r w:rsidRPr="00ED2901">
        <w:rPr>
          <w:rFonts w:ascii="Arial" w:hAnsi="Arial" w:cs="Arial"/>
          <w:sz w:val="22"/>
          <w:szCs w:val="22"/>
        </w:rPr>
        <w:t>. ElecBook, the Electric Book Company.</w:t>
      </w:r>
    </w:p>
    <w:p w14:paraId="47D646FA" w14:textId="77777777" w:rsidR="00F92F80" w:rsidRPr="00ED2901" w:rsidRDefault="00F92F80" w:rsidP="00ED2901">
      <w:pPr>
        <w:spacing w:line="360" w:lineRule="auto"/>
        <w:rPr>
          <w:rFonts w:ascii="Arial" w:hAnsi="Arial" w:cs="Arial"/>
          <w:sz w:val="22"/>
          <w:szCs w:val="22"/>
        </w:rPr>
      </w:pPr>
      <w:r w:rsidRPr="00ED2901">
        <w:rPr>
          <w:rFonts w:ascii="Arial" w:hAnsi="Arial" w:cs="Arial"/>
          <w:sz w:val="22"/>
          <w:szCs w:val="22"/>
        </w:rPr>
        <w:t xml:space="preserve">Halberstam, J. (2005) </w:t>
      </w:r>
      <w:r w:rsidRPr="00ED2901">
        <w:rPr>
          <w:rFonts w:ascii="Arial" w:hAnsi="Arial" w:cs="Arial"/>
          <w:i/>
          <w:iCs/>
          <w:sz w:val="22"/>
          <w:szCs w:val="22"/>
        </w:rPr>
        <w:t>In a Queer Time and Place</w:t>
      </w:r>
      <w:r w:rsidRPr="00ED2901">
        <w:rPr>
          <w:rFonts w:ascii="Arial" w:hAnsi="Arial" w:cs="Arial"/>
          <w:sz w:val="22"/>
          <w:szCs w:val="22"/>
        </w:rPr>
        <w:t>. New York: NYU Press.</w:t>
      </w:r>
    </w:p>
    <w:p w14:paraId="3374E710" w14:textId="77777777" w:rsidR="00B55872" w:rsidRPr="00ED2901" w:rsidRDefault="00B55872" w:rsidP="00ED2901">
      <w:pPr>
        <w:spacing w:line="360" w:lineRule="auto"/>
        <w:rPr>
          <w:rFonts w:ascii="Arial" w:hAnsi="Arial" w:cs="Arial"/>
          <w:sz w:val="22"/>
          <w:szCs w:val="22"/>
        </w:rPr>
      </w:pPr>
      <w:r w:rsidRPr="00ED2901">
        <w:rPr>
          <w:rFonts w:ascii="Arial" w:hAnsi="Arial" w:cs="Arial"/>
          <w:sz w:val="22"/>
          <w:szCs w:val="22"/>
        </w:rPr>
        <w:lastRenderedPageBreak/>
        <w:t>Hancock, A. B., &amp; Garabedian, L. M. (2013). Transgender voice and communication treatment: a retrospective chart review of 25 cases. </w:t>
      </w:r>
      <w:r w:rsidRPr="00ED2901">
        <w:rPr>
          <w:rFonts w:ascii="Arial" w:hAnsi="Arial" w:cs="Arial"/>
          <w:i/>
          <w:iCs/>
          <w:sz w:val="22"/>
          <w:szCs w:val="22"/>
        </w:rPr>
        <w:t>International Journal of Language &amp; Communication Disorders</w:t>
      </w:r>
      <w:r w:rsidRPr="00ED2901">
        <w:rPr>
          <w:rFonts w:ascii="Arial" w:hAnsi="Arial" w:cs="Arial"/>
          <w:sz w:val="22"/>
          <w:szCs w:val="22"/>
        </w:rPr>
        <w:t>, </w:t>
      </w:r>
      <w:r w:rsidRPr="00ED2901">
        <w:rPr>
          <w:rFonts w:ascii="Arial" w:hAnsi="Arial" w:cs="Arial"/>
          <w:i/>
          <w:iCs/>
          <w:sz w:val="22"/>
          <w:szCs w:val="22"/>
        </w:rPr>
        <w:t>48</w:t>
      </w:r>
      <w:r w:rsidRPr="00ED2901">
        <w:rPr>
          <w:rFonts w:ascii="Arial" w:hAnsi="Arial" w:cs="Arial"/>
          <w:sz w:val="22"/>
          <w:szCs w:val="22"/>
        </w:rPr>
        <w:t xml:space="preserve">(1), 54-65. </w:t>
      </w:r>
    </w:p>
    <w:p w14:paraId="026DCEC6" w14:textId="154C841C" w:rsidR="00F92F80" w:rsidRPr="00ED2901" w:rsidRDefault="00F92F80" w:rsidP="00ED2901">
      <w:pPr>
        <w:spacing w:line="360" w:lineRule="auto"/>
        <w:rPr>
          <w:rFonts w:ascii="Arial" w:hAnsi="Arial" w:cs="Arial"/>
          <w:sz w:val="22"/>
          <w:szCs w:val="22"/>
        </w:rPr>
      </w:pPr>
      <w:r w:rsidRPr="00ED2901">
        <w:rPr>
          <w:rFonts w:ascii="Arial" w:hAnsi="Arial" w:cs="Arial"/>
          <w:sz w:val="22"/>
          <w:szCs w:val="22"/>
        </w:rPr>
        <w:t xml:space="preserve">Hancock, A. and Garabedian, C. (2013) ‘Transgender Singing and Vocal Pedagogy’, </w:t>
      </w:r>
      <w:r w:rsidRPr="00ED2901">
        <w:rPr>
          <w:rFonts w:ascii="Arial" w:hAnsi="Arial" w:cs="Arial"/>
          <w:i/>
          <w:iCs/>
          <w:sz w:val="22"/>
          <w:szCs w:val="22"/>
        </w:rPr>
        <w:t>Journal of Singing</w:t>
      </w:r>
      <w:r w:rsidRPr="00ED2901">
        <w:rPr>
          <w:rFonts w:ascii="Arial" w:hAnsi="Arial" w:cs="Arial"/>
          <w:sz w:val="22"/>
          <w:szCs w:val="22"/>
        </w:rPr>
        <w:t>, 69(5), pp. 451–458.</w:t>
      </w:r>
    </w:p>
    <w:p w14:paraId="49A22F43" w14:textId="4B68A270" w:rsidR="00F92F80" w:rsidRPr="00ED2901" w:rsidRDefault="00F92F80" w:rsidP="00ED2901">
      <w:pPr>
        <w:spacing w:line="360" w:lineRule="auto"/>
        <w:rPr>
          <w:rFonts w:ascii="Arial" w:hAnsi="Arial" w:cs="Arial"/>
          <w:sz w:val="22"/>
          <w:szCs w:val="22"/>
        </w:rPr>
      </w:pPr>
      <w:r w:rsidRPr="00ED2901">
        <w:rPr>
          <w:rFonts w:ascii="Arial" w:hAnsi="Arial" w:cs="Arial"/>
          <w:sz w:val="22"/>
          <w:szCs w:val="22"/>
        </w:rPr>
        <w:t>Harvard, L. (2014) ‘</w:t>
      </w:r>
      <w:r w:rsidR="0020428C" w:rsidRPr="00ED2901">
        <w:rPr>
          <w:rFonts w:ascii="Arial" w:hAnsi="Arial" w:cs="Arial"/>
          <w:sz w:val="22"/>
          <w:szCs w:val="22"/>
        </w:rPr>
        <w:t>ATS</w:t>
      </w:r>
      <w:r w:rsidRPr="00ED2901">
        <w:rPr>
          <w:rFonts w:ascii="Arial" w:hAnsi="Arial" w:cs="Arial"/>
          <w:sz w:val="22"/>
          <w:szCs w:val="22"/>
        </w:rPr>
        <w:t xml:space="preserve">: Pedagogical Considerations’, </w:t>
      </w:r>
      <w:r w:rsidRPr="00ED2901">
        <w:rPr>
          <w:rFonts w:ascii="Arial" w:hAnsi="Arial" w:cs="Arial"/>
          <w:i/>
          <w:iCs/>
          <w:sz w:val="22"/>
          <w:szCs w:val="22"/>
        </w:rPr>
        <w:t>Voice and Speech Review</w:t>
      </w:r>
      <w:r w:rsidRPr="00ED2901">
        <w:rPr>
          <w:rFonts w:ascii="Arial" w:hAnsi="Arial" w:cs="Arial"/>
          <w:sz w:val="22"/>
          <w:szCs w:val="22"/>
        </w:rPr>
        <w:t>, 8(1), pp. 65–78.</w:t>
      </w:r>
    </w:p>
    <w:p w14:paraId="6DFBF30F" w14:textId="7485A574" w:rsidR="00F92F80" w:rsidRPr="00ED2901" w:rsidRDefault="00B55872" w:rsidP="00ED2901">
      <w:pPr>
        <w:spacing w:line="360" w:lineRule="auto"/>
        <w:rPr>
          <w:rFonts w:ascii="Arial" w:hAnsi="Arial" w:cs="Arial"/>
          <w:sz w:val="22"/>
          <w:szCs w:val="22"/>
        </w:rPr>
      </w:pPr>
      <w:r w:rsidRPr="00ED2901">
        <w:rPr>
          <w:rFonts w:ascii="Arial" w:hAnsi="Arial" w:cs="Arial"/>
          <w:sz w:val="22"/>
          <w:szCs w:val="22"/>
        </w:rPr>
        <w:t>Henne, K., &amp; Troshynski, E. (2013). Mapping the margins of intersectionality: Criminological possibilities in a transnational world. </w:t>
      </w:r>
      <w:r w:rsidRPr="00ED2901">
        <w:rPr>
          <w:rFonts w:ascii="Arial" w:hAnsi="Arial" w:cs="Arial"/>
          <w:i/>
          <w:iCs/>
          <w:sz w:val="22"/>
          <w:szCs w:val="22"/>
        </w:rPr>
        <w:t>Theoretical Criminology</w:t>
      </w:r>
      <w:r w:rsidRPr="00ED2901">
        <w:rPr>
          <w:rFonts w:ascii="Arial" w:hAnsi="Arial" w:cs="Arial"/>
          <w:sz w:val="22"/>
          <w:szCs w:val="22"/>
        </w:rPr>
        <w:t>, </w:t>
      </w:r>
      <w:r w:rsidRPr="00ED2901">
        <w:rPr>
          <w:rFonts w:ascii="Arial" w:hAnsi="Arial" w:cs="Arial"/>
          <w:i/>
          <w:iCs/>
          <w:sz w:val="22"/>
          <w:szCs w:val="22"/>
        </w:rPr>
        <w:t>17</w:t>
      </w:r>
      <w:r w:rsidRPr="00ED2901">
        <w:rPr>
          <w:rFonts w:ascii="Arial" w:hAnsi="Arial" w:cs="Arial"/>
          <w:sz w:val="22"/>
          <w:szCs w:val="22"/>
        </w:rPr>
        <w:t>(4), 455-473.</w:t>
      </w:r>
      <w:r w:rsidR="00F92F80" w:rsidRPr="00ED2901">
        <w:rPr>
          <w:rFonts w:ascii="Arial" w:hAnsi="Arial" w:cs="Arial"/>
          <w:sz w:val="22"/>
          <w:szCs w:val="22"/>
        </w:rPr>
        <w:t xml:space="preserve">Henrich, N. (2014) ‘Resonance Strategies in Belt’, </w:t>
      </w:r>
      <w:r w:rsidR="00F92F80" w:rsidRPr="00ED2901">
        <w:rPr>
          <w:rFonts w:ascii="Arial" w:hAnsi="Arial" w:cs="Arial"/>
          <w:i/>
          <w:iCs/>
          <w:sz w:val="22"/>
          <w:szCs w:val="22"/>
        </w:rPr>
        <w:t>Journal of Voice</w:t>
      </w:r>
      <w:r w:rsidR="00F92F80" w:rsidRPr="00ED2901">
        <w:rPr>
          <w:rFonts w:ascii="Arial" w:hAnsi="Arial" w:cs="Arial"/>
          <w:sz w:val="22"/>
          <w:szCs w:val="22"/>
        </w:rPr>
        <w:t>, 28(4), pp. 523–535.</w:t>
      </w:r>
    </w:p>
    <w:p w14:paraId="75A86F7F" w14:textId="77777777" w:rsidR="00F92F80" w:rsidRPr="00ED2901" w:rsidRDefault="00F92F80" w:rsidP="00ED2901">
      <w:pPr>
        <w:spacing w:line="360" w:lineRule="auto"/>
        <w:rPr>
          <w:rFonts w:ascii="Arial" w:hAnsi="Arial" w:cs="Arial"/>
          <w:sz w:val="22"/>
          <w:szCs w:val="22"/>
        </w:rPr>
      </w:pPr>
      <w:r w:rsidRPr="00ED2901">
        <w:rPr>
          <w:rFonts w:ascii="Arial" w:hAnsi="Arial" w:cs="Arial"/>
          <w:sz w:val="22"/>
          <w:szCs w:val="22"/>
        </w:rPr>
        <w:t xml:space="preserve">Hodge, A. (2010) </w:t>
      </w:r>
      <w:r w:rsidRPr="00ED2901">
        <w:rPr>
          <w:rFonts w:ascii="Arial" w:hAnsi="Arial" w:cs="Arial"/>
          <w:i/>
          <w:iCs/>
          <w:sz w:val="22"/>
          <w:szCs w:val="22"/>
        </w:rPr>
        <w:t>Actor Training</w:t>
      </w:r>
      <w:r w:rsidRPr="00ED2901">
        <w:rPr>
          <w:rFonts w:ascii="Arial" w:hAnsi="Arial" w:cs="Arial"/>
          <w:sz w:val="22"/>
          <w:szCs w:val="22"/>
        </w:rPr>
        <w:t>. London: Routledge.</w:t>
      </w:r>
    </w:p>
    <w:p w14:paraId="59CA4E73" w14:textId="7B9A0DBF" w:rsidR="00F92F80" w:rsidRPr="00ED2901" w:rsidRDefault="005B243A" w:rsidP="00ED2901">
      <w:pPr>
        <w:spacing w:line="360" w:lineRule="auto"/>
        <w:rPr>
          <w:rFonts w:ascii="Arial" w:hAnsi="Arial" w:cs="Arial"/>
          <w:sz w:val="22"/>
          <w:szCs w:val="22"/>
        </w:rPr>
      </w:pPr>
      <w:r w:rsidRPr="00ED2901">
        <w:rPr>
          <w:rFonts w:ascii="Arial" w:hAnsi="Arial" w:cs="Arial"/>
          <w:sz w:val="22"/>
          <w:szCs w:val="22"/>
        </w:rPr>
        <w:t>H</w:t>
      </w:r>
      <w:r w:rsidR="00F92F80" w:rsidRPr="00ED2901">
        <w:rPr>
          <w:rFonts w:ascii="Arial" w:hAnsi="Arial" w:cs="Arial"/>
          <w:sz w:val="22"/>
          <w:szCs w:val="22"/>
        </w:rPr>
        <w:t xml:space="preserve">ooks, b. (1994) </w:t>
      </w:r>
      <w:r w:rsidR="00F92F80" w:rsidRPr="00ED2901">
        <w:rPr>
          <w:rFonts w:ascii="Arial" w:hAnsi="Arial" w:cs="Arial"/>
          <w:i/>
          <w:iCs/>
          <w:sz w:val="22"/>
          <w:szCs w:val="22"/>
        </w:rPr>
        <w:t>Teaching to Transgress: Education as the Practice of Freedom</w:t>
      </w:r>
      <w:r w:rsidR="00F92F80" w:rsidRPr="00ED2901">
        <w:rPr>
          <w:rFonts w:ascii="Arial" w:hAnsi="Arial" w:cs="Arial"/>
          <w:sz w:val="22"/>
          <w:szCs w:val="22"/>
        </w:rPr>
        <w:t>. New York: Routledge.</w:t>
      </w:r>
    </w:p>
    <w:p w14:paraId="41308099" w14:textId="77777777" w:rsidR="00F92F80" w:rsidRPr="00ED2901" w:rsidRDefault="00F92F80" w:rsidP="00ED2901">
      <w:pPr>
        <w:spacing w:line="360" w:lineRule="auto"/>
        <w:rPr>
          <w:rFonts w:ascii="Arial" w:hAnsi="Arial" w:cs="Arial"/>
          <w:sz w:val="22"/>
          <w:szCs w:val="22"/>
        </w:rPr>
      </w:pPr>
      <w:r w:rsidRPr="00ED2901">
        <w:rPr>
          <w:rFonts w:ascii="Arial" w:hAnsi="Arial" w:cs="Arial"/>
          <w:sz w:val="22"/>
          <w:szCs w:val="22"/>
        </w:rPr>
        <w:t xml:space="preserve">Immes, R. and Rogers, T. (2021) ‘Trauma-Informed Teaching in the Performing Arts’, </w:t>
      </w:r>
      <w:r w:rsidRPr="00ED2901">
        <w:rPr>
          <w:rFonts w:ascii="Arial" w:hAnsi="Arial" w:cs="Arial"/>
          <w:i/>
          <w:iCs/>
          <w:sz w:val="22"/>
          <w:szCs w:val="22"/>
        </w:rPr>
        <w:t>Arts Education Review</w:t>
      </w:r>
      <w:r w:rsidRPr="00ED2901">
        <w:rPr>
          <w:rFonts w:ascii="Arial" w:hAnsi="Arial" w:cs="Arial"/>
          <w:sz w:val="22"/>
          <w:szCs w:val="22"/>
        </w:rPr>
        <w:t>, 33(2), pp. 101–120.</w:t>
      </w:r>
    </w:p>
    <w:p w14:paraId="7CC239DB" w14:textId="77777777" w:rsidR="00F92F80" w:rsidRPr="00ED2901" w:rsidRDefault="00F92F80" w:rsidP="00ED2901">
      <w:pPr>
        <w:spacing w:line="360" w:lineRule="auto"/>
        <w:rPr>
          <w:rFonts w:ascii="Arial" w:hAnsi="Arial" w:cs="Arial"/>
          <w:sz w:val="22"/>
          <w:szCs w:val="22"/>
        </w:rPr>
      </w:pPr>
      <w:r w:rsidRPr="00ED2901">
        <w:rPr>
          <w:rFonts w:ascii="Arial" w:hAnsi="Arial" w:cs="Arial"/>
          <w:sz w:val="22"/>
          <w:szCs w:val="22"/>
        </w:rPr>
        <w:t xml:space="preserve">Kayes, G. (2020) </w:t>
      </w:r>
      <w:r w:rsidRPr="00ED2901">
        <w:rPr>
          <w:rFonts w:ascii="Arial" w:hAnsi="Arial" w:cs="Arial"/>
          <w:i/>
          <w:iCs/>
          <w:sz w:val="22"/>
          <w:szCs w:val="22"/>
        </w:rPr>
        <w:t>This Is a Voice: Contemporary Vocal Pedagogy</w:t>
      </w:r>
      <w:r w:rsidRPr="00ED2901">
        <w:rPr>
          <w:rFonts w:ascii="Arial" w:hAnsi="Arial" w:cs="Arial"/>
          <w:sz w:val="22"/>
          <w:szCs w:val="22"/>
        </w:rPr>
        <w:t>. London: Wellcome.</w:t>
      </w:r>
    </w:p>
    <w:p w14:paraId="42328350" w14:textId="77777777" w:rsidR="00F92F80" w:rsidRPr="00ED2901" w:rsidRDefault="00F92F80" w:rsidP="00ED2901">
      <w:pPr>
        <w:spacing w:line="360" w:lineRule="auto"/>
        <w:rPr>
          <w:rFonts w:ascii="Arial" w:hAnsi="Arial" w:cs="Arial"/>
          <w:sz w:val="22"/>
          <w:szCs w:val="22"/>
        </w:rPr>
      </w:pPr>
      <w:r w:rsidRPr="00ED2901">
        <w:rPr>
          <w:rFonts w:ascii="Arial" w:hAnsi="Arial" w:cs="Arial"/>
          <w:sz w:val="22"/>
          <w:szCs w:val="22"/>
        </w:rPr>
        <w:t xml:space="preserve">Kemmis, S. and McTaggart, R. (2000) </w:t>
      </w:r>
      <w:r w:rsidRPr="00ED2901">
        <w:rPr>
          <w:rFonts w:ascii="Arial" w:hAnsi="Arial" w:cs="Arial"/>
          <w:i/>
          <w:iCs/>
          <w:sz w:val="22"/>
          <w:szCs w:val="22"/>
        </w:rPr>
        <w:t>Participatory Action Research</w:t>
      </w:r>
      <w:r w:rsidRPr="00ED2901">
        <w:rPr>
          <w:rFonts w:ascii="Arial" w:hAnsi="Arial" w:cs="Arial"/>
          <w:sz w:val="22"/>
          <w:szCs w:val="22"/>
        </w:rPr>
        <w:t>. London: Sage.</w:t>
      </w:r>
    </w:p>
    <w:p w14:paraId="26E47E8A" w14:textId="77777777" w:rsidR="00F92F80" w:rsidRPr="00ED2901" w:rsidRDefault="00F92F80" w:rsidP="00ED2901">
      <w:pPr>
        <w:spacing w:line="360" w:lineRule="auto"/>
        <w:rPr>
          <w:rFonts w:ascii="Arial" w:hAnsi="Arial" w:cs="Arial"/>
          <w:sz w:val="22"/>
          <w:szCs w:val="22"/>
        </w:rPr>
      </w:pPr>
      <w:r w:rsidRPr="00ED2901">
        <w:rPr>
          <w:rFonts w:ascii="Arial" w:hAnsi="Arial" w:cs="Arial"/>
          <w:sz w:val="22"/>
          <w:szCs w:val="22"/>
        </w:rPr>
        <w:t xml:space="preserve">Kemmis, S. and McTaggart, R. (2005) ‘Action Research: Communicative Action’, in </w:t>
      </w:r>
      <w:r w:rsidRPr="00ED2901">
        <w:rPr>
          <w:rFonts w:ascii="Arial" w:hAnsi="Arial" w:cs="Arial"/>
          <w:i/>
          <w:iCs/>
          <w:sz w:val="22"/>
          <w:szCs w:val="22"/>
        </w:rPr>
        <w:t>The Sage Handbook of Qualitative Research</w:t>
      </w:r>
      <w:r w:rsidRPr="00ED2901">
        <w:rPr>
          <w:rFonts w:ascii="Arial" w:hAnsi="Arial" w:cs="Arial"/>
          <w:sz w:val="22"/>
          <w:szCs w:val="22"/>
        </w:rPr>
        <w:t>. Thousand Oaks: Sage.</w:t>
      </w:r>
    </w:p>
    <w:p w14:paraId="26D72BE2" w14:textId="77777777" w:rsidR="00F92F80" w:rsidRPr="00ED2901" w:rsidRDefault="00F92F80" w:rsidP="00ED2901">
      <w:pPr>
        <w:spacing w:line="360" w:lineRule="auto"/>
        <w:rPr>
          <w:rFonts w:ascii="Arial" w:hAnsi="Arial" w:cs="Arial"/>
          <w:sz w:val="22"/>
          <w:szCs w:val="22"/>
        </w:rPr>
      </w:pPr>
      <w:r w:rsidRPr="00ED2901">
        <w:rPr>
          <w:rFonts w:ascii="Arial" w:hAnsi="Arial" w:cs="Arial"/>
          <w:sz w:val="22"/>
          <w:szCs w:val="22"/>
        </w:rPr>
        <w:t xml:space="preserve">Kolb, D. (1984) </w:t>
      </w:r>
      <w:r w:rsidRPr="00ED2901">
        <w:rPr>
          <w:rFonts w:ascii="Arial" w:hAnsi="Arial" w:cs="Arial"/>
          <w:i/>
          <w:iCs/>
          <w:sz w:val="22"/>
          <w:szCs w:val="22"/>
        </w:rPr>
        <w:t>Experiential Learning</w:t>
      </w:r>
      <w:r w:rsidRPr="00ED2901">
        <w:rPr>
          <w:rFonts w:ascii="Arial" w:hAnsi="Arial" w:cs="Arial"/>
          <w:sz w:val="22"/>
          <w:szCs w:val="22"/>
        </w:rPr>
        <w:t>. Englewood Cliffs: Prentice Hall.</w:t>
      </w:r>
    </w:p>
    <w:p w14:paraId="27BB35F9" w14:textId="77777777" w:rsidR="00F92F80" w:rsidRPr="00ED2901" w:rsidRDefault="00F92F80" w:rsidP="00ED2901">
      <w:pPr>
        <w:spacing w:line="360" w:lineRule="auto"/>
        <w:rPr>
          <w:rFonts w:ascii="Arial" w:hAnsi="Arial" w:cs="Arial"/>
          <w:sz w:val="22"/>
          <w:szCs w:val="22"/>
        </w:rPr>
      </w:pPr>
      <w:r w:rsidRPr="00ED2901">
        <w:rPr>
          <w:rFonts w:ascii="Arial" w:hAnsi="Arial" w:cs="Arial"/>
          <w:sz w:val="22"/>
          <w:szCs w:val="22"/>
        </w:rPr>
        <w:t xml:space="preserve">Kumashiro, K. (2002) </w:t>
      </w:r>
      <w:r w:rsidRPr="00ED2901">
        <w:rPr>
          <w:rFonts w:ascii="Arial" w:hAnsi="Arial" w:cs="Arial"/>
          <w:i/>
          <w:iCs/>
          <w:sz w:val="22"/>
          <w:szCs w:val="22"/>
        </w:rPr>
        <w:t>Troubling Education: Queer Activism and Anti-Oppressive Pedagogy</w:t>
      </w:r>
      <w:r w:rsidRPr="00ED2901">
        <w:rPr>
          <w:rFonts w:ascii="Arial" w:hAnsi="Arial" w:cs="Arial"/>
          <w:sz w:val="22"/>
          <w:szCs w:val="22"/>
        </w:rPr>
        <w:t>. London: Routledge.</w:t>
      </w:r>
    </w:p>
    <w:p w14:paraId="71E8ED4E" w14:textId="49788E59" w:rsidR="00B55872" w:rsidRPr="00ED2901" w:rsidRDefault="00B55872" w:rsidP="00ED2901">
      <w:pPr>
        <w:spacing w:line="360" w:lineRule="auto"/>
        <w:rPr>
          <w:rFonts w:ascii="Arial" w:hAnsi="Arial" w:cs="Arial"/>
          <w:sz w:val="22"/>
          <w:szCs w:val="22"/>
        </w:rPr>
      </w:pPr>
      <w:r w:rsidRPr="00ED2901">
        <w:rPr>
          <w:rFonts w:ascii="Arial" w:hAnsi="Arial" w:cs="Arial"/>
          <w:sz w:val="22"/>
          <w:szCs w:val="22"/>
        </w:rPr>
        <w:t>Larose, M. B. (2022). </w:t>
      </w:r>
      <w:r w:rsidRPr="00ED2901">
        <w:rPr>
          <w:rFonts w:ascii="Arial" w:hAnsi="Arial" w:cs="Arial"/>
          <w:i/>
          <w:iCs/>
          <w:sz w:val="22"/>
          <w:szCs w:val="22"/>
        </w:rPr>
        <w:t>Trans* Vocal: Documenting Gender Subjectivity Through Changing Vocality</w:t>
      </w:r>
      <w:r w:rsidRPr="00ED2901">
        <w:rPr>
          <w:rFonts w:ascii="Arial" w:hAnsi="Arial" w:cs="Arial"/>
          <w:sz w:val="22"/>
          <w:szCs w:val="22"/>
        </w:rPr>
        <w:t> (Doctoral dissertation, Carleton University).</w:t>
      </w:r>
    </w:p>
    <w:p w14:paraId="54126620" w14:textId="77777777" w:rsidR="00F92F80" w:rsidRPr="00ED2901" w:rsidRDefault="00F92F80" w:rsidP="00ED2901">
      <w:pPr>
        <w:spacing w:line="360" w:lineRule="auto"/>
        <w:rPr>
          <w:rFonts w:ascii="Arial" w:hAnsi="Arial" w:cs="Arial"/>
          <w:sz w:val="22"/>
          <w:szCs w:val="22"/>
        </w:rPr>
      </w:pPr>
      <w:r w:rsidRPr="00ED2901">
        <w:rPr>
          <w:rFonts w:ascii="Arial" w:hAnsi="Arial" w:cs="Arial"/>
          <w:sz w:val="22"/>
          <w:szCs w:val="22"/>
        </w:rPr>
        <w:t xml:space="preserve">Laukkanen, A.-M. et al. (2012) ‘SOVT Benefits in Contemporary Singing’, </w:t>
      </w:r>
      <w:r w:rsidRPr="00ED2901">
        <w:rPr>
          <w:rFonts w:ascii="Arial" w:hAnsi="Arial" w:cs="Arial"/>
          <w:i/>
          <w:iCs/>
          <w:sz w:val="22"/>
          <w:szCs w:val="22"/>
        </w:rPr>
        <w:t>Journal of Voice</w:t>
      </w:r>
      <w:r w:rsidRPr="00ED2901">
        <w:rPr>
          <w:rFonts w:ascii="Arial" w:hAnsi="Arial" w:cs="Arial"/>
          <w:sz w:val="22"/>
          <w:szCs w:val="22"/>
        </w:rPr>
        <w:t>, 26(3), pp. 341–349.</w:t>
      </w:r>
    </w:p>
    <w:p w14:paraId="60E4BD34" w14:textId="77777777" w:rsidR="00F92F80" w:rsidRPr="00ED2901" w:rsidRDefault="00F92F80" w:rsidP="00ED2901">
      <w:pPr>
        <w:spacing w:line="360" w:lineRule="auto"/>
        <w:rPr>
          <w:rFonts w:ascii="Arial" w:hAnsi="Arial" w:cs="Arial"/>
          <w:sz w:val="22"/>
          <w:szCs w:val="22"/>
        </w:rPr>
      </w:pPr>
      <w:r w:rsidRPr="00ED2901">
        <w:rPr>
          <w:rFonts w:ascii="Arial" w:hAnsi="Arial" w:cs="Arial"/>
          <w:sz w:val="22"/>
          <w:szCs w:val="22"/>
        </w:rPr>
        <w:t xml:space="preserve">LeBorgne, W. and Rosenberg, B. (2020) </w:t>
      </w:r>
      <w:r w:rsidRPr="00ED2901">
        <w:rPr>
          <w:rFonts w:ascii="Arial" w:hAnsi="Arial" w:cs="Arial"/>
          <w:i/>
          <w:iCs/>
          <w:sz w:val="22"/>
          <w:szCs w:val="22"/>
        </w:rPr>
        <w:t>The Vocal Athlete</w:t>
      </w:r>
      <w:r w:rsidRPr="00ED2901">
        <w:rPr>
          <w:rFonts w:ascii="Arial" w:hAnsi="Arial" w:cs="Arial"/>
          <w:sz w:val="22"/>
          <w:szCs w:val="22"/>
        </w:rPr>
        <w:t>. San Diego: Plural.</w:t>
      </w:r>
    </w:p>
    <w:p w14:paraId="423B5D17" w14:textId="77777777" w:rsidR="00F92F80" w:rsidRPr="00ED2901" w:rsidRDefault="00F92F80" w:rsidP="00ED2901">
      <w:pPr>
        <w:spacing w:line="360" w:lineRule="auto"/>
        <w:rPr>
          <w:rFonts w:ascii="Arial" w:hAnsi="Arial" w:cs="Arial"/>
          <w:sz w:val="22"/>
          <w:szCs w:val="22"/>
        </w:rPr>
      </w:pPr>
      <w:r w:rsidRPr="00ED2901">
        <w:rPr>
          <w:rFonts w:ascii="Arial" w:hAnsi="Arial" w:cs="Arial"/>
          <w:sz w:val="22"/>
          <w:szCs w:val="22"/>
        </w:rPr>
        <w:t xml:space="preserve">Linklater, K. (2006) </w:t>
      </w:r>
      <w:r w:rsidRPr="00ED2901">
        <w:rPr>
          <w:rFonts w:ascii="Arial" w:hAnsi="Arial" w:cs="Arial"/>
          <w:i/>
          <w:iCs/>
          <w:sz w:val="22"/>
          <w:szCs w:val="22"/>
        </w:rPr>
        <w:t>Freeing the Natural Voice</w:t>
      </w:r>
      <w:r w:rsidRPr="00ED2901">
        <w:rPr>
          <w:rFonts w:ascii="Arial" w:hAnsi="Arial" w:cs="Arial"/>
          <w:sz w:val="22"/>
          <w:szCs w:val="22"/>
        </w:rPr>
        <w:t>. London: Nick Hern Books.</w:t>
      </w:r>
    </w:p>
    <w:p w14:paraId="7A6F1617" w14:textId="77777777" w:rsidR="00F92F80" w:rsidRPr="00ED2901" w:rsidRDefault="00F92F80" w:rsidP="00ED2901">
      <w:pPr>
        <w:spacing w:line="360" w:lineRule="auto"/>
        <w:rPr>
          <w:rFonts w:ascii="Arial" w:hAnsi="Arial" w:cs="Arial"/>
          <w:sz w:val="22"/>
          <w:szCs w:val="22"/>
        </w:rPr>
      </w:pPr>
      <w:r w:rsidRPr="00ED2901">
        <w:rPr>
          <w:rFonts w:ascii="Arial" w:hAnsi="Arial" w:cs="Arial"/>
          <w:sz w:val="22"/>
          <w:szCs w:val="22"/>
        </w:rPr>
        <w:lastRenderedPageBreak/>
        <w:t xml:space="preserve">McDonald Klimek, S. (2012) </w:t>
      </w:r>
      <w:r w:rsidRPr="00ED2901">
        <w:rPr>
          <w:rFonts w:ascii="Arial" w:hAnsi="Arial" w:cs="Arial"/>
          <w:i/>
          <w:iCs/>
          <w:sz w:val="22"/>
          <w:szCs w:val="22"/>
        </w:rPr>
        <w:t>Singing and Voice Science</w:t>
      </w:r>
      <w:r w:rsidRPr="00ED2901">
        <w:rPr>
          <w:rFonts w:ascii="Arial" w:hAnsi="Arial" w:cs="Arial"/>
          <w:sz w:val="22"/>
          <w:szCs w:val="22"/>
        </w:rPr>
        <w:t>. Boston: Berklee Press.</w:t>
      </w:r>
    </w:p>
    <w:p w14:paraId="12AF6F49" w14:textId="77777777" w:rsidR="00F92F80" w:rsidRPr="00ED2901" w:rsidRDefault="00F92F80" w:rsidP="00ED2901">
      <w:pPr>
        <w:spacing w:line="360" w:lineRule="auto"/>
        <w:rPr>
          <w:rFonts w:ascii="Arial" w:hAnsi="Arial" w:cs="Arial"/>
          <w:sz w:val="22"/>
          <w:szCs w:val="22"/>
        </w:rPr>
      </w:pPr>
      <w:r w:rsidRPr="00ED2901">
        <w:rPr>
          <w:rFonts w:ascii="Arial" w:hAnsi="Arial" w:cs="Arial"/>
          <w:sz w:val="22"/>
          <w:szCs w:val="22"/>
        </w:rPr>
        <w:t xml:space="preserve">McNiff, J. (2013) </w:t>
      </w:r>
      <w:r w:rsidRPr="00ED2901">
        <w:rPr>
          <w:rFonts w:ascii="Arial" w:hAnsi="Arial" w:cs="Arial"/>
          <w:i/>
          <w:iCs/>
          <w:sz w:val="22"/>
          <w:szCs w:val="22"/>
        </w:rPr>
        <w:t>Action Research: Principles and Practice</w:t>
      </w:r>
      <w:r w:rsidRPr="00ED2901">
        <w:rPr>
          <w:rFonts w:ascii="Arial" w:hAnsi="Arial" w:cs="Arial"/>
          <w:sz w:val="22"/>
          <w:szCs w:val="22"/>
        </w:rPr>
        <w:t>. London: Routledge.</w:t>
      </w:r>
    </w:p>
    <w:p w14:paraId="6F4D11F8" w14:textId="77777777" w:rsidR="00F92F80" w:rsidRPr="00ED2901" w:rsidRDefault="00F92F80" w:rsidP="00ED2901">
      <w:pPr>
        <w:spacing w:line="360" w:lineRule="auto"/>
        <w:rPr>
          <w:rFonts w:ascii="Arial" w:hAnsi="Arial" w:cs="Arial"/>
          <w:sz w:val="22"/>
          <w:szCs w:val="22"/>
        </w:rPr>
      </w:pPr>
      <w:r w:rsidRPr="00ED2901">
        <w:rPr>
          <w:rFonts w:ascii="Arial" w:hAnsi="Arial" w:cs="Arial"/>
          <w:sz w:val="22"/>
          <w:szCs w:val="22"/>
        </w:rPr>
        <w:t xml:space="preserve">Mertens, D. (2014) </w:t>
      </w:r>
      <w:r w:rsidRPr="00ED2901">
        <w:rPr>
          <w:rFonts w:ascii="Arial" w:hAnsi="Arial" w:cs="Arial"/>
          <w:i/>
          <w:iCs/>
          <w:sz w:val="22"/>
          <w:szCs w:val="22"/>
        </w:rPr>
        <w:t>Research and Evaluation in Education and Psychology</w:t>
      </w:r>
      <w:r w:rsidRPr="00ED2901">
        <w:rPr>
          <w:rFonts w:ascii="Arial" w:hAnsi="Arial" w:cs="Arial"/>
          <w:sz w:val="22"/>
          <w:szCs w:val="22"/>
        </w:rPr>
        <w:t>. Thousand Oaks: Sage.</w:t>
      </w:r>
    </w:p>
    <w:p w14:paraId="7AB737BF" w14:textId="77777777" w:rsidR="00F92F80" w:rsidRPr="00ED2901" w:rsidRDefault="00F92F80" w:rsidP="00ED2901">
      <w:pPr>
        <w:spacing w:line="360" w:lineRule="auto"/>
        <w:rPr>
          <w:rFonts w:ascii="Arial" w:hAnsi="Arial" w:cs="Arial"/>
          <w:sz w:val="22"/>
          <w:szCs w:val="22"/>
        </w:rPr>
      </w:pPr>
      <w:r w:rsidRPr="00ED2901">
        <w:rPr>
          <w:rFonts w:ascii="Arial" w:hAnsi="Arial" w:cs="Arial"/>
          <w:sz w:val="22"/>
          <w:szCs w:val="22"/>
        </w:rPr>
        <w:t xml:space="preserve">Moore, M. and Bergman, R. (2016) </w:t>
      </w:r>
      <w:r w:rsidRPr="00ED2901">
        <w:rPr>
          <w:rFonts w:ascii="Arial" w:hAnsi="Arial" w:cs="Arial"/>
          <w:i/>
          <w:iCs/>
          <w:sz w:val="22"/>
          <w:szCs w:val="22"/>
        </w:rPr>
        <w:t>Acting the Song: Performance Skills for the Musical Theatre</w:t>
      </w:r>
      <w:r w:rsidRPr="00ED2901">
        <w:rPr>
          <w:rFonts w:ascii="Arial" w:hAnsi="Arial" w:cs="Arial"/>
          <w:sz w:val="22"/>
          <w:szCs w:val="22"/>
        </w:rPr>
        <w:t>. New York: Allworth Press.</w:t>
      </w:r>
    </w:p>
    <w:p w14:paraId="61E2A6E0" w14:textId="77777777" w:rsidR="00F92F80" w:rsidRPr="00ED2901" w:rsidRDefault="00F92F80" w:rsidP="00ED2901">
      <w:pPr>
        <w:spacing w:line="360" w:lineRule="auto"/>
        <w:rPr>
          <w:rFonts w:ascii="Arial" w:hAnsi="Arial" w:cs="Arial"/>
          <w:sz w:val="22"/>
          <w:szCs w:val="22"/>
        </w:rPr>
      </w:pPr>
      <w:r w:rsidRPr="00ED2901">
        <w:rPr>
          <w:rFonts w:ascii="Arial" w:hAnsi="Arial" w:cs="Arial"/>
          <w:sz w:val="22"/>
          <w:szCs w:val="22"/>
        </w:rPr>
        <w:t xml:space="preserve">Nelson, R. (2013) </w:t>
      </w:r>
      <w:r w:rsidRPr="00ED2901">
        <w:rPr>
          <w:rFonts w:ascii="Arial" w:hAnsi="Arial" w:cs="Arial"/>
          <w:i/>
          <w:iCs/>
          <w:sz w:val="22"/>
          <w:szCs w:val="22"/>
        </w:rPr>
        <w:t>Practice as Research in the Arts</w:t>
      </w:r>
      <w:r w:rsidRPr="00ED2901">
        <w:rPr>
          <w:rFonts w:ascii="Arial" w:hAnsi="Arial" w:cs="Arial"/>
          <w:sz w:val="22"/>
          <w:szCs w:val="22"/>
        </w:rPr>
        <w:t>. London: Palgrave Macmillan.</w:t>
      </w:r>
    </w:p>
    <w:p w14:paraId="4F28CF64" w14:textId="77777777" w:rsidR="00F92F80" w:rsidRPr="00ED2901" w:rsidRDefault="00F92F80" w:rsidP="00ED2901">
      <w:pPr>
        <w:spacing w:line="360" w:lineRule="auto"/>
        <w:rPr>
          <w:rFonts w:ascii="Arial" w:hAnsi="Arial" w:cs="Arial"/>
          <w:sz w:val="22"/>
          <w:szCs w:val="22"/>
        </w:rPr>
      </w:pPr>
      <w:r w:rsidRPr="00ED2901">
        <w:rPr>
          <w:rFonts w:ascii="Arial" w:hAnsi="Arial" w:cs="Arial"/>
          <w:sz w:val="22"/>
          <w:szCs w:val="22"/>
        </w:rPr>
        <w:t xml:space="preserve">Nygren, U. et al. (2022) ‘Vocal Characteristics in Transfeminine Speakers’, </w:t>
      </w:r>
      <w:r w:rsidRPr="00ED2901">
        <w:rPr>
          <w:rFonts w:ascii="Arial" w:hAnsi="Arial" w:cs="Arial"/>
          <w:i/>
          <w:iCs/>
          <w:sz w:val="22"/>
          <w:szCs w:val="22"/>
        </w:rPr>
        <w:t>Journal of Voice</w:t>
      </w:r>
      <w:r w:rsidRPr="00ED2901">
        <w:rPr>
          <w:rFonts w:ascii="Arial" w:hAnsi="Arial" w:cs="Arial"/>
          <w:sz w:val="22"/>
          <w:szCs w:val="22"/>
        </w:rPr>
        <w:t>, 36(5), pp. 801–811.</w:t>
      </w:r>
    </w:p>
    <w:p w14:paraId="6BA91E5F" w14:textId="77777777" w:rsidR="00F92F80" w:rsidRPr="00ED2901" w:rsidRDefault="00F92F80" w:rsidP="00ED2901">
      <w:pPr>
        <w:spacing w:line="360" w:lineRule="auto"/>
        <w:rPr>
          <w:rFonts w:ascii="Arial" w:hAnsi="Arial" w:cs="Arial"/>
          <w:sz w:val="22"/>
          <w:szCs w:val="22"/>
        </w:rPr>
      </w:pPr>
      <w:r w:rsidRPr="00ED2901">
        <w:rPr>
          <w:rFonts w:ascii="Arial" w:hAnsi="Arial" w:cs="Arial"/>
          <w:sz w:val="22"/>
          <w:szCs w:val="22"/>
        </w:rPr>
        <w:t xml:space="preserve">Owen, K. (2023) ‘Trans Voice in Performance Training’, </w:t>
      </w:r>
      <w:r w:rsidRPr="00ED2901">
        <w:rPr>
          <w:rFonts w:ascii="Arial" w:hAnsi="Arial" w:cs="Arial"/>
          <w:i/>
          <w:iCs/>
          <w:sz w:val="22"/>
          <w:szCs w:val="22"/>
        </w:rPr>
        <w:t>Theatre, Dance and Performance Training</w:t>
      </w:r>
      <w:r w:rsidRPr="00ED2901">
        <w:rPr>
          <w:rFonts w:ascii="Arial" w:hAnsi="Arial" w:cs="Arial"/>
          <w:sz w:val="22"/>
          <w:szCs w:val="22"/>
        </w:rPr>
        <w:t>, 14(1), pp. 65–78.</w:t>
      </w:r>
    </w:p>
    <w:p w14:paraId="51FF03B1" w14:textId="77777777" w:rsidR="00F92F80" w:rsidRPr="00ED2901" w:rsidRDefault="00F92F80" w:rsidP="00ED2901">
      <w:pPr>
        <w:spacing w:line="360" w:lineRule="auto"/>
        <w:rPr>
          <w:rFonts w:ascii="Arial" w:hAnsi="Arial" w:cs="Arial"/>
          <w:sz w:val="22"/>
          <w:szCs w:val="22"/>
        </w:rPr>
      </w:pPr>
      <w:r w:rsidRPr="00ED2901">
        <w:rPr>
          <w:rFonts w:ascii="Arial" w:hAnsi="Arial" w:cs="Arial"/>
          <w:sz w:val="22"/>
          <w:szCs w:val="22"/>
        </w:rPr>
        <w:t xml:space="preserve">Potter, J. (2014) </w:t>
      </w:r>
      <w:r w:rsidRPr="00ED2901">
        <w:rPr>
          <w:rFonts w:ascii="Arial" w:hAnsi="Arial" w:cs="Arial"/>
          <w:i/>
          <w:iCs/>
          <w:sz w:val="22"/>
          <w:szCs w:val="22"/>
        </w:rPr>
        <w:t>The Cambridge Companion to Singing</w:t>
      </w:r>
      <w:r w:rsidRPr="00ED2901">
        <w:rPr>
          <w:rFonts w:ascii="Arial" w:hAnsi="Arial" w:cs="Arial"/>
          <w:sz w:val="22"/>
          <w:szCs w:val="22"/>
        </w:rPr>
        <w:t>. Cambridge: Cambridge University Press.</w:t>
      </w:r>
    </w:p>
    <w:p w14:paraId="3F3D8DC5" w14:textId="77777777" w:rsidR="00F92F80" w:rsidRPr="00ED2901" w:rsidRDefault="00F92F80" w:rsidP="00ED2901">
      <w:pPr>
        <w:spacing w:line="360" w:lineRule="auto"/>
        <w:rPr>
          <w:rFonts w:ascii="Arial" w:hAnsi="Arial" w:cs="Arial"/>
          <w:sz w:val="22"/>
          <w:szCs w:val="22"/>
        </w:rPr>
      </w:pPr>
      <w:r w:rsidRPr="00ED2901">
        <w:rPr>
          <w:rFonts w:ascii="Arial" w:hAnsi="Arial" w:cs="Arial"/>
          <w:sz w:val="22"/>
          <w:szCs w:val="22"/>
        </w:rPr>
        <w:t xml:space="preserve">Reeves, T. (2006) ‘Design-Based Research in Higher Education’, </w:t>
      </w:r>
      <w:r w:rsidRPr="00ED2901">
        <w:rPr>
          <w:rFonts w:ascii="Arial" w:hAnsi="Arial" w:cs="Arial"/>
          <w:i/>
          <w:iCs/>
          <w:sz w:val="22"/>
          <w:szCs w:val="22"/>
        </w:rPr>
        <w:t>Educational Technology</w:t>
      </w:r>
      <w:r w:rsidRPr="00ED2901">
        <w:rPr>
          <w:rFonts w:ascii="Arial" w:hAnsi="Arial" w:cs="Arial"/>
          <w:sz w:val="22"/>
          <w:szCs w:val="22"/>
        </w:rPr>
        <w:t>, 46(1), pp. 16–22.</w:t>
      </w:r>
    </w:p>
    <w:p w14:paraId="37748AB2" w14:textId="77777777" w:rsidR="00F92F80" w:rsidRPr="00ED2901" w:rsidRDefault="00F92F80" w:rsidP="00ED2901">
      <w:pPr>
        <w:spacing w:line="360" w:lineRule="auto"/>
        <w:rPr>
          <w:rFonts w:ascii="Arial" w:hAnsi="Arial" w:cs="Arial"/>
          <w:sz w:val="22"/>
          <w:szCs w:val="22"/>
        </w:rPr>
      </w:pPr>
      <w:r w:rsidRPr="00ED2901">
        <w:rPr>
          <w:rFonts w:ascii="Arial" w:hAnsi="Arial" w:cs="Arial"/>
          <w:sz w:val="22"/>
          <w:szCs w:val="22"/>
        </w:rPr>
        <w:t xml:space="preserve">Riley, S. and Hunter, L. (2009) </w:t>
      </w:r>
      <w:r w:rsidRPr="00ED2901">
        <w:rPr>
          <w:rFonts w:ascii="Arial" w:hAnsi="Arial" w:cs="Arial"/>
          <w:i/>
          <w:iCs/>
          <w:sz w:val="22"/>
          <w:szCs w:val="22"/>
        </w:rPr>
        <w:t>Mapping Landscapes for Performance as Research</w:t>
      </w:r>
      <w:r w:rsidRPr="00ED2901">
        <w:rPr>
          <w:rFonts w:ascii="Arial" w:hAnsi="Arial" w:cs="Arial"/>
          <w:sz w:val="22"/>
          <w:szCs w:val="22"/>
        </w:rPr>
        <w:t>. London: Palgrave.</w:t>
      </w:r>
    </w:p>
    <w:p w14:paraId="0CF99720" w14:textId="77777777" w:rsidR="00F92F80" w:rsidRPr="00ED2901" w:rsidRDefault="00F92F80" w:rsidP="00ED2901">
      <w:pPr>
        <w:spacing w:line="360" w:lineRule="auto"/>
        <w:rPr>
          <w:rFonts w:ascii="Arial" w:hAnsi="Arial" w:cs="Arial"/>
          <w:sz w:val="22"/>
          <w:szCs w:val="22"/>
        </w:rPr>
      </w:pPr>
      <w:r w:rsidRPr="00ED2901">
        <w:rPr>
          <w:rFonts w:ascii="Arial" w:hAnsi="Arial" w:cs="Arial"/>
          <w:sz w:val="22"/>
          <w:szCs w:val="22"/>
        </w:rPr>
        <w:t xml:space="preserve">Russo, A. (2022) ‘Voice, Identity and Transgender Performance’, </w:t>
      </w:r>
      <w:r w:rsidRPr="00ED2901">
        <w:rPr>
          <w:rFonts w:ascii="Arial" w:hAnsi="Arial" w:cs="Arial"/>
          <w:i/>
          <w:iCs/>
          <w:sz w:val="22"/>
          <w:szCs w:val="22"/>
        </w:rPr>
        <w:t>Journal of Gender Studies</w:t>
      </w:r>
      <w:r w:rsidRPr="00ED2901">
        <w:rPr>
          <w:rFonts w:ascii="Arial" w:hAnsi="Arial" w:cs="Arial"/>
          <w:sz w:val="22"/>
          <w:szCs w:val="22"/>
        </w:rPr>
        <w:t>, 31(4), pp. 515–530.</w:t>
      </w:r>
    </w:p>
    <w:p w14:paraId="5E274C8A" w14:textId="77777777" w:rsidR="00F92F80" w:rsidRPr="00ED2901" w:rsidRDefault="00F92F80" w:rsidP="00ED2901">
      <w:pPr>
        <w:spacing w:line="360" w:lineRule="auto"/>
        <w:rPr>
          <w:rFonts w:ascii="Arial" w:hAnsi="Arial" w:cs="Arial"/>
          <w:sz w:val="22"/>
          <w:szCs w:val="22"/>
        </w:rPr>
      </w:pPr>
      <w:r w:rsidRPr="00ED2901">
        <w:rPr>
          <w:rFonts w:ascii="Arial" w:hAnsi="Arial" w:cs="Arial"/>
          <w:sz w:val="22"/>
          <w:szCs w:val="22"/>
        </w:rPr>
        <w:t xml:space="preserve">Saldaña, J. (2018) </w:t>
      </w:r>
      <w:r w:rsidRPr="00ED2901">
        <w:rPr>
          <w:rFonts w:ascii="Arial" w:hAnsi="Arial" w:cs="Arial"/>
          <w:i/>
          <w:iCs/>
          <w:sz w:val="22"/>
          <w:szCs w:val="22"/>
        </w:rPr>
        <w:t>Ethnodrama: Performance as Research</w:t>
      </w:r>
      <w:r w:rsidRPr="00ED2901">
        <w:rPr>
          <w:rFonts w:ascii="Arial" w:hAnsi="Arial" w:cs="Arial"/>
          <w:sz w:val="22"/>
          <w:szCs w:val="22"/>
        </w:rPr>
        <w:t>. London: Routledge.</w:t>
      </w:r>
    </w:p>
    <w:p w14:paraId="24B02087" w14:textId="77777777" w:rsidR="00F92F80" w:rsidRPr="00ED2901" w:rsidRDefault="00F92F80" w:rsidP="00ED2901">
      <w:pPr>
        <w:spacing w:line="360" w:lineRule="auto"/>
        <w:rPr>
          <w:rFonts w:ascii="Arial" w:hAnsi="Arial" w:cs="Arial"/>
          <w:sz w:val="22"/>
          <w:szCs w:val="22"/>
        </w:rPr>
      </w:pPr>
      <w:r w:rsidRPr="00ED2901">
        <w:rPr>
          <w:rFonts w:ascii="Arial" w:hAnsi="Arial" w:cs="Arial"/>
          <w:sz w:val="22"/>
          <w:szCs w:val="22"/>
        </w:rPr>
        <w:t xml:space="preserve">Sataloff, R. (2017) </w:t>
      </w:r>
      <w:r w:rsidRPr="00ED2901">
        <w:rPr>
          <w:rFonts w:ascii="Arial" w:hAnsi="Arial" w:cs="Arial"/>
          <w:i/>
          <w:iCs/>
          <w:sz w:val="22"/>
          <w:szCs w:val="22"/>
        </w:rPr>
        <w:t>Vocal Health and Pedagogy</w:t>
      </w:r>
      <w:r w:rsidRPr="00ED2901">
        <w:rPr>
          <w:rFonts w:ascii="Arial" w:hAnsi="Arial" w:cs="Arial"/>
          <w:sz w:val="22"/>
          <w:szCs w:val="22"/>
        </w:rPr>
        <w:t>. 3rd edn. San Diego: Plural.</w:t>
      </w:r>
    </w:p>
    <w:p w14:paraId="13DC9F15" w14:textId="77777777" w:rsidR="00F92F80" w:rsidRPr="00ED2901" w:rsidRDefault="00F92F80" w:rsidP="00ED2901">
      <w:pPr>
        <w:spacing w:line="360" w:lineRule="auto"/>
        <w:rPr>
          <w:rFonts w:ascii="Arial" w:hAnsi="Arial" w:cs="Arial"/>
          <w:sz w:val="22"/>
          <w:szCs w:val="22"/>
        </w:rPr>
      </w:pPr>
      <w:r w:rsidRPr="00ED2901">
        <w:rPr>
          <w:rFonts w:ascii="Arial" w:hAnsi="Arial" w:cs="Arial"/>
          <w:sz w:val="22"/>
          <w:szCs w:val="22"/>
        </w:rPr>
        <w:t xml:space="preserve">Schön, D. (1983) </w:t>
      </w:r>
      <w:r w:rsidRPr="00ED2901">
        <w:rPr>
          <w:rFonts w:ascii="Arial" w:hAnsi="Arial" w:cs="Arial"/>
          <w:i/>
          <w:iCs/>
          <w:sz w:val="22"/>
          <w:szCs w:val="22"/>
        </w:rPr>
        <w:t>The Reflective Practitioner</w:t>
      </w:r>
      <w:r w:rsidRPr="00ED2901">
        <w:rPr>
          <w:rFonts w:ascii="Arial" w:hAnsi="Arial" w:cs="Arial"/>
          <w:sz w:val="22"/>
          <w:szCs w:val="22"/>
        </w:rPr>
        <w:t>. New York: Basic Books.</w:t>
      </w:r>
    </w:p>
    <w:p w14:paraId="712BAF3B" w14:textId="1A8F2082" w:rsidR="00B55872" w:rsidRPr="00ED2901" w:rsidRDefault="00B55872" w:rsidP="00ED2901">
      <w:pPr>
        <w:spacing w:line="360" w:lineRule="auto"/>
        <w:rPr>
          <w:rFonts w:ascii="Arial" w:hAnsi="Arial" w:cs="Arial"/>
          <w:sz w:val="22"/>
          <w:szCs w:val="22"/>
        </w:rPr>
      </w:pPr>
      <w:r w:rsidRPr="00ED2901">
        <w:rPr>
          <w:rFonts w:ascii="Arial" w:hAnsi="Arial" w:cs="Arial"/>
          <w:sz w:val="22"/>
          <w:szCs w:val="22"/>
        </w:rPr>
        <w:t>Sielska-Badurek, E. M., Sobol, M., Olszowska, K., &amp; Niemczyk, K. (2018). Contemporary commercial music singing students—voice quality and vocal function at the beginning of singing training. </w:t>
      </w:r>
      <w:r w:rsidRPr="00ED2901">
        <w:rPr>
          <w:rFonts w:ascii="Arial" w:hAnsi="Arial" w:cs="Arial"/>
          <w:i/>
          <w:iCs/>
          <w:sz w:val="22"/>
          <w:szCs w:val="22"/>
        </w:rPr>
        <w:t>Journal of Voice</w:t>
      </w:r>
      <w:r w:rsidRPr="00ED2901">
        <w:rPr>
          <w:rFonts w:ascii="Arial" w:hAnsi="Arial" w:cs="Arial"/>
          <w:sz w:val="22"/>
          <w:szCs w:val="22"/>
        </w:rPr>
        <w:t>, </w:t>
      </w:r>
      <w:r w:rsidRPr="00ED2901">
        <w:rPr>
          <w:rFonts w:ascii="Arial" w:hAnsi="Arial" w:cs="Arial"/>
          <w:i/>
          <w:iCs/>
          <w:sz w:val="22"/>
          <w:szCs w:val="22"/>
        </w:rPr>
        <w:t>32</w:t>
      </w:r>
      <w:r w:rsidRPr="00ED2901">
        <w:rPr>
          <w:rFonts w:ascii="Arial" w:hAnsi="Arial" w:cs="Arial"/>
          <w:sz w:val="22"/>
          <w:szCs w:val="22"/>
        </w:rPr>
        <w:t>(6), 668-672.</w:t>
      </w:r>
    </w:p>
    <w:p w14:paraId="11CF9969" w14:textId="77777777" w:rsidR="00F92F80" w:rsidRPr="00ED2901" w:rsidRDefault="00F92F80" w:rsidP="00ED2901">
      <w:pPr>
        <w:spacing w:line="360" w:lineRule="auto"/>
        <w:rPr>
          <w:rFonts w:ascii="Arial" w:hAnsi="Arial" w:cs="Arial"/>
          <w:sz w:val="22"/>
          <w:szCs w:val="22"/>
        </w:rPr>
      </w:pPr>
      <w:r w:rsidRPr="00ED2901">
        <w:rPr>
          <w:rFonts w:ascii="Arial" w:hAnsi="Arial" w:cs="Arial"/>
          <w:sz w:val="22"/>
          <w:szCs w:val="22"/>
        </w:rPr>
        <w:t xml:space="preserve">Shrewsbury, C. (1993) ‘What Is Feminist Pedagogy?’, </w:t>
      </w:r>
      <w:r w:rsidRPr="00ED2901">
        <w:rPr>
          <w:rFonts w:ascii="Arial" w:hAnsi="Arial" w:cs="Arial"/>
          <w:i/>
          <w:iCs/>
          <w:sz w:val="22"/>
          <w:szCs w:val="22"/>
        </w:rPr>
        <w:t>Women’s Studies Quarterly</w:t>
      </w:r>
      <w:r w:rsidRPr="00ED2901">
        <w:rPr>
          <w:rFonts w:ascii="Arial" w:hAnsi="Arial" w:cs="Arial"/>
          <w:sz w:val="22"/>
          <w:szCs w:val="22"/>
        </w:rPr>
        <w:t>, 21(3), pp. 8–16.</w:t>
      </w:r>
    </w:p>
    <w:p w14:paraId="643D0E22" w14:textId="77777777" w:rsidR="00F92F80" w:rsidRPr="00ED2901" w:rsidRDefault="00F92F80" w:rsidP="00ED2901">
      <w:pPr>
        <w:spacing w:line="360" w:lineRule="auto"/>
        <w:rPr>
          <w:rFonts w:ascii="Arial" w:hAnsi="Arial" w:cs="Arial"/>
          <w:sz w:val="22"/>
          <w:szCs w:val="22"/>
        </w:rPr>
      </w:pPr>
      <w:r w:rsidRPr="00ED2901">
        <w:rPr>
          <w:rFonts w:ascii="Arial" w:hAnsi="Arial" w:cs="Arial"/>
          <w:sz w:val="22"/>
          <w:szCs w:val="22"/>
        </w:rPr>
        <w:lastRenderedPageBreak/>
        <w:t xml:space="preserve">Smith, H. and Dean, R. (2009) </w:t>
      </w:r>
      <w:r w:rsidRPr="00ED2901">
        <w:rPr>
          <w:rFonts w:ascii="Arial" w:hAnsi="Arial" w:cs="Arial"/>
          <w:i/>
          <w:iCs/>
          <w:sz w:val="22"/>
          <w:szCs w:val="22"/>
        </w:rPr>
        <w:t>Practice-Led Research, Research-Led Practice in the Creative Arts</w:t>
      </w:r>
      <w:r w:rsidRPr="00ED2901">
        <w:rPr>
          <w:rFonts w:ascii="Arial" w:hAnsi="Arial" w:cs="Arial"/>
          <w:sz w:val="22"/>
          <w:szCs w:val="22"/>
        </w:rPr>
        <w:t>. Edinburgh: Edinburgh University Press.</w:t>
      </w:r>
    </w:p>
    <w:p w14:paraId="15542903" w14:textId="77777777" w:rsidR="00F92F80" w:rsidRPr="00ED2901" w:rsidRDefault="00F92F80" w:rsidP="00ED2901">
      <w:pPr>
        <w:spacing w:line="360" w:lineRule="auto"/>
        <w:rPr>
          <w:rFonts w:ascii="Arial" w:hAnsi="Arial" w:cs="Arial"/>
          <w:sz w:val="22"/>
          <w:szCs w:val="22"/>
        </w:rPr>
      </w:pPr>
      <w:r w:rsidRPr="00ED2901">
        <w:rPr>
          <w:rFonts w:ascii="Arial" w:hAnsi="Arial" w:cs="Arial"/>
          <w:sz w:val="22"/>
          <w:szCs w:val="22"/>
        </w:rPr>
        <w:t xml:space="preserve">Spencer, S. (2020) ‘Hormone-Induced Vocal Transition in Transmasculine Singers’, </w:t>
      </w:r>
      <w:r w:rsidRPr="00ED2901">
        <w:rPr>
          <w:rFonts w:ascii="Arial" w:hAnsi="Arial" w:cs="Arial"/>
          <w:i/>
          <w:iCs/>
          <w:sz w:val="22"/>
          <w:szCs w:val="22"/>
        </w:rPr>
        <w:t>Journal of Voice</w:t>
      </w:r>
      <w:r w:rsidRPr="00ED2901">
        <w:rPr>
          <w:rFonts w:ascii="Arial" w:hAnsi="Arial" w:cs="Arial"/>
          <w:sz w:val="22"/>
          <w:szCs w:val="22"/>
        </w:rPr>
        <w:t>, 34(6), pp. 930.e1–930.e12.</w:t>
      </w:r>
    </w:p>
    <w:p w14:paraId="58B618D4" w14:textId="77777777" w:rsidR="00F92F80" w:rsidRPr="00ED2901" w:rsidRDefault="00F92F80" w:rsidP="00ED2901">
      <w:pPr>
        <w:spacing w:line="360" w:lineRule="auto"/>
        <w:rPr>
          <w:rFonts w:ascii="Arial" w:hAnsi="Arial" w:cs="Arial"/>
          <w:sz w:val="22"/>
          <w:szCs w:val="22"/>
        </w:rPr>
      </w:pPr>
      <w:r w:rsidRPr="00ED2901">
        <w:rPr>
          <w:rFonts w:ascii="Arial" w:hAnsi="Arial" w:cs="Arial"/>
          <w:sz w:val="22"/>
          <w:szCs w:val="22"/>
        </w:rPr>
        <w:t xml:space="preserve">Titze, I. (2006) </w:t>
      </w:r>
      <w:r w:rsidRPr="00ED2901">
        <w:rPr>
          <w:rFonts w:ascii="Arial" w:hAnsi="Arial" w:cs="Arial"/>
          <w:i/>
          <w:iCs/>
          <w:sz w:val="22"/>
          <w:szCs w:val="22"/>
        </w:rPr>
        <w:t>The Physics of the Voice</w:t>
      </w:r>
      <w:r w:rsidRPr="00ED2901">
        <w:rPr>
          <w:rFonts w:ascii="Arial" w:hAnsi="Arial" w:cs="Arial"/>
          <w:sz w:val="22"/>
          <w:szCs w:val="22"/>
        </w:rPr>
        <w:t>. Iowa City: NCVS.</w:t>
      </w:r>
    </w:p>
    <w:p w14:paraId="5CE35475" w14:textId="77777777" w:rsidR="00F92F80" w:rsidRPr="00ED2901" w:rsidRDefault="00F92F80" w:rsidP="00ED2901">
      <w:pPr>
        <w:spacing w:line="360" w:lineRule="auto"/>
        <w:rPr>
          <w:rFonts w:ascii="Arial" w:hAnsi="Arial" w:cs="Arial"/>
          <w:sz w:val="22"/>
          <w:szCs w:val="22"/>
        </w:rPr>
      </w:pPr>
      <w:r w:rsidRPr="00ED2901">
        <w:rPr>
          <w:rFonts w:ascii="Arial" w:hAnsi="Arial" w:cs="Arial"/>
          <w:sz w:val="22"/>
          <w:szCs w:val="22"/>
        </w:rPr>
        <w:t xml:space="preserve">Tracy, S. (2020) </w:t>
      </w:r>
      <w:r w:rsidRPr="00ED2901">
        <w:rPr>
          <w:rFonts w:ascii="Arial" w:hAnsi="Arial" w:cs="Arial"/>
          <w:i/>
          <w:iCs/>
          <w:sz w:val="22"/>
          <w:szCs w:val="22"/>
        </w:rPr>
        <w:t>Qualitative Research Methods</w:t>
      </w:r>
      <w:r w:rsidRPr="00ED2901">
        <w:rPr>
          <w:rFonts w:ascii="Arial" w:hAnsi="Arial" w:cs="Arial"/>
          <w:sz w:val="22"/>
          <w:szCs w:val="22"/>
        </w:rPr>
        <w:t>. London: Wiley.</w:t>
      </w:r>
    </w:p>
    <w:p w14:paraId="182BE55F" w14:textId="77777777" w:rsidR="00F92F80" w:rsidRPr="00ED2901" w:rsidRDefault="00F92F80" w:rsidP="00ED2901">
      <w:pPr>
        <w:spacing w:line="360" w:lineRule="auto"/>
        <w:rPr>
          <w:rFonts w:ascii="Arial" w:hAnsi="Arial" w:cs="Arial"/>
          <w:sz w:val="22"/>
          <w:szCs w:val="22"/>
        </w:rPr>
      </w:pPr>
      <w:r w:rsidRPr="00ED2901">
        <w:rPr>
          <w:rFonts w:ascii="Arial" w:hAnsi="Arial" w:cs="Arial"/>
          <w:sz w:val="22"/>
          <w:szCs w:val="22"/>
        </w:rPr>
        <w:t xml:space="preserve">University of Chichester (2024) </w:t>
      </w:r>
      <w:r w:rsidRPr="00ED2901">
        <w:rPr>
          <w:rFonts w:ascii="Arial" w:hAnsi="Arial" w:cs="Arial"/>
          <w:i/>
          <w:iCs/>
          <w:sz w:val="22"/>
          <w:szCs w:val="22"/>
        </w:rPr>
        <w:t>Inclusive Education Framework</w:t>
      </w:r>
      <w:r w:rsidRPr="00ED2901">
        <w:rPr>
          <w:rFonts w:ascii="Arial" w:hAnsi="Arial" w:cs="Arial"/>
          <w:sz w:val="22"/>
          <w:szCs w:val="22"/>
        </w:rPr>
        <w:t>. Chichester: University of Chichester.</w:t>
      </w:r>
    </w:p>
    <w:p w14:paraId="670B3152" w14:textId="77777777" w:rsidR="00F92F80" w:rsidRPr="00ED2901" w:rsidRDefault="00F92F80" w:rsidP="00ED2901">
      <w:pPr>
        <w:spacing w:line="360" w:lineRule="auto"/>
        <w:rPr>
          <w:rFonts w:ascii="Arial" w:hAnsi="Arial" w:cs="Arial"/>
          <w:sz w:val="22"/>
          <w:szCs w:val="22"/>
        </w:rPr>
      </w:pPr>
      <w:r w:rsidRPr="00ED2901">
        <w:rPr>
          <w:rFonts w:ascii="Arial" w:hAnsi="Arial" w:cs="Arial"/>
          <w:sz w:val="22"/>
          <w:szCs w:val="22"/>
        </w:rPr>
        <w:t xml:space="preserve">Warriner, D. (2021) ‘Trauma-Informed Voice Pedagogy’, </w:t>
      </w:r>
      <w:r w:rsidRPr="00ED2901">
        <w:rPr>
          <w:rFonts w:ascii="Arial" w:hAnsi="Arial" w:cs="Arial"/>
          <w:i/>
          <w:iCs/>
          <w:sz w:val="22"/>
          <w:szCs w:val="22"/>
        </w:rPr>
        <w:t>Voice and Speech Review</w:t>
      </w:r>
      <w:r w:rsidRPr="00ED2901">
        <w:rPr>
          <w:rFonts w:ascii="Arial" w:hAnsi="Arial" w:cs="Arial"/>
          <w:sz w:val="22"/>
          <w:szCs w:val="22"/>
        </w:rPr>
        <w:t>, 15(2), pp. 232–248.</w:t>
      </w:r>
    </w:p>
    <w:p w14:paraId="336FFF64" w14:textId="2FCBA088" w:rsidR="00F92F80" w:rsidRPr="00ED2901" w:rsidRDefault="00F92F80" w:rsidP="00ED2901">
      <w:pPr>
        <w:spacing w:line="360" w:lineRule="auto"/>
        <w:rPr>
          <w:rFonts w:ascii="Arial" w:hAnsi="Arial" w:cs="Arial"/>
          <w:sz w:val="22"/>
          <w:szCs w:val="22"/>
        </w:rPr>
      </w:pPr>
      <w:r w:rsidRPr="00ED2901">
        <w:rPr>
          <w:rFonts w:ascii="Arial" w:hAnsi="Arial" w:cs="Arial"/>
          <w:sz w:val="22"/>
          <w:szCs w:val="22"/>
        </w:rPr>
        <w:t>Ziegler, C. and Barton, S. (2022) ‘</w:t>
      </w:r>
      <w:r w:rsidR="0020428C" w:rsidRPr="00ED2901">
        <w:rPr>
          <w:rFonts w:ascii="Arial" w:hAnsi="Arial" w:cs="Arial"/>
          <w:sz w:val="22"/>
          <w:szCs w:val="22"/>
        </w:rPr>
        <w:t>ATS</w:t>
      </w:r>
      <w:r w:rsidRPr="00ED2901">
        <w:rPr>
          <w:rFonts w:ascii="Arial" w:hAnsi="Arial" w:cs="Arial"/>
          <w:sz w:val="22"/>
          <w:szCs w:val="22"/>
        </w:rPr>
        <w:t xml:space="preserve"> and Identity Alignment’, </w:t>
      </w:r>
      <w:r w:rsidRPr="00ED2901">
        <w:rPr>
          <w:rFonts w:ascii="Arial" w:hAnsi="Arial" w:cs="Arial"/>
          <w:i/>
          <w:iCs/>
          <w:sz w:val="22"/>
          <w:szCs w:val="22"/>
        </w:rPr>
        <w:t>Studies in Musical Theatre</w:t>
      </w:r>
      <w:r w:rsidRPr="00ED2901">
        <w:rPr>
          <w:rFonts w:ascii="Arial" w:hAnsi="Arial" w:cs="Arial"/>
          <w:sz w:val="22"/>
          <w:szCs w:val="22"/>
        </w:rPr>
        <w:t>, 16(2), pp. 145–167.</w:t>
      </w:r>
    </w:p>
    <w:p w14:paraId="1FBE0997" w14:textId="77777777" w:rsidR="00CB5E09" w:rsidRPr="00ED2901" w:rsidRDefault="00CB5E09" w:rsidP="00ED2901">
      <w:pPr>
        <w:spacing w:line="360" w:lineRule="auto"/>
        <w:rPr>
          <w:rFonts w:ascii="Arial" w:hAnsi="Arial" w:cs="Arial"/>
          <w:sz w:val="22"/>
          <w:szCs w:val="22"/>
        </w:rPr>
      </w:pPr>
    </w:p>
    <w:sectPr w:rsidR="00CB5E09" w:rsidRPr="00ED2901" w:rsidSect="00A5558C">
      <w:headerReference w:type="default" r:id="rId33"/>
      <w:pgSz w:w="11906" w:h="16838"/>
      <w:pgMar w:top="1440" w:right="1440" w:bottom="993" w:left="1440" w:header="708" w:footer="9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317D7D" w14:textId="77777777" w:rsidR="0082100C" w:rsidRDefault="0082100C" w:rsidP="00D43EE9">
      <w:pPr>
        <w:spacing w:after="0" w:line="240" w:lineRule="auto"/>
      </w:pPr>
      <w:r>
        <w:separator/>
      </w:r>
    </w:p>
  </w:endnote>
  <w:endnote w:type="continuationSeparator" w:id="0">
    <w:p w14:paraId="6CFFD85C" w14:textId="77777777" w:rsidR="0082100C" w:rsidRDefault="0082100C" w:rsidP="00D43E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DE56A8" w14:textId="77777777" w:rsidR="0082100C" w:rsidRDefault="0082100C" w:rsidP="00D43EE9">
      <w:pPr>
        <w:spacing w:after="0" w:line="240" w:lineRule="auto"/>
      </w:pPr>
      <w:r>
        <w:separator/>
      </w:r>
    </w:p>
  </w:footnote>
  <w:footnote w:type="continuationSeparator" w:id="0">
    <w:p w14:paraId="7D3FE435" w14:textId="77777777" w:rsidR="0082100C" w:rsidRDefault="0082100C" w:rsidP="00D43EE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FA34A6" w14:textId="3CFAC7F3" w:rsidR="00D43EE9" w:rsidRDefault="00D43EE9">
    <w:pPr>
      <w:pStyle w:val="Header"/>
      <w:rPr>
        <w:i/>
        <w:iCs/>
      </w:rPr>
    </w:pPr>
    <w:r>
      <w:t xml:space="preserve">Module 5: </w:t>
    </w:r>
    <w:r w:rsidRPr="007F3193">
      <w:rPr>
        <w:i/>
        <w:iCs/>
      </w:rPr>
      <w:t>Acting Through Song</w:t>
    </w:r>
    <w:r w:rsidR="000660F6">
      <w:rPr>
        <w:i/>
        <w:iCs/>
      </w:rPr>
      <w:t>;</w:t>
    </w:r>
    <w:r w:rsidRPr="007F3193">
      <w:rPr>
        <w:i/>
        <w:iCs/>
      </w:rPr>
      <w:t xml:space="preserve"> A Trans-Inclusive Framework </w:t>
    </w:r>
    <w:r>
      <w:rPr>
        <w:i/>
        <w:iCs/>
      </w:rPr>
      <w:t xml:space="preserve">(Artefact) </w:t>
    </w:r>
    <w:r w:rsidRPr="007F3193">
      <w:rPr>
        <w:i/>
        <w:iCs/>
      </w:rPr>
      <w:t>for Developing the Belt Voice</w:t>
    </w:r>
  </w:p>
  <w:p w14:paraId="21B9E84C" w14:textId="0721B4BB" w:rsidR="005676C4" w:rsidRDefault="008B274E">
    <w:pPr>
      <w:pStyle w:val="Header"/>
      <w:rPr>
        <w:i/>
        <w:iCs/>
      </w:rPr>
    </w:pPr>
    <w:r>
      <w:rPr>
        <w:i/>
        <w:iCs/>
      </w:rPr>
      <w:t>FINAL</w:t>
    </w:r>
  </w:p>
  <w:p w14:paraId="03E4AF81" w14:textId="5A35228B" w:rsidR="005676C4" w:rsidRDefault="005676C4">
    <w:pPr>
      <w:pStyle w:val="Header"/>
      <w:rPr>
        <w:i/>
        <w:iCs/>
      </w:rPr>
    </w:pPr>
    <w:r w:rsidRPr="005676C4">
      <w:rPr>
        <w:i/>
        <w:iCs/>
      </w:rPr>
      <w:t>Ian Massa-Harris-McFeely (2029174)</w:t>
    </w:r>
  </w:p>
  <w:p w14:paraId="2D7D60E4" w14:textId="15326A21" w:rsidR="005676C4" w:rsidRDefault="005676C4">
    <w:pPr>
      <w:pStyle w:val="Header"/>
      <w:rPr>
        <w:i/>
        <w:iCs/>
      </w:rPr>
    </w:pPr>
    <w:r>
      <w:rPr>
        <w:i/>
        <w:iCs/>
      </w:rPr>
      <w:t>Nov 2025</w:t>
    </w:r>
  </w:p>
  <w:p w14:paraId="085A3D6B" w14:textId="77777777" w:rsidR="00D43EE9" w:rsidRDefault="00D43EE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78780B"/>
    <w:multiLevelType w:val="multilevel"/>
    <w:tmpl w:val="3C362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DC1D1A"/>
    <w:multiLevelType w:val="multilevel"/>
    <w:tmpl w:val="5FE409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B6603D"/>
    <w:multiLevelType w:val="multilevel"/>
    <w:tmpl w:val="C33A03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04703D8"/>
    <w:multiLevelType w:val="multilevel"/>
    <w:tmpl w:val="404C15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2E138AE"/>
    <w:multiLevelType w:val="multilevel"/>
    <w:tmpl w:val="5C4417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35B1382"/>
    <w:multiLevelType w:val="multilevel"/>
    <w:tmpl w:val="1DB63E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5085303"/>
    <w:multiLevelType w:val="multilevel"/>
    <w:tmpl w:val="BB9A7D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5CB10C9"/>
    <w:multiLevelType w:val="multilevel"/>
    <w:tmpl w:val="374A5B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A79E9"/>
    <w:multiLevelType w:val="multilevel"/>
    <w:tmpl w:val="7FA434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AEF3AF6"/>
    <w:multiLevelType w:val="multilevel"/>
    <w:tmpl w:val="56DED8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B5C22AD"/>
    <w:multiLevelType w:val="multilevel"/>
    <w:tmpl w:val="F640898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1F955D3"/>
    <w:multiLevelType w:val="multilevel"/>
    <w:tmpl w:val="9956DF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2AA5E25"/>
    <w:multiLevelType w:val="multilevel"/>
    <w:tmpl w:val="DDAA4F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47F33EF"/>
    <w:multiLevelType w:val="multilevel"/>
    <w:tmpl w:val="2F9497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86E18B2"/>
    <w:multiLevelType w:val="multilevel"/>
    <w:tmpl w:val="46660D6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E5329D2"/>
    <w:multiLevelType w:val="multilevel"/>
    <w:tmpl w:val="12FA40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1577247"/>
    <w:multiLevelType w:val="multilevel"/>
    <w:tmpl w:val="B8A05B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C8968B5"/>
    <w:multiLevelType w:val="multilevel"/>
    <w:tmpl w:val="49128A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CAE0056"/>
    <w:multiLevelType w:val="multilevel"/>
    <w:tmpl w:val="35BCDC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2890A67"/>
    <w:multiLevelType w:val="multilevel"/>
    <w:tmpl w:val="794CCB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693055A"/>
    <w:multiLevelType w:val="hybridMultilevel"/>
    <w:tmpl w:val="FD44CC90"/>
    <w:lvl w:ilvl="0" w:tplc="B658DC34">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59B3766D"/>
    <w:multiLevelType w:val="multilevel"/>
    <w:tmpl w:val="FE14E3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B0B774A"/>
    <w:multiLevelType w:val="multilevel"/>
    <w:tmpl w:val="3EDC134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603D4450"/>
    <w:multiLevelType w:val="multilevel"/>
    <w:tmpl w:val="E98C2E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3032C4C"/>
    <w:multiLevelType w:val="multilevel"/>
    <w:tmpl w:val="541ACD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5955DFC"/>
    <w:multiLevelType w:val="hybridMultilevel"/>
    <w:tmpl w:val="772A169C"/>
    <w:lvl w:ilvl="0" w:tplc="B658DC3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6202709"/>
    <w:multiLevelType w:val="hybridMultilevel"/>
    <w:tmpl w:val="9A8C83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9484501"/>
    <w:multiLevelType w:val="multilevel"/>
    <w:tmpl w:val="01267C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C5256EB"/>
    <w:multiLevelType w:val="multilevel"/>
    <w:tmpl w:val="9710A8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C751C88"/>
    <w:multiLevelType w:val="multilevel"/>
    <w:tmpl w:val="A1828F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DBD45FD"/>
    <w:multiLevelType w:val="multilevel"/>
    <w:tmpl w:val="80360C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0CF7C9A"/>
    <w:multiLevelType w:val="multilevel"/>
    <w:tmpl w:val="0B8413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4E707BB"/>
    <w:multiLevelType w:val="multilevel"/>
    <w:tmpl w:val="6C4281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B775B24"/>
    <w:multiLevelType w:val="multilevel"/>
    <w:tmpl w:val="94CCEF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45051375">
    <w:abstractNumId w:val="9"/>
  </w:num>
  <w:num w:numId="2" w16cid:durableId="1160343769">
    <w:abstractNumId w:val="14"/>
  </w:num>
  <w:num w:numId="3" w16cid:durableId="39717048">
    <w:abstractNumId w:val="3"/>
  </w:num>
  <w:num w:numId="4" w16cid:durableId="361563952">
    <w:abstractNumId w:val="8"/>
  </w:num>
  <w:num w:numId="5" w16cid:durableId="1982615916">
    <w:abstractNumId w:val="22"/>
  </w:num>
  <w:num w:numId="6" w16cid:durableId="1945846330">
    <w:abstractNumId w:val="27"/>
  </w:num>
  <w:num w:numId="7" w16cid:durableId="701437289">
    <w:abstractNumId w:val="13"/>
  </w:num>
  <w:num w:numId="8" w16cid:durableId="1741904143">
    <w:abstractNumId w:val="17"/>
  </w:num>
  <w:num w:numId="9" w16cid:durableId="967665323">
    <w:abstractNumId w:val="18"/>
  </w:num>
  <w:num w:numId="10" w16cid:durableId="819539177">
    <w:abstractNumId w:val="30"/>
  </w:num>
  <w:num w:numId="11" w16cid:durableId="1808233580">
    <w:abstractNumId w:val="21"/>
  </w:num>
  <w:num w:numId="12" w16cid:durableId="850879679">
    <w:abstractNumId w:val="29"/>
  </w:num>
  <w:num w:numId="13" w16cid:durableId="397704833">
    <w:abstractNumId w:val="28"/>
  </w:num>
  <w:num w:numId="14" w16cid:durableId="1350139608">
    <w:abstractNumId w:val="24"/>
  </w:num>
  <w:num w:numId="15" w16cid:durableId="762192209">
    <w:abstractNumId w:val="10"/>
  </w:num>
  <w:num w:numId="16" w16cid:durableId="162206466">
    <w:abstractNumId w:val="26"/>
  </w:num>
  <w:num w:numId="17" w16cid:durableId="825974248">
    <w:abstractNumId w:val="25"/>
  </w:num>
  <w:num w:numId="18" w16cid:durableId="55671334">
    <w:abstractNumId w:val="20"/>
  </w:num>
  <w:num w:numId="19" w16cid:durableId="62339603">
    <w:abstractNumId w:val="5"/>
  </w:num>
  <w:num w:numId="20" w16cid:durableId="173150581">
    <w:abstractNumId w:val="11"/>
  </w:num>
  <w:num w:numId="21" w16cid:durableId="1094860763">
    <w:abstractNumId w:val="31"/>
  </w:num>
  <w:num w:numId="22" w16cid:durableId="1014919866">
    <w:abstractNumId w:val="33"/>
  </w:num>
  <w:num w:numId="23" w16cid:durableId="1302421792">
    <w:abstractNumId w:val="4"/>
  </w:num>
  <w:num w:numId="24" w16cid:durableId="1563637296">
    <w:abstractNumId w:val="16"/>
  </w:num>
  <w:num w:numId="25" w16cid:durableId="1506675833">
    <w:abstractNumId w:val="0"/>
  </w:num>
  <w:num w:numId="26" w16cid:durableId="179860202">
    <w:abstractNumId w:val="15"/>
  </w:num>
  <w:num w:numId="27" w16cid:durableId="619535830">
    <w:abstractNumId w:val="6"/>
  </w:num>
  <w:num w:numId="28" w16cid:durableId="1611085353">
    <w:abstractNumId w:val="7"/>
  </w:num>
  <w:num w:numId="29" w16cid:durableId="1592740729">
    <w:abstractNumId w:val="32"/>
  </w:num>
  <w:num w:numId="30" w16cid:durableId="1923567099">
    <w:abstractNumId w:val="2"/>
  </w:num>
  <w:num w:numId="31" w16cid:durableId="1877308768">
    <w:abstractNumId w:val="19"/>
  </w:num>
  <w:num w:numId="32" w16cid:durableId="210002673">
    <w:abstractNumId w:val="12"/>
  </w:num>
  <w:num w:numId="33" w16cid:durableId="935330874">
    <w:abstractNumId w:val="1"/>
  </w:num>
  <w:num w:numId="34" w16cid:durableId="1549803996">
    <w:abstractNumId w:val="23"/>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3193"/>
    <w:rsid w:val="0000103B"/>
    <w:rsid w:val="000027A0"/>
    <w:rsid w:val="0001311E"/>
    <w:rsid w:val="00020A62"/>
    <w:rsid w:val="0002186B"/>
    <w:rsid w:val="00040F36"/>
    <w:rsid w:val="00047DF7"/>
    <w:rsid w:val="000517A5"/>
    <w:rsid w:val="00051D81"/>
    <w:rsid w:val="00055096"/>
    <w:rsid w:val="00061C16"/>
    <w:rsid w:val="00062819"/>
    <w:rsid w:val="000660F6"/>
    <w:rsid w:val="00071771"/>
    <w:rsid w:val="00074377"/>
    <w:rsid w:val="0007536C"/>
    <w:rsid w:val="00076217"/>
    <w:rsid w:val="0009051A"/>
    <w:rsid w:val="0009267D"/>
    <w:rsid w:val="000A1474"/>
    <w:rsid w:val="000A1C39"/>
    <w:rsid w:val="000A3F23"/>
    <w:rsid w:val="000B2CD8"/>
    <w:rsid w:val="000C1AC2"/>
    <w:rsid w:val="000C67FE"/>
    <w:rsid w:val="000C69CA"/>
    <w:rsid w:val="000C6E00"/>
    <w:rsid w:val="000C6FC1"/>
    <w:rsid w:val="000F2FE7"/>
    <w:rsid w:val="00116317"/>
    <w:rsid w:val="00147D7A"/>
    <w:rsid w:val="00163183"/>
    <w:rsid w:val="001653C0"/>
    <w:rsid w:val="001677F3"/>
    <w:rsid w:val="00167FF8"/>
    <w:rsid w:val="00170D67"/>
    <w:rsid w:val="0018178D"/>
    <w:rsid w:val="00183FE0"/>
    <w:rsid w:val="0018683D"/>
    <w:rsid w:val="001878A1"/>
    <w:rsid w:val="001915DE"/>
    <w:rsid w:val="001925F5"/>
    <w:rsid w:val="001942D9"/>
    <w:rsid w:val="001A417E"/>
    <w:rsid w:val="001A42DC"/>
    <w:rsid w:val="001B44C7"/>
    <w:rsid w:val="001B5F61"/>
    <w:rsid w:val="001B62A8"/>
    <w:rsid w:val="001B75D2"/>
    <w:rsid w:val="001E1947"/>
    <w:rsid w:val="001F0300"/>
    <w:rsid w:val="00201C6F"/>
    <w:rsid w:val="00201FE0"/>
    <w:rsid w:val="0020428C"/>
    <w:rsid w:val="00220D43"/>
    <w:rsid w:val="00222EFD"/>
    <w:rsid w:val="00226F42"/>
    <w:rsid w:val="00231C41"/>
    <w:rsid w:val="002414A3"/>
    <w:rsid w:val="00242576"/>
    <w:rsid w:val="00243CC7"/>
    <w:rsid w:val="0025039E"/>
    <w:rsid w:val="00274655"/>
    <w:rsid w:val="00275FD8"/>
    <w:rsid w:val="0028301D"/>
    <w:rsid w:val="00283C9E"/>
    <w:rsid w:val="00286C7B"/>
    <w:rsid w:val="00296A40"/>
    <w:rsid w:val="00296CB6"/>
    <w:rsid w:val="00296D1A"/>
    <w:rsid w:val="002A2677"/>
    <w:rsid w:val="002A7092"/>
    <w:rsid w:val="002B152A"/>
    <w:rsid w:val="002B3851"/>
    <w:rsid w:val="002B6526"/>
    <w:rsid w:val="002C57E5"/>
    <w:rsid w:val="002E40EB"/>
    <w:rsid w:val="002E42CB"/>
    <w:rsid w:val="002F0159"/>
    <w:rsid w:val="002F024F"/>
    <w:rsid w:val="002F689C"/>
    <w:rsid w:val="003043E1"/>
    <w:rsid w:val="00313617"/>
    <w:rsid w:val="0033471C"/>
    <w:rsid w:val="003355E7"/>
    <w:rsid w:val="003544CB"/>
    <w:rsid w:val="00354919"/>
    <w:rsid w:val="00364E3C"/>
    <w:rsid w:val="003700C5"/>
    <w:rsid w:val="00370464"/>
    <w:rsid w:val="00381772"/>
    <w:rsid w:val="00383B5C"/>
    <w:rsid w:val="0038603C"/>
    <w:rsid w:val="00387881"/>
    <w:rsid w:val="00393DFA"/>
    <w:rsid w:val="003C1FB8"/>
    <w:rsid w:val="003C72D0"/>
    <w:rsid w:val="003D0048"/>
    <w:rsid w:val="003D2055"/>
    <w:rsid w:val="003D5106"/>
    <w:rsid w:val="003E1712"/>
    <w:rsid w:val="003E5FDE"/>
    <w:rsid w:val="003E7764"/>
    <w:rsid w:val="003F0A4E"/>
    <w:rsid w:val="0040658A"/>
    <w:rsid w:val="0041341E"/>
    <w:rsid w:val="0042409E"/>
    <w:rsid w:val="00432A95"/>
    <w:rsid w:val="00434587"/>
    <w:rsid w:val="00443EAA"/>
    <w:rsid w:val="004460B0"/>
    <w:rsid w:val="00447FD3"/>
    <w:rsid w:val="004640FB"/>
    <w:rsid w:val="00471FD8"/>
    <w:rsid w:val="004831D0"/>
    <w:rsid w:val="00487605"/>
    <w:rsid w:val="00494A70"/>
    <w:rsid w:val="0049796B"/>
    <w:rsid w:val="00497ACD"/>
    <w:rsid w:val="004A12C3"/>
    <w:rsid w:val="004A257B"/>
    <w:rsid w:val="004B033E"/>
    <w:rsid w:val="004B2643"/>
    <w:rsid w:val="004C5805"/>
    <w:rsid w:val="004C7DE7"/>
    <w:rsid w:val="00500223"/>
    <w:rsid w:val="00510887"/>
    <w:rsid w:val="00512483"/>
    <w:rsid w:val="00514382"/>
    <w:rsid w:val="00515778"/>
    <w:rsid w:val="00517C6A"/>
    <w:rsid w:val="00534AF2"/>
    <w:rsid w:val="005465D7"/>
    <w:rsid w:val="00551502"/>
    <w:rsid w:val="0055752F"/>
    <w:rsid w:val="00562AEB"/>
    <w:rsid w:val="0056359C"/>
    <w:rsid w:val="0056469F"/>
    <w:rsid w:val="005676C4"/>
    <w:rsid w:val="00572A79"/>
    <w:rsid w:val="00580D91"/>
    <w:rsid w:val="00582C8D"/>
    <w:rsid w:val="005915EC"/>
    <w:rsid w:val="005A3ACF"/>
    <w:rsid w:val="005A7C74"/>
    <w:rsid w:val="005B243A"/>
    <w:rsid w:val="005B3393"/>
    <w:rsid w:val="005B447C"/>
    <w:rsid w:val="005B5A4B"/>
    <w:rsid w:val="005B6FA8"/>
    <w:rsid w:val="005B744A"/>
    <w:rsid w:val="005C20FE"/>
    <w:rsid w:val="005C7AFB"/>
    <w:rsid w:val="005D0923"/>
    <w:rsid w:val="005D2A23"/>
    <w:rsid w:val="005D649D"/>
    <w:rsid w:val="005D7D96"/>
    <w:rsid w:val="005E655B"/>
    <w:rsid w:val="005F10EB"/>
    <w:rsid w:val="005F11E4"/>
    <w:rsid w:val="00606ED1"/>
    <w:rsid w:val="00610BD3"/>
    <w:rsid w:val="006148D6"/>
    <w:rsid w:val="006156B2"/>
    <w:rsid w:val="006246B6"/>
    <w:rsid w:val="00631314"/>
    <w:rsid w:val="00634BAC"/>
    <w:rsid w:val="00634C37"/>
    <w:rsid w:val="00643EAD"/>
    <w:rsid w:val="00644ED5"/>
    <w:rsid w:val="00647835"/>
    <w:rsid w:val="00662157"/>
    <w:rsid w:val="006622BB"/>
    <w:rsid w:val="00663E48"/>
    <w:rsid w:val="006708AE"/>
    <w:rsid w:val="0068349A"/>
    <w:rsid w:val="00694111"/>
    <w:rsid w:val="006A156C"/>
    <w:rsid w:val="006A29CB"/>
    <w:rsid w:val="006A7903"/>
    <w:rsid w:val="006B33FD"/>
    <w:rsid w:val="006B5737"/>
    <w:rsid w:val="006B58AC"/>
    <w:rsid w:val="006B7ECC"/>
    <w:rsid w:val="006C1D92"/>
    <w:rsid w:val="006C617D"/>
    <w:rsid w:val="006C6B89"/>
    <w:rsid w:val="006C6C2F"/>
    <w:rsid w:val="006D231C"/>
    <w:rsid w:val="006E1E15"/>
    <w:rsid w:val="006F3DFA"/>
    <w:rsid w:val="00712006"/>
    <w:rsid w:val="00715A36"/>
    <w:rsid w:val="00717403"/>
    <w:rsid w:val="00722E3B"/>
    <w:rsid w:val="00727C2B"/>
    <w:rsid w:val="00731667"/>
    <w:rsid w:val="00732EF8"/>
    <w:rsid w:val="007332C7"/>
    <w:rsid w:val="007335FE"/>
    <w:rsid w:val="0074578A"/>
    <w:rsid w:val="00746867"/>
    <w:rsid w:val="0075071E"/>
    <w:rsid w:val="00752256"/>
    <w:rsid w:val="00785E39"/>
    <w:rsid w:val="00797551"/>
    <w:rsid w:val="00797D85"/>
    <w:rsid w:val="007A135E"/>
    <w:rsid w:val="007B28D3"/>
    <w:rsid w:val="007B3DA0"/>
    <w:rsid w:val="007C3054"/>
    <w:rsid w:val="007C3CE8"/>
    <w:rsid w:val="007D138D"/>
    <w:rsid w:val="007F05EF"/>
    <w:rsid w:val="007F3193"/>
    <w:rsid w:val="008125BF"/>
    <w:rsid w:val="0082100C"/>
    <w:rsid w:val="008253A3"/>
    <w:rsid w:val="008262DD"/>
    <w:rsid w:val="0083047A"/>
    <w:rsid w:val="00843160"/>
    <w:rsid w:val="00855017"/>
    <w:rsid w:val="0086320A"/>
    <w:rsid w:val="008738EB"/>
    <w:rsid w:val="00883F8C"/>
    <w:rsid w:val="008A73A9"/>
    <w:rsid w:val="008A7629"/>
    <w:rsid w:val="008B1181"/>
    <w:rsid w:val="008B274E"/>
    <w:rsid w:val="008B4A43"/>
    <w:rsid w:val="008B4EB1"/>
    <w:rsid w:val="008B6C0B"/>
    <w:rsid w:val="008C56FC"/>
    <w:rsid w:val="008D36E5"/>
    <w:rsid w:val="008D4C64"/>
    <w:rsid w:val="008E0E8E"/>
    <w:rsid w:val="008F1CB2"/>
    <w:rsid w:val="008F1E04"/>
    <w:rsid w:val="008F504C"/>
    <w:rsid w:val="0090011E"/>
    <w:rsid w:val="00901DC5"/>
    <w:rsid w:val="0090391F"/>
    <w:rsid w:val="00910410"/>
    <w:rsid w:val="00911BC2"/>
    <w:rsid w:val="009135B4"/>
    <w:rsid w:val="00921296"/>
    <w:rsid w:val="00924DE1"/>
    <w:rsid w:val="0094251A"/>
    <w:rsid w:val="00944D4E"/>
    <w:rsid w:val="00952229"/>
    <w:rsid w:val="00952CBF"/>
    <w:rsid w:val="009638F4"/>
    <w:rsid w:val="00964E03"/>
    <w:rsid w:val="009747F8"/>
    <w:rsid w:val="00992DDB"/>
    <w:rsid w:val="00993057"/>
    <w:rsid w:val="009A6C2B"/>
    <w:rsid w:val="009B0293"/>
    <w:rsid w:val="009B44AD"/>
    <w:rsid w:val="009C0C21"/>
    <w:rsid w:val="009C1CE8"/>
    <w:rsid w:val="009C67A9"/>
    <w:rsid w:val="009D1F2D"/>
    <w:rsid w:val="009D480D"/>
    <w:rsid w:val="009F44FD"/>
    <w:rsid w:val="009F5B96"/>
    <w:rsid w:val="00A06A01"/>
    <w:rsid w:val="00A07287"/>
    <w:rsid w:val="00A1310E"/>
    <w:rsid w:val="00A15DD7"/>
    <w:rsid w:val="00A20B7B"/>
    <w:rsid w:val="00A23C73"/>
    <w:rsid w:val="00A26626"/>
    <w:rsid w:val="00A43101"/>
    <w:rsid w:val="00A53A11"/>
    <w:rsid w:val="00A5558C"/>
    <w:rsid w:val="00A60499"/>
    <w:rsid w:val="00A60AEA"/>
    <w:rsid w:val="00A65394"/>
    <w:rsid w:val="00A75644"/>
    <w:rsid w:val="00A82ECC"/>
    <w:rsid w:val="00A87F06"/>
    <w:rsid w:val="00A912AF"/>
    <w:rsid w:val="00A94A81"/>
    <w:rsid w:val="00A9514A"/>
    <w:rsid w:val="00AA7C00"/>
    <w:rsid w:val="00AB1A67"/>
    <w:rsid w:val="00AB6F8F"/>
    <w:rsid w:val="00AB6FFF"/>
    <w:rsid w:val="00AC4E91"/>
    <w:rsid w:val="00AC55FE"/>
    <w:rsid w:val="00AC6515"/>
    <w:rsid w:val="00AD22A7"/>
    <w:rsid w:val="00AD2455"/>
    <w:rsid w:val="00AD4268"/>
    <w:rsid w:val="00AD663E"/>
    <w:rsid w:val="00AE2589"/>
    <w:rsid w:val="00AE2849"/>
    <w:rsid w:val="00B00150"/>
    <w:rsid w:val="00B038D6"/>
    <w:rsid w:val="00B04829"/>
    <w:rsid w:val="00B16E7C"/>
    <w:rsid w:val="00B5084F"/>
    <w:rsid w:val="00B55872"/>
    <w:rsid w:val="00B60E45"/>
    <w:rsid w:val="00B649B2"/>
    <w:rsid w:val="00B64E06"/>
    <w:rsid w:val="00B65E09"/>
    <w:rsid w:val="00B84883"/>
    <w:rsid w:val="00B9574B"/>
    <w:rsid w:val="00BA5F30"/>
    <w:rsid w:val="00BB10D9"/>
    <w:rsid w:val="00BB6EF4"/>
    <w:rsid w:val="00BC0ECE"/>
    <w:rsid w:val="00BC1757"/>
    <w:rsid w:val="00BC189E"/>
    <w:rsid w:val="00BC44DE"/>
    <w:rsid w:val="00BD2507"/>
    <w:rsid w:val="00BD325D"/>
    <w:rsid w:val="00BD5595"/>
    <w:rsid w:val="00BD7C2F"/>
    <w:rsid w:val="00BF2750"/>
    <w:rsid w:val="00C048D1"/>
    <w:rsid w:val="00C065E7"/>
    <w:rsid w:val="00C069D9"/>
    <w:rsid w:val="00C137B1"/>
    <w:rsid w:val="00C21331"/>
    <w:rsid w:val="00C22657"/>
    <w:rsid w:val="00C35812"/>
    <w:rsid w:val="00C47B68"/>
    <w:rsid w:val="00C51551"/>
    <w:rsid w:val="00C57FA5"/>
    <w:rsid w:val="00C74227"/>
    <w:rsid w:val="00C779A4"/>
    <w:rsid w:val="00C8367D"/>
    <w:rsid w:val="00C876A5"/>
    <w:rsid w:val="00C90E02"/>
    <w:rsid w:val="00C94168"/>
    <w:rsid w:val="00CB2DAF"/>
    <w:rsid w:val="00CB2F7A"/>
    <w:rsid w:val="00CB5E09"/>
    <w:rsid w:val="00CC1BD1"/>
    <w:rsid w:val="00CC1EE0"/>
    <w:rsid w:val="00CD0502"/>
    <w:rsid w:val="00CE1896"/>
    <w:rsid w:val="00CF14EF"/>
    <w:rsid w:val="00CF15EF"/>
    <w:rsid w:val="00CF45CC"/>
    <w:rsid w:val="00D0734F"/>
    <w:rsid w:val="00D2699A"/>
    <w:rsid w:val="00D43EE9"/>
    <w:rsid w:val="00D45741"/>
    <w:rsid w:val="00D469E1"/>
    <w:rsid w:val="00D47E98"/>
    <w:rsid w:val="00D53423"/>
    <w:rsid w:val="00D55899"/>
    <w:rsid w:val="00D57DF4"/>
    <w:rsid w:val="00D61B2B"/>
    <w:rsid w:val="00D63C5B"/>
    <w:rsid w:val="00D65576"/>
    <w:rsid w:val="00D70A73"/>
    <w:rsid w:val="00D73EF0"/>
    <w:rsid w:val="00D74CD8"/>
    <w:rsid w:val="00D879FE"/>
    <w:rsid w:val="00D928E9"/>
    <w:rsid w:val="00DA0768"/>
    <w:rsid w:val="00DB0FD5"/>
    <w:rsid w:val="00DB425D"/>
    <w:rsid w:val="00DC0167"/>
    <w:rsid w:val="00DD30C1"/>
    <w:rsid w:val="00DD46E7"/>
    <w:rsid w:val="00DD5704"/>
    <w:rsid w:val="00DD5F56"/>
    <w:rsid w:val="00DD6500"/>
    <w:rsid w:val="00DD73FC"/>
    <w:rsid w:val="00DD7F62"/>
    <w:rsid w:val="00DE0C1C"/>
    <w:rsid w:val="00DE158E"/>
    <w:rsid w:val="00DE6C4E"/>
    <w:rsid w:val="00DF3928"/>
    <w:rsid w:val="00E103A5"/>
    <w:rsid w:val="00E11370"/>
    <w:rsid w:val="00E131AB"/>
    <w:rsid w:val="00E14EDC"/>
    <w:rsid w:val="00E15F3D"/>
    <w:rsid w:val="00E264EA"/>
    <w:rsid w:val="00E30D99"/>
    <w:rsid w:val="00E36F10"/>
    <w:rsid w:val="00E4278C"/>
    <w:rsid w:val="00E43B9A"/>
    <w:rsid w:val="00E5162E"/>
    <w:rsid w:val="00E51F3B"/>
    <w:rsid w:val="00E65348"/>
    <w:rsid w:val="00E701F1"/>
    <w:rsid w:val="00E7052F"/>
    <w:rsid w:val="00E70896"/>
    <w:rsid w:val="00E81147"/>
    <w:rsid w:val="00E842C7"/>
    <w:rsid w:val="00E91715"/>
    <w:rsid w:val="00EA7FD5"/>
    <w:rsid w:val="00EB0C7C"/>
    <w:rsid w:val="00EC225C"/>
    <w:rsid w:val="00ED2901"/>
    <w:rsid w:val="00ED7BDA"/>
    <w:rsid w:val="00EE1640"/>
    <w:rsid w:val="00EE3F91"/>
    <w:rsid w:val="00EF0535"/>
    <w:rsid w:val="00EF32DA"/>
    <w:rsid w:val="00F017FF"/>
    <w:rsid w:val="00F02081"/>
    <w:rsid w:val="00F04B7E"/>
    <w:rsid w:val="00F121C1"/>
    <w:rsid w:val="00F16F42"/>
    <w:rsid w:val="00F2353A"/>
    <w:rsid w:val="00F24C88"/>
    <w:rsid w:val="00F30648"/>
    <w:rsid w:val="00F30774"/>
    <w:rsid w:val="00F330BC"/>
    <w:rsid w:val="00F43E9E"/>
    <w:rsid w:val="00F446B3"/>
    <w:rsid w:val="00F617BF"/>
    <w:rsid w:val="00F86180"/>
    <w:rsid w:val="00F91C5D"/>
    <w:rsid w:val="00F92F80"/>
    <w:rsid w:val="00FA7797"/>
    <w:rsid w:val="00FB2E27"/>
    <w:rsid w:val="00FB7256"/>
    <w:rsid w:val="00FC03EA"/>
    <w:rsid w:val="00FC430C"/>
    <w:rsid w:val="00FC7076"/>
    <w:rsid w:val="00FD108E"/>
    <w:rsid w:val="00FD6C0B"/>
    <w:rsid w:val="00FE1671"/>
    <w:rsid w:val="00FE2907"/>
    <w:rsid w:val="00FE2FD3"/>
    <w:rsid w:val="00FE3C64"/>
    <w:rsid w:val="00FE5D86"/>
    <w:rsid w:val="00FF187D"/>
    <w:rsid w:val="00FF64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087B33B"/>
  <w15:chartTrackingRefBased/>
  <w15:docId w15:val="{219AA5E7-0E5D-4BC6-9617-2E7834A0DC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319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F319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F319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F319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F319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F319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F319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F319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F319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319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F319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F319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F319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F319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F319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F319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F319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F3193"/>
    <w:rPr>
      <w:rFonts w:eastAsiaTheme="majorEastAsia" w:cstheme="majorBidi"/>
      <w:color w:val="272727" w:themeColor="text1" w:themeTint="D8"/>
    </w:rPr>
  </w:style>
  <w:style w:type="paragraph" w:styleId="Title">
    <w:name w:val="Title"/>
    <w:basedOn w:val="Normal"/>
    <w:next w:val="Normal"/>
    <w:link w:val="TitleChar"/>
    <w:uiPriority w:val="10"/>
    <w:qFormat/>
    <w:rsid w:val="007F319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319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F319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F319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F3193"/>
    <w:pPr>
      <w:spacing w:before="160"/>
      <w:jc w:val="center"/>
    </w:pPr>
    <w:rPr>
      <w:i/>
      <w:iCs/>
      <w:color w:val="404040" w:themeColor="text1" w:themeTint="BF"/>
    </w:rPr>
  </w:style>
  <w:style w:type="character" w:customStyle="1" w:styleId="QuoteChar">
    <w:name w:val="Quote Char"/>
    <w:basedOn w:val="DefaultParagraphFont"/>
    <w:link w:val="Quote"/>
    <w:uiPriority w:val="29"/>
    <w:rsid w:val="007F3193"/>
    <w:rPr>
      <w:i/>
      <w:iCs/>
      <w:color w:val="404040" w:themeColor="text1" w:themeTint="BF"/>
    </w:rPr>
  </w:style>
  <w:style w:type="paragraph" w:styleId="ListParagraph">
    <w:name w:val="List Paragraph"/>
    <w:basedOn w:val="Normal"/>
    <w:uiPriority w:val="34"/>
    <w:qFormat/>
    <w:rsid w:val="007F3193"/>
    <w:pPr>
      <w:ind w:left="720"/>
      <w:contextualSpacing/>
    </w:pPr>
  </w:style>
  <w:style w:type="character" w:styleId="IntenseEmphasis">
    <w:name w:val="Intense Emphasis"/>
    <w:basedOn w:val="DefaultParagraphFont"/>
    <w:uiPriority w:val="21"/>
    <w:qFormat/>
    <w:rsid w:val="007F3193"/>
    <w:rPr>
      <w:i/>
      <w:iCs/>
      <w:color w:val="0F4761" w:themeColor="accent1" w:themeShade="BF"/>
    </w:rPr>
  </w:style>
  <w:style w:type="paragraph" w:styleId="IntenseQuote">
    <w:name w:val="Intense Quote"/>
    <w:basedOn w:val="Normal"/>
    <w:next w:val="Normal"/>
    <w:link w:val="IntenseQuoteChar"/>
    <w:uiPriority w:val="30"/>
    <w:qFormat/>
    <w:rsid w:val="007F319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F3193"/>
    <w:rPr>
      <w:i/>
      <w:iCs/>
      <w:color w:val="0F4761" w:themeColor="accent1" w:themeShade="BF"/>
    </w:rPr>
  </w:style>
  <w:style w:type="character" w:styleId="IntenseReference">
    <w:name w:val="Intense Reference"/>
    <w:basedOn w:val="DefaultParagraphFont"/>
    <w:uiPriority w:val="32"/>
    <w:qFormat/>
    <w:rsid w:val="007F3193"/>
    <w:rPr>
      <w:b/>
      <w:bCs/>
      <w:smallCaps/>
      <w:color w:val="0F4761" w:themeColor="accent1" w:themeShade="BF"/>
      <w:spacing w:val="5"/>
    </w:rPr>
  </w:style>
  <w:style w:type="paragraph" w:styleId="Header">
    <w:name w:val="header"/>
    <w:basedOn w:val="Normal"/>
    <w:link w:val="HeaderChar"/>
    <w:uiPriority w:val="99"/>
    <w:unhideWhenUsed/>
    <w:rsid w:val="00D43E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3EE9"/>
  </w:style>
  <w:style w:type="paragraph" w:styleId="Footer">
    <w:name w:val="footer"/>
    <w:basedOn w:val="Normal"/>
    <w:link w:val="FooterChar"/>
    <w:uiPriority w:val="99"/>
    <w:unhideWhenUsed/>
    <w:rsid w:val="00D43E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3EE9"/>
  </w:style>
  <w:style w:type="paragraph" w:styleId="NormalWeb">
    <w:name w:val="Normal (Web)"/>
    <w:basedOn w:val="Normal"/>
    <w:uiPriority w:val="99"/>
    <w:unhideWhenUsed/>
    <w:rsid w:val="00FF649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94251A"/>
    <w:rPr>
      <w:color w:val="467886" w:themeColor="hyperlink"/>
      <w:u w:val="single"/>
    </w:rPr>
  </w:style>
  <w:style w:type="character" w:styleId="UnresolvedMention">
    <w:name w:val="Unresolved Mention"/>
    <w:basedOn w:val="DefaultParagraphFont"/>
    <w:uiPriority w:val="99"/>
    <w:semiHidden/>
    <w:unhideWhenUsed/>
    <w:rsid w:val="0094251A"/>
    <w:rPr>
      <w:color w:val="605E5C"/>
      <w:shd w:val="clear" w:color="auto" w:fill="E1DFDD"/>
    </w:rPr>
  </w:style>
  <w:style w:type="character" w:styleId="CommentReference">
    <w:name w:val="annotation reference"/>
    <w:basedOn w:val="DefaultParagraphFont"/>
    <w:uiPriority w:val="99"/>
    <w:semiHidden/>
    <w:unhideWhenUsed/>
    <w:rsid w:val="00A23C73"/>
    <w:rPr>
      <w:sz w:val="16"/>
      <w:szCs w:val="16"/>
    </w:rPr>
  </w:style>
  <w:style w:type="paragraph" w:styleId="CommentText">
    <w:name w:val="annotation text"/>
    <w:basedOn w:val="Normal"/>
    <w:link w:val="CommentTextChar"/>
    <w:uiPriority w:val="99"/>
    <w:unhideWhenUsed/>
    <w:rsid w:val="00A23C73"/>
    <w:pPr>
      <w:spacing w:line="240" w:lineRule="auto"/>
    </w:pPr>
    <w:rPr>
      <w:sz w:val="20"/>
      <w:szCs w:val="20"/>
    </w:rPr>
  </w:style>
  <w:style w:type="character" w:customStyle="1" w:styleId="CommentTextChar">
    <w:name w:val="Comment Text Char"/>
    <w:basedOn w:val="DefaultParagraphFont"/>
    <w:link w:val="CommentText"/>
    <w:uiPriority w:val="99"/>
    <w:rsid w:val="00A23C73"/>
    <w:rPr>
      <w:sz w:val="20"/>
      <w:szCs w:val="20"/>
    </w:rPr>
  </w:style>
  <w:style w:type="paragraph" w:styleId="CommentSubject">
    <w:name w:val="annotation subject"/>
    <w:basedOn w:val="CommentText"/>
    <w:next w:val="CommentText"/>
    <w:link w:val="CommentSubjectChar"/>
    <w:uiPriority w:val="99"/>
    <w:semiHidden/>
    <w:unhideWhenUsed/>
    <w:rsid w:val="00A23C73"/>
    <w:rPr>
      <w:b/>
      <w:bCs/>
    </w:rPr>
  </w:style>
  <w:style w:type="character" w:customStyle="1" w:styleId="CommentSubjectChar">
    <w:name w:val="Comment Subject Char"/>
    <w:basedOn w:val="CommentTextChar"/>
    <w:link w:val="CommentSubject"/>
    <w:uiPriority w:val="99"/>
    <w:semiHidden/>
    <w:rsid w:val="00A23C73"/>
    <w:rPr>
      <w:b/>
      <w:bCs/>
      <w:sz w:val="20"/>
      <w:szCs w:val="20"/>
    </w:rPr>
  </w:style>
  <w:style w:type="paragraph" w:styleId="Revision">
    <w:name w:val="Revision"/>
    <w:hidden/>
    <w:uiPriority w:val="99"/>
    <w:semiHidden/>
    <w:rsid w:val="0020428C"/>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94250">
      <w:bodyDiv w:val="1"/>
      <w:marLeft w:val="0"/>
      <w:marRight w:val="0"/>
      <w:marTop w:val="0"/>
      <w:marBottom w:val="0"/>
      <w:divBdr>
        <w:top w:val="none" w:sz="0" w:space="0" w:color="auto"/>
        <w:left w:val="none" w:sz="0" w:space="0" w:color="auto"/>
        <w:bottom w:val="none" w:sz="0" w:space="0" w:color="auto"/>
        <w:right w:val="none" w:sz="0" w:space="0" w:color="auto"/>
      </w:divBdr>
    </w:div>
    <w:div w:id="14353515">
      <w:bodyDiv w:val="1"/>
      <w:marLeft w:val="0"/>
      <w:marRight w:val="0"/>
      <w:marTop w:val="0"/>
      <w:marBottom w:val="0"/>
      <w:divBdr>
        <w:top w:val="none" w:sz="0" w:space="0" w:color="auto"/>
        <w:left w:val="none" w:sz="0" w:space="0" w:color="auto"/>
        <w:bottom w:val="none" w:sz="0" w:space="0" w:color="auto"/>
        <w:right w:val="none" w:sz="0" w:space="0" w:color="auto"/>
      </w:divBdr>
    </w:div>
    <w:div w:id="21443857">
      <w:bodyDiv w:val="1"/>
      <w:marLeft w:val="0"/>
      <w:marRight w:val="0"/>
      <w:marTop w:val="0"/>
      <w:marBottom w:val="0"/>
      <w:divBdr>
        <w:top w:val="none" w:sz="0" w:space="0" w:color="auto"/>
        <w:left w:val="none" w:sz="0" w:space="0" w:color="auto"/>
        <w:bottom w:val="none" w:sz="0" w:space="0" w:color="auto"/>
        <w:right w:val="none" w:sz="0" w:space="0" w:color="auto"/>
      </w:divBdr>
      <w:divsChild>
        <w:div w:id="235165579">
          <w:marLeft w:val="0"/>
          <w:marRight w:val="0"/>
          <w:marTop w:val="0"/>
          <w:marBottom w:val="0"/>
          <w:divBdr>
            <w:top w:val="none" w:sz="0" w:space="0" w:color="auto"/>
            <w:left w:val="none" w:sz="0" w:space="0" w:color="auto"/>
            <w:bottom w:val="none" w:sz="0" w:space="0" w:color="auto"/>
            <w:right w:val="none" w:sz="0" w:space="0" w:color="auto"/>
          </w:divBdr>
        </w:div>
      </w:divsChild>
    </w:div>
    <w:div w:id="21824552">
      <w:bodyDiv w:val="1"/>
      <w:marLeft w:val="0"/>
      <w:marRight w:val="0"/>
      <w:marTop w:val="0"/>
      <w:marBottom w:val="0"/>
      <w:divBdr>
        <w:top w:val="none" w:sz="0" w:space="0" w:color="auto"/>
        <w:left w:val="none" w:sz="0" w:space="0" w:color="auto"/>
        <w:bottom w:val="none" w:sz="0" w:space="0" w:color="auto"/>
        <w:right w:val="none" w:sz="0" w:space="0" w:color="auto"/>
      </w:divBdr>
      <w:divsChild>
        <w:div w:id="1486819012">
          <w:marLeft w:val="0"/>
          <w:marRight w:val="0"/>
          <w:marTop w:val="0"/>
          <w:marBottom w:val="0"/>
          <w:divBdr>
            <w:top w:val="none" w:sz="0" w:space="0" w:color="auto"/>
            <w:left w:val="none" w:sz="0" w:space="0" w:color="auto"/>
            <w:bottom w:val="none" w:sz="0" w:space="0" w:color="auto"/>
            <w:right w:val="none" w:sz="0" w:space="0" w:color="auto"/>
          </w:divBdr>
        </w:div>
      </w:divsChild>
    </w:div>
    <w:div w:id="52169482">
      <w:bodyDiv w:val="1"/>
      <w:marLeft w:val="0"/>
      <w:marRight w:val="0"/>
      <w:marTop w:val="0"/>
      <w:marBottom w:val="0"/>
      <w:divBdr>
        <w:top w:val="none" w:sz="0" w:space="0" w:color="auto"/>
        <w:left w:val="none" w:sz="0" w:space="0" w:color="auto"/>
        <w:bottom w:val="none" w:sz="0" w:space="0" w:color="auto"/>
        <w:right w:val="none" w:sz="0" w:space="0" w:color="auto"/>
      </w:divBdr>
      <w:divsChild>
        <w:div w:id="787160193">
          <w:marLeft w:val="0"/>
          <w:marRight w:val="0"/>
          <w:marTop w:val="0"/>
          <w:marBottom w:val="0"/>
          <w:divBdr>
            <w:top w:val="none" w:sz="0" w:space="0" w:color="auto"/>
            <w:left w:val="none" w:sz="0" w:space="0" w:color="auto"/>
            <w:bottom w:val="none" w:sz="0" w:space="0" w:color="auto"/>
            <w:right w:val="none" w:sz="0" w:space="0" w:color="auto"/>
          </w:divBdr>
        </w:div>
      </w:divsChild>
    </w:div>
    <w:div w:id="58405905">
      <w:bodyDiv w:val="1"/>
      <w:marLeft w:val="0"/>
      <w:marRight w:val="0"/>
      <w:marTop w:val="0"/>
      <w:marBottom w:val="0"/>
      <w:divBdr>
        <w:top w:val="none" w:sz="0" w:space="0" w:color="auto"/>
        <w:left w:val="none" w:sz="0" w:space="0" w:color="auto"/>
        <w:bottom w:val="none" w:sz="0" w:space="0" w:color="auto"/>
        <w:right w:val="none" w:sz="0" w:space="0" w:color="auto"/>
      </w:divBdr>
    </w:div>
    <w:div w:id="65879421">
      <w:bodyDiv w:val="1"/>
      <w:marLeft w:val="0"/>
      <w:marRight w:val="0"/>
      <w:marTop w:val="0"/>
      <w:marBottom w:val="0"/>
      <w:divBdr>
        <w:top w:val="none" w:sz="0" w:space="0" w:color="auto"/>
        <w:left w:val="none" w:sz="0" w:space="0" w:color="auto"/>
        <w:bottom w:val="none" w:sz="0" w:space="0" w:color="auto"/>
        <w:right w:val="none" w:sz="0" w:space="0" w:color="auto"/>
      </w:divBdr>
    </w:div>
    <w:div w:id="96219959">
      <w:bodyDiv w:val="1"/>
      <w:marLeft w:val="0"/>
      <w:marRight w:val="0"/>
      <w:marTop w:val="0"/>
      <w:marBottom w:val="0"/>
      <w:divBdr>
        <w:top w:val="none" w:sz="0" w:space="0" w:color="auto"/>
        <w:left w:val="none" w:sz="0" w:space="0" w:color="auto"/>
        <w:bottom w:val="none" w:sz="0" w:space="0" w:color="auto"/>
        <w:right w:val="none" w:sz="0" w:space="0" w:color="auto"/>
      </w:divBdr>
    </w:div>
    <w:div w:id="126895275">
      <w:bodyDiv w:val="1"/>
      <w:marLeft w:val="0"/>
      <w:marRight w:val="0"/>
      <w:marTop w:val="0"/>
      <w:marBottom w:val="0"/>
      <w:divBdr>
        <w:top w:val="none" w:sz="0" w:space="0" w:color="auto"/>
        <w:left w:val="none" w:sz="0" w:space="0" w:color="auto"/>
        <w:bottom w:val="none" w:sz="0" w:space="0" w:color="auto"/>
        <w:right w:val="none" w:sz="0" w:space="0" w:color="auto"/>
      </w:divBdr>
    </w:div>
    <w:div w:id="134683552">
      <w:bodyDiv w:val="1"/>
      <w:marLeft w:val="0"/>
      <w:marRight w:val="0"/>
      <w:marTop w:val="0"/>
      <w:marBottom w:val="0"/>
      <w:divBdr>
        <w:top w:val="none" w:sz="0" w:space="0" w:color="auto"/>
        <w:left w:val="none" w:sz="0" w:space="0" w:color="auto"/>
        <w:bottom w:val="none" w:sz="0" w:space="0" w:color="auto"/>
        <w:right w:val="none" w:sz="0" w:space="0" w:color="auto"/>
      </w:divBdr>
    </w:div>
    <w:div w:id="156069094">
      <w:bodyDiv w:val="1"/>
      <w:marLeft w:val="0"/>
      <w:marRight w:val="0"/>
      <w:marTop w:val="0"/>
      <w:marBottom w:val="0"/>
      <w:divBdr>
        <w:top w:val="none" w:sz="0" w:space="0" w:color="auto"/>
        <w:left w:val="none" w:sz="0" w:space="0" w:color="auto"/>
        <w:bottom w:val="none" w:sz="0" w:space="0" w:color="auto"/>
        <w:right w:val="none" w:sz="0" w:space="0" w:color="auto"/>
      </w:divBdr>
    </w:div>
    <w:div w:id="167720636">
      <w:bodyDiv w:val="1"/>
      <w:marLeft w:val="0"/>
      <w:marRight w:val="0"/>
      <w:marTop w:val="0"/>
      <w:marBottom w:val="0"/>
      <w:divBdr>
        <w:top w:val="none" w:sz="0" w:space="0" w:color="auto"/>
        <w:left w:val="none" w:sz="0" w:space="0" w:color="auto"/>
        <w:bottom w:val="none" w:sz="0" w:space="0" w:color="auto"/>
        <w:right w:val="none" w:sz="0" w:space="0" w:color="auto"/>
      </w:divBdr>
    </w:div>
    <w:div w:id="170611071">
      <w:bodyDiv w:val="1"/>
      <w:marLeft w:val="0"/>
      <w:marRight w:val="0"/>
      <w:marTop w:val="0"/>
      <w:marBottom w:val="0"/>
      <w:divBdr>
        <w:top w:val="none" w:sz="0" w:space="0" w:color="auto"/>
        <w:left w:val="none" w:sz="0" w:space="0" w:color="auto"/>
        <w:bottom w:val="none" w:sz="0" w:space="0" w:color="auto"/>
        <w:right w:val="none" w:sz="0" w:space="0" w:color="auto"/>
      </w:divBdr>
    </w:div>
    <w:div w:id="172647101">
      <w:bodyDiv w:val="1"/>
      <w:marLeft w:val="0"/>
      <w:marRight w:val="0"/>
      <w:marTop w:val="0"/>
      <w:marBottom w:val="0"/>
      <w:divBdr>
        <w:top w:val="none" w:sz="0" w:space="0" w:color="auto"/>
        <w:left w:val="none" w:sz="0" w:space="0" w:color="auto"/>
        <w:bottom w:val="none" w:sz="0" w:space="0" w:color="auto"/>
        <w:right w:val="none" w:sz="0" w:space="0" w:color="auto"/>
      </w:divBdr>
      <w:divsChild>
        <w:div w:id="1610889807">
          <w:marLeft w:val="0"/>
          <w:marRight w:val="0"/>
          <w:marTop w:val="0"/>
          <w:marBottom w:val="0"/>
          <w:divBdr>
            <w:top w:val="none" w:sz="0" w:space="0" w:color="auto"/>
            <w:left w:val="none" w:sz="0" w:space="0" w:color="auto"/>
            <w:bottom w:val="none" w:sz="0" w:space="0" w:color="auto"/>
            <w:right w:val="none" w:sz="0" w:space="0" w:color="auto"/>
          </w:divBdr>
        </w:div>
      </w:divsChild>
    </w:div>
    <w:div w:id="191653880">
      <w:bodyDiv w:val="1"/>
      <w:marLeft w:val="0"/>
      <w:marRight w:val="0"/>
      <w:marTop w:val="0"/>
      <w:marBottom w:val="0"/>
      <w:divBdr>
        <w:top w:val="none" w:sz="0" w:space="0" w:color="auto"/>
        <w:left w:val="none" w:sz="0" w:space="0" w:color="auto"/>
        <w:bottom w:val="none" w:sz="0" w:space="0" w:color="auto"/>
        <w:right w:val="none" w:sz="0" w:space="0" w:color="auto"/>
      </w:divBdr>
      <w:divsChild>
        <w:div w:id="383136895">
          <w:marLeft w:val="0"/>
          <w:marRight w:val="0"/>
          <w:marTop w:val="0"/>
          <w:marBottom w:val="0"/>
          <w:divBdr>
            <w:top w:val="none" w:sz="0" w:space="0" w:color="auto"/>
            <w:left w:val="none" w:sz="0" w:space="0" w:color="auto"/>
            <w:bottom w:val="none" w:sz="0" w:space="0" w:color="auto"/>
            <w:right w:val="none" w:sz="0" w:space="0" w:color="auto"/>
          </w:divBdr>
        </w:div>
      </w:divsChild>
    </w:div>
    <w:div w:id="191841129">
      <w:bodyDiv w:val="1"/>
      <w:marLeft w:val="0"/>
      <w:marRight w:val="0"/>
      <w:marTop w:val="0"/>
      <w:marBottom w:val="0"/>
      <w:divBdr>
        <w:top w:val="none" w:sz="0" w:space="0" w:color="auto"/>
        <w:left w:val="none" w:sz="0" w:space="0" w:color="auto"/>
        <w:bottom w:val="none" w:sz="0" w:space="0" w:color="auto"/>
        <w:right w:val="none" w:sz="0" w:space="0" w:color="auto"/>
      </w:divBdr>
    </w:div>
    <w:div w:id="221526118">
      <w:bodyDiv w:val="1"/>
      <w:marLeft w:val="0"/>
      <w:marRight w:val="0"/>
      <w:marTop w:val="0"/>
      <w:marBottom w:val="0"/>
      <w:divBdr>
        <w:top w:val="none" w:sz="0" w:space="0" w:color="auto"/>
        <w:left w:val="none" w:sz="0" w:space="0" w:color="auto"/>
        <w:bottom w:val="none" w:sz="0" w:space="0" w:color="auto"/>
        <w:right w:val="none" w:sz="0" w:space="0" w:color="auto"/>
      </w:divBdr>
      <w:divsChild>
        <w:div w:id="1431311115">
          <w:marLeft w:val="0"/>
          <w:marRight w:val="0"/>
          <w:marTop w:val="0"/>
          <w:marBottom w:val="0"/>
          <w:divBdr>
            <w:top w:val="none" w:sz="0" w:space="0" w:color="auto"/>
            <w:left w:val="none" w:sz="0" w:space="0" w:color="auto"/>
            <w:bottom w:val="none" w:sz="0" w:space="0" w:color="auto"/>
            <w:right w:val="none" w:sz="0" w:space="0" w:color="auto"/>
          </w:divBdr>
        </w:div>
      </w:divsChild>
    </w:div>
    <w:div w:id="224029187">
      <w:bodyDiv w:val="1"/>
      <w:marLeft w:val="0"/>
      <w:marRight w:val="0"/>
      <w:marTop w:val="0"/>
      <w:marBottom w:val="0"/>
      <w:divBdr>
        <w:top w:val="none" w:sz="0" w:space="0" w:color="auto"/>
        <w:left w:val="none" w:sz="0" w:space="0" w:color="auto"/>
        <w:bottom w:val="none" w:sz="0" w:space="0" w:color="auto"/>
        <w:right w:val="none" w:sz="0" w:space="0" w:color="auto"/>
      </w:divBdr>
      <w:divsChild>
        <w:div w:id="1589193895">
          <w:marLeft w:val="0"/>
          <w:marRight w:val="0"/>
          <w:marTop w:val="0"/>
          <w:marBottom w:val="0"/>
          <w:divBdr>
            <w:top w:val="none" w:sz="0" w:space="0" w:color="auto"/>
            <w:left w:val="none" w:sz="0" w:space="0" w:color="auto"/>
            <w:bottom w:val="none" w:sz="0" w:space="0" w:color="auto"/>
            <w:right w:val="none" w:sz="0" w:space="0" w:color="auto"/>
          </w:divBdr>
        </w:div>
      </w:divsChild>
    </w:div>
    <w:div w:id="238490063">
      <w:bodyDiv w:val="1"/>
      <w:marLeft w:val="0"/>
      <w:marRight w:val="0"/>
      <w:marTop w:val="0"/>
      <w:marBottom w:val="0"/>
      <w:divBdr>
        <w:top w:val="none" w:sz="0" w:space="0" w:color="auto"/>
        <w:left w:val="none" w:sz="0" w:space="0" w:color="auto"/>
        <w:bottom w:val="none" w:sz="0" w:space="0" w:color="auto"/>
        <w:right w:val="none" w:sz="0" w:space="0" w:color="auto"/>
      </w:divBdr>
      <w:divsChild>
        <w:div w:id="1147429078">
          <w:marLeft w:val="0"/>
          <w:marRight w:val="0"/>
          <w:marTop w:val="0"/>
          <w:marBottom w:val="0"/>
          <w:divBdr>
            <w:top w:val="none" w:sz="0" w:space="0" w:color="auto"/>
            <w:left w:val="none" w:sz="0" w:space="0" w:color="auto"/>
            <w:bottom w:val="none" w:sz="0" w:space="0" w:color="auto"/>
            <w:right w:val="none" w:sz="0" w:space="0" w:color="auto"/>
          </w:divBdr>
        </w:div>
      </w:divsChild>
    </w:div>
    <w:div w:id="252782908">
      <w:bodyDiv w:val="1"/>
      <w:marLeft w:val="0"/>
      <w:marRight w:val="0"/>
      <w:marTop w:val="0"/>
      <w:marBottom w:val="0"/>
      <w:divBdr>
        <w:top w:val="none" w:sz="0" w:space="0" w:color="auto"/>
        <w:left w:val="none" w:sz="0" w:space="0" w:color="auto"/>
        <w:bottom w:val="none" w:sz="0" w:space="0" w:color="auto"/>
        <w:right w:val="none" w:sz="0" w:space="0" w:color="auto"/>
      </w:divBdr>
    </w:div>
    <w:div w:id="264971319">
      <w:bodyDiv w:val="1"/>
      <w:marLeft w:val="0"/>
      <w:marRight w:val="0"/>
      <w:marTop w:val="0"/>
      <w:marBottom w:val="0"/>
      <w:divBdr>
        <w:top w:val="none" w:sz="0" w:space="0" w:color="auto"/>
        <w:left w:val="none" w:sz="0" w:space="0" w:color="auto"/>
        <w:bottom w:val="none" w:sz="0" w:space="0" w:color="auto"/>
        <w:right w:val="none" w:sz="0" w:space="0" w:color="auto"/>
      </w:divBdr>
      <w:divsChild>
        <w:div w:id="814302186">
          <w:marLeft w:val="0"/>
          <w:marRight w:val="0"/>
          <w:marTop w:val="0"/>
          <w:marBottom w:val="0"/>
          <w:divBdr>
            <w:top w:val="none" w:sz="0" w:space="0" w:color="auto"/>
            <w:left w:val="none" w:sz="0" w:space="0" w:color="auto"/>
            <w:bottom w:val="none" w:sz="0" w:space="0" w:color="auto"/>
            <w:right w:val="none" w:sz="0" w:space="0" w:color="auto"/>
          </w:divBdr>
          <w:divsChild>
            <w:div w:id="1543595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2538165">
      <w:bodyDiv w:val="1"/>
      <w:marLeft w:val="0"/>
      <w:marRight w:val="0"/>
      <w:marTop w:val="0"/>
      <w:marBottom w:val="0"/>
      <w:divBdr>
        <w:top w:val="none" w:sz="0" w:space="0" w:color="auto"/>
        <w:left w:val="none" w:sz="0" w:space="0" w:color="auto"/>
        <w:bottom w:val="none" w:sz="0" w:space="0" w:color="auto"/>
        <w:right w:val="none" w:sz="0" w:space="0" w:color="auto"/>
      </w:divBdr>
      <w:divsChild>
        <w:div w:id="1966885433">
          <w:marLeft w:val="0"/>
          <w:marRight w:val="0"/>
          <w:marTop w:val="0"/>
          <w:marBottom w:val="0"/>
          <w:divBdr>
            <w:top w:val="none" w:sz="0" w:space="0" w:color="auto"/>
            <w:left w:val="none" w:sz="0" w:space="0" w:color="auto"/>
            <w:bottom w:val="none" w:sz="0" w:space="0" w:color="auto"/>
            <w:right w:val="none" w:sz="0" w:space="0" w:color="auto"/>
          </w:divBdr>
        </w:div>
      </w:divsChild>
    </w:div>
    <w:div w:id="294213640">
      <w:bodyDiv w:val="1"/>
      <w:marLeft w:val="0"/>
      <w:marRight w:val="0"/>
      <w:marTop w:val="0"/>
      <w:marBottom w:val="0"/>
      <w:divBdr>
        <w:top w:val="none" w:sz="0" w:space="0" w:color="auto"/>
        <w:left w:val="none" w:sz="0" w:space="0" w:color="auto"/>
        <w:bottom w:val="none" w:sz="0" w:space="0" w:color="auto"/>
        <w:right w:val="none" w:sz="0" w:space="0" w:color="auto"/>
      </w:divBdr>
    </w:div>
    <w:div w:id="296448130">
      <w:bodyDiv w:val="1"/>
      <w:marLeft w:val="0"/>
      <w:marRight w:val="0"/>
      <w:marTop w:val="0"/>
      <w:marBottom w:val="0"/>
      <w:divBdr>
        <w:top w:val="none" w:sz="0" w:space="0" w:color="auto"/>
        <w:left w:val="none" w:sz="0" w:space="0" w:color="auto"/>
        <w:bottom w:val="none" w:sz="0" w:space="0" w:color="auto"/>
        <w:right w:val="none" w:sz="0" w:space="0" w:color="auto"/>
      </w:divBdr>
    </w:div>
    <w:div w:id="304703618">
      <w:bodyDiv w:val="1"/>
      <w:marLeft w:val="0"/>
      <w:marRight w:val="0"/>
      <w:marTop w:val="0"/>
      <w:marBottom w:val="0"/>
      <w:divBdr>
        <w:top w:val="none" w:sz="0" w:space="0" w:color="auto"/>
        <w:left w:val="none" w:sz="0" w:space="0" w:color="auto"/>
        <w:bottom w:val="none" w:sz="0" w:space="0" w:color="auto"/>
        <w:right w:val="none" w:sz="0" w:space="0" w:color="auto"/>
      </w:divBdr>
      <w:divsChild>
        <w:div w:id="848519932">
          <w:marLeft w:val="0"/>
          <w:marRight w:val="0"/>
          <w:marTop w:val="0"/>
          <w:marBottom w:val="0"/>
          <w:divBdr>
            <w:top w:val="none" w:sz="0" w:space="0" w:color="auto"/>
            <w:left w:val="none" w:sz="0" w:space="0" w:color="auto"/>
            <w:bottom w:val="none" w:sz="0" w:space="0" w:color="auto"/>
            <w:right w:val="none" w:sz="0" w:space="0" w:color="auto"/>
          </w:divBdr>
        </w:div>
      </w:divsChild>
    </w:div>
    <w:div w:id="320157472">
      <w:bodyDiv w:val="1"/>
      <w:marLeft w:val="0"/>
      <w:marRight w:val="0"/>
      <w:marTop w:val="0"/>
      <w:marBottom w:val="0"/>
      <w:divBdr>
        <w:top w:val="none" w:sz="0" w:space="0" w:color="auto"/>
        <w:left w:val="none" w:sz="0" w:space="0" w:color="auto"/>
        <w:bottom w:val="none" w:sz="0" w:space="0" w:color="auto"/>
        <w:right w:val="none" w:sz="0" w:space="0" w:color="auto"/>
      </w:divBdr>
      <w:divsChild>
        <w:div w:id="1466509385">
          <w:marLeft w:val="0"/>
          <w:marRight w:val="0"/>
          <w:marTop w:val="0"/>
          <w:marBottom w:val="0"/>
          <w:divBdr>
            <w:top w:val="none" w:sz="0" w:space="0" w:color="auto"/>
            <w:left w:val="none" w:sz="0" w:space="0" w:color="auto"/>
            <w:bottom w:val="none" w:sz="0" w:space="0" w:color="auto"/>
            <w:right w:val="none" w:sz="0" w:space="0" w:color="auto"/>
          </w:divBdr>
        </w:div>
      </w:divsChild>
    </w:div>
    <w:div w:id="321591924">
      <w:bodyDiv w:val="1"/>
      <w:marLeft w:val="0"/>
      <w:marRight w:val="0"/>
      <w:marTop w:val="0"/>
      <w:marBottom w:val="0"/>
      <w:divBdr>
        <w:top w:val="none" w:sz="0" w:space="0" w:color="auto"/>
        <w:left w:val="none" w:sz="0" w:space="0" w:color="auto"/>
        <w:bottom w:val="none" w:sz="0" w:space="0" w:color="auto"/>
        <w:right w:val="none" w:sz="0" w:space="0" w:color="auto"/>
      </w:divBdr>
      <w:divsChild>
        <w:div w:id="217712431">
          <w:marLeft w:val="0"/>
          <w:marRight w:val="0"/>
          <w:marTop w:val="0"/>
          <w:marBottom w:val="0"/>
          <w:divBdr>
            <w:top w:val="none" w:sz="0" w:space="0" w:color="auto"/>
            <w:left w:val="none" w:sz="0" w:space="0" w:color="auto"/>
            <w:bottom w:val="none" w:sz="0" w:space="0" w:color="auto"/>
            <w:right w:val="none" w:sz="0" w:space="0" w:color="auto"/>
          </w:divBdr>
        </w:div>
      </w:divsChild>
    </w:div>
    <w:div w:id="325205998">
      <w:bodyDiv w:val="1"/>
      <w:marLeft w:val="0"/>
      <w:marRight w:val="0"/>
      <w:marTop w:val="0"/>
      <w:marBottom w:val="0"/>
      <w:divBdr>
        <w:top w:val="none" w:sz="0" w:space="0" w:color="auto"/>
        <w:left w:val="none" w:sz="0" w:space="0" w:color="auto"/>
        <w:bottom w:val="none" w:sz="0" w:space="0" w:color="auto"/>
        <w:right w:val="none" w:sz="0" w:space="0" w:color="auto"/>
      </w:divBdr>
    </w:div>
    <w:div w:id="328414400">
      <w:bodyDiv w:val="1"/>
      <w:marLeft w:val="0"/>
      <w:marRight w:val="0"/>
      <w:marTop w:val="0"/>
      <w:marBottom w:val="0"/>
      <w:divBdr>
        <w:top w:val="none" w:sz="0" w:space="0" w:color="auto"/>
        <w:left w:val="none" w:sz="0" w:space="0" w:color="auto"/>
        <w:bottom w:val="none" w:sz="0" w:space="0" w:color="auto"/>
        <w:right w:val="none" w:sz="0" w:space="0" w:color="auto"/>
      </w:divBdr>
    </w:div>
    <w:div w:id="336616011">
      <w:bodyDiv w:val="1"/>
      <w:marLeft w:val="0"/>
      <w:marRight w:val="0"/>
      <w:marTop w:val="0"/>
      <w:marBottom w:val="0"/>
      <w:divBdr>
        <w:top w:val="none" w:sz="0" w:space="0" w:color="auto"/>
        <w:left w:val="none" w:sz="0" w:space="0" w:color="auto"/>
        <w:bottom w:val="none" w:sz="0" w:space="0" w:color="auto"/>
        <w:right w:val="none" w:sz="0" w:space="0" w:color="auto"/>
      </w:divBdr>
    </w:div>
    <w:div w:id="346833113">
      <w:bodyDiv w:val="1"/>
      <w:marLeft w:val="0"/>
      <w:marRight w:val="0"/>
      <w:marTop w:val="0"/>
      <w:marBottom w:val="0"/>
      <w:divBdr>
        <w:top w:val="none" w:sz="0" w:space="0" w:color="auto"/>
        <w:left w:val="none" w:sz="0" w:space="0" w:color="auto"/>
        <w:bottom w:val="none" w:sz="0" w:space="0" w:color="auto"/>
        <w:right w:val="none" w:sz="0" w:space="0" w:color="auto"/>
      </w:divBdr>
    </w:div>
    <w:div w:id="352727186">
      <w:bodyDiv w:val="1"/>
      <w:marLeft w:val="0"/>
      <w:marRight w:val="0"/>
      <w:marTop w:val="0"/>
      <w:marBottom w:val="0"/>
      <w:divBdr>
        <w:top w:val="none" w:sz="0" w:space="0" w:color="auto"/>
        <w:left w:val="none" w:sz="0" w:space="0" w:color="auto"/>
        <w:bottom w:val="none" w:sz="0" w:space="0" w:color="auto"/>
        <w:right w:val="none" w:sz="0" w:space="0" w:color="auto"/>
      </w:divBdr>
      <w:divsChild>
        <w:div w:id="644889925">
          <w:marLeft w:val="0"/>
          <w:marRight w:val="0"/>
          <w:marTop w:val="0"/>
          <w:marBottom w:val="0"/>
          <w:divBdr>
            <w:top w:val="none" w:sz="0" w:space="0" w:color="auto"/>
            <w:left w:val="none" w:sz="0" w:space="0" w:color="auto"/>
            <w:bottom w:val="none" w:sz="0" w:space="0" w:color="auto"/>
            <w:right w:val="none" w:sz="0" w:space="0" w:color="auto"/>
          </w:divBdr>
        </w:div>
      </w:divsChild>
    </w:div>
    <w:div w:id="357897567">
      <w:bodyDiv w:val="1"/>
      <w:marLeft w:val="0"/>
      <w:marRight w:val="0"/>
      <w:marTop w:val="0"/>
      <w:marBottom w:val="0"/>
      <w:divBdr>
        <w:top w:val="none" w:sz="0" w:space="0" w:color="auto"/>
        <w:left w:val="none" w:sz="0" w:space="0" w:color="auto"/>
        <w:bottom w:val="none" w:sz="0" w:space="0" w:color="auto"/>
        <w:right w:val="none" w:sz="0" w:space="0" w:color="auto"/>
      </w:divBdr>
      <w:divsChild>
        <w:div w:id="1704330668">
          <w:marLeft w:val="0"/>
          <w:marRight w:val="0"/>
          <w:marTop w:val="0"/>
          <w:marBottom w:val="0"/>
          <w:divBdr>
            <w:top w:val="none" w:sz="0" w:space="0" w:color="auto"/>
            <w:left w:val="none" w:sz="0" w:space="0" w:color="auto"/>
            <w:bottom w:val="none" w:sz="0" w:space="0" w:color="auto"/>
            <w:right w:val="none" w:sz="0" w:space="0" w:color="auto"/>
          </w:divBdr>
        </w:div>
      </w:divsChild>
    </w:div>
    <w:div w:id="437337239">
      <w:bodyDiv w:val="1"/>
      <w:marLeft w:val="0"/>
      <w:marRight w:val="0"/>
      <w:marTop w:val="0"/>
      <w:marBottom w:val="0"/>
      <w:divBdr>
        <w:top w:val="none" w:sz="0" w:space="0" w:color="auto"/>
        <w:left w:val="none" w:sz="0" w:space="0" w:color="auto"/>
        <w:bottom w:val="none" w:sz="0" w:space="0" w:color="auto"/>
        <w:right w:val="none" w:sz="0" w:space="0" w:color="auto"/>
      </w:divBdr>
    </w:div>
    <w:div w:id="442455485">
      <w:bodyDiv w:val="1"/>
      <w:marLeft w:val="0"/>
      <w:marRight w:val="0"/>
      <w:marTop w:val="0"/>
      <w:marBottom w:val="0"/>
      <w:divBdr>
        <w:top w:val="none" w:sz="0" w:space="0" w:color="auto"/>
        <w:left w:val="none" w:sz="0" w:space="0" w:color="auto"/>
        <w:bottom w:val="none" w:sz="0" w:space="0" w:color="auto"/>
        <w:right w:val="none" w:sz="0" w:space="0" w:color="auto"/>
      </w:divBdr>
      <w:divsChild>
        <w:div w:id="231350775">
          <w:marLeft w:val="0"/>
          <w:marRight w:val="0"/>
          <w:marTop w:val="0"/>
          <w:marBottom w:val="0"/>
          <w:divBdr>
            <w:top w:val="none" w:sz="0" w:space="0" w:color="auto"/>
            <w:left w:val="none" w:sz="0" w:space="0" w:color="auto"/>
            <w:bottom w:val="none" w:sz="0" w:space="0" w:color="auto"/>
            <w:right w:val="none" w:sz="0" w:space="0" w:color="auto"/>
          </w:divBdr>
        </w:div>
      </w:divsChild>
    </w:div>
    <w:div w:id="447940967">
      <w:bodyDiv w:val="1"/>
      <w:marLeft w:val="0"/>
      <w:marRight w:val="0"/>
      <w:marTop w:val="0"/>
      <w:marBottom w:val="0"/>
      <w:divBdr>
        <w:top w:val="none" w:sz="0" w:space="0" w:color="auto"/>
        <w:left w:val="none" w:sz="0" w:space="0" w:color="auto"/>
        <w:bottom w:val="none" w:sz="0" w:space="0" w:color="auto"/>
        <w:right w:val="none" w:sz="0" w:space="0" w:color="auto"/>
      </w:divBdr>
      <w:divsChild>
        <w:div w:id="2112503453">
          <w:marLeft w:val="0"/>
          <w:marRight w:val="0"/>
          <w:marTop w:val="0"/>
          <w:marBottom w:val="0"/>
          <w:divBdr>
            <w:top w:val="none" w:sz="0" w:space="0" w:color="auto"/>
            <w:left w:val="none" w:sz="0" w:space="0" w:color="auto"/>
            <w:bottom w:val="none" w:sz="0" w:space="0" w:color="auto"/>
            <w:right w:val="none" w:sz="0" w:space="0" w:color="auto"/>
          </w:divBdr>
        </w:div>
      </w:divsChild>
    </w:div>
    <w:div w:id="453908300">
      <w:bodyDiv w:val="1"/>
      <w:marLeft w:val="0"/>
      <w:marRight w:val="0"/>
      <w:marTop w:val="0"/>
      <w:marBottom w:val="0"/>
      <w:divBdr>
        <w:top w:val="none" w:sz="0" w:space="0" w:color="auto"/>
        <w:left w:val="none" w:sz="0" w:space="0" w:color="auto"/>
        <w:bottom w:val="none" w:sz="0" w:space="0" w:color="auto"/>
        <w:right w:val="none" w:sz="0" w:space="0" w:color="auto"/>
      </w:divBdr>
    </w:div>
    <w:div w:id="467629104">
      <w:bodyDiv w:val="1"/>
      <w:marLeft w:val="0"/>
      <w:marRight w:val="0"/>
      <w:marTop w:val="0"/>
      <w:marBottom w:val="0"/>
      <w:divBdr>
        <w:top w:val="none" w:sz="0" w:space="0" w:color="auto"/>
        <w:left w:val="none" w:sz="0" w:space="0" w:color="auto"/>
        <w:bottom w:val="none" w:sz="0" w:space="0" w:color="auto"/>
        <w:right w:val="none" w:sz="0" w:space="0" w:color="auto"/>
      </w:divBdr>
      <w:divsChild>
        <w:div w:id="1642226369">
          <w:marLeft w:val="0"/>
          <w:marRight w:val="0"/>
          <w:marTop w:val="0"/>
          <w:marBottom w:val="0"/>
          <w:divBdr>
            <w:top w:val="none" w:sz="0" w:space="0" w:color="auto"/>
            <w:left w:val="none" w:sz="0" w:space="0" w:color="auto"/>
            <w:bottom w:val="none" w:sz="0" w:space="0" w:color="auto"/>
            <w:right w:val="none" w:sz="0" w:space="0" w:color="auto"/>
          </w:divBdr>
        </w:div>
      </w:divsChild>
    </w:div>
    <w:div w:id="472140329">
      <w:bodyDiv w:val="1"/>
      <w:marLeft w:val="0"/>
      <w:marRight w:val="0"/>
      <w:marTop w:val="0"/>
      <w:marBottom w:val="0"/>
      <w:divBdr>
        <w:top w:val="none" w:sz="0" w:space="0" w:color="auto"/>
        <w:left w:val="none" w:sz="0" w:space="0" w:color="auto"/>
        <w:bottom w:val="none" w:sz="0" w:space="0" w:color="auto"/>
        <w:right w:val="none" w:sz="0" w:space="0" w:color="auto"/>
      </w:divBdr>
      <w:divsChild>
        <w:div w:id="1376126724">
          <w:marLeft w:val="0"/>
          <w:marRight w:val="0"/>
          <w:marTop w:val="0"/>
          <w:marBottom w:val="0"/>
          <w:divBdr>
            <w:top w:val="none" w:sz="0" w:space="0" w:color="auto"/>
            <w:left w:val="none" w:sz="0" w:space="0" w:color="auto"/>
            <w:bottom w:val="none" w:sz="0" w:space="0" w:color="auto"/>
            <w:right w:val="none" w:sz="0" w:space="0" w:color="auto"/>
          </w:divBdr>
        </w:div>
      </w:divsChild>
    </w:div>
    <w:div w:id="495808402">
      <w:bodyDiv w:val="1"/>
      <w:marLeft w:val="0"/>
      <w:marRight w:val="0"/>
      <w:marTop w:val="0"/>
      <w:marBottom w:val="0"/>
      <w:divBdr>
        <w:top w:val="none" w:sz="0" w:space="0" w:color="auto"/>
        <w:left w:val="none" w:sz="0" w:space="0" w:color="auto"/>
        <w:bottom w:val="none" w:sz="0" w:space="0" w:color="auto"/>
        <w:right w:val="none" w:sz="0" w:space="0" w:color="auto"/>
      </w:divBdr>
    </w:div>
    <w:div w:id="498154768">
      <w:bodyDiv w:val="1"/>
      <w:marLeft w:val="0"/>
      <w:marRight w:val="0"/>
      <w:marTop w:val="0"/>
      <w:marBottom w:val="0"/>
      <w:divBdr>
        <w:top w:val="none" w:sz="0" w:space="0" w:color="auto"/>
        <w:left w:val="none" w:sz="0" w:space="0" w:color="auto"/>
        <w:bottom w:val="none" w:sz="0" w:space="0" w:color="auto"/>
        <w:right w:val="none" w:sz="0" w:space="0" w:color="auto"/>
      </w:divBdr>
      <w:divsChild>
        <w:div w:id="158158814">
          <w:marLeft w:val="0"/>
          <w:marRight w:val="0"/>
          <w:marTop w:val="0"/>
          <w:marBottom w:val="0"/>
          <w:divBdr>
            <w:top w:val="none" w:sz="0" w:space="0" w:color="auto"/>
            <w:left w:val="none" w:sz="0" w:space="0" w:color="auto"/>
            <w:bottom w:val="none" w:sz="0" w:space="0" w:color="auto"/>
            <w:right w:val="none" w:sz="0" w:space="0" w:color="auto"/>
          </w:divBdr>
        </w:div>
      </w:divsChild>
    </w:div>
    <w:div w:id="506021344">
      <w:bodyDiv w:val="1"/>
      <w:marLeft w:val="0"/>
      <w:marRight w:val="0"/>
      <w:marTop w:val="0"/>
      <w:marBottom w:val="0"/>
      <w:divBdr>
        <w:top w:val="none" w:sz="0" w:space="0" w:color="auto"/>
        <w:left w:val="none" w:sz="0" w:space="0" w:color="auto"/>
        <w:bottom w:val="none" w:sz="0" w:space="0" w:color="auto"/>
        <w:right w:val="none" w:sz="0" w:space="0" w:color="auto"/>
      </w:divBdr>
    </w:div>
    <w:div w:id="519470460">
      <w:bodyDiv w:val="1"/>
      <w:marLeft w:val="0"/>
      <w:marRight w:val="0"/>
      <w:marTop w:val="0"/>
      <w:marBottom w:val="0"/>
      <w:divBdr>
        <w:top w:val="none" w:sz="0" w:space="0" w:color="auto"/>
        <w:left w:val="none" w:sz="0" w:space="0" w:color="auto"/>
        <w:bottom w:val="none" w:sz="0" w:space="0" w:color="auto"/>
        <w:right w:val="none" w:sz="0" w:space="0" w:color="auto"/>
      </w:divBdr>
      <w:divsChild>
        <w:div w:id="765345600">
          <w:marLeft w:val="0"/>
          <w:marRight w:val="0"/>
          <w:marTop w:val="0"/>
          <w:marBottom w:val="0"/>
          <w:divBdr>
            <w:top w:val="none" w:sz="0" w:space="0" w:color="auto"/>
            <w:left w:val="none" w:sz="0" w:space="0" w:color="auto"/>
            <w:bottom w:val="none" w:sz="0" w:space="0" w:color="auto"/>
            <w:right w:val="none" w:sz="0" w:space="0" w:color="auto"/>
          </w:divBdr>
        </w:div>
      </w:divsChild>
    </w:div>
    <w:div w:id="528884009">
      <w:bodyDiv w:val="1"/>
      <w:marLeft w:val="0"/>
      <w:marRight w:val="0"/>
      <w:marTop w:val="0"/>
      <w:marBottom w:val="0"/>
      <w:divBdr>
        <w:top w:val="none" w:sz="0" w:space="0" w:color="auto"/>
        <w:left w:val="none" w:sz="0" w:space="0" w:color="auto"/>
        <w:bottom w:val="none" w:sz="0" w:space="0" w:color="auto"/>
        <w:right w:val="none" w:sz="0" w:space="0" w:color="auto"/>
      </w:divBdr>
    </w:div>
    <w:div w:id="629942065">
      <w:bodyDiv w:val="1"/>
      <w:marLeft w:val="0"/>
      <w:marRight w:val="0"/>
      <w:marTop w:val="0"/>
      <w:marBottom w:val="0"/>
      <w:divBdr>
        <w:top w:val="none" w:sz="0" w:space="0" w:color="auto"/>
        <w:left w:val="none" w:sz="0" w:space="0" w:color="auto"/>
        <w:bottom w:val="none" w:sz="0" w:space="0" w:color="auto"/>
        <w:right w:val="none" w:sz="0" w:space="0" w:color="auto"/>
      </w:divBdr>
      <w:divsChild>
        <w:div w:id="128404683">
          <w:marLeft w:val="0"/>
          <w:marRight w:val="0"/>
          <w:marTop w:val="0"/>
          <w:marBottom w:val="0"/>
          <w:divBdr>
            <w:top w:val="none" w:sz="0" w:space="0" w:color="auto"/>
            <w:left w:val="none" w:sz="0" w:space="0" w:color="auto"/>
            <w:bottom w:val="none" w:sz="0" w:space="0" w:color="auto"/>
            <w:right w:val="none" w:sz="0" w:space="0" w:color="auto"/>
          </w:divBdr>
        </w:div>
      </w:divsChild>
    </w:div>
    <w:div w:id="632563334">
      <w:bodyDiv w:val="1"/>
      <w:marLeft w:val="0"/>
      <w:marRight w:val="0"/>
      <w:marTop w:val="0"/>
      <w:marBottom w:val="0"/>
      <w:divBdr>
        <w:top w:val="none" w:sz="0" w:space="0" w:color="auto"/>
        <w:left w:val="none" w:sz="0" w:space="0" w:color="auto"/>
        <w:bottom w:val="none" w:sz="0" w:space="0" w:color="auto"/>
        <w:right w:val="none" w:sz="0" w:space="0" w:color="auto"/>
      </w:divBdr>
    </w:div>
    <w:div w:id="634994656">
      <w:bodyDiv w:val="1"/>
      <w:marLeft w:val="0"/>
      <w:marRight w:val="0"/>
      <w:marTop w:val="0"/>
      <w:marBottom w:val="0"/>
      <w:divBdr>
        <w:top w:val="none" w:sz="0" w:space="0" w:color="auto"/>
        <w:left w:val="none" w:sz="0" w:space="0" w:color="auto"/>
        <w:bottom w:val="none" w:sz="0" w:space="0" w:color="auto"/>
        <w:right w:val="none" w:sz="0" w:space="0" w:color="auto"/>
      </w:divBdr>
    </w:div>
    <w:div w:id="670765715">
      <w:bodyDiv w:val="1"/>
      <w:marLeft w:val="0"/>
      <w:marRight w:val="0"/>
      <w:marTop w:val="0"/>
      <w:marBottom w:val="0"/>
      <w:divBdr>
        <w:top w:val="none" w:sz="0" w:space="0" w:color="auto"/>
        <w:left w:val="none" w:sz="0" w:space="0" w:color="auto"/>
        <w:bottom w:val="none" w:sz="0" w:space="0" w:color="auto"/>
        <w:right w:val="none" w:sz="0" w:space="0" w:color="auto"/>
      </w:divBdr>
      <w:divsChild>
        <w:div w:id="540555059">
          <w:marLeft w:val="0"/>
          <w:marRight w:val="0"/>
          <w:marTop w:val="0"/>
          <w:marBottom w:val="0"/>
          <w:divBdr>
            <w:top w:val="none" w:sz="0" w:space="0" w:color="auto"/>
            <w:left w:val="none" w:sz="0" w:space="0" w:color="auto"/>
            <w:bottom w:val="none" w:sz="0" w:space="0" w:color="auto"/>
            <w:right w:val="none" w:sz="0" w:space="0" w:color="auto"/>
          </w:divBdr>
        </w:div>
      </w:divsChild>
    </w:div>
    <w:div w:id="691150272">
      <w:bodyDiv w:val="1"/>
      <w:marLeft w:val="0"/>
      <w:marRight w:val="0"/>
      <w:marTop w:val="0"/>
      <w:marBottom w:val="0"/>
      <w:divBdr>
        <w:top w:val="none" w:sz="0" w:space="0" w:color="auto"/>
        <w:left w:val="none" w:sz="0" w:space="0" w:color="auto"/>
        <w:bottom w:val="none" w:sz="0" w:space="0" w:color="auto"/>
        <w:right w:val="none" w:sz="0" w:space="0" w:color="auto"/>
      </w:divBdr>
      <w:divsChild>
        <w:div w:id="1797405014">
          <w:marLeft w:val="0"/>
          <w:marRight w:val="0"/>
          <w:marTop w:val="0"/>
          <w:marBottom w:val="0"/>
          <w:divBdr>
            <w:top w:val="none" w:sz="0" w:space="0" w:color="auto"/>
            <w:left w:val="none" w:sz="0" w:space="0" w:color="auto"/>
            <w:bottom w:val="none" w:sz="0" w:space="0" w:color="auto"/>
            <w:right w:val="none" w:sz="0" w:space="0" w:color="auto"/>
          </w:divBdr>
        </w:div>
      </w:divsChild>
    </w:div>
    <w:div w:id="697126586">
      <w:bodyDiv w:val="1"/>
      <w:marLeft w:val="0"/>
      <w:marRight w:val="0"/>
      <w:marTop w:val="0"/>
      <w:marBottom w:val="0"/>
      <w:divBdr>
        <w:top w:val="none" w:sz="0" w:space="0" w:color="auto"/>
        <w:left w:val="none" w:sz="0" w:space="0" w:color="auto"/>
        <w:bottom w:val="none" w:sz="0" w:space="0" w:color="auto"/>
        <w:right w:val="none" w:sz="0" w:space="0" w:color="auto"/>
      </w:divBdr>
      <w:divsChild>
        <w:div w:id="514999318">
          <w:marLeft w:val="0"/>
          <w:marRight w:val="0"/>
          <w:marTop w:val="0"/>
          <w:marBottom w:val="0"/>
          <w:divBdr>
            <w:top w:val="none" w:sz="0" w:space="0" w:color="auto"/>
            <w:left w:val="none" w:sz="0" w:space="0" w:color="auto"/>
            <w:bottom w:val="none" w:sz="0" w:space="0" w:color="auto"/>
            <w:right w:val="none" w:sz="0" w:space="0" w:color="auto"/>
          </w:divBdr>
        </w:div>
      </w:divsChild>
    </w:div>
    <w:div w:id="706220115">
      <w:bodyDiv w:val="1"/>
      <w:marLeft w:val="0"/>
      <w:marRight w:val="0"/>
      <w:marTop w:val="0"/>
      <w:marBottom w:val="0"/>
      <w:divBdr>
        <w:top w:val="none" w:sz="0" w:space="0" w:color="auto"/>
        <w:left w:val="none" w:sz="0" w:space="0" w:color="auto"/>
        <w:bottom w:val="none" w:sz="0" w:space="0" w:color="auto"/>
        <w:right w:val="none" w:sz="0" w:space="0" w:color="auto"/>
      </w:divBdr>
      <w:divsChild>
        <w:div w:id="834340595">
          <w:marLeft w:val="0"/>
          <w:marRight w:val="0"/>
          <w:marTop w:val="0"/>
          <w:marBottom w:val="0"/>
          <w:divBdr>
            <w:top w:val="none" w:sz="0" w:space="0" w:color="auto"/>
            <w:left w:val="none" w:sz="0" w:space="0" w:color="auto"/>
            <w:bottom w:val="none" w:sz="0" w:space="0" w:color="auto"/>
            <w:right w:val="none" w:sz="0" w:space="0" w:color="auto"/>
          </w:divBdr>
        </w:div>
      </w:divsChild>
    </w:div>
    <w:div w:id="713819650">
      <w:bodyDiv w:val="1"/>
      <w:marLeft w:val="0"/>
      <w:marRight w:val="0"/>
      <w:marTop w:val="0"/>
      <w:marBottom w:val="0"/>
      <w:divBdr>
        <w:top w:val="none" w:sz="0" w:space="0" w:color="auto"/>
        <w:left w:val="none" w:sz="0" w:space="0" w:color="auto"/>
        <w:bottom w:val="none" w:sz="0" w:space="0" w:color="auto"/>
        <w:right w:val="none" w:sz="0" w:space="0" w:color="auto"/>
      </w:divBdr>
    </w:div>
    <w:div w:id="736174386">
      <w:bodyDiv w:val="1"/>
      <w:marLeft w:val="0"/>
      <w:marRight w:val="0"/>
      <w:marTop w:val="0"/>
      <w:marBottom w:val="0"/>
      <w:divBdr>
        <w:top w:val="none" w:sz="0" w:space="0" w:color="auto"/>
        <w:left w:val="none" w:sz="0" w:space="0" w:color="auto"/>
        <w:bottom w:val="none" w:sz="0" w:space="0" w:color="auto"/>
        <w:right w:val="none" w:sz="0" w:space="0" w:color="auto"/>
      </w:divBdr>
      <w:divsChild>
        <w:div w:id="380055960">
          <w:marLeft w:val="0"/>
          <w:marRight w:val="0"/>
          <w:marTop w:val="0"/>
          <w:marBottom w:val="0"/>
          <w:divBdr>
            <w:top w:val="none" w:sz="0" w:space="0" w:color="auto"/>
            <w:left w:val="none" w:sz="0" w:space="0" w:color="auto"/>
            <w:bottom w:val="none" w:sz="0" w:space="0" w:color="auto"/>
            <w:right w:val="none" w:sz="0" w:space="0" w:color="auto"/>
          </w:divBdr>
        </w:div>
      </w:divsChild>
    </w:div>
    <w:div w:id="739250769">
      <w:bodyDiv w:val="1"/>
      <w:marLeft w:val="0"/>
      <w:marRight w:val="0"/>
      <w:marTop w:val="0"/>
      <w:marBottom w:val="0"/>
      <w:divBdr>
        <w:top w:val="none" w:sz="0" w:space="0" w:color="auto"/>
        <w:left w:val="none" w:sz="0" w:space="0" w:color="auto"/>
        <w:bottom w:val="none" w:sz="0" w:space="0" w:color="auto"/>
        <w:right w:val="none" w:sz="0" w:space="0" w:color="auto"/>
      </w:divBdr>
    </w:div>
    <w:div w:id="768502432">
      <w:bodyDiv w:val="1"/>
      <w:marLeft w:val="0"/>
      <w:marRight w:val="0"/>
      <w:marTop w:val="0"/>
      <w:marBottom w:val="0"/>
      <w:divBdr>
        <w:top w:val="none" w:sz="0" w:space="0" w:color="auto"/>
        <w:left w:val="none" w:sz="0" w:space="0" w:color="auto"/>
        <w:bottom w:val="none" w:sz="0" w:space="0" w:color="auto"/>
        <w:right w:val="none" w:sz="0" w:space="0" w:color="auto"/>
      </w:divBdr>
    </w:div>
    <w:div w:id="797646944">
      <w:bodyDiv w:val="1"/>
      <w:marLeft w:val="0"/>
      <w:marRight w:val="0"/>
      <w:marTop w:val="0"/>
      <w:marBottom w:val="0"/>
      <w:divBdr>
        <w:top w:val="none" w:sz="0" w:space="0" w:color="auto"/>
        <w:left w:val="none" w:sz="0" w:space="0" w:color="auto"/>
        <w:bottom w:val="none" w:sz="0" w:space="0" w:color="auto"/>
        <w:right w:val="none" w:sz="0" w:space="0" w:color="auto"/>
      </w:divBdr>
    </w:div>
    <w:div w:id="843521345">
      <w:bodyDiv w:val="1"/>
      <w:marLeft w:val="0"/>
      <w:marRight w:val="0"/>
      <w:marTop w:val="0"/>
      <w:marBottom w:val="0"/>
      <w:divBdr>
        <w:top w:val="none" w:sz="0" w:space="0" w:color="auto"/>
        <w:left w:val="none" w:sz="0" w:space="0" w:color="auto"/>
        <w:bottom w:val="none" w:sz="0" w:space="0" w:color="auto"/>
        <w:right w:val="none" w:sz="0" w:space="0" w:color="auto"/>
      </w:divBdr>
      <w:divsChild>
        <w:div w:id="1082601116">
          <w:marLeft w:val="0"/>
          <w:marRight w:val="0"/>
          <w:marTop w:val="0"/>
          <w:marBottom w:val="0"/>
          <w:divBdr>
            <w:top w:val="none" w:sz="0" w:space="0" w:color="auto"/>
            <w:left w:val="none" w:sz="0" w:space="0" w:color="auto"/>
            <w:bottom w:val="none" w:sz="0" w:space="0" w:color="auto"/>
            <w:right w:val="none" w:sz="0" w:space="0" w:color="auto"/>
          </w:divBdr>
        </w:div>
      </w:divsChild>
    </w:div>
    <w:div w:id="846486299">
      <w:bodyDiv w:val="1"/>
      <w:marLeft w:val="0"/>
      <w:marRight w:val="0"/>
      <w:marTop w:val="0"/>
      <w:marBottom w:val="0"/>
      <w:divBdr>
        <w:top w:val="none" w:sz="0" w:space="0" w:color="auto"/>
        <w:left w:val="none" w:sz="0" w:space="0" w:color="auto"/>
        <w:bottom w:val="none" w:sz="0" w:space="0" w:color="auto"/>
        <w:right w:val="none" w:sz="0" w:space="0" w:color="auto"/>
      </w:divBdr>
      <w:divsChild>
        <w:div w:id="1606306232">
          <w:marLeft w:val="0"/>
          <w:marRight w:val="0"/>
          <w:marTop w:val="0"/>
          <w:marBottom w:val="0"/>
          <w:divBdr>
            <w:top w:val="none" w:sz="0" w:space="0" w:color="auto"/>
            <w:left w:val="none" w:sz="0" w:space="0" w:color="auto"/>
            <w:bottom w:val="none" w:sz="0" w:space="0" w:color="auto"/>
            <w:right w:val="none" w:sz="0" w:space="0" w:color="auto"/>
          </w:divBdr>
        </w:div>
      </w:divsChild>
    </w:div>
    <w:div w:id="856580993">
      <w:bodyDiv w:val="1"/>
      <w:marLeft w:val="0"/>
      <w:marRight w:val="0"/>
      <w:marTop w:val="0"/>
      <w:marBottom w:val="0"/>
      <w:divBdr>
        <w:top w:val="none" w:sz="0" w:space="0" w:color="auto"/>
        <w:left w:val="none" w:sz="0" w:space="0" w:color="auto"/>
        <w:bottom w:val="none" w:sz="0" w:space="0" w:color="auto"/>
        <w:right w:val="none" w:sz="0" w:space="0" w:color="auto"/>
      </w:divBdr>
    </w:div>
    <w:div w:id="877401567">
      <w:bodyDiv w:val="1"/>
      <w:marLeft w:val="0"/>
      <w:marRight w:val="0"/>
      <w:marTop w:val="0"/>
      <w:marBottom w:val="0"/>
      <w:divBdr>
        <w:top w:val="none" w:sz="0" w:space="0" w:color="auto"/>
        <w:left w:val="none" w:sz="0" w:space="0" w:color="auto"/>
        <w:bottom w:val="none" w:sz="0" w:space="0" w:color="auto"/>
        <w:right w:val="none" w:sz="0" w:space="0" w:color="auto"/>
      </w:divBdr>
    </w:div>
    <w:div w:id="878660427">
      <w:marLeft w:val="0"/>
      <w:marRight w:val="0"/>
      <w:marTop w:val="0"/>
      <w:marBottom w:val="0"/>
      <w:divBdr>
        <w:top w:val="none" w:sz="0" w:space="0" w:color="auto"/>
        <w:left w:val="none" w:sz="0" w:space="0" w:color="auto"/>
        <w:bottom w:val="none" w:sz="0" w:space="0" w:color="auto"/>
        <w:right w:val="none" w:sz="0" w:space="0" w:color="auto"/>
      </w:divBdr>
    </w:div>
    <w:div w:id="897209165">
      <w:bodyDiv w:val="1"/>
      <w:marLeft w:val="0"/>
      <w:marRight w:val="0"/>
      <w:marTop w:val="0"/>
      <w:marBottom w:val="0"/>
      <w:divBdr>
        <w:top w:val="none" w:sz="0" w:space="0" w:color="auto"/>
        <w:left w:val="none" w:sz="0" w:space="0" w:color="auto"/>
        <w:bottom w:val="none" w:sz="0" w:space="0" w:color="auto"/>
        <w:right w:val="none" w:sz="0" w:space="0" w:color="auto"/>
      </w:divBdr>
    </w:div>
    <w:div w:id="915358093">
      <w:bodyDiv w:val="1"/>
      <w:marLeft w:val="0"/>
      <w:marRight w:val="0"/>
      <w:marTop w:val="0"/>
      <w:marBottom w:val="0"/>
      <w:divBdr>
        <w:top w:val="none" w:sz="0" w:space="0" w:color="auto"/>
        <w:left w:val="none" w:sz="0" w:space="0" w:color="auto"/>
        <w:bottom w:val="none" w:sz="0" w:space="0" w:color="auto"/>
        <w:right w:val="none" w:sz="0" w:space="0" w:color="auto"/>
      </w:divBdr>
    </w:div>
    <w:div w:id="944582879">
      <w:bodyDiv w:val="1"/>
      <w:marLeft w:val="0"/>
      <w:marRight w:val="0"/>
      <w:marTop w:val="0"/>
      <w:marBottom w:val="0"/>
      <w:divBdr>
        <w:top w:val="none" w:sz="0" w:space="0" w:color="auto"/>
        <w:left w:val="none" w:sz="0" w:space="0" w:color="auto"/>
        <w:bottom w:val="none" w:sz="0" w:space="0" w:color="auto"/>
        <w:right w:val="none" w:sz="0" w:space="0" w:color="auto"/>
      </w:divBdr>
    </w:div>
    <w:div w:id="974024575">
      <w:bodyDiv w:val="1"/>
      <w:marLeft w:val="0"/>
      <w:marRight w:val="0"/>
      <w:marTop w:val="0"/>
      <w:marBottom w:val="0"/>
      <w:divBdr>
        <w:top w:val="none" w:sz="0" w:space="0" w:color="auto"/>
        <w:left w:val="none" w:sz="0" w:space="0" w:color="auto"/>
        <w:bottom w:val="none" w:sz="0" w:space="0" w:color="auto"/>
        <w:right w:val="none" w:sz="0" w:space="0" w:color="auto"/>
      </w:divBdr>
      <w:divsChild>
        <w:div w:id="1966279022">
          <w:marLeft w:val="0"/>
          <w:marRight w:val="0"/>
          <w:marTop w:val="0"/>
          <w:marBottom w:val="0"/>
          <w:divBdr>
            <w:top w:val="none" w:sz="0" w:space="0" w:color="auto"/>
            <w:left w:val="none" w:sz="0" w:space="0" w:color="auto"/>
            <w:bottom w:val="none" w:sz="0" w:space="0" w:color="auto"/>
            <w:right w:val="none" w:sz="0" w:space="0" w:color="auto"/>
          </w:divBdr>
        </w:div>
      </w:divsChild>
    </w:div>
    <w:div w:id="983001521">
      <w:bodyDiv w:val="1"/>
      <w:marLeft w:val="0"/>
      <w:marRight w:val="0"/>
      <w:marTop w:val="0"/>
      <w:marBottom w:val="0"/>
      <w:divBdr>
        <w:top w:val="none" w:sz="0" w:space="0" w:color="auto"/>
        <w:left w:val="none" w:sz="0" w:space="0" w:color="auto"/>
        <w:bottom w:val="none" w:sz="0" w:space="0" w:color="auto"/>
        <w:right w:val="none" w:sz="0" w:space="0" w:color="auto"/>
      </w:divBdr>
    </w:div>
    <w:div w:id="993217479">
      <w:bodyDiv w:val="1"/>
      <w:marLeft w:val="0"/>
      <w:marRight w:val="0"/>
      <w:marTop w:val="0"/>
      <w:marBottom w:val="0"/>
      <w:divBdr>
        <w:top w:val="none" w:sz="0" w:space="0" w:color="auto"/>
        <w:left w:val="none" w:sz="0" w:space="0" w:color="auto"/>
        <w:bottom w:val="none" w:sz="0" w:space="0" w:color="auto"/>
        <w:right w:val="none" w:sz="0" w:space="0" w:color="auto"/>
      </w:divBdr>
    </w:div>
    <w:div w:id="1001009940">
      <w:bodyDiv w:val="1"/>
      <w:marLeft w:val="0"/>
      <w:marRight w:val="0"/>
      <w:marTop w:val="0"/>
      <w:marBottom w:val="0"/>
      <w:divBdr>
        <w:top w:val="none" w:sz="0" w:space="0" w:color="auto"/>
        <w:left w:val="none" w:sz="0" w:space="0" w:color="auto"/>
        <w:bottom w:val="none" w:sz="0" w:space="0" w:color="auto"/>
        <w:right w:val="none" w:sz="0" w:space="0" w:color="auto"/>
      </w:divBdr>
    </w:div>
    <w:div w:id="1006442984">
      <w:bodyDiv w:val="1"/>
      <w:marLeft w:val="0"/>
      <w:marRight w:val="0"/>
      <w:marTop w:val="0"/>
      <w:marBottom w:val="0"/>
      <w:divBdr>
        <w:top w:val="none" w:sz="0" w:space="0" w:color="auto"/>
        <w:left w:val="none" w:sz="0" w:space="0" w:color="auto"/>
        <w:bottom w:val="none" w:sz="0" w:space="0" w:color="auto"/>
        <w:right w:val="none" w:sz="0" w:space="0" w:color="auto"/>
      </w:divBdr>
      <w:divsChild>
        <w:div w:id="1392118563">
          <w:marLeft w:val="0"/>
          <w:marRight w:val="0"/>
          <w:marTop w:val="0"/>
          <w:marBottom w:val="0"/>
          <w:divBdr>
            <w:top w:val="none" w:sz="0" w:space="0" w:color="auto"/>
            <w:left w:val="none" w:sz="0" w:space="0" w:color="auto"/>
            <w:bottom w:val="none" w:sz="0" w:space="0" w:color="auto"/>
            <w:right w:val="none" w:sz="0" w:space="0" w:color="auto"/>
          </w:divBdr>
        </w:div>
      </w:divsChild>
    </w:div>
    <w:div w:id="1017148725">
      <w:bodyDiv w:val="1"/>
      <w:marLeft w:val="0"/>
      <w:marRight w:val="0"/>
      <w:marTop w:val="0"/>
      <w:marBottom w:val="0"/>
      <w:divBdr>
        <w:top w:val="none" w:sz="0" w:space="0" w:color="auto"/>
        <w:left w:val="none" w:sz="0" w:space="0" w:color="auto"/>
        <w:bottom w:val="none" w:sz="0" w:space="0" w:color="auto"/>
        <w:right w:val="none" w:sz="0" w:space="0" w:color="auto"/>
      </w:divBdr>
    </w:div>
    <w:div w:id="1032073076">
      <w:bodyDiv w:val="1"/>
      <w:marLeft w:val="0"/>
      <w:marRight w:val="0"/>
      <w:marTop w:val="0"/>
      <w:marBottom w:val="0"/>
      <w:divBdr>
        <w:top w:val="none" w:sz="0" w:space="0" w:color="auto"/>
        <w:left w:val="none" w:sz="0" w:space="0" w:color="auto"/>
        <w:bottom w:val="none" w:sz="0" w:space="0" w:color="auto"/>
        <w:right w:val="none" w:sz="0" w:space="0" w:color="auto"/>
      </w:divBdr>
      <w:divsChild>
        <w:div w:id="119614559">
          <w:marLeft w:val="0"/>
          <w:marRight w:val="0"/>
          <w:marTop w:val="0"/>
          <w:marBottom w:val="0"/>
          <w:divBdr>
            <w:top w:val="none" w:sz="0" w:space="0" w:color="auto"/>
            <w:left w:val="none" w:sz="0" w:space="0" w:color="auto"/>
            <w:bottom w:val="none" w:sz="0" w:space="0" w:color="auto"/>
            <w:right w:val="none" w:sz="0" w:space="0" w:color="auto"/>
          </w:divBdr>
        </w:div>
      </w:divsChild>
    </w:div>
    <w:div w:id="1082338742">
      <w:bodyDiv w:val="1"/>
      <w:marLeft w:val="0"/>
      <w:marRight w:val="0"/>
      <w:marTop w:val="0"/>
      <w:marBottom w:val="0"/>
      <w:divBdr>
        <w:top w:val="none" w:sz="0" w:space="0" w:color="auto"/>
        <w:left w:val="none" w:sz="0" w:space="0" w:color="auto"/>
        <w:bottom w:val="none" w:sz="0" w:space="0" w:color="auto"/>
        <w:right w:val="none" w:sz="0" w:space="0" w:color="auto"/>
      </w:divBdr>
    </w:div>
    <w:div w:id="1105879127">
      <w:bodyDiv w:val="1"/>
      <w:marLeft w:val="0"/>
      <w:marRight w:val="0"/>
      <w:marTop w:val="0"/>
      <w:marBottom w:val="0"/>
      <w:divBdr>
        <w:top w:val="none" w:sz="0" w:space="0" w:color="auto"/>
        <w:left w:val="none" w:sz="0" w:space="0" w:color="auto"/>
        <w:bottom w:val="none" w:sz="0" w:space="0" w:color="auto"/>
        <w:right w:val="none" w:sz="0" w:space="0" w:color="auto"/>
      </w:divBdr>
    </w:div>
    <w:div w:id="1160342997">
      <w:bodyDiv w:val="1"/>
      <w:marLeft w:val="0"/>
      <w:marRight w:val="0"/>
      <w:marTop w:val="0"/>
      <w:marBottom w:val="0"/>
      <w:divBdr>
        <w:top w:val="none" w:sz="0" w:space="0" w:color="auto"/>
        <w:left w:val="none" w:sz="0" w:space="0" w:color="auto"/>
        <w:bottom w:val="none" w:sz="0" w:space="0" w:color="auto"/>
        <w:right w:val="none" w:sz="0" w:space="0" w:color="auto"/>
      </w:divBdr>
    </w:div>
    <w:div w:id="1176270423">
      <w:bodyDiv w:val="1"/>
      <w:marLeft w:val="0"/>
      <w:marRight w:val="0"/>
      <w:marTop w:val="0"/>
      <w:marBottom w:val="0"/>
      <w:divBdr>
        <w:top w:val="none" w:sz="0" w:space="0" w:color="auto"/>
        <w:left w:val="none" w:sz="0" w:space="0" w:color="auto"/>
        <w:bottom w:val="none" w:sz="0" w:space="0" w:color="auto"/>
        <w:right w:val="none" w:sz="0" w:space="0" w:color="auto"/>
      </w:divBdr>
    </w:div>
    <w:div w:id="1179392132">
      <w:bodyDiv w:val="1"/>
      <w:marLeft w:val="0"/>
      <w:marRight w:val="0"/>
      <w:marTop w:val="0"/>
      <w:marBottom w:val="0"/>
      <w:divBdr>
        <w:top w:val="none" w:sz="0" w:space="0" w:color="auto"/>
        <w:left w:val="none" w:sz="0" w:space="0" w:color="auto"/>
        <w:bottom w:val="none" w:sz="0" w:space="0" w:color="auto"/>
        <w:right w:val="none" w:sz="0" w:space="0" w:color="auto"/>
      </w:divBdr>
      <w:divsChild>
        <w:div w:id="1276063709">
          <w:marLeft w:val="0"/>
          <w:marRight w:val="0"/>
          <w:marTop w:val="0"/>
          <w:marBottom w:val="0"/>
          <w:divBdr>
            <w:top w:val="none" w:sz="0" w:space="0" w:color="auto"/>
            <w:left w:val="none" w:sz="0" w:space="0" w:color="auto"/>
            <w:bottom w:val="none" w:sz="0" w:space="0" w:color="auto"/>
            <w:right w:val="none" w:sz="0" w:space="0" w:color="auto"/>
          </w:divBdr>
          <w:divsChild>
            <w:div w:id="587230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2379367">
      <w:bodyDiv w:val="1"/>
      <w:marLeft w:val="0"/>
      <w:marRight w:val="0"/>
      <w:marTop w:val="0"/>
      <w:marBottom w:val="0"/>
      <w:divBdr>
        <w:top w:val="none" w:sz="0" w:space="0" w:color="auto"/>
        <w:left w:val="none" w:sz="0" w:space="0" w:color="auto"/>
        <w:bottom w:val="none" w:sz="0" w:space="0" w:color="auto"/>
        <w:right w:val="none" w:sz="0" w:space="0" w:color="auto"/>
      </w:divBdr>
    </w:div>
    <w:div w:id="1221474918">
      <w:bodyDiv w:val="1"/>
      <w:marLeft w:val="0"/>
      <w:marRight w:val="0"/>
      <w:marTop w:val="0"/>
      <w:marBottom w:val="0"/>
      <w:divBdr>
        <w:top w:val="none" w:sz="0" w:space="0" w:color="auto"/>
        <w:left w:val="none" w:sz="0" w:space="0" w:color="auto"/>
        <w:bottom w:val="none" w:sz="0" w:space="0" w:color="auto"/>
        <w:right w:val="none" w:sz="0" w:space="0" w:color="auto"/>
      </w:divBdr>
      <w:divsChild>
        <w:div w:id="1466968145">
          <w:marLeft w:val="0"/>
          <w:marRight w:val="0"/>
          <w:marTop w:val="0"/>
          <w:marBottom w:val="0"/>
          <w:divBdr>
            <w:top w:val="none" w:sz="0" w:space="0" w:color="auto"/>
            <w:left w:val="none" w:sz="0" w:space="0" w:color="auto"/>
            <w:bottom w:val="none" w:sz="0" w:space="0" w:color="auto"/>
            <w:right w:val="none" w:sz="0" w:space="0" w:color="auto"/>
          </w:divBdr>
        </w:div>
      </w:divsChild>
    </w:div>
    <w:div w:id="1237015077">
      <w:bodyDiv w:val="1"/>
      <w:marLeft w:val="0"/>
      <w:marRight w:val="0"/>
      <w:marTop w:val="0"/>
      <w:marBottom w:val="0"/>
      <w:divBdr>
        <w:top w:val="none" w:sz="0" w:space="0" w:color="auto"/>
        <w:left w:val="none" w:sz="0" w:space="0" w:color="auto"/>
        <w:bottom w:val="none" w:sz="0" w:space="0" w:color="auto"/>
        <w:right w:val="none" w:sz="0" w:space="0" w:color="auto"/>
      </w:divBdr>
    </w:div>
    <w:div w:id="1241255114">
      <w:bodyDiv w:val="1"/>
      <w:marLeft w:val="0"/>
      <w:marRight w:val="0"/>
      <w:marTop w:val="0"/>
      <w:marBottom w:val="0"/>
      <w:divBdr>
        <w:top w:val="none" w:sz="0" w:space="0" w:color="auto"/>
        <w:left w:val="none" w:sz="0" w:space="0" w:color="auto"/>
        <w:bottom w:val="none" w:sz="0" w:space="0" w:color="auto"/>
        <w:right w:val="none" w:sz="0" w:space="0" w:color="auto"/>
      </w:divBdr>
    </w:div>
    <w:div w:id="1292711040">
      <w:bodyDiv w:val="1"/>
      <w:marLeft w:val="0"/>
      <w:marRight w:val="0"/>
      <w:marTop w:val="0"/>
      <w:marBottom w:val="0"/>
      <w:divBdr>
        <w:top w:val="none" w:sz="0" w:space="0" w:color="auto"/>
        <w:left w:val="none" w:sz="0" w:space="0" w:color="auto"/>
        <w:bottom w:val="none" w:sz="0" w:space="0" w:color="auto"/>
        <w:right w:val="none" w:sz="0" w:space="0" w:color="auto"/>
      </w:divBdr>
    </w:div>
    <w:div w:id="1295796900">
      <w:bodyDiv w:val="1"/>
      <w:marLeft w:val="0"/>
      <w:marRight w:val="0"/>
      <w:marTop w:val="0"/>
      <w:marBottom w:val="0"/>
      <w:divBdr>
        <w:top w:val="none" w:sz="0" w:space="0" w:color="auto"/>
        <w:left w:val="none" w:sz="0" w:space="0" w:color="auto"/>
        <w:bottom w:val="none" w:sz="0" w:space="0" w:color="auto"/>
        <w:right w:val="none" w:sz="0" w:space="0" w:color="auto"/>
      </w:divBdr>
    </w:div>
    <w:div w:id="1307667763">
      <w:bodyDiv w:val="1"/>
      <w:marLeft w:val="0"/>
      <w:marRight w:val="0"/>
      <w:marTop w:val="0"/>
      <w:marBottom w:val="0"/>
      <w:divBdr>
        <w:top w:val="none" w:sz="0" w:space="0" w:color="auto"/>
        <w:left w:val="none" w:sz="0" w:space="0" w:color="auto"/>
        <w:bottom w:val="none" w:sz="0" w:space="0" w:color="auto"/>
        <w:right w:val="none" w:sz="0" w:space="0" w:color="auto"/>
      </w:divBdr>
    </w:div>
    <w:div w:id="1330716690">
      <w:bodyDiv w:val="1"/>
      <w:marLeft w:val="0"/>
      <w:marRight w:val="0"/>
      <w:marTop w:val="0"/>
      <w:marBottom w:val="0"/>
      <w:divBdr>
        <w:top w:val="none" w:sz="0" w:space="0" w:color="auto"/>
        <w:left w:val="none" w:sz="0" w:space="0" w:color="auto"/>
        <w:bottom w:val="none" w:sz="0" w:space="0" w:color="auto"/>
        <w:right w:val="none" w:sz="0" w:space="0" w:color="auto"/>
      </w:divBdr>
    </w:div>
    <w:div w:id="1368146029">
      <w:bodyDiv w:val="1"/>
      <w:marLeft w:val="0"/>
      <w:marRight w:val="0"/>
      <w:marTop w:val="0"/>
      <w:marBottom w:val="0"/>
      <w:divBdr>
        <w:top w:val="none" w:sz="0" w:space="0" w:color="auto"/>
        <w:left w:val="none" w:sz="0" w:space="0" w:color="auto"/>
        <w:bottom w:val="none" w:sz="0" w:space="0" w:color="auto"/>
        <w:right w:val="none" w:sz="0" w:space="0" w:color="auto"/>
      </w:divBdr>
    </w:div>
    <w:div w:id="1379822595">
      <w:bodyDiv w:val="1"/>
      <w:marLeft w:val="0"/>
      <w:marRight w:val="0"/>
      <w:marTop w:val="0"/>
      <w:marBottom w:val="0"/>
      <w:divBdr>
        <w:top w:val="none" w:sz="0" w:space="0" w:color="auto"/>
        <w:left w:val="none" w:sz="0" w:space="0" w:color="auto"/>
        <w:bottom w:val="none" w:sz="0" w:space="0" w:color="auto"/>
        <w:right w:val="none" w:sz="0" w:space="0" w:color="auto"/>
      </w:divBdr>
      <w:divsChild>
        <w:div w:id="2090807178">
          <w:marLeft w:val="0"/>
          <w:marRight w:val="0"/>
          <w:marTop w:val="0"/>
          <w:marBottom w:val="0"/>
          <w:divBdr>
            <w:top w:val="none" w:sz="0" w:space="0" w:color="auto"/>
            <w:left w:val="none" w:sz="0" w:space="0" w:color="auto"/>
            <w:bottom w:val="none" w:sz="0" w:space="0" w:color="auto"/>
            <w:right w:val="none" w:sz="0" w:space="0" w:color="auto"/>
          </w:divBdr>
        </w:div>
      </w:divsChild>
    </w:div>
    <w:div w:id="1379940775">
      <w:bodyDiv w:val="1"/>
      <w:marLeft w:val="0"/>
      <w:marRight w:val="0"/>
      <w:marTop w:val="0"/>
      <w:marBottom w:val="0"/>
      <w:divBdr>
        <w:top w:val="none" w:sz="0" w:space="0" w:color="auto"/>
        <w:left w:val="none" w:sz="0" w:space="0" w:color="auto"/>
        <w:bottom w:val="none" w:sz="0" w:space="0" w:color="auto"/>
        <w:right w:val="none" w:sz="0" w:space="0" w:color="auto"/>
      </w:divBdr>
    </w:div>
    <w:div w:id="1395858916">
      <w:bodyDiv w:val="1"/>
      <w:marLeft w:val="0"/>
      <w:marRight w:val="0"/>
      <w:marTop w:val="0"/>
      <w:marBottom w:val="0"/>
      <w:divBdr>
        <w:top w:val="none" w:sz="0" w:space="0" w:color="auto"/>
        <w:left w:val="none" w:sz="0" w:space="0" w:color="auto"/>
        <w:bottom w:val="none" w:sz="0" w:space="0" w:color="auto"/>
        <w:right w:val="none" w:sz="0" w:space="0" w:color="auto"/>
      </w:divBdr>
      <w:divsChild>
        <w:div w:id="646590816">
          <w:marLeft w:val="0"/>
          <w:marRight w:val="0"/>
          <w:marTop w:val="0"/>
          <w:marBottom w:val="0"/>
          <w:divBdr>
            <w:top w:val="none" w:sz="0" w:space="0" w:color="auto"/>
            <w:left w:val="none" w:sz="0" w:space="0" w:color="auto"/>
            <w:bottom w:val="none" w:sz="0" w:space="0" w:color="auto"/>
            <w:right w:val="none" w:sz="0" w:space="0" w:color="auto"/>
          </w:divBdr>
        </w:div>
      </w:divsChild>
    </w:div>
    <w:div w:id="1419987941">
      <w:bodyDiv w:val="1"/>
      <w:marLeft w:val="0"/>
      <w:marRight w:val="0"/>
      <w:marTop w:val="0"/>
      <w:marBottom w:val="0"/>
      <w:divBdr>
        <w:top w:val="none" w:sz="0" w:space="0" w:color="auto"/>
        <w:left w:val="none" w:sz="0" w:space="0" w:color="auto"/>
        <w:bottom w:val="none" w:sz="0" w:space="0" w:color="auto"/>
        <w:right w:val="none" w:sz="0" w:space="0" w:color="auto"/>
      </w:divBdr>
    </w:div>
    <w:div w:id="1422675623">
      <w:bodyDiv w:val="1"/>
      <w:marLeft w:val="0"/>
      <w:marRight w:val="0"/>
      <w:marTop w:val="0"/>
      <w:marBottom w:val="0"/>
      <w:divBdr>
        <w:top w:val="none" w:sz="0" w:space="0" w:color="auto"/>
        <w:left w:val="none" w:sz="0" w:space="0" w:color="auto"/>
        <w:bottom w:val="none" w:sz="0" w:space="0" w:color="auto"/>
        <w:right w:val="none" w:sz="0" w:space="0" w:color="auto"/>
      </w:divBdr>
    </w:div>
    <w:div w:id="1442843171">
      <w:bodyDiv w:val="1"/>
      <w:marLeft w:val="0"/>
      <w:marRight w:val="0"/>
      <w:marTop w:val="0"/>
      <w:marBottom w:val="0"/>
      <w:divBdr>
        <w:top w:val="none" w:sz="0" w:space="0" w:color="auto"/>
        <w:left w:val="none" w:sz="0" w:space="0" w:color="auto"/>
        <w:bottom w:val="none" w:sz="0" w:space="0" w:color="auto"/>
        <w:right w:val="none" w:sz="0" w:space="0" w:color="auto"/>
      </w:divBdr>
    </w:div>
    <w:div w:id="1446267127">
      <w:bodyDiv w:val="1"/>
      <w:marLeft w:val="0"/>
      <w:marRight w:val="0"/>
      <w:marTop w:val="0"/>
      <w:marBottom w:val="0"/>
      <w:divBdr>
        <w:top w:val="none" w:sz="0" w:space="0" w:color="auto"/>
        <w:left w:val="none" w:sz="0" w:space="0" w:color="auto"/>
        <w:bottom w:val="none" w:sz="0" w:space="0" w:color="auto"/>
        <w:right w:val="none" w:sz="0" w:space="0" w:color="auto"/>
      </w:divBdr>
      <w:divsChild>
        <w:div w:id="359084738">
          <w:marLeft w:val="0"/>
          <w:marRight w:val="0"/>
          <w:marTop w:val="0"/>
          <w:marBottom w:val="0"/>
          <w:divBdr>
            <w:top w:val="none" w:sz="0" w:space="0" w:color="auto"/>
            <w:left w:val="none" w:sz="0" w:space="0" w:color="auto"/>
            <w:bottom w:val="none" w:sz="0" w:space="0" w:color="auto"/>
            <w:right w:val="none" w:sz="0" w:space="0" w:color="auto"/>
          </w:divBdr>
        </w:div>
      </w:divsChild>
    </w:div>
    <w:div w:id="1542472514">
      <w:bodyDiv w:val="1"/>
      <w:marLeft w:val="0"/>
      <w:marRight w:val="0"/>
      <w:marTop w:val="0"/>
      <w:marBottom w:val="0"/>
      <w:divBdr>
        <w:top w:val="none" w:sz="0" w:space="0" w:color="auto"/>
        <w:left w:val="none" w:sz="0" w:space="0" w:color="auto"/>
        <w:bottom w:val="none" w:sz="0" w:space="0" w:color="auto"/>
        <w:right w:val="none" w:sz="0" w:space="0" w:color="auto"/>
      </w:divBdr>
    </w:div>
    <w:div w:id="1547372110">
      <w:bodyDiv w:val="1"/>
      <w:marLeft w:val="0"/>
      <w:marRight w:val="0"/>
      <w:marTop w:val="0"/>
      <w:marBottom w:val="0"/>
      <w:divBdr>
        <w:top w:val="none" w:sz="0" w:space="0" w:color="auto"/>
        <w:left w:val="none" w:sz="0" w:space="0" w:color="auto"/>
        <w:bottom w:val="none" w:sz="0" w:space="0" w:color="auto"/>
        <w:right w:val="none" w:sz="0" w:space="0" w:color="auto"/>
      </w:divBdr>
      <w:divsChild>
        <w:div w:id="943535313">
          <w:marLeft w:val="0"/>
          <w:marRight w:val="0"/>
          <w:marTop w:val="0"/>
          <w:marBottom w:val="0"/>
          <w:divBdr>
            <w:top w:val="none" w:sz="0" w:space="0" w:color="auto"/>
            <w:left w:val="none" w:sz="0" w:space="0" w:color="auto"/>
            <w:bottom w:val="none" w:sz="0" w:space="0" w:color="auto"/>
            <w:right w:val="none" w:sz="0" w:space="0" w:color="auto"/>
          </w:divBdr>
        </w:div>
      </w:divsChild>
    </w:div>
    <w:div w:id="1562323716">
      <w:bodyDiv w:val="1"/>
      <w:marLeft w:val="0"/>
      <w:marRight w:val="0"/>
      <w:marTop w:val="0"/>
      <w:marBottom w:val="0"/>
      <w:divBdr>
        <w:top w:val="none" w:sz="0" w:space="0" w:color="auto"/>
        <w:left w:val="none" w:sz="0" w:space="0" w:color="auto"/>
        <w:bottom w:val="none" w:sz="0" w:space="0" w:color="auto"/>
        <w:right w:val="none" w:sz="0" w:space="0" w:color="auto"/>
      </w:divBdr>
      <w:divsChild>
        <w:div w:id="2037653252">
          <w:marLeft w:val="0"/>
          <w:marRight w:val="0"/>
          <w:marTop w:val="0"/>
          <w:marBottom w:val="0"/>
          <w:divBdr>
            <w:top w:val="none" w:sz="0" w:space="0" w:color="auto"/>
            <w:left w:val="none" w:sz="0" w:space="0" w:color="auto"/>
            <w:bottom w:val="none" w:sz="0" w:space="0" w:color="auto"/>
            <w:right w:val="none" w:sz="0" w:space="0" w:color="auto"/>
          </w:divBdr>
        </w:div>
      </w:divsChild>
    </w:div>
    <w:div w:id="1565144019">
      <w:bodyDiv w:val="1"/>
      <w:marLeft w:val="0"/>
      <w:marRight w:val="0"/>
      <w:marTop w:val="0"/>
      <w:marBottom w:val="0"/>
      <w:divBdr>
        <w:top w:val="none" w:sz="0" w:space="0" w:color="auto"/>
        <w:left w:val="none" w:sz="0" w:space="0" w:color="auto"/>
        <w:bottom w:val="none" w:sz="0" w:space="0" w:color="auto"/>
        <w:right w:val="none" w:sz="0" w:space="0" w:color="auto"/>
      </w:divBdr>
    </w:div>
    <w:div w:id="1568878827">
      <w:bodyDiv w:val="1"/>
      <w:marLeft w:val="0"/>
      <w:marRight w:val="0"/>
      <w:marTop w:val="0"/>
      <w:marBottom w:val="0"/>
      <w:divBdr>
        <w:top w:val="none" w:sz="0" w:space="0" w:color="auto"/>
        <w:left w:val="none" w:sz="0" w:space="0" w:color="auto"/>
        <w:bottom w:val="none" w:sz="0" w:space="0" w:color="auto"/>
        <w:right w:val="none" w:sz="0" w:space="0" w:color="auto"/>
      </w:divBdr>
    </w:div>
    <w:div w:id="1614629035">
      <w:bodyDiv w:val="1"/>
      <w:marLeft w:val="0"/>
      <w:marRight w:val="0"/>
      <w:marTop w:val="0"/>
      <w:marBottom w:val="0"/>
      <w:divBdr>
        <w:top w:val="none" w:sz="0" w:space="0" w:color="auto"/>
        <w:left w:val="none" w:sz="0" w:space="0" w:color="auto"/>
        <w:bottom w:val="none" w:sz="0" w:space="0" w:color="auto"/>
        <w:right w:val="none" w:sz="0" w:space="0" w:color="auto"/>
      </w:divBdr>
    </w:div>
    <w:div w:id="1637301358">
      <w:bodyDiv w:val="1"/>
      <w:marLeft w:val="0"/>
      <w:marRight w:val="0"/>
      <w:marTop w:val="0"/>
      <w:marBottom w:val="0"/>
      <w:divBdr>
        <w:top w:val="none" w:sz="0" w:space="0" w:color="auto"/>
        <w:left w:val="none" w:sz="0" w:space="0" w:color="auto"/>
        <w:bottom w:val="none" w:sz="0" w:space="0" w:color="auto"/>
        <w:right w:val="none" w:sz="0" w:space="0" w:color="auto"/>
      </w:divBdr>
    </w:div>
    <w:div w:id="1659070901">
      <w:bodyDiv w:val="1"/>
      <w:marLeft w:val="0"/>
      <w:marRight w:val="0"/>
      <w:marTop w:val="0"/>
      <w:marBottom w:val="0"/>
      <w:divBdr>
        <w:top w:val="none" w:sz="0" w:space="0" w:color="auto"/>
        <w:left w:val="none" w:sz="0" w:space="0" w:color="auto"/>
        <w:bottom w:val="none" w:sz="0" w:space="0" w:color="auto"/>
        <w:right w:val="none" w:sz="0" w:space="0" w:color="auto"/>
      </w:divBdr>
    </w:div>
    <w:div w:id="1674409559">
      <w:bodyDiv w:val="1"/>
      <w:marLeft w:val="0"/>
      <w:marRight w:val="0"/>
      <w:marTop w:val="0"/>
      <w:marBottom w:val="0"/>
      <w:divBdr>
        <w:top w:val="none" w:sz="0" w:space="0" w:color="auto"/>
        <w:left w:val="none" w:sz="0" w:space="0" w:color="auto"/>
        <w:bottom w:val="none" w:sz="0" w:space="0" w:color="auto"/>
        <w:right w:val="none" w:sz="0" w:space="0" w:color="auto"/>
      </w:divBdr>
    </w:div>
    <w:div w:id="1680084665">
      <w:bodyDiv w:val="1"/>
      <w:marLeft w:val="0"/>
      <w:marRight w:val="0"/>
      <w:marTop w:val="0"/>
      <w:marBottom w:val="0"/>
      <w:divBdr>
        <w:top w:val="none" w:sz="0" w:space="0" w:color="auto"/>
        <w:left w:val="none" w:sz="0" w:space="0" w:color="auto"/>
        <w:bottom w:val="none" w:sz="0" w:space="0" w:color="auto"/>
        <w:right w:val="none" w:sz="0" w:space="0" w:color="auto"/>
      </w:divBdr>
    </w:div>
    <w:div w:id="1712999436">
      <w:bodyDiv w:val="1"/>
      <w:marLeft w:val="0"/>
      <w:marRight w:val="0"/>
      <w:marTop w:val="0"/>
      <w:marBottom w:val="0"/>
      <w:divBdr>
        <w:top w:val="none" w:sz="0" w:space="0" w:color="auto"/>
        <w:left w:val="none" w:sz="0" w:space="0" w:color="auto"/>
        <w:bottom w:val="none" w:sz="0" w:space="0" w:color="auto"/>
        <w:right w:val="none" w:sz="0" w:space="0" w:color="auto"/>
      </w:divBdr>
    </w:div>
    <w:div w:id="1717317974">
      <w:bodyDiv w:val="1"/>
      <w:marLeft w:val="0"/>
      <w:marRight w:val="0"/>
      <w:marTop w:val="0"/>
      <w:marBottom w:val="0"/>
      <w:divBdr>
        <w:top w:val="none" w:sz="0" w:space="0" w:color="auto"/>
        <w:left w:val="none" w:sz="0" w:space="0" w:color="auto"/>
        <w:bottom w:val="none" w:sz="0" w:space="0" w:color="auto"/>
        <w:right w:val="none" w:sz="0" w:space="0" w:color="auto"/>
      </w:divBdr>
      <w:divsChild>
        <w:div w:id="2013560139">
          <w:marLeft w:val="0"/>
          <w:marRight w:val="0"/>
          <w:marTop w:val="0"/>
          <w:marBottom w:val="0"/>
          <w:divBdr>
            <w:top w:val="none" w:sz="0" w:space="0" w:color="auto"/>
            <w:left w:val="none" w:sz="0" w:space="0" w:color="auto"/>
            <w:bottom w:val="none" w:sz="0" w:space="0" w:color="auto"/>
            <w:right w:val="none" w:sz="0" w:space="0" w:color="auto"/>
          </w:divBdr>
        </w:div>
      </w:divsChild>
    </w:div>
    <w:div w:id="1726416654">
      <w:bodyDiv w:val="1"/>
      <w:marLeft w:val="0"/>
      <w:marRight w:val="0"/>
      <w:marTop w:val="0"/>
      <w:marBottom w:val="0"/>
      <w:divBdr>
        <w:top w:val="none" w:sz="0" w:space="0" w:color="auto"/>
        <w:left w:val="none" w:sz="0" w:space="0" w:color="auto"/>
        <w:bottom w:val="none" w:sz="0" w:space="0" w:color="auto"/>
        <w:right w:val="none" w:sz="0" w:space="0" w:color="auto"/>
      </w:divBdr>
    </w:div>
    <w:div w:id="1727409444">
      <w:bodyDiv w:val="1"/>
      <w:marLeft w:val="0"/>
      <w:marRight w:val="0"/>
      <w:marTop w:val="0"/>
      <w:marBottom w:val="0"/>
      <w:divBdr>
        <w:top w:val="none" w:sz="0" w:space="0" w:color="auto"/>
        <w:left w:val="none" w:sz="0" w:space="0" w:color="auto"/>
        <w:bottom w:val="none" w:sz="0" w:space="0" w:color="auto"/>
        <w:right w:val="none" w:sz="0" w:space="0" w:color="auto"/>
      </w:divBdr>
      <w:divsChild>
        <w:div w:id="576401564">
          <w:marLeft w:val="0"/>
          <w:marRight w:val="0"/>
          <w:marTop w:val="0"/>
          <w:marBottom w:val="0"/>
          <w:divBdr>
            <w:top w:val="none" w:sz="0" w:space="0" w:color="auto"/>
            <w:left w:val="none" w:sz="0" w:space="0" w:color="auto"/>
            <w:bottom w:val="none" w:sz="0" w:space="0" w:color="auto"/>
            <w:right w:val="none" w:sz="0" w:space="0" w:color="auto"/>
          </w:divBdr>
        </w:div>
      </w:divsChild>
    </w:div>
    <w:div w:id="1752655564">
      <w:bodyDiv w:val="1"/>
      <w:marLeft w:val="0"/>
      <w:marRight w:val="0"/>
      <w:marTop w:val="0"/>
      <w:marBottom w:val="0"/>
      <w:divBdr>
        <w:top w:val="none" w:sz="0" w:space="0" w:color="auto"/>
        <w:left w:val="none" w:sz="0" w:space="0" w:color="auto"/>
        <w:bottom w:val="none" w:sz="0" w:space="0" w:color="auto"/>
        <w:right w:val="none" w:sz="0" w:space="0" w:color="auto"/>
      </w:divBdr>
    </w:div>
    <w:div w:id="1790313354">
      <w:bodyDiv w:val="1"/>
      <w:marLeft w:val="0"/>
      <w:marRight w:val="0"/>
      <w:marTop w:val="0"/>
      <w:marBottom w:val="0"/>
      <w:divBdr>
        <w:top w:val="none" w:sz="0" w:space="0" w:color="auto"/>
        <w:left w:val="none" w:sz="0" w:space="0" w:color="auto"/>
        <w:bottom w:val="none" w:sz="0" w:space="0" w:color="auto"/>
        <w:right w:val="none" w:sz="0" w:space="0" w:color="auto"/>
      </w:divBdr>
    </w:div>
    <w:div w:id="1798646870">
      <w:bodyDiv w:val="1"/>
      <w:marLeft w:val="0"/>
      <w:marRight w:val="0"/>
      <w:marTop w:val="0"/>
      <w:marBottom w:val="0"/>
      <w:divBdr>
        <w:top w:val="none" w:sz="0" w:space="0" w:color="auto"/>
        <w:left w:val="none" w:sz="0" w:space="0" w:color="auto"/>
        <w:bottom w:val="none" w:sz="0" w:space="0" w:color="auto"/>
        <w:right w:val="none" w:sz="0" w:space="0" w:color="auto"/>
      </w:divBdr>
    </w:div>
    <w:div w:id="1800803080">
      <w:bodyDiv w:val="1"/>
      <w:marLeft w:val="0"/>
      <w:marRight w:val="0"/>
      <w:marTop w:val="0"/>
      <w:marBottom w:val="0"/>
      <w:divBdr>
        <w:top w:val="none" w:sz="0" w:space="0" w:color="auto"/>
        <w:left w:val="none" w:sz="0" w:space="0" w:color="auto"/>
        <w:bottom w:val="none" w:sz="0" w:space="0" w:color="auto"/>
        <w:right w:val="none" w:sz="0" w:space="0" w:color="auto"/>
      </w:divBdr>
      <w:divsChild>
        <w:div w:id="129788054">
          <w:marLeft w:val="0"/>
          <w:marRight w:val="0"/>
          <w:marTop w:val="0"/>
          <w:marBottom w:val="0"/>
          <w:divBdr>
            <w:top w:val="none" w:sz="0" w:space="0" w:color="auto"/>
            <w:left w:val="none" w:sz="0" w:space="0" w:color="auto"/>
            <w:bottom w:val="none" w:sz="0" w:space="0" w:color="auto"/>
            <w:right w:val="none" w:sz="0" w:space="0" w:color="auto"/>
          </w:divBdr>
        </w:div>
      </w:divsChild>
    </w:div>
    <w:div w:id="1807812446">
      <w:bodyDiv w:val="1"/>
      <w:marLeft w:val="0"/>
      <w:marRight w:val="0"/>
      <w:marTop w:val="0"/>
      <w:marBottom w:val="0"/>
      <w:divBdr>
        <w:top w:val="none" w:sz="0" w:space="0" w:color="auto"/>
        <w:left w:val="none" w:sz="0" w:space="0" w:color="auto"/>
        <w:bottom w:val="none" w:sz="0" w:space="0" w:color="auto"/>
        <w:right w:val="none" w:sz="0" w:space="0" w:color="auto"/>
      </w:divBdr>
    </w:div>
    <w:div w:id="1818451125">
      <w:bodyDiv w:val="1"/>
      <w:marLeft w:val="0"/>
      <w:marRight w:val="0"/>
      <w:marTop w:val="0"/>
      <w:marBottom w:val="0"/>
      <w:divBdr>
        <w:top w:val="none" w:sz="0" w:space="0" w:color="auto"/>
        <w:left w:val="none" w:sz="0" w:space="0" w:color="auto"/>
        <w:bottom w:val="none" w:sz="0" w:space="0" w:color="auto"/>
        <w:right w:val="none" w:sz="0" w:space="0" w:color="auto"/>
      </w:divBdr>
      <w:divsChild>
        <w:div w:id="1535918955">
          <w:marLeft w:val="0"/>
          <w:marRight w:val="0"/>
          <w:marTop w:val="0"/>
          <w:marBottom w:val="0"/>
          <w:divBdr>
            <w:top w:val="none" w:sz="0" w:space="0" w:color="auto"/>
            <w:left w:val="none" w:sz="0" w:space="0" w:color="auto"/>
            <w:bottom w:val="none" w:sz="0" w:space="0" w:color="auto"/>
            <w:right w:val="none" w:sz="0" w:space="0" w:color="auto"/>
          </w:divBdr>
        </w:div>
      </w:divsChild>
    </w:div>
    <w:div w:id="1832140734">
      <w:bodyDiv w:val="1"/>
      <w:marLeft w:val="0"/>
      <w:marRight w:val="0"/>
      <w:marTop w:val="0"/>
      <w:marBottom w:val="0"/>
      <w:divBdr>
        <w:top w:val="none" w:sz="0" w:space="0" w:color="auto"/>
        <w:left w:val="none" w:sz="0" w:space="0" w:color="auto"/>
        <w:bottom w:val="none" w:sz="0" w:space="0" w:color="auto"/>
        <w:right w:val="none" w:sz="0" w:space="0" w:color="auto"/>
      </w:divBdr>
      <w:divsChild>
        <w:div w:id="619922166">
          <w:marLeft w:val="0"/>
          <w:marRight w:val="0"/>
          <w:marTop w:val="0"/>
          <w:marBottom w:val="0"/>
          <w:divBdr>
            <w:top w:val="none" w:sz="0" w:space="0" w:color="auto"/>
            <w:left w:val="none" w:sz="0" w:space="0" w:color="auto"/>
            <w:bottom w:val="none" w:sz="0" w:space="0" w:color="auto"/>
            <w:right w:val="none" w:sz="0" w:space="0" w:color="auto"/>
          </w:divBdr>
        </w:div>
      </w:divsChild>
    </w:div>
    <w:div w:id="1855343012">
      <w:bodyDiv w:val="1"/>
      <w:marLeft w:val="0"/>
      <w:marRight w:val="0"/>
      <w:marTop w:val="0"/>
      <w:marBottom w:val="0"/>
      <w:divBdr>
        <w:top w:val="none" w:sz="0" w:space="0" w:color="auto"/>
        <w:left w:val="none" w:sz="0" w:space="0" w:color="auto"/>
        <w:bottom w:val="none" w:sz="0" w:space="0" w:color="auto"/>
        <w:right w:val="none" w:sz="0" w:space="0" w:color="auto"/>
      </w:divBdr>
      <w:divsChild>
        <w:div w:id="245844049">
          <w:marLeft w:val="0"/>
          <w:marRight w:val="0"/>
          <w:marTop w:val="0"/>
          <w:marBottom w:val="0"/>
          <w:divBdr>
            <w:top w:val="none" w:sz="0" w:space="0" w:color="auto"/>
            <w:left w:val="none" w:sz="0" w:space="0" w:color="auto"/>
            <w:bottom w:val="none" w:sz="0" w:space="0" w:color="auto"/>
            <w:right w:val="none" w:sz="0" w:space="0" w:color="auto"/>
          </w:divBdr>
        </w:div>
      </w:divsChild>
    </w:div>
    <w:div w:id="1855725153">
      <w:bodyDiv w:val="1"/>
      <w:marLeft w:val="0"/>
      <w:marRight w:val="0"/>
      <w:marTop w:val="0"/>
      <w:marBottom w:val="0"/>
      <w:divBdr>
        <w:top w:val="none" w:sz="0" w:space="0" w:color="auto"/>
        <w:left w:val="none" w:sz="0" w:space="0" w:color="auto"/>
        <w:bottom w:val="none" w:sz="0" w:space="0" w:color="auto"/>
        <w:right w:val="none" w:sz="0" w:space="0" w:color="auto"/>
      </w:divBdr>
    </w:div>
    <w:div w:id="1908608520">
      <w:bodyDiv w:val="1"/>
      <w:marLeft w:val="0"/>
      <w:marRight w:val="0"/>
      <w:marTop w:val="0"/>
      <w:marBottom w:val="0"/>
      <w:divBdr>
        <w:top w:val="none" w:sz="0" w:space="0" w:color="auto"/>
        <w:left w:val="none" w:sz="0" w:space="0" w:color="auto"/>
        <w:bottom w:val="none" w:sz="0" w:space="0" w:color="auto"/>
        <w:right w:val="none" w:sz="0" w:space="0" w:color="auto"/>
      </w:divBdr>
      <w:divsChild>
        <w:div w:id="104733477">
          <w:marLeft w:val="0"/>
          <w:marRight w:val="0"/>
          <w:marTop w:val="0"/>
          <w:marBottom w:val="0"/>
          <w:divBdr>
            <w:top w:val="none" w:sz="0" w:space="0" w:color="auto"/>
            <w:left w:val="none" w:sz="0" w:space="0" w:color="auto"/>
            <w:bottom w:val="none" w:sz="0" w:space="0" w:color="auto"/>
            <w:right w:val="none" w:sz="0" w:space="0" w:color="auto"/>
          </w:divBdr>
        </w:div>
      </w:divsChild>
    </w:div>
    <w:div w:id="1917981398">
      <w:bodyDiv w:val="1"/>
      <w:marLeft w:val="0"/>
      <w:marRight w:val="0"/>
      <w:marTop w:val="0"/>
      <w:marBottom w:val="0"/>
      <w:divBdr>
        <w:top w:val="none" w:sz="0" w:space="0" w:color="auto"/>
        <w:left w:val="none" w:sz="0" w:space="0" w:color="auto"/>
        <w:bottom w:val="none" w:sz="0" w:space="0" w:color="auto"/>
        <w:right w:val="none" w:sz="0" w:space="0" w:color="auto"/>
      </w:divBdr>
    </w:div>
    <w:div w:id="1923828197">
      <w:bodyDiv w:val="1"/>
      <w:marLeft w:val="0"/>
      <w:marRight w:val="0"/>
      <w:marTop w:val="0"/>
      <w:marBottom w:val="0"/>
      <w:divBdr>
        <w:top w:val="none" w:sz="0" w:space="0" w:color="auto"/>
        <w:left w:val="none" w:sz="0" w:space="0" w:color="auto"/>
        <w:bottom w:val="none" w:sz="0" w:space="0" w:color="auto"/>
        <w:right w:val="none" w:sz="0" w:space="0" w:color="auto"/>
      </w:divBdr>
      <w:divsChild>
        <w:div w:id="728188649">
          <w:marLeft w:val="0"/>
          <w:marRight w:val="0"/>
          <w:marTop w:val="0"/>
          <w:marBottom w:val="0"/>
          <w:divBdr>
            <w:top w:val="none" w:sz="0" w:space="0" w:color="auto"/>
            <w:left w:val="none" w:sz="0" w:space="0" w:color="auto"/>
            <w:bottom w:val="none" w:sz="0" w:space="0" w:color="auto"/>
            <w:right w:val="none" w:sz="0" w:space="0" w:color="auto"/>
          </w:divBdr>
        </w:div>
      </w:divsChild>
    </w:div>
    <w:div w:id="1931159630">
      <w:bodyDiv w:val="1"/>
      <w:marLeft w:val="0"/>
      <w:marRight w:val="0"/>
      <w:marTop w:val="0"/>
      <w:marBottom w:val="0"/>
      <w:divBdr>
        <w:top w:val="none" w:sz="0" w:space="0" w:color="auto"/>
        <w:left w:val="none" w:sz="0" w:space="0" w:color="auto"/>
        <w:bottom w:val="none" w:sz="0" w:space="0" w:color="auto"/>
        <w:right w:val="none" w:sz="0" w:space="0" w:color="auto"/>
      </w:divBdr>
      <w:divsChild>
        <w:div w:id="839084636">
          <w:marLeft w:val="0"/>
          <w:marRight w:val="0"/>
          <w:marTop w:val="0"/>
          <w:marBottom w:val="0"/>
          <w:divBdr>
            <w:top w:val="none" w:sz="0" w:space="0" w:color="auto"/>
            <w:left w:val="none" w:sz="0" w:space="0" w:color="auto"/>
            <w:bottom w:val="none" w:sz="0" w:space="0" w:color="auto"/>
            <w:right w:val="none" w:sz="0" w:space="0" w:color="auto"/>
          </w:divBdr>
        </w:div>
      </w:divsChild>
    </w:div>
    <w:div w:id="1937594313">
      <w:bodyDiv w:val="1"/>
      <w:marLeft w:val="0"/>
      <w:marRight w:val="0"/>
      <w:marTop w:val="0"/>
      <w:marBottom w:val="0"/>
      <w:divBdr>
        <w:top w:val="none" w:sz="0" w:space="0" w:color="auto"/>
        <w:left w:val="none" w:sz="0" w:space="0" w:color="auto"/>
        <w:bottom w:val="none" w:sz="0" w:space="0" w:color="auto"/>
        <w:right w:val="none" w:sz="0" w:space="0" w:color="auto"/>
      </w:divBdr>
    </w:div>
    <w:div w:id="1961263004">
      <w:bodyDiv w:val="1"/>
      <w:marLeft w:val="0"/>
      <w:marRight w:val="0"/>
      <w:marTop w:val="0"/>
      <w:marBottom w:val="0"/>
      <w:divBdr>
        <w:top w:val="none" w:sz="0" w:space="0" w:color="auto"/>
        <w:left w:val="none" w:sz="0" w:space="0" w:color="auto"/>
        <w:bottom w:val="none" w:sz="0" w:space="0" w:color="auto"/>
        <w:right w:val="none" w:sz="0" w:space="0" w:color="auto"/>
      </w:divBdr>
      <w:divsChild>
        <w:div w:id="567300195">
          <w:marLeft w:val="0"/>
          <w:marRight w:val="0"/>
          <w:marTop w:val="0"/>
          <w:marBottom w:val="0"/>
          <w:divBdr>
            <w:top w:val="none" w:sz="0" w:space="0" w:color="auto"/>
            <w:left w:val="none" w:sz="0" w:space="0" w:color="auto"/>
            <w:bottom w:val="none" w:sz="0" w:space="0" w:color="auto"/>
            <w:right w:val="none" w:sz="0" w:space="0" w:color="auto"/>
          </w:divBdr>
        </w:div>
      </w:divsChild>
    </w:div>
    <w:div w:id="1967806495">
      <w:bodyDiv w:val="1"/>
      <w:marLeft w:val="0"/>
      <w:marRight w:val="0"/>
      <w:marTop w:val="0"/>
      <w:marBottom w:val="0"/>
      <w:divBdr>
        <w:top w:val="none" w:sz="0" w:space="0" w:color="auto"/>
        <w:left w:val="none" w:sz="0" w:space="0" w:color="auto"/>
        <w:bottom w:val="none" w:sz="0" w:space="0" w:color="auto"/>
        <w:right w:val="none" w:sz="0" w:space="0" w:color="auto"/>
      </w:divBdr>
      <w:divsChild>
        <w:div w:id="312149499">
          <w:marLeft w:val="0"/>
          <w:marRight w:val="0"/>
          <w:marTop w:val="0"/>
          <w:marBottom w:val="0"/>
          <w:divBdr>
            <w:top w:val="none" w:sz="0" w:space="0" w:color="auto"/>
            <w:left w:val="none" w:sz="0" w:space="0" w:color="auto"/>
            <w:bottom w:val="none" w:sz="0" w:space="0" w:color="auto"/>
            <w:right w:val="none" w:sz="0" w:space="0" w:color="auto"/>
          </w:divBdr>
        </w:div>
      </w:divsChild>
    </w:div>
    <w:div w:id="1969117602">
      <w:bodyDiv w:val="1"/>
      <w:marLeft w:val="0"/>
      <w:marRight w:val="0"/>
      <w:marTop w:val="0"/>
      <w:marBottom w:val="0"/>
      <w:divBdr>
        <w:top w:val="none" w:sz="0" w:space="0" w:color="auto"/>
        <w:left w:val="none" w:sz="0" w:space="0" w:color="auto"/>
        <w:bottom w:val="none" w:sz="0" w:space="0" w:color="auto"/>
        <w:right w:val="none" w:sz="0" w:space="0" w:color="auto"/>
      </w:divBdr>
      <w:divsChild>
        <w:div w:id="1670209609">
          <w:marLeft w:val="0"/>
          <w:marRight w:val="0"/>
          <w:marTop w:val="0"/>
          <w:marBottom w:val="0"/>
          <w:divBdr>
            <w:top w:val="none" w:sz="0" w:space="0" w:color="auto"/>
            <w:left w:val="none" w:sz="0" w:space="0" w:color="auto"/>
            <w:bottom w:val="none" w:sz="0" w:space="0" w:color="auto"/>
            <w:right w:val="none" w:sz="0" w:space="0" w:color="auto"/>
          </w:divBdr>
        </w:div>
      </w:divsChild>
    </w:div>
    <w:div w:id="1986737651">
      <w:bodyDiv w:val="1"/>
      <w:marLeft w:val="0"/>
      <w:marRight w:val="0"/>
      <w:marTop w:val="0"/>
      <w:marBottom w:val="0"/>
      <w:divBdr>
        <w:top w:val="none" w:sz="0" w:space="0" w:color="auto"/>
        <w:left w:val="none" w:sz="0" w:space="0" w:color="auto"/>
        <w:bottom w:val="none" w:sz="0" w:space="0" w:color="auto"/>
        <w:right w:val="none" w:sz="0" w:space="0" w:color="auto"/>
      </w:divBdr>
      <w:divsChild>
        <w:div w:id="414939371">
          <w:marLeft w:val="0"/>
          <w:marRight w:val="0"/>
          <w:marTop w:val="0"/>
          <w:marBottom w:val="0"/>
          <w:divBdr>
            <w:top w:val="none" w:sz="0" w:space="0" w:color="auto"/>
            <w:left w:val="none" w:sz="0" w:space="0" w:color="auto"/>
            <w:bottom w:val="none" w:sz="0" w:space="0" w:color="auto"/>
            <w:right w:val="none" w:sz="0" w:space="0" w:color="auto"/>
          </w:divBdr>
        </w:div>
      </w:divsChild>
    </w:div>
    <w:div w:id="1999846063">
      <w:bodyDiv w:val="1"/>
      <w:marLeft w:val="0"/>
      <w:marRight w:val="0"/>
      <w:marTop w:val="0"/>
      <w:marBottom w:val="0"/>
      <w:divBdr>
        <w:top w:val="none" w:sz="0" w:space="0" w:color="auto"/>
        <w:left w:val="none" w:sz="0" w:space="0" w:color="auto"/>
        <w:bottom w:val="none" w:sz="0" w:space="0" w:color="auto"/>
        <w:right w:val="none" w:sz="0" w:space="0" w:color="auto"/>
      </w:divBdr>
    </w:div>
    <w:div w:id="2012904708">
      <w:bodyDiv w:val="1"/>
      <w:marLeft w:val="0"/>
      <w:marRight w:val="0"/>
      <w:marTop w:val="0"/>
      <w:marBottom w:val="0"/>
      <w:divBdr>
        <w:top w:val="none" w:sz="0" w:space="0" w:color="auto"/>
        <w:left w:val="none" w:sz="0" w:space="0" w:color="auto"/>
        <w:bottom w:val="none" w:sz="0" w:space="0" w:color="auto"/>
        <w:right w:val="none" w:sz="0" w:space="0" w:color="auto"/>
      </w:divBdr>
    </w:div>
    <w:div w:id="2018380485">
      <w:bodyDiv w:val="1"/>
      <w:marLeft w:val="0"/>
      <w:marRight w:val="0"/>
      <w:marTop w:val="0"/>
      <w:marBottom w:val="0"/>
      <w:divBdr>
        <w:top w:val="none" w:sz="0" w:space="0" w:color="auto"/>
        <w:left w:val="none" w:sz="0" w:space="0" w:color="auto"/>
        <w:bottom w:val="none" w:sz="0" w:space="0" w:color="auto"/>
        <w:right w:val="none" w:sz="0" w:space="0" w:color="auto"/>
      </w:divBdr>
      <w:divsChild>
        <w:div w:id="2010326232">
          <w:marLeft w:val="0"/>
          <w:marRight w:val="0"/>
          <w:marTop w:val="0"/>
          <w:marBottom w:val="0"/>
          <w:divBdr>
            <w:top w:val="none" w:sz="0" w:space="0" w:color="auto"/>
            <w:left w:val="none" w:sz="0" w:space="0" w:color="auto"/>
            <w:bottom w:val="none" w:sz="0" w:space="0" w:color="auto"/>
            <w:right w:val="none" w:sz="0" w:space="0" w:color="auto"/>
          </w:divBdr>
        </w:div>
      </w:divsChild>
    </w:div>
    <w:div w:id="2020348945">
      <w:bodyDiv w:val="1"/>
      <w:marLeft w:val="0"/>
      <w:marRight w:val="0"/>
      <w:marTop w:val="0"/>
      <w:marBottom w:val="0"/>
      <w:divBdr>
        <w:top w:val="none" w:sz="0" w:space="0" w:color="auto"/>
        <w:left w:val="none" w:sz="0" w:space="0" w:color="auto"/>
        <w:bottom w:val="none" w:sz="0" w:space="0" w:color="auto"/>
        <w:right w:val="none" w:sz="0" w:space="0" w:color="auto"/>
      </w:divBdr>
    </w:div>
    <w:div w:id="2031443769">
      <w:bodyDiv w:val="1"/>
      <w:marLeft w:val="0"/>
      <w:marRight w:val="0"/>
      <w:marTop w:val="0"/>
      <w:marBottom w:val="0"/>
      <w:divBdr>
        <w:top w:val="none" w:sz="0" w:space="0" w:color="auto"/>
        <w:left w:val="none" w:sz="0" w:space="0" w:color="auto"/>
        <w:bottom w:val="none" w:sz="0" w:space="0" w:color="auto"/>
        <w:right w:val="none" w:sz="0" w:space="0" w:color="auto"/>
      </w:divBdr>
      <w:divsChild>
        <w:div w:id="650864610">
          <w:marLeft w:val="0"/>
          <w:marRight w:val="0"/>
          <w:marTop w:val="0"/>
          <w:marBottom w:val="0"/>
          <w:divBdr>
            <w:top w:val="none" w:sz="0" w:space="0" w:color="auto"/>
            <w:left w:val="none" w:sz="0" w:space="0" w:color="auto"/>
            <w:bottom w:val="none" w:sz="0" w:space="0" w:color="auto"/>
            <w:right w:val="none" w:sz="0" w:space="0" w:color="auto"/>
          </w:divBdr>
        </w:div>
      </w:divsChild>
    </w:div>
    <w:div w:id="2051487557">
      <w:bodyDiv w:val="1"/>
      <w:marLeft w:val="0"/>
      <w:marRight w:val="0"/>
      <w:marTop w:val="0"/>
      <w:marBottom w:val="0"/>
      <w:divBdr>
        <w:top w:val="none" w:sz="0" w:space="0" w:color="auto"/>
        <w:left w:val="none" w:sz="0" w:space="0" w:color="auto"/>
        <w:bottom w:val="none" w:sz="0" w:space="0" w:color="auto"/>
        <w:right w:val="none" w:sz="0" w:space="0" w:color="auto"/>
      </w:divBdr>
    </w:div>
    <w:div w:id="2100056873">
      <w:bodyDiv w:val="1"/>
      <w:marLeft w:val="0"/>
      <w:marRight w:val="0"/>
      <w:marTop w:val="0"/>
      <w:marBottom w:val="0"/>
      <w:divBdr>
        <w:top w:val="none" w:sz="0" w:space="0" w:color="auto"/>
        <w:left w:val="none" w:sz="0" w:space="0" w:color="auto"/>
        <w:bottom w:val="none" w:sz="0" w:space="0" w:color="auto"/>
        <w:right w:val="none" w:sz="0" w:space="0" w:color="auto"/>
      </w:divBdr>
      <w:divsChild>
        <w:div w:id="1798379515">
          <w:marLeft w:val="0"/>
          <w:marRight w:val="0"/>
          <w:marTop w:val="0"/>
          <w:marBottom w:val="0"/>
          <w:divBdr>
            <w:top w:val="none" w:sz="0" w:space="0" w:color="auto"/>
            <w:left w:val="none" w:sz="0" w:space="0" w:color="auto"/>
            <w:bottom w:val="none" w:sz="0" w:space="0" w:color="auto"/>
            <w:right w:val="none" w:sz="0" w:space="0" w:color="auto"/>
          </w:divBdr>
        </w:div>
      </w:divsChild>
    </w:div>
    <w:div w:id="2106076818">
      <w:bodyDiv w:val="1"/>
      <w:marLeft w:val="0"/>
      <w:marRight w:val="0"/>
      <w:marTop w:val="0"/>
      <w:marBottom w:val="0"/>
      <w:divBdr>
        <w:top w:val="none" w:sz="0" w:space="0" w:color="auto"/>
        <w:left w:val="none" w:sz="0" w:space="0" w:color="auto"/>
        <w:bottom w:val="none" w:sz="0" w:space="0" w:color="auto"/>
        <w:right w:val="none" w:sz="0" w:space="0" w:color="auto"/>
      </w:divBdr>
    </w:div>
    <w:div w:id="2118215215">
      <w:bodyDiv w:val="1"/>
      <w:marLeft w:val="0"/>
      <w:marRight w:val="0"/>
      <w:marTop w:val="0"/>
      <w:marBottom w:val="0"/>
      <w:divBdr>
        <w:top w:val="none" w:sz="0" w:space="0" w:color="auto"/>
        <w:left w:val="none" w:sz="0" w:space="0" w:color="auto"/>
        <w:bottom w:val="none" w:sz="0" w:space="0" w:color="auto"/>
        <w:right w:val="none" w:sz="0" w:space="0" w:color="auto"/>
      </w:divBdr>
    </w:div>
    <w:div w:id="2135439608">
      <w:bodyDiv w:val="1"/>
      <w:marLeft w:val="0"/>
      <w:marRight w:val="0"/>
      <w:marTop w:val="0"/>
      <w:marBottom w:val="0"/>
      <w:divBdr>
        <w:top w:val="none" w:sz="0" w:space="0" w:color="auto"/>
        <w:left w:val="none" w:sz="0" w:space="0" w:color="auto"/>
        <w:bottom w:val="none" w:sz="0" w:space="0" w:color="auto"/>
        <w:right w:val="none" w:sz="0" w:space="0" w:color="auto"/>
      </w:divBdr>
      <w:divsChild>
        <w:div w:id="718895229">
          <w:marLeft w:val="0"/>
          <w:marRight w:val="0"/>
          <w:marTop w:val="0"/>
          <w:marBottom w:val="0"/>
          <w:divBdr>
            <w:top w:val="none" w:sz="0" w:space="0" w:color="auto"/>
            <w:left w:val="none" w:sz="0" w:space="0" w:color="auto"/>
            <w:bottom w:val="none" w:sz="0" w:space="0" w:color="auto"/>
            <w:right w:val="none" w:sz="0" w:space="0" w:color="auto"/>
          </w:divBdr>
        </w:div>
      </w:divsChild>
    </w:div>
    <w:div w:id="2146923129">
      <w:bodyDiv w:val="1"/>
      <w:marLeft w:val="0"/>
      <w:marRight w:val="0"/>
      <w:marTop w:val="0"/>
      <w:marBottom w:val="0"/>
      <w:divBdr>
        <w:top w:val="none" w:sz="0" w:space="0" w:color="auto"/>
        <w:left w:val="none" w:sz="0" w:space="0" w:color="auto"/>
        <w:bottom w:val="none" w:sz="0" w:space="0" w:color="auto"/>
        <w:right w:val="none" w:sz="0" w:space="0" w:color="auto"/>
      </w:divBdr>
      <w:divsChild>
        <w:div w:id="116354303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emf"/><Relationship Id="rId18" Type="http://schemas.openxmlformats.org/officeDocument/2006/relationships/image" Target="media/image11.emf"/><Relationship Id="rId26" Type="http://schemas.openxmlformats.org/officeDocument/2006/relationships/image" Target="media/image19.emf"/><Relationship Id="rId3" Type="http://schemas.openxmlformats.org/officeDocument/2006/relationships/styles" Target="styles.xml"/><Relationship Id="rId21" Type="http://schemas.openxmlformats.org/officeDocument/2006/relationships/image" Target="media/image14.emf"/><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emf"/><Relationship Id="rId17" Type="http://schemas.openxmlformats.org/officeDocument/2006/relationships/image" Target="media/image10.png"/><Relationship Id="rId25" Type="http://schemas.openxmlformats.org/officeDocument/2006/relationships/image" Target="media/image18.emf"/><Relationship Id="rId33"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9.emf"/><Relationship Id="rId20" Type="http://schemas.openxmlformats.org/officeDocument/2006/relationships/image" Target="media/image13.emf"/><Relationship Id="rId29" Type="http://schemas.openxmlformats.org/officeDocument/2006/relationships/image" Target="media/image22.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emf"/><Relationship Id="rId32" Type="http://schemas.openxmlformats.org/officeDocument/2006/relationships/image" Target="media/image25.emf"/><Relationship Id="rId5" Type="http://schemas.openxmlformats.org/officeDocument/2006/relationships/webSettings" Target="webSettings.xml"/><Relationship Id="rId15" Type="http://schemas.openxmlformats.org/officeDocument/2006/relationships/image" Target="media/image8.emf"/><Relationship Id="rId23" Type="http://schemas.openxmlformats.org/officeDocument/2006/relationships/image" Target="media/image16.emf"/><Relationship Id="rId28" Type="http://schemas.openxmlformats.org/officeDocument/2006/relationships/image" Target="media/image21.emf"/><Relationship Id="rId10" Type="http://schemas.openxmlformats.org/officeDocument/2006/relationships/image" Target="media/image3.png"/><Relationship Id="rId19" Type="http://schemas.openxmlformats.org/officeDocument/2006/relationships/image" Target="media/image12.emf"/><Relationship Id="rId31" Type="http://schemas.openxmlformats.org/officeDocument/2006/relationships/image" Target="media/image24.em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emf"/><Relationship Id="rId22" Type="http://schemas.openxmlformats.org/officeDocument/2006/relationships/image" Target="media/image15.emf"/><Relationship Id="rId27" Type="http://schemas.openxmlformats.org/officeDocument/2006/relationships/image" Target="media/image20.emf"/><Relationship Id="rId30" Type="http://schemas.openxmlformats.org/officeDocument/2006/relationships/image" Target="media/image23.emf"/><Relationship Id="rId35" Type="http://schemas.openxmlformats.org/officeDocument/2006/relationships/theme" Target="theme/theme1.xml"/><Relationship Id="rId8" Type="http://schemas.openxmlformats.org/officeDocument/2006/relationships/image" Target="media/image1.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05E2F1-149A-4ABA-B675-DB84835935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53</Pages>
  <Words>11992</Words>
  <Characters>79933</Characters>
  <Application>Microsoft Office Word</Application>
  <DocSecurity>0</DocSecurity>
  <Lines>1271</Lines>
  <Paragraphs>348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Ian Massa-Harris-McFeely</dc:creator>
  <cp:keywords/>
  <dc:description/>
  <cp:lastModifiedBy>Ian Massa-Harris-McFeely</cp:lastModifiedBy>
  <cp:revision>3</cp:revision>
  <dcterms:created xsi:type="dcterms:W3CDTF">2025-12-10T14:24:00Z</dcterms:created>
  <dcterms:modified xsi:type="dcterms:W3CDTF">2025-12-10T14:28:00Z</dcterms:modified>
</cp:coreProperties>
</file>