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6F6F0F6" w14:textId="77777777" w:rsidR="00A44018" w:rsidRPr="00A44018" w:rsidRDefault="00A44018" w:rsidP="00A44018">
      <w:pPr>
        <w:keepNext/>
        <w:keepLines/>
        <w:spacing w:before="240" w:after="0" w:afterAutospacing="1" w:line="252" w:lineRule="auto"/>
        <w:outlineLvl w:val="0"/>
        <w:rPr>
          <w:rFonts w:asciiTheme="majorHAnsi" w:eastAsiaTheme="majorEastAsia" w:hAnsiTheme="majorHAnsi" w:cstheme="majorBidi"/>
          <w:b/>
          <w:bCs/>
          <w:color w:val="2F5496" w:themeColor="accent1" w:themeShade="BF"/>
          <w:sz w:val="32"/>
          <w:szCs w:val="32"/>
        </w:rPr>
      </w:pPr>
      <w:bookmarkStart w:id="0" w:name="_Toc76631137"/>
      <w:r w:rsidRPr="00A44018">
        <w:rPr>
          <w:rFonts w:asciiTheme="majorHAnsi" w:eastAsiaTheme="majorEastAsia" w:hAnsiTheme="majorHAnsi" w:cstheme="majorBidi"/>
          <w:b/>
          <w:bCs/>
          <w:color w:val="2F5496" w:themeColor="accent1" w:themeShade="BF"/>
          <w:sz w:val="32"/>
          <w:szCs w:val="32"/>
        </w:rPr>
        <w:t>1.0 Introduction</w:t>
      </w:r>
      <w:bookmarkEnd w:id="0"/>
    </w:p>
    <w:p w14:paraId="5A86F5BE" w14:textId="77777777" w:rsidR="00A44018" w:rsidRPr="00A44018" w:rsidRDefault="00A44018" w:rsidP="00A44018">
      <w:pPr>
        <w:spacing w:after="100" w:afterAutospacing="1" w:line="480" w:lineRule="auto"/>
        <w:jc w:val="both"/>
        <w:rPr>
          <w:rFonts w:eastAsia="Calibri" w:cstheme="minorHAnsi"/>
          <w:color w:val="00000A"/>
          <w:sz w:val="24"/>
          <w:szCs w:val="24"/>
        </w:rPr>
      </w:pPr>
      <w:r w:rsidRPr="00A44018">
        <w:rPr>
          <w:rFonts w:eastAsia="Calibri" w:cstheme="minorHAnsi"/>
          <w:color w:val="00000A"/>
          <w:sz w:val="24"/>
          <w:szCs w:val="24"/>
        </w:rPr>
        <w:t xml:space="preserve">Adolescence is a time of great change, full of promise yet fraught with challenge.  Striving for independence, young people explore, experiment and take risks that children and adults would avoid.  Do they do this with conscious </w:t>
      </w:r>
      <w:proofErr w:type="gramStart"/>
      <w:r w:rsidRPr="00A44018">
        <w:rPr>
          <w:rFonts w:eastAsia="Calibri" w:cstheme="minorHAnsi"/>
          <w:color w:val="00000A"/>
          <w:sz w:val="24"/>
          <w:szCs w:val="24"/>
        </w:rPr>
        <w:t>intent</w:t>
      </w:r>
      <w:proofErr w:type="gramEnd"/>
      <w:r w:rsidRPr="00A44018">
        <w:rPr>
          <w:rFonts w:eastAsia="Calibri" w:cstheme="minorHAnsi"/>
          <w:color w:val="00000A"/>
          <w:sz w:val="24"/>
          <w:szCs w:val="24"/>
        </w:rPr>
        <w:t xml:space="preserve"> or do they act on impulse?  How far do we need to intervene to keep them safe and healthy without stifling their learning and growth?       </w:t>
      </w:r>
    </w:p>
    <w:p w14:paraId="068E54D7" w14:textId="77777777" w:rsidR="00A44018" w:rsidRPr="00A44018" w:rsidRDefault="00A44018" w:rsidP="00A44018">
      <w:pPr>
        <w:spacing w:after="100" w:afterAutospacing="1" w:line="480" w:lineRule="auto"/>
        <w:jc w:val="both"/>
        <w:rPr>
          <w:rFonts w:eastAsia="Calibri" w:cstheme="minorHAnsi"/>
          <w:color w:val="00000A"/>
          <w:sz w:val="24"/>
          <w:szCs w:val="24"/>
        </w:rPr>
      </w:pPr>
      <w:r w:rsidRPr="00A44018">
        <w:rPr>
          <w:rFonts w:eastAsia="Calibri" w:cstheme="minorHAnsi"/>
          <w:color w:val="00000A"/>
          <w:sz w:val="24"/>
          <w:szCs w:val="24"/>
        </w:rPr>
        <w:t xml:space="preserve">The purpose of this dissertation is to identify whether recent research can explain how certain aspects of adolescence (cognitive development, puberty, mental health and peers) individually and collectively influence young people’s risk-taking behaviours.  </w:t>
      </w:r>
    </w:p>
    <w:p w14:paraId="1D597547" w14:textId="77777777" w:rsidR="00A44018" w:rsidRPr="00A44018" w:rsidRDefault="00A44018" w:rsidP="00A44018">
      <w:pPr>
        <w:spacing w:after="100" w:afterAutospacing="1" w:line="480" w:lineRule="auto"/>
        <w:jc w:val="both"/>
        <w:rPr>
          <w:rFonts w:eastAsia="Calibri" w:cstheme="minorHAnsi"/>
          <w:color w:val="00000A"/>
          <w:sz w:val="24"/>
          <w:szCs w:val="24"/>
        </w:rPr>
      </w:pPr>
      <w:r w:rsidRPr="00A44018">
        <w:rPr>
          <w:rFonts w:eastAsia="Calibri" w:cstheme="minorHAnsi"/>
          <w:color w:val="00000A"/>
          <w:sz w:val="24"/>
          <w:szCs w:val="24"/>
        </w:rPr>
        <w:t>The aim of this study is to identify or suggest indicators or predictors that youth workers might use to shape their thinking, approach and work with children and young people who are either undertaking harmful risky behaviour or indicating the possibility of doing so in the future.   The objective is to provide youth workers with additional early intervention and prevention skills, knowledge and understanding.</w:t>
      </w:r>
    </w:p>
    <w:p w14:paraId="0BF4EEFA" w14:textId="77777777" w:rsidR="00A44018" w:rsidRPr="00A44018" w:rsidRDefault="00A44018" w:rsidP="00A44018">
      <w:pPr>
        <w:spacing w:after="100" w:afterAutospacing="1" w:line="480" w:lineRule="auto"/>
        <w:jc w:val="both"/>
        <w:rPr>
          <w:rFonts w:eastAsia="Calibri" w:cstheme="minorHAnsi"/>
          <w:color w:val="00000A"/>
          <w:sz w:val="24"/>
          <w:szCs w:val="24"/>
        </w:rPr>
      </w:pPr>
      <w:r w:rsidRPr="00A44018">
        <w:rPr>
          <w:rFonts w:eastAsia="Calibri" w:cstheme="minorHAnsi"/>
          <w:color w:val="00000A"/>
          <w:sz w:val="24"/>
          <w:szCs w:val="24"/>
        </w:rPr>
        <w:t>The risk behaviours that demand attention are those which seriously compromise young people’s potential in life, are harmful to long-term health or are potentially life-threatening (Kipping,</w:t>
      </w:r>
      <w:r w:rsidRPr="00A44018">
        <w:rPr>
          <w:rFonts w:cstheme="minorHAnsi"/>
          <w:sz w:val="24"/>
          <w:szCs w:val="24"/>
        </w:rPr>
        <w:t xml:space="preserve"> Campbell, MacArthur, Gunnell and Hickman, 2012).  </w:t>
      </w:r>
      <w:r w:rsidRPr="00A44018">
        <w:rPr>
          <w:rFonts w:eastAsia="Calibri" w:cstheme="minorHAnsi"/>
          <w:color w:val="00000A"/>
          <w:sz w:val="24"/>
          <w:szCs w:val="24"/>
        </w:rPr>
        <w:t>Young people taking harmful risks put themselves, sometimes others and sometimes both, at risk of future morbidity and early mortality, which is both costly to young people in terms of their attainment and wellbeing and to society (ibid).</w:t>
      </w:r>
    </w:p>
    <w:p w14:paraId="4E80998D" w14:textId="77777777" w:rsidR="00A44018" w:rsidRPr="00A44018" w:rsidRDefault="00A44018" w:rsidP="00A44018">
      <w:pPr>
        <w:spacing w:after="100" w:afterAutospacing="1" w:line="480" w:lineRule="auto"/>
        <w:jc w:val="both"/>
        <w:rPr>
          <w:rFonts w:eastAsia="Calibri" w:cstheme="minorHAnsi"/>
          <w:sz w:val="24"/>
          <w:szCs w:val="24"/>
        </w:rPr>
      </w:pPr>
      <w:r w:rsidRPr="00A44018">
        <w:rPr>
          <w:rFonts w:eastAsia="Calibri" w:cstheme="minorHAnsi"/>
          <w:color w:val="00000A"/>
          <w:sz w:val="24"/>
          <w:szCs w:val="24"/>
        </w:rPr>
        <w:lastRenderedPageBreak/>
        <w:t xml:space="preserve">Most harmful risk behaviours impact on health or safety.  These include smoking, alcohol and drug use, unsafe sex, dangerous driving, bullying, fighting, dating violence, anti-social behaviour, criminal activity, gambling, disordered eating, dangerous or extreme sports and some dares and online challenges.  Some risk-taking is more potentially harmful: for instance, trying a cigarette versus playing chicken on the train tracks.  The degree of harm for most harmful health risk behaviours is usually determined by the intensity and/or frequency of these behaviours; for example, trying alcohol with friends versus regular binge drinking (Fitzsimons, Jackman, </w:t>
      </w:r>
      <w:proofErr w:type="spellStart"/>
      <w:r w:rsidRPr="00A44018">
        <w:rPr>
          <w:rFonts w:eastAsia="Calibri" w:cstheme="minorHAnsi"/>
          <w:color w:val="00000A"/>
          <w:sz w:val="24"/>
          <w:szCs w:val="24"/>
        </w:rPr>
        <w:t>Kyprianides</w:t>
      </w:r>
      <w:proofErr w:type="spellEnd"/>
      <w:r w:rsidRPr="00A44018">
        <w:rPr>
          <w:rFonts w:eastAsia="Calibri" w:cstheme="minorHAnsi"/>
          <w:color w:val="00000A"/>
          <w:sz w:val="24"/>
          <w:szCs w:val="24"/>
        </w:rPr>
        <w:t xml:space="preserve"> and </w:t>
      </w:r>
      <w:proofErr w:type="spellStart"/>
      <w:r w:rsidRPr="00A44018">
        <w:rPr>
          <w:rFonts w:eastAsia="Calibri" w:cstheme="minorHAnsi"/>
          <w:color w:val="00000A"/>
          <w:sz w:val="24"/>
          <w:szCs w:val="24"/>
        </w:rPr>
        <w:t>Villadsen</w:t>
      </w:r>
      <w:proofErr w:type="spellEnd"/>
      <w:r w:rsidRPr="00A44018">
        <w:rPr>
          <w:rFonts w:eastAsia="Calibri" w:cstheme="minorHAnsi"/>
          <w:color w:val="00000A"/>
          <w:sz w:val="24"/>
          <w:szCs w:val="24"/>
        </w:rPr>
        <w:t xml:space="preserve">, 2018).  Many harmful behaviours also have a negative impact on mental health, which can </w:t>
      </w:r>
      <w:r w:rsidRPr="00A44018">
        <w:rPr>
          <w:rFonts w:eastAsia="Calibri" w:cstheme="minorHAnsi"/>
          <w:sz w:val="24"/>
          <w:szCs w:val="24"/>
        </w:rPr>
        <w:t xml:space="preserve">predispose young people to take up further risk behaviours, initiating a cycle of harms and increased vulnerability.   Indeed, multiple risk behaviours are seen to ‘cluster’ in adolescence (Kipping et al., 2012, pi1).  </w:t>
      </w:r>
    </w:p>
    <w:p w14:paraId="368FA0EC" w14:textId="77777777" w:rsidR="00A44018" w:rsidRPr="00A44018" w:rsidRDefault="00A44018" w:rsidP="00A44018">
      <w:pPr>
        <w:spacing w:after="100" w:afterAutospacing="1" w:line="480" w:lineRule="auto"/>
        <w:jc w:val="both"/>
        <w:rPr>
          <w:rFonts w:eastAsia="Calibri" w:cstheme="minorHAnsi"/>
          <w:sz w:val="24"/>
          <w:szCs w:val="24"/>
        </w:rPr>
      </w:pPr>
      <w:r w:rsidRPr="00A44018">
        <w:rPr>
          <w:rFonts w:eastAsia="Calibri" w:cstheme="minorHAnsi"/>
          <w:sz w:val="24"/>
          <w:szCs w:val="24"/>
        </w:rPr>
        <w:t xml:space="preserve">It is important to intervene and prevent the most harmful of young people’s behaviours, because although some of them such as smoking, drinking, using drugs and criminal behaviour have been decreasing in recent years (Cabinet Office, 2014), they are still taking place and they are still very hazardous.  Indeed, in 2019 there were 92 deaths of young people related to drugs and alcohol (ONS, 2021) and presumably there were many more young people developing serious health issues.    </w:t>
      </w:r>
    </w:p>
    <w:p w14:paraId="3F1D4A63" w14:textId="77777777" w:rsidR="00A44018" w:rsidRPr="00A44018" w:rsidRDefault="00A44018" w:rsidP="00A44018">
      <w:pPr>
        <w:spacing w:after="100" w:afterAutospacing="1" w:line="480" w:lineRule="auto"/>
        <w:jc w:val="both"/>
        <w:rPr>
          <w:rFonts w:eastAsia="Calibri" w:cstheme="minorHAnsi"/>
          <w:sz w:val="24"/>
          <w:szCs w:val="24"/>
        </w:rPr>
      </w:pPr>
      <w:r w:rsidRPr="00A44018">
        <w:rPr>
          <w:rFonts w:eastAsia="Calibri" w:cstheme="minorHAnsi"/>
          <w:sz w:val="24"/>
          <w:szCs w:val="24"/>
        </w:rPr>
        <w:t xml:space="preserve">Although youth crime has been decreasing steadily in the UK, violence against another person has not; this has increased by 36% over the last five years (Youth Justice Board, 2021).  Worryingly, the number of self-harm incidents recorded for those in youth custody has been increasing since 2018 and jumped by 35% during 2019-20 to 2,500 young people, the highest for five years.  This is especially high for girls and increasing fastest among </w:t>
      </w:r>
      <w:proofErr w:type="gramStart"/>
      <w:r w:rsidRPr="00A44018">
        <w:rPr>
          <w:rFonts w:eastAsia="Calibri" w:cstheme="minorHAnsi"/>
          <w:sz w:val="24"/>
          <w:szCs w:val="24"/>
        </w:rPr>
        <w:t>10-14 year olds</w:t>
      </w:r>
      <w:proofErr w:type="gramEnd"/>
      <w:r w:rsidRPr="00A44018">
        <w:rPr>
          <w:rFonts w:eastAsia="Calibri" w:cstheme="minorHAnsi"/>
          <w:sz w:val="24"/>
          <w:szCs w:val="24"/>
        </w:rPr>
        <w:t xml:space="preserve"> </w:t>
      </w:r>
      <w:r w:rsidRPr="00A44018">
        <w:rPr>
          <w:rFonts w:eastAsia="Calibri" w:cstheme="minorHAnsi"/>
          <w:sz w:val="24"/>
          <w:szCs w:val="24"/>
        </w:rPr>
        <w:lastRenderedPageBreak/>
        <w:t>(ibid.).  Perhaps this is related to the average length of youth custodial sentences, which has increased by 65% over the last ten years (ibid.).</w:t>
      </w:r>
    </w:p>
    <w:p w14:paraId="61BB8AD5" w14:textId="77777777" w:rsidR="00A44018" w:rsidRPr="00A44018" w:rsidRDefault="00A44018" w:rsidP="00A44018">
      <w:pPr>
        <w:spacing w:after="100" w:afterAutospacing="1" w:line="480" w:lineRule="auto"/>
        <w:jc w:val="both"/>
        <w:rPr>
          <w:rFonts w:eastAsia="Calibri" w:cstheme="minorHAnsi"/>
          <w:sz w:val="24"/>
          <w:szCs w:val="24"/>
        </w:rPr>
      </w:pPr>
      <w:r w:rsidRPr="00A44018">
        <w:rPr>
          <w:rFonts w:eastAsia="Calibri" w:cstheme="minorHAnsi"/>
          <w:sz w:val="24"/>
          <w:szCs w:val="24"/>
        </w:rPr>
        <w:t>It has been shown that, amongst adolescents admitted to hospital following self-harm, or injury related to violence, drugs or alcohol, twice as many of them die in the following ten years from those same risk behaviours when compared with young people who are injured in accidents (Herbert, Gilbert and Cottrell, 2017).  In the USA it has been shown that young people with significant conduct and substance use problems are five times more likely to die prematurely than their peers, with 5% of them dying by their 30s (Border,</w:t>
      </w:r>
      <w:r w:rsidRPr="00A44018">
        <w:rPr>
          <w:rFonts w:eastAsia="Calibri" w:cstheme="minorHAnsi"/>
          <w:color w:val="00000A"/>
          <w:sz w:val="24"/>
          <w:szCs w:val="24"/>
        </w:rPr>
        <w:t xml:space="preserve"> Corley, Brown, Hewitt, </w:t>
      </w:r>
      <w:proofErr w:type="spellStart"/>
      <w:r w:rsidRPr="00A44018">
        <w:rPr>
          <w:rFonts w:eastAsia="Calibri" w:cstheme="minorHAnsi"/>
          <w:color w:val="00000A"/>
          <w:sz w:val="24"/>
          <w:szCs w:val="24"/>
        </w:rPr>
        <w:t>Hopfer</w:t>
      </w:r>
      <w:proofErr w:type="spellEnd"/>
      <w:r w:rsidRPr="00A44018">
        <w:rPr>
          <w:rFonts w:eastAsia="Calibri" w:cstheme="minorHAnsi"/>
          <w:color w:val="00000A"/>
          <w:sz w:val="24"/>
          <w:szCs w:val="24"/>
        </w:rPr>
        <w:t xml:space="preserve">, McWilliams, Rhea, Shriver, Stallings, Wall, Woodward and Rhee, 2018).  </w:t>
      </w:r>
    </w:p>
    <w:p w14:paraId="72CA0988" w14:textId="77777777" w:rsidR="00A44018" w:rsidRPr="00A44018" w:rsidRDefault="00A44018" w:rsidP="00A44018">
      <w:pPr>
        <w:spacing w:after="100" w:afterAutospacing="1" w:line="480" w:lineRule="auto"/>
        <w:jc w:val="both"/>
        <w:rPr>
          <w:rFonts w:eastAsia="Calibri" w:cstheme="minorHAnsi"/>
          <w:sz w:val="24"/>
          <w:szCs w:val="24"/>
        </w:rPr>
      </w:pPr>
      <w:r w:rsidRPr="00A44018">
        <w:rPr>
          <w:rFonts w:eastAsia="Calibri" w:cstheme="minorHAnsi"/>
          <w:sz w:val="24"/>
          <w:szCs w:val="24"/>
        </w:rPr>
        <w:t>Evidence is emerging that high tolerance and/or frequent use of alcohol in adolescence increases the risk of dying, mainly as a result of accident or suicide, by age 33, by two to four times (</w:t>
      </w:r>
      <w:proofErr w:type="spellStart"/>
      <w:r w:rsidRPr="00A44018">
        <w:rPr>
          <w:rFonts w:eastAsia="Calibri" w:cstheme="minorHAnsi"/>
          <w:sz w:val="24"/>
          <w:szCs w:val="24"/>
        </w:rPr>
        <w:t>Levola</w:t>
      </w:r>
      <w:proofErr w:type="spellEnd"/>
      <w:r w:rsidRPr="00A44018">
        <w:rPr>
          <w:rFonts w:eastAsia="Calibri" w:cstheme="minorHAnsi"/>
          <w:sz w:val="24"/>
          <w:szCs w:val="24"/>
        </w:rPr>
        <w:t xml:space="preserve">, Sarala, </w:t>
      </w:r>
      <w:proofErr w:type="spellStart"/>
      <w:r w:rsidRPr="00A44018">
        <w:rPr>
          <w:rFonts w:eastAsia="Calibri" w:cstheme="minorHAnsi"/>
          <w:sz w:val="24"/>
          <w:szCs w:val="24"/>
        </w:rPr>
        <w:t>Mustonen</w:t>
      </w:r>
      <w:proofErr w:type="spellEnd"/>
      <w:r w:rsidRPr="00A44018">
        <w:rPr>
          <w:rFonts w:eastAsia="Calibri" w:cstheme="minorHAnsi"/>
          <w:sz w:val="24"/>
          <w:szCs w:val="24"/>
        </w:rPr>
        <w:t xml:space="preserve">, Rose, </w:t>
      </w:r>
      <w:proofErr w:type="spellStart"/>
      <w:r w:rsidRPr="00A44018">
        <w:rPr>
          <w:rFonts w:eastAsia="Calibri" w:cstheme="minorHAnsi"/>
          <w:sz w:val="24"/>
          <w:szCs w:val="24"/>
        </w:rPr>
        <w:t>Miettunen</w:t>
      </w:r>
      <w:proofErr w:type="spellEnd"/>
      <w:r w:rsidRPr="00A44018">
        <w:rPr>
          <w:rFonts w:eastAsia="Calibri" w:cstheme="minorHAnsi"/>
          <w:sz w:val="24"/>
          <w:szCs w:val="24"/>
        </w:rPr>
        <w:t>, Niemela and Niemela, 2020).  In the USA it has been shown that young people who start drinking before age 13 are twice as likely to carry a weapon at 14 to 18 than those who did not (</w:t>
      </w:r>
      <w:proofErr w:type="spellStart"/>
      <w:r w:rsidRPr="00A44018">
        <w:rPr>
          <w:rFonts w:eastAsia="Calibri" w:cstheme="minorHAnsi"/>
          <w:sz w:val="24"/>
          <w:szCs w:val="24"/>
        </w:rPr>
        <w:t>Baiden</w:t>
      </w:r>
      <w:proofErr w:type="spellEnd"/>
      <w:r w:rsidRPr="00A44018">
        <w:rPr>
          <w:rFonts w:eastAsia="Calibri" w:cstheme="minorHAnsi"/>
          <w:sz w:val="24"/>
          <w:szCs w:val="24"/>
        </w:rPr>
        <w:t xml:space="preserve">, Jahan, </w:t>
      </w:r>
      <w:proofErr w:type="spellStart"/>
      <w:r w:rsidRPr="00A44018">
        <w:rPr>
          <w:rFonts w:eastAsia="Calibri" w:cstheme="minorHAnsi"/>
          <w:sz w:val="24"/>
          <w:szCs w:val="24"/>
        </w:rPr>
        <w:t>Onyeaka</w:t>
      </w:r>
      <w:proofErr w:type="spellEnd"/>
      <w:r w:rsidRPr="00A44018">
        <w:rPr>
          <w:rFonts w:eastAsia="Calibri" w:cstheme="minorHAnsi"/>
          <w:sz w:val="24"/>
          <w:szCs w:val="24"/>
        </w:rPr>
        <w:t xml:space="preserve">, Thrasher, </w:t>
      </w:r>
      <w:proofErr w:type="spellStart"/>
      <w:r w:rsidRPr="00A44018">
        <w:rPr>
          <w:rFonts w:eastAsia="Calibri" w:cstheme="minorHAnsi"/>
          <w:sz w:val="24"/>
          <w:szCs w:val="24"/>
        </w:rPr>
        <w:t>Tadeo</w:t>
      </w:r>
      <w:proofErr w:type="spellEnd"/>
      <w:r w:rsidRPr="00A44018">
        <w:rPr>
          <w:rFonts w:eastAsia="Calibri" w:cstheme="minorHAnsi"/>
          <w:sz w:val="24"/>
          <w:szCs w:val="24"/>
        </w:rPr>
        <w:t xml:space="preserve"> and Findley, 2021).</w:t>
      </w:r>
    </w:p>
    <w:p w14:paraId="4BDCA5C9" w14:textId="77777777" w:rsidR="00A44018" w:rsidRPr="00A44018" w:rsidRDefault="00A44018" w:rsidP="00A44018">
      <w:pPr>
        <w:spacing w:after="100" w:afterAutospacing="1" w:line="480" w:lineRule="auto"/>
        <w:jc w:val="both"/>
        <w:rPr>
          <w:rFonts w:eastAsia="Calibri" w:cstheme="minorHAnsi"/>
          <w:sz w:val="24"/>
          <w:szCs w:val="24"/>
        </w:rPr>
      </w:pPr>
      <w:r w:rsidRPr="00A44018">
        <w:rPr>
          <w:rFonts w:eastAsia="Calibri" w:cstheme="minorHAnsi"/>
          <w:sz w:val="24"/>
          <w:szCs w:val="24"/>
        </w:rPr>
        <w:t xml:space="preserve">While we often focus on these common risk behaviours, we must not forget that young people need to learn about all sorts of risks that might seem obvious to adults.  Following record numbers of young people dying on railway lines, the British Transport Police and Network Rail launched their ‘You vs. Train’ campaign (Network Rail, 2018), but numbers are still increasing (Network Rail, 2021).  Statistics suggest that we should indeed focus our attention on avoidable injury as it is the leading cause of death for children and adolescents </w:t>
      </w:r>
      <w:r w:rsidRPr="00A44018">
        <w:rPr>
          <w:rFonts w:eastAsia="Calibri" w:cstheme="minorHAnsi"/>
          <w:sz w:val="24"/>
          <w:szCs w:val="24"/>
        </w:rPr>
        <w:lastRenderedPageBreak/>
        <w:t xml:space="preserve">in the UK; despite figures decreasing steadily, there were still 576 child and adolescent deaths due to avoidable injury in 2019 (ONS, 2021).  </w:t>
      </w:r>
    </w:p>
    <w:p w14:paraId="6AD0E1C4" w14:textId="77777777" w:rsidR="00A44018" w:rsidRPr="00A44018" w:rsidRDefault="00A44018" w:rsidP="00A44018">
      <w:pPr>
        <w:spacing w:after="100" w:afterAutospacing="1" w:line="480" w:lineRule="auto"/>
        <w:jc w:val="both"/>
        <w:rPr>
          <w:rFonts w:eastAsia="Calibri" w:cstheme="minorHAnsi"/>
          <w:sz w:val="24"/>
          <w:szCs w:val="24"/>
        </w:rPr>
      </w:pPr>
      <w:r w:rsidRPr="00A44018">
        <w:rPr>
          <w:rFonts w:eastAsia="Calibri" w:cstheme="minorHAnsi"/>
          <w:sz w:val="24"/>
          <w:szCs w:val="24"/>
        </w:rPr>
        <w:t xml:space="preserve">ONS (2021) states that ‘In </w:t>
      </w:r>
      <w:r w:rsidRPr="00A44018">
        <w:rPr>
          <w:rFonts w:eastAsia="Calibri" w:cstheme="minorHAnsi"/>
          <w:sz w:val="24"/>
          <w:szCs w:val="24"/>
          <w:shd w:val="clear" w:color="auto" w:fill="FFFFFF"/>
        </w:rPr>
        <w:t xml:space="preserve">2019, of all deaths among children and young people aged 0 to 19 years in the UK, 33.7% were considered avoidable (1,590 deaths out of 4,717)’.  That is, these deaths were either preventable or treatable, and they include STIs, HIV/AIDS, accidental injuries, self-inflicted injury, assault, alcohol and drugs and events of undetermined intent (ibid.).   </w:t>
      </w:r>
      <w:r w:rsidRPr="00A44018">
        <w:rPr>
          <w:rFonts w:eastAsia="Calibri" w:cstheme="minorHAnsi"/>
          <w:sz w:val="24"/>
          <w:szCs w:val="24"/>
        </w:rPr>
        <w:t xml:space="preserve"> </w:t>
      </w:r>
    </w:p>
    <w:p w14:paraId="6A71FC8F" w14:textId="77777777" w:rsidR="00A44018" w:rsidRPr="00A44018" w:rsidRDefault="00A44018" w:rsidP="00A44018">
      <w:pPr>
        <w:spacing w:after="100" w:afterAutospacing="1" w:line="480" w:lineRule="auto"/>
        <w:jc w:val="both"/>
        <w:rPr>
          <w:rFonts w:eastAsia="Calibri" w:cstheme="minorHAnsi"/>
          <w:sz w:val="24"/>
          <w:szCs w:val="24"/>
        </w:rPr>
      </w:pPr>
      <w:r w:rsidRPr="00A44018">
        <w:rPr>
          <w:rFonts w:eastAsia="Calibri" w:cstheme="minorHAnsi"/>
          <w:sz w:val="24"/>
          <w:szCs w:val="24"/>
        </w:rPr>
        <w:t>Do young people learn from their mistakes after taking dangerous risks?  Probably many do.  However, a study of young people’s motorcycling behaviour by Lin, Huang, Hwang, Wu and Yen in 2004 found that experience of motorcycle crashes did not alter the subjects’ risky driving behaviour.  Thus, it may be that learning through experience is a more protracted process for some young people, and that eliminating risk is neither possible nor desirable for them.</w:t>
      </w:r>
    </w:p>
    <w:p w14:paraId="31F2EA91" w14:textId="77777777" w:rsidR="00A44018" w:rsidRPr="00A44018" w:rsidRDefault="00A44018" w:rsidP="00A44018">
      <w:pPr>
        <w:spacing w:after="100" w:afterAutospacing="1" w:line="480" w:lineRule="auto"/>
        <w:jc w:val="both"/>
        <w:rPr>
          <w:rFonts w:eastAsia="Calibri" w:cstheme="minorHAnsi"/>
          <w:sz w:val="24"/>
          <w:szCs w:val="24"/>
        </w:rPr>
      </w:pPr>
      <w:r w:rsidRPr="00A44018">
        <w:rPr>
          <w:rFonts w:eastAsia="Calibri" w:cstheme="minorHAnsi"/>
          <w:sz w:val="24"/>
          <w:szCs w:val="24"/>
        </w:rPr>
        <w:t xml:space="preserve">Nonetheless, all areas of education and social care, including youth work, have a responsibility to promote health and safety for children and young people and have a role to play in education, prevention and intervention or treatment.  Every death of a child or young person is a tragedy, but so too are the many more young people who transition to adulthood with preventable or treatable problems.  This research aims to assist youth workers in identifying those children and young people who are most likely to experience problems, so that preventative or ameliorative action may be taken before issues escalate.  Youth workers will benefit from information drawn from and suggestions based on a broad review of the most recent research. </w:t>
      </w:r>
    </w:p>
    <w:p w14:paraId="4F1D96BD" w14:textId="77777777" w:rsidR="00A44018" w:rsidRPr="00A44018" w:rsidRDefault="00A44018" w:rsidP="00A44018">
      <w:pPr>
        <w:spacing w:after="100" w:afterAutospacing="1" w:line="480" w:lineRule="auto"/>
        <w:jc w:val="both"/>
        <w:rPr>
          <w:rFonts w:eastAsia="Calibri" w:cstheme="minorHAnsi"/>
          <w:sz w:val="24"/>
          <w:szCs w:val="24"/>
        </w:rPr>
      </w:pPr>
      <w:r w:rsidRPr="00A44018">
        <w:rPr>
          <w:rFonts w:eastAsia="Calibri" w:cstheme="minorHAnsi"/>
          <w:sz w:val="24"/>
          <w:szCs w:val="24"/>
        </w:rPr>
        <w:lastRenderedPageBreak/>
        <w:t>This will be achieved by examining some of the most recent literature on the topic of risky behaviour in adolescence, to see if fresh insight has been gained into which children and adolescents are most likely to take up risky behaviours that are harmful.  The research will encompass a range of scientific fields.  It is anticipated that by reading widely and limiting this to the most recent findings, which build on previously established research findings, that new patterns of information might be gleaned.</w:t>
      </w:r>
    </w:p>
    <w:p w14:paraId="3D2CB73D" w14:textId="77777777" w:rsidR="00A44018" w:rsidRPr="00A44018" w:rsidRDefault="00A44018" w:rsidP="00A44018">
      <w:pPr>
        <w:spacing w:after="100" w:afterAutospacing="1" w:line="480" w:lineRule="auto"/>
        <w:jc w:val="both"/>
        <w:rPr>
          <w:rFonts w:eastAsia="Calibri" w:cstheme="minorHAnsi"/>
          <w:color w:val="00000A"/>
          <w:sz w:val="24"/>
          <w:szCs w:val="24"/>
        </w:rPr>
      </w:pPr>
      <w:r w:rsidRPr="00A44018">
        <w:rPr>
          <w:rFonts w:eastAsia="Calibri" w:cstheme="minorHAnsi"/>
          <w:sz w:val="24"/>
          <w:szCs w:val="24"/>
        </w:rPr>
        <w:t xml:space="preserve">The limitations of this study include the fact that only four main themes of influence will be investigated </w:t>
      </w:r>
      <w:r w:rsidRPr="00A44018">
        <w:rPr>
          <w:rFonts w:eastAsia="Calibri" w:cstheme="minorHAnsi"/>
          <w:color w:val="00000A"/>
          <w:sz w:val="24"/>
          <w:szCs w:val="24"/>
        </w:rPr>
        <w:t xml:space="preserve">(cognitive development, puberty, mental health and peers) when there are other themes such as gender or ethnicity that could be included.  The research literature to be reviewed will predominantly be limited to that which has studied large numbers of young people over long periods of time in high income countries and with similar cultures to the UK.  </w:t>
      </w:r>
    </w:p>
    <w:p w14:paraId="777E6C2F" w14:textId="77777777" w:rsidR="00A44018" w:rsidRPr="00A44018" w:rsidRDefault="00A44018" w:rsidP="00A44018">
      <w:pPr>
        <w:spacing w:after="100" w:afterAutospacing="1" w:line="480" w:lineRule="auto"/>
        <w:jc w:val="both"/>
        <w:rPr>
          <w:rFonts w:eastAsia="Calibri" w:cstheme="minorHAnsi"/>
          <w:color w:val="00000A"/>
          <w:sz w:val="24"/>
          <w:szCs w:val="24"/>
        </w:rPr>
      </w:pPr>
      <w:r w:rsidRPr="00A44018">
        <w:rPr>
          <w:rFonts w:eastAsia="Calibri" w:cstheme="minorHAnsi"/>
          <w:color w:val="00000A"/>
          <w:sz w:val="24"/>
          <w:szCs w:val="24"/>
        </w:rPr>
        <w:t xml:space="preserve">This study will also be limited by the limitations in the research itself.  Most studies examine youth behaviours that are easier to measure and routinely measured, meaning that there may be less research evidence surrounding newly emerging themes such as vaping and harder to measure themes such as the effects of the environment on adolescent health.  Identifying 99 measures that are relevant to adolescent health, </w:t>
      </w:r>
      <w:proofErr w:type="spellStart"/>
      <w:r w:rsidRPr="00A44018">
        <w:rPr>
          <w:rFonts w:eastAsia="Calibri" w:cstheme="minorHAnsi"/>
          <w:color w:val="00000A"/>
          <w:sz w:val="24"/>
          <w:szCs w:val="24"/>
        </w:rPr>
        <w:t>Guthold</w:t>
      </w:r>
      <w:proofErr w:type="spellEnd"/>
      <w:r w:rsidRPr="00A44018">
        <w:rPr>
          <w:rFonts w:eastAsia="Calibri" w:cstheme="minorHAnsi"/>
          <w:color w:val="00000A"/>
          <w:sz w:val="24"/>
          <w:szCs w:val="24"/>
        </w:rPr>
        <w:t xml:space="preserve">, Moller, Adebayo, Carvajal, Ekman, Fagan, Ferguson, Friedman, </w:t>
      </w:r>
      <w:proofErr w:type="spellStart"/>
      <w:r w:rsidRPr="00A44018">
        <w:rPr>
          <w:rFonts w:eastAsia="Calibri" w:cstheme="minorHAnsi"/>
          <w:color w:val="00000A"/>
          <w:sz w:val="24"/>
          <w:szCs w:val="24"/>
        </w:rPr>
        <w:t>Gueye</w:t>
      </w:r>
      <w:proofErr w:type="spellEnd"/>
      <w:r w:rsidRPr="00A44018">
        <w:rPr>
          <w:rFonts w:eastAsia="Calibri" w:cstheme="minorHAnsi"/>
          <w:color w:val="00000A"/>
          <w:sz w:val="24"/>
          <w:szCs w:val="24"/>
        </w:rPr>
        <w:t xml:space="preserve">, </w:t>
      </w:r>
      <w:proofErr w:type="spellStart"/>
      <w:r w:rsidRPr="00A44018">
        <w:rPr>
          <w:rFonts w:eastAsia="Calibri" w:cstheme="minorHAnsi"/>
          <w:color w:val="00000A"/>
          <w:sz w:val="24"/>
          <w:szCs w:val="24"/>
        </w:rPr>
        <w:t>Hagell</w:t>
      </w:r>
      <w:proofErr w:type="spellEnd"/>
      <w:r w:rsidRPr="00A44018">
        <w:rPr>
          <w:rFonts w:eastAsia="Calibri" w:cstheme="minorHAnsi"/>
          <w:color w:val="00000A"/>
          <w:sz w:val="24"/>
          <w:szCs w:val="24"/>
        </w:rPr>
        <w:t>, Kohl and Azzopardi (2021) have recently recommended a new set of 33 core, 19 expanded and 6 context-specific measures for national and global use, because measures to date have not reflected the most important health areas according to young people, national perspectives or the adolescent burden of disease (ibid.).  The World Health Organisation (2021) also recognises these limitations.</w:t>
      </w:r>
    </w:p>
    <w:p w14:paraId="48093CC9" w14:textId="77777777" w:rsidR="00A44018" w:rsidRPr="00A44018" w:rsidRDefault="00A44018" w:rsidP="00A44018">
      <w:pPr>
        <w:spacing w:after="100" w:afterAutospacing="1" w:line="480" w:lineRule="auto"/>
        <w:jc w:val="both"/>
        <w:rPr>
          <w:rFonts w:eastAsia="Calibri" w:cstheme="minorHAnsi"/>
          <w:color w:val="00000A"/>
          <w:sz w:val="24"/>
          <w:szCs w:val="24"/>
        </w:rPr>
      </w:pPr>
      <w:r w:rsidRPr="00A44018">
        <w:rPr>
          <w:rFonts w:eastAsia="Calibri" w:cstheme="minorHAnsi"/>
          <w:color w:val="00000A"/>
          <w:sz w:val="24"/>
          <w:szCs w:val="24"/>
        </w:rPr>
        <w:lastRenderedPageBreak/>
        <w:t>Limitations in research might also include the efficacy of tools used, such as questionnaires, laboratory risk tests that do not involve real adverse consequences (</w:t>
      </w:r>
      <w:proofErr w:type="spellStart"/>
      <w:r w:rsidRPr="00A44018">
        <w:rPr>
          <w:rFonts w:eastAsia="Calibri" w:cstheme="minorHAnsi"/>
          <w:color w:val="00000A"/>
          <w:sz w:val="24"/>
          <w:szCs w:val="24"/>
        </w:rPr>
        <w:t>Euser</w:t>
      </w:r>
      <w:proofErr w:type="spellEnd"/>
      <w:r w:rsidRPr="00A44018">
        <w:rPr>
          <w:rFonts w:eastAsia="Calibri" w:cstheme="minorHAnsi"/>
          <w:color w:val="00000A"/>
          <w:sz w:val="24"/>
          <w:szCs w:val="24"/>
        </w:rPr>
        <w:t xml:space="preserve">, Evan, Greaves-Lord, </w:t>
      </w:r>
      <w:proofErr w:type="spellStart"/>
      <w:r w:rsidRPr="00A44018">
        <w:rPr>
          <w:rFonts w:eastAsia="Calibri" w:cstheme="minorHAnsi"/>
          <w:color w:val="00000A"/>
          <w:sz w:val="24"/>
          <w:szCs w:val="24"/>
        </w:rPr>
        <w:t>Huizink</w:t>
      </w:r>
      <w:proofErr w:type="spellEnd"/>
      <w:r w:rsidRPr="00A44018">
        <w:rPr>
          <w:rFonts w:eastAsia="Calibri" w:cstheme="minorHAnsi"/>
          <w:color w:val="00000A"/>
          <w:sz w:val="24"/>
          <w:szCs w:val="24"/>
        </w:rPr>
        <w:t xml:space="preserve"> and Franken, 2013, p423) and psychosocial screening, so this literature review will focus on studies that used validated methods of assessment.  Recommending a ‘gold standard’ screening tool for universal use with adolescents in clinical and school settings, </w:t>
      </w:r>
      <w:proofErr w:type="spellStart"/>
      <w:r w:rsidRPr="00A44018">
        <w:rPr>
          <w:rFonts w:eastAsia="Calibri" w:cstheme="minorHAnsi"/>
          <w:color w:val="00000A"/>
          <w:sz w:val="24"/>
          <w:szCs w:val="24"/>
        </w:rPr>
        <w:t>Glasner</w:t>
      </w:r>
      <w:proofErr w:type="spellEnd"/>
      <w:r w:rsidRPr="00A44018">
        <w:rPr>
          <w:rFonts w:eastAsia="Calibri" w:cstheme="minorHAnsi"/>
          <w:color w:val="00000A"/>
          <w:sz w:val="24"/>
          <w:szCs w:val="24"/>
        </w:rPr>
        <w:t xml:space="preserve">, </w:t>
      </w:r>
      <w:proofErr w:type="spellStart"/>
      <w:r w:rsidRPr="00A44018">
        <w:rPr>
          <w:rFonts w:eastAsia="Calibri" w:cstheme="minorHAnsi"/>
          <w:color w:val="00000A"/>
          <w:sz w:val="24"/>
          <w:szCs w:val="24"/>
        </w:rPr>
        <w:t>Baltag</w:t>
      </w:r>
      <w:proofErr w:type="spellEnd"/>
      <w:r w:rsidRPr="00A44018">
        <w:rPr>
          <w:rFonts w:eastAsia="Calibri" w:cstheme="minorHAnsi"/>
          <w:color w:val="00000A"/>
          <w:sz w:val="24"/>
          <w:szCs w:val="24"/>
        </w:rPr>
        <w:t xml:space="preserve"> and </w:t>
      </w:r>
      <w:proofErr w:type="spellStart"/>
      <w:r w:rsidRPr="00A44018">
        <w:rPr>
          <w:rFonts w:eastAsia="Calibri" w:cstheme="minorHAnsi"/>
          <w:color w:val="00000A"/>
          <w:sz w:val="24"/>
          <w:szCs w:val="24"/>
        </w:rPr>
        <w:t>Ambresin</w:t>
      </w:r>
      <w:proofErr w:type="spellEnd"/>
      <w:r w:rsidRPr="00A44018">
        <w:rPr>
          <w:rFonts w:eastAsia="Calibri" w:cstheme="minorHAnsi"/>
          <w:color w:val="00000A"/>
          <w:sz w:val="24"/>
          <w:szCs w:val="24"/>
        </w:rPr>
        <w:t xml:space="preserve"> (2021, p457) highlight the limitations and gaps in the tools that have been in use to date.</w:t>
      </w:r>
    </w:p>
    <w:p w14:paraId="256DD2A6" w14:textId="77777777" w:rsidR="00A44018" w:rsidRPr="00A44018" w:rsidRDefault="00A44018" w:rsidP="00A44018">
      <w:pPr>
        <w:spacing w:after="100" w:afterAutospacing="1" w:line="480" w:lineRule="auto"/>
        <w:jc w:val="both"/>
        <w:rPr>
          <w:rFonts w:eastAsia="Calibri" w:cstheme="minorHAnsi"/>
          <w:color w:val="00000A"/>
          <w:sz w:val="24"/>
          <w:szCs w:val="24"/>
        </w:rPr>
      </w:pPr>
      <w:r w:rsidRPr="00A44018">
        <w:rPr>
          <w:rFonts w:eastAsia="Calibri" w:cstheme="minorHAnsi"/>
          <w:color w:val="00000A"/>
          <w:sz w:val="24"/>
          <w:szCs w:val="24"/>
        </w:rPr>
        <w:t>From a personal perspective, the author has selected to study children and young people’s risk-taking behaviours, and to look for predictors, because proactive safeguarding must be paramount in youth work.  Knowing what to look out for and when to listen in or probe deeper is a key skill for development.  As a parent the author believes that every child is precious, and it is with great sadness that we witness the demise of some children and young people in our communities.  Finally, as a mature student, the author can look back and laugh at the freedoms enjoyed and risks taken as a teenager in the 1970s and wonder if a well-informed youth worker could have predicted the author’s own risky behaviours at that time.</w:t>
      </w:r>
    </w:p>
    <w:p w14:paraId="0136E5CD" w14:textId="77777777" w:rsidR="00A44018" w:rsidRPr="00A44018" w:rsidRDefault="00A44018" w:rsidP="00A44018">
      <w:pPr>
        <w:spacing w:after="100" w:afterAutospacing="1" w:line="480" w:lineRule="auto"/>
        <w:jc w:val="both"/>
        <w:rPr>
          <w:rFonts w:asciiTheme="majorHAnsi" w:eastAsiaTheme="majorEastAsia" w:hAnsiTheme="majorHAnsi" w:cstheme="majorBidi"/>
          <w:b/>
          <w:bCs/>
          <w:color w:val="2F5496" w:themeColor="accent1" w:themeShade="BF"/>
          <w:sz w:val="32"/>
          <w:szCs w:val="32"/>
        </w:rPr>
      </w:pPr>
      <w:r w:rsidRPr="00A44018">
        <w:rPr>
          <w:rFonts w:eastAsia="Calibri" w:cstheme="minorHAnsi"/>
          <w:color w:val="00000A"/>
          <w:sz w:val="24"/>
          <w:szCs w:val="24"/>
        </w:rPr>
        <w:t xml:space="preserve">Finally, the intention of this study is not to dwell too much on harm, disease and death; rather it optimistically aims to equip youth workers with fresh suggestions for improved practice that will protect the potential, safety and wellbeing of young people, especially the most vulnerable.  The next chapter will provide an in-depth literature review focussing on four key themes to support the author’s research question, </w:t>
      </w:r>
      <w:r w:rsidRPr="00A44018">
        <w:rPr>
          <w:rFonts w:ascii="Calibri" w:eastAsia="Calibri" w:hAnsi="Calibri"/>
          <w:i/>
          <w:iCs/>
          <w:color w:val="00000A"/>
          <w:sz w:val="24"/>
          <w:szCs w:val="24"/>
        </w:rPr>
        <w:t>‘To what extent do cognitive development, puberty, mental health and peers influence children and young people’s risk-taking behaviours, and how can the conclusions drawn be used to inform youth work practice?’.</w:t>
      </w:r>
      <w:r w:rsidRPr="00A44018">
        <w:rPr>
          <w:rFonts w:ascii="Calibri" w:eastAsia="Calibri" w:hAnsi="Calibri"/>
          <w:b/>
          <w:bCs/>
          <w:color w:val="00000A"/>
        </w:rPr>
        <w:br w:type="page"/>
      </w:r>
    </w:p>
    <w:p w14:paraId="321AA57E" w14:textId="77777777" w:rsidR="00A44018" w:rsidRPr="00A44018" w:rsidRDefault="00A44018" w:rsidP="00A44018">
      <w:pPr>
        <w:keepNext/>
        <w:keepLines/>
        <w:spacing w:before="240" w:after="0" w:afterAutospacing="1" w:line="252" w:lineRule="auto"/>
        <w:outlineLvl w:val="0"/>
        <w:rPr>
          <w:rFonts w:asciiTheme="majorHAnsi" w:eastAsiaTheme="majorEastAsia" w:hAnsiTheme="majorHAnsi" w:cstheme="majorBidi"/>
          <w:b/>
          <w:bCs/>
          <w:color w:val="2F5496" w:themeColor="accent1" w:themeShade="BF"/>
          <w:sz w:val="32"/>
          <w:szCs w:val="32"/>
        </w:rPr>
      </w:pPr>
      <w:bookmarkStart w:id="1" w:name="_Toc76631138"/>
      <w:r w:rsidRPr="00A44018">
        <w:rPr>
          <w:rFonts w:asciiTheme="majorHAnsi" w:eastAsiaTheme="majorEastAsia" w:hAnsiTheme="majorHAnsi" w:cstheme="majorBidi"/>
          <w:b/>
          <w:bCs/>
          <w:color w:val="2F5496" w:themeColor="accent1" w:themeShade="BF"/>
          <w:sz w:val="32"/>
          <w:szCs w:val="32"/>
        </w:rPr>
        <w:lastRenderedPageBreak/>
        <w:t>2.0 Literature Review</w:t>
      </w:r>
      <w:bookmarkEnd w:id="1"/>
    </w:p>
    <w:p w14:paraId="434B9935" w14:textId="77777777" w:rsidR="00A44018" w:rsidRPr="00A44018" w:rsidRDefault="00A44018" w:rsidP="00A44018">
      <w:pPr>
        <w:keepNext/>
        <w:keepLines/>
        <w:spacing w:before="40" w:after="0" w:afterAutospacing="1" w:line="252" w:lineRule="auto"/>
        <w:outlineLvl w:val="1"/>
        <w:rPr>
          <w:rFonts w:asciiTheme="majorHAnsi" w:eastAsiaTheme="majorEastAsia" w:hAnsiTheme="majorHAnsi" w:cstheme="majorBidi"/>
          <w:color w:val="2F5496" w:themeColor="accent1" w:themeShade="BF"/>
          <w:sz w:val="26"/>
          <w:szCs w:val="26"/>
        </w:rPr>
      </w:pPr>
      <w:bookmarkStart w:id="2" w:name="_Toc76631139"/>
      <w:r w:rsidRPr="00A44018">
        <w:rPr>
          <w:rFonts w:asciiTheme="majorHAnsi" w:eastAsiaTheme="majorEastAsia" w:hAnsiTheme="majorHAnsi" w:cstheme="majorBidi"/>
          <w:color w:val="2F5496" w:themeColor="accent1" w:themeShade="BF"/>
          <w:sz w:val="26"/>
          <w:szCs w:val="26"/>
        </w:rPr>
        <w:t>2.1 Introduction</w:t>
      </w:r>
      <w:bookmarkEnd w:id="2"/>
    </w:p>
    <w:p w14:paraId="464161B4" w14:textId="77777777" w:rsidR="00A44018" w:rsidRPr="00A44018" w:rsidRDefault="00A44018" w:rsidP="00A44018">
      <w:pPr>
        <w:spacing w:after="100" w:afterAutospacing="1" w:line="480" w:lineRule="auto"/>
        <w:jc w:val="both"/>
        <w:rPr>
          <w:rFonts w:ascii="Calibri" w:eastAsia="Calibri" w:hAnsi="Calibri"/>
          <w:color w:val="00000A"/>
          <w:sz w:val="24"/>
          <w:szCs w:val="24"/>
        </w:rPr>
      </w:pPr>
      <w:r w:rsidRPr="00A44018">
        <w:rPr>
          <w:rFonts w:ascii="Calibri" w:eastAsia="Calibri" w:hAnsi="Calibri"/>
          <w:color w:val="00000A"/>
          <w:sz w:val="24"/>
          <w:szCs w:val="24"/>
        </w:rPr>
        <w:t xml:space="preserve">What drives some young people to take more dangerous risks than others?  There are many facets of young people’s lives that can be explored for clues.  There are indicators at community level: socioeconomic disadvantage, crime, violence, being homeless or a refugee, racism or lack of services (NSW Government, 2014, p83).  There are clues in a young person’s home life: family breakdown, conflict, lack of or harsh discipline, abuse, neglect, lack of warmth, poor relationships and negative values (ibid.).  There can be answers at school: bullying, lack of friends, poor attainment, learning difficulties and deviant peers (ibid.).  Of course, there are in-person clues too: poor social skills, low self-esteem, lack of empathy, poor problem-solving skills or experience of trauma or other adverse childhood experiences (ibid.).  It is not possible to examine and assess all factors in depth simultaneously, although working with young people does demand a holistic approach (CLD, 2019), therefore this literature review focuses on four areas of key influence that can contribute to understanding why some young people have an increased propensity for risk-taking with harmful outcomes than others.  </w:t>
      </w:r>
    </w:p>
    <w:p w14:paraId="554E17A6" w14:textId="77777777" w:rsidR="00A44018" w:rsidRPr="00A44018" w:rsidRDefault="00A44018" w:rsidP="00A44018">
      <w:pPr>
        <w:spacing w:after="100" w:afterAutospacing="1" w:line="480" w:lineRule="auto"/>
        <w:jc w:val="both"/>
        <w:rPr>
          <w:rFonts w:ascii="Calibri" w:eastAsia="Calibri" w:hAnsi="Calibri"/>
          <w:color w:val="00000A"/>
          <w:sz w:val="24"/>
          <w:szCs w:val="24"/>
        </w:rPr>
      </w:pPr>
      <w:r w:rsidRPr="00A44018">
        <w:rPr>
          <w:rFonts w:ascii="Calibri" w:eastAsia="Calibri" w:hAnsi="Calibri"/>
          <w:color w:val="00000A"/>
          <w:sz w:val="24"/>
          <w:szCs w:val="24"/>
        </w:rPr>
        <w:t xml:space="preserve">The range of academic literature that investigates these four subject areas is vast and includes research into adolescence, adolescent health, developmental cognitive neuroscience, psychology, psychiatry, education, public health and even economics, demonstrating without any doubt the intense focus across disciplines on nurturing our adolescents and protecting them from harm.   </w:t>
      </w:r>
    </w:p>
    <w:p w14:paraId="2FEE0C4E" w14:textId="77777777" w:rsidR="00A44018" w:rsidRPr="00A44018" w:rsidRDefault="00A44018" w:rsidP="00A44018">
      <w:pPr>
        <w:spacing w:after="100" w:afterAutospacing="1" w:line="480" w:lineRule="auto"/>
        <w:jc w:val="both"/>
        <w:rPr>
          <w:rFonts w:ascii="Calibri" w:eastAsia="Calibri" w:hAnsi="Calibri"/>
          <w:color w:val="00000A"/>
          <w:sz w:val="24"/>
          <w:szCs w:val="24"/>
        </w:rPr>
      </w:pPr>
      <w:r w:rsidRPr="00A44018">
        <w:rPr>
          <w:rFonts w:ascii="Calibri" w:eastAsia="Calibri" w:hAnsi="Calibri"/>
          <w:color w:val="00000A"/>
          <w:sz w:val="24"/>
          <w:szCs w:val="24"/>
        </w:rPr>
        <w:t xml:space="preserve">The latest peer-reviewed research has been sought and considered in the context of risk-taking behaviours.  A mixture of qualitative and quantitative research has been reviewed.  A </w:t>
      </w:r>
      <w:r w:rsidRPr="00A44018">
        <w:rPr>
          <w:rFonts w:ascii="Calibri" w:eastAsia="Calibri" w:hAnsi="Calibri"/>
          <w:color w:val="00000A"/>
          <w:sz w:val="24"/>
          <w:szCs w:val="24"/>
        </w:rPr>
        <w:lastRenderedPageBreak/>
        <w:t xml:space="preserve">critical approach has been employed (Bryman, 2001, p496), such that authors’ findings are not simply accepted at face value, rather similarities and differences between research findings are identified and considered.  Personal interpretations are included too.  All resources used </w:t>
      </w:r>
      <w:proofErr w:type="gramStart"/>
      <w:r w:rsidRPr="00A44018">
        <w:rPr>
          <w:rFonts w:ascii="Calibri" w:eastAsia="Calibri" w:hAnsi="Calibri"/>
          <w:color w:val="00000A"/>
          <w:sz w:val="24"/>
          <w:szCs w:val="24"/>
        </w:rPr>
        <w:t>are considered to be</w:t>
      </w:r>
      <w:proofErr w:type="gramEnd"/>
      <w:r w:rsidRPr="00A44018">
        <w:rPr>
          <w:rFonts w:ascii="Calibri" w:eastAsia="Calibri" w:hAnsi="Calibri"/>
          <w:color w:val="00000A"/>
          <w:sz w:val="24"/>
          <w:szCs w:val="24"/>
        </w:rPr>
        <w:t xml:space="preserve"> authentic, credible and reliable (Bryman, 2001, p379) and were written in an objective scientific context (ibid., p383).  An eye is kept open for inconsistencies.  Where research is scant, this is noted.  Connections are considered where areas of research start to overlap.</w:t>
      </w:r>
    </w:p>
    <w:p w14:paraId="5A5ACD5F" w14:textId="77777777" w:rsidR="00A44018" w:rsidRPr="00A44018" w:rsidRDefault="00A44018" w:rsidP="00A44018">
      <w:pPr>
        <w:spacing w:after="100" w:afterAutospacing="1" w:line="480" w:lineRule="auto"/>
        <w:jc w:val="both"/>
        <w:rPr>
          <w:rFonts w:ascii="Calibri" w:eastAsia="Calibri" w:hAnsi="Calibri"/>
          <w:color w:val="00000A"/>
          <w:sz w:val="24"/>
          <w:szCs w:val="24"/>
        </w:rPr>
      </w:pPr>
      <w:r w:rsidRPr="00A44018">
        <w:rPr>
          <w:rFonts w:ascii="Calibri" w:eastAsia="Calibri" w:hAnsi="Calibri"/>
          <w:color w:val="00000A"/>
          <w:sz w:val="24"/>
          <w:szCs w:val="24"/>
        </w:rPr>
        <w:t xml:space="preserve">Research articles whose sample sizes were small have been largely disregarded as being potentially unreliable.  Preference has been given to large longitudinal studies such as the UK’s Avon Longitudinal Study of Parents and Children (ALSPAC) (University of Bristol, 2021), the UK Millennium Cohort Study (University College London, 2021) and the USA’s biennial Youth Risk </w:t>
      </w:r>
      <w:proofErr w:type="spellStart"/>
      <w:r w:rsidRPr="00A44018">
        <w:rPr>
          <w:rFonts w:ascii="Calibri" w:eastAsia="Calibri" w:hAnsi="Calibri"/>
          <w:color w:val="00000A"/>
          <w:sz w:val="24"/>
          <w:szCs w:val="24"/>
        </w:rPr>
        <w:t>Behavior</w:t>
      </w:r>
      <w:proofErr w:type="spellEnd"/>
      <w:r w:rsidRPr="00A44018">
        <w:rPr>
          <w:rFonts w:ascii="Calibri" w:eastAsia="Calibri" w:hAnsi="Calibri"/>
          <w:color w:val="00000A"/>
          <w:sz w:val="24"/>
          <w:szCs w:val="24"/>
        </w:rPr>
        <w:t xml:space="preserve"> Survey (CDC, 2021).  Research with weak findings or tenuous links to risky behaviour have likewise been left aside. </w:t>
      </w:r>
    </w:p>
    <w:p w14:paraId="6885A8D3" w14:textId="77777777" w:rsidR="00A44018" w:rsidRPr="00A44018" w:rsidRDefault="00A44018" w:rsidP="00A44018">
      <w:pPr>
        <w:spacing w:after="100" w:afterAutospacing="1" w:line="480" w:lineRule="auto"/>
        <w:jc w:val="both"/>
        <w:rPr>
          <w:rFonts w:asciiTheme="majorHAnsi" w:eastAsiaTheme="majorEastAsia" w:hAnsiTheme="majorHAnsi" w:cstheme="majorBidi"/>
          <w:color w:val="2F5496" w:themeColor="accent1" w:themeShade="BF"/>
          <w:sz w:val="26"/>
          <w:szCs w:val="26"/>
        </w:rPr>
      </w:pPr>
      <w:bookmarkStart w:id="3" w:name="_Hlk76634522"/>
      <w:r w:rsidRPr="00A44018">
        <w:rPr>
          <w:rFonts w:ascii="Calibri" w:eastAsia="Calibri" w:hAnsi="Calibri"/>
          <w:color w:val="00000A"/>
          <w:sz w:val="24"/>
          <w:szCs w:val="24"/>
        </w:rPr>
        <w:t xml:space="preserve">Ideas and experiments with interventions and prevention programmes </w:t>
      </w:r>
      <w:bookmarkEnd w:id="3"/>
      <w:r w:rsidRPr="00A44018">
        <w:rPr>
          <w:rFonts w:ascii="Calibri" w:eastAsia="Calibri" w:hAnsi="Calibri"/>
          <w:color w:val="00000A"/>
          <w:sz w:val="24"/>
          <w:szCs w:val="24"/>
        </w:rPr>
        <w:t xml:space="preserve">have been gathered </w:t>
      </w:r>
      <w:proofErr w:type="gramStart"/>
      <w:r w:rsidRPr="00A44018">
        <w:rPr>
          <w:rFonts w:ascii="Calibri" w:eastAsia="Calibri" w:hAnsi="Calibri"/>
          <w:color w:val="00000A"/>
          <w:sz w:val="24"/>
          <w:szCs w:val="24"/>
        </w:rPr>
        <w:t>during the course of</w:t>
      </w:r>
      <w:proofErr w:type="gramEnd"/>
      <w:r w:rsidRPr="00A44018">
        <w:rPr>
          <w:rFonts w:ascii="Calibri" w:eastAsia="Calibri" w:hAnsi="Calibri"/>
          <w:color w:val="00000A"/>
          <w:sz w:val="24"/>
          <w:szCs w:val="24"/>
        </w:rPr>
        <w:t xml:space="preserve"> this study.  These will help to formulate strategies and plans for trial and implementation in youth work practice.</w:t>
      </w:r>
      <w:bookmarkStart w:id="4" w:name="_Toc76631140"/>
    </w:p>
    <w:p w14:paraId="6AAA9565" w14:textId="77777777" w:rsidR="00A44018" w:rsidRPr="00A44018" w:rsidRDefault="00A44018" w:rsidP="00A44018">
      <w:pPr>
        <w:keepNext/>
        <w:keepLines/>
        <w:spacing w:before="40" w:after="0" w:afterAutospacing="1" w:line="252" w:lineRule="auto"/>
        <w:outlineLvl w:val="1"/>
        <w:rPr>
          <w:rFonts w:asciiTheme="majorHAnsi" w:eastAsiaTheme="majorEastAsia" w:hAnsiTheme="majorHAnsi" w:cstheme="majorBidi"/>
          <w:color w:val="2F5496" w:themeColor="accent1" w:themeShade="BF"/>
          <w:sz w:val="26"/>
          <w:szCs w:val="26"/>
        </w:rPr>
      </w:pPr>
      <w:r w:rsidRPr="00A44018">
        <w:rPr>
          <w:rFonts w:asciiTheme="majorHAnsi" w:eastAsiaTheme="majorEastAsia" w:hAnsiTheme="majorHAnsi" w:cstheme="majorBidi"/>
          <w:color w:val="2F5496" w:themeColor="accent1" w:themeShade="BF"/>
          <w:sz w:val="26"/>
          <w:szCs w:val="26"/>
        </w:rPr>
        <w:t>2.2 Cognitive Development</w:t>
      </w:r>
      <w:bookmarkEnd w:id="4"/>
    </w:p>
    <w:p w14:paraId="2D322F5D" w14:textId="77777777" w:rsidR="00A44018" w:rsidRPr="00A44018" w:rsidRDefault="00A44018" w:rsidP="00A44018">
      <w:pPr>
        <w:spacing w:after="100" w:afterAutospacing="1" w:line="480" w:lineRule="auto"/>
        <w:jc w:val="both"/>
        <w:rPr>
          <w:rFonts w:ascii="Calibri" w:eastAsia="Calibri" w:hAnsi="Calibri"/>
          <w:color w:val="00000A"/>
          <w:sz w:val="24"/>
          <w:szCs w:val="24"/>
        </w:rPr>
      </w:pPr>
      <w:r w:rsidRPr="00A44018">
        <w:rPr>
          <w:rFonts w:ascii="Calibri" w:eastAsia="Calibri" w:hAnsi="Calibri"/>
          <w:color w:val="00000A"/>
          <w:sz w:val="24"/>
          <w:szCs w:val="24"/>
        </w:rPr>
        <w:t>Since the mid-1990s there has been a marked increase in research into the social neuroscience of adolescence (</w:t>
      </w:r>
      <w:proofErr w:type="spellStart"/>
      <w:r w:rsidRPr="00A44018">
        <w:rPr>
          <w:rFonts w:ascii="Calibri" w:eastAsia="Calibri" w:hAnsi="Calibri"/>
          <w:color w:val="00000A"/>
          <w:sz w:val="24"/>
          <w:szCs w:val="24"/>
        </w:rPr>
        <w:t>Segalowitz</w:t>
      </w:r>
      <w:proofErr w:type="spellEnd"/>
      <w:r w:rsidRPr="00A44018">
        <w:rPr>
          <w:rFonts w:ascii="Calibri" w:eastAsia="Calibri" w:hAnsi="Calibri"/>
          <w:color w:val="00000A"/>
          <w:sz w:val="24"/>
          <w:szCs w:val="24"/>
        </w:rPr>
        <w:t xml:space="preserve"> and Luciana, 2014) and studies into brain development, alongside biological and sociological research, provide insights that are pertinent to risk-taking behaviour in adolescence.</w:t>
      </w:r>
    </w:p>
    <w:p w14:paraId="794FDD4C" w14:textId="77777777" w:rsidR="00A44018" w:rsidRPr="00A44018" w:rsidRDefault="00A44018" w:rsidP="00A44018">
      <w:pPr>
        <w:spacing w:after="100" w:afterAutospacing="1" w:line="480" w:lineRule="auto"/>
        <w:jc w:val="both"/>
        <w:rPr>
          <w:rFonts w:ascii="Calibri" w:eastAsia="Calibri" w:hAnsi="Calibri"/>
          <w:color w:val="00000A"/>
          <w:sz w:val="24"/>
          <w:szCs w:val="24"/>
        </w:rPr>
      </w:pPr>
      <w:r w:rsidRPr="00A44018">
        <w:rPr>
          <w:rFonts w:ascii="Calibri" w:eastAsia="Calibri" w:hAnsi="Calibri"/>
          <w:color w:val="00000A"/>
          <w:sz w:val="24"/>
          <w:szCs w:val="24"/>
        </w:rPr>
        <w:lastRenderedPageBreak/>
        <w:t xml:space="preserve">The developing pre-teenage brain initiates the biological imperative to reduce familial dependency, enabling the mixing of the gene pool (White and </w:t>
      </w:r>
      <w:proofErr w:type="spellStart"/>
      <w:r w:rsidRPr="00A44018">
        <w:rPr>
          <w:rFonts w:ascii="Calibri" w:eastAsia="Calibri" w:hAnsi="Calibri"/>
          <w:color w:val="00000A"/>
          <w:sz w:val="24"/>
          <w:szCs w:val="24"/>
        </w:rPr>
        <w:t>Swartzwelder</w:t>
      </w:r>
      <w:proofErr w:type="spellEnd"/>
      <w:r w:rsidRPr="00A44018">
        <w:rPr>
          <w:rFonts w:ascii="Calibri" w:eastAsia="Calibri" w:hAnsi="Calibri"/>
          <w:color w:val="00000A"/>
          <w:sz w:val="24"/>
          <w:szCs w:val="24"/>
        </w:rPr>
        <w:t>, 2013).  This need for independence drives adolescents to explore the world around them, to try new experiences and to challenge established rules (ibid.).  This exploration involves taking risks, but it takes place at a time when adolescent brains are learning rapidly (ibid.).</w:t>
      </w:r>
    </w:p>
    <w:p w14:paraId="07E996A3" w14:textId="77777777" w:rsidR="00A44018" w:rsidRPr="00A44018" w:rsidRDefault="00A44018" w:rsidP="00A44018">
      <w:pPr>
        <w:spacing w:after="100" w:afterAutospacing="1" w:line="480" w:lineRule="auto"/>
        <w:jc w:val="both"/>
        <w:rPr>
          <w:rFonts w:ascii="Calibri" w:eastAsia="Calibri" w:hAnsi="Calibri"/>
          <w:color w:val="00000A"/>
          <w:sz w:val="24"/>
          <w:szCs w:val="24"/>
        </w:rPr>
      </w:pPr>
      <w:r w:rsidRPr="00A44018">
        <w:rPr>
          <w:rFonts w:ascii="Calibri" w:eastAsia="Calibri" w:hAnsi="Calibri"/>
          <w:color w:val="00000A"/>
          <w:sz w:val="24"/>
          <w:szCs w:val="24"/>
        </w:rPr>
        <w:t>During adolescence young people develop ‘adult-like’ cognitive styles that are recognisably different from childhood, but their brains’ prefrontal and frontal cortices are not fully formed or as rapidly accessible as they are in adults (</w:t>
      </w:r>
      <w:proofErr w:type="spellStart"/>
      <w:r w:rsidRPr="00A44018">
        <w:rPr>
          <w:rFonts w:ascii="Calibri" w:eastAsia="Calibri" w:hAnsi="Calibri"/>
          <w:color w:val="00000A"/>
          <w:sz w:val="24"/>
          <w:szCs w:val="24"/>
        </w:rPr>
        <w:t>Zarrabi</w:t>
      </w:r>
      <w:proofErr w:type="spellEnd"/>
      <w:r w:rsidRPr="00A44018">
        <w:rPr>
          <w:rFonts w:ascii="Calibri" w:eastAsia="Calibri" w:hAnsi="Calibri"/>
          <w:color w:val="00000A"/>
          <w:sz w:val="24"/>
          <w:szCs w:val="24"/>
        </w:rPr>
        <w:t xml:space="preserve">, 2020). As these areas of the brain are central to judgement and problem-solving and not yet fully connected to the limbic system and amygdala, adolescents have immature capability for emotional learning and self-regulation (Harvard Health Publishing, 2011).     </w:t>
      </w:r>
    </w:p>
    <w:p w14:paraId="27449F97" w14:textId="77777777" w:rsidR="00A44018" w:rsidRPr="00A44018" w:rsidRDefault="00A44018" w:rsidP="00A44018">
      <w:pPr>
        <w:spacing w:after="100" w:afterAutospacing="1" w:line="480" w:lineRule="auto"/>
        <w:jc w:val="both"/>
        <w:rPr>
          <w:rFonts w:ascii="Calibri" w:eastAsia="Calibri" w:hAnsi="Calibri"/>
          <w:color w:val="00000A"/>
          <w:sz w:val="24"/>
          <w:szCs w:val="24"/>
        </w:rPr>
      </w:pPr>
      <w:r w:rsidRPr="00A44018">
        <w:rPr>
          <w:rFonts w:ascii="Calibri" w:eastAsia="Calibri" w:hAnsi="Calibri"/>
          <w:color w:val="00000A"/>
          <w:sz w:val="24"/>
          <w:szCs w:val="24"/>
        </w:rPr>
        <w:t xml:space="preserve">This does not, however, mean that young people are intellectually immature, as many studies have shown that when posed with hypothetical questions about risks and rewards, teens usually answer in the same way as adults (ibid.).  However, in real life situations, adolescents have more trouble thinking before they act, stopping something that is already happening or deciding between safe and risky choices (ibid., Salvia, </w:t>
      </w:r>
      <w:proofErr w:type="spellStart"/>
      <w:r w:rsidRPr="00A44018">
        <w:rPr>
          <w:rFonts w:ascii="Calibri" w:eastAsia="Calibri" w:hAnsi="Calibri"/>
          <w:color w:val="00000A"/>
          <w:sz w:val="24"/>
          <w:szCs w:val="24"/>
        </w:rPr>
        <w:t>Aite</w:t>
      </w:r>
      <w:proofErr w:type="spellEnd"/>
      <w:r w:rsidRPr="00A44018">
        <w:rPr>
          <w:rFonts w:ascii="Calibri" w:eastAsia="Calibri" w:hAnsi="Calibri"/>
          <w:color w:val="00000A"/>
          <w:sz w:val="24"/>
          <w:szCs w:val="24"/>
        </w:rPr>
        <w:t>, Vidal and Borst et al., 2021).  Thus, they might say that they would not do something risky, but in practice, depending on their social and emotional circumstances, they might act differently (Reyna and Farley, 2006).</w:t>
      </w:r>
    </w:p>
    <w:p w14:paraId="0EAB3C6D" w14:textId="77777777" w:rsidR="00A44018" w:rsidRPr="00A44018" w:rsidRDefault="00A44018" w:rsidP="00A44018">
      <w:pPr>
        <w:spacing w:after="100" w:afterAutospacing="1" w:line="480" w:lineRule="auto"/>
        <w:jc w:val="both"/>
        <w:rPr>
          <w:rFonts w:ascii="Calibri" w:eastAsia="Calibri" w:hAnsi="Calibri"/>
          <w:color w:val="00000A"/>
          <w:sz w:val="24"/>
          <w:szCs w:val="24"/>
        </w:rPr>
      </w:pPr>
      <w:r w:rsidRPr="00A44018">
        <w:rPr>
          <w:rFonts w:ascii="Calibri" w:eastAsia="Calibri" w:hAnsi="Calibri"/>
          <w:color w:val="00000A"/>
          <w:sz w:val="24"/>
          <w:szCs w:val="24"/>
        </w:rPr>
        <w:t>It seems to follow that providing adolescents with reliable information in advance can help them to make more informed decisions, but behavioural decision research recognises that decision-making competence varies by individual and that decisions are derived from both cognitive and non-cognitive processes (</w:t>
      </w:r>
      <w:proofErr w:type="spellStart"/>
      <w:r w:rsidRPr="00A44018">
        <w:rPr>
          <w:rFonts w:ascii="Calibri" w:eastAsia="Calibri" w:hAnsi="Calibri"/>
          <w:color w:val="00000A"/>
          <w:sz w:val="24"/>
          <w:szCs w:val="24"/>
        </w:rPr>
        <w:t>Fischhoff</w:t>
      </w:r>
      <w:proofErr w:type="spellEnd"/>
      <w:r w:rsidRPr="00A44018">
        <w:rPr>
          <w:rFonts w:ascii="Calibri" w:eastAsia="Calibri" w:hAnsi="Calibri"/>
          <w:color w:val="00000A"/>
          <w:sz w:val="24"/>
          <w:szCs w:val="24"/>
        </w:rPr>
        <w:t xml:space="preserve">, 2007).  Even primed with relevant </w:t>
      </w:r>
      <w:r w:rsidRPr="00A44018">
        <w:rPr>
          <w:rFonts w:ascii="Calibri" w:eastAsia="Calibri" w:hAnsi="Calibri"/>
          <w:color w:val="00000A"/>
          <w:sz w:val="24"/>
          <w:szCs w:val="24"/>
        </w:rPr>
        <w:lastRenderedPageBreak/>
        <w:t>information (</w:t>
      </w:r>
      <w:proofErr w:type="gramStart"/>
      <w:r w:rsidRPr="00A44018">
        <w:rPr>
          <w:rFonts w:ascii="Calibri" w:eastAsia="Calibri" w:hAnsi="Calibri"/>
          <w:color w:val="00000A"/>
          <w:sz w:val="24"/>
          <w:szCs w:val="24"/>
        </w:rPr>
        <w:t>e.g.</w:t>
      </w:r>
      <w:proofErr w:type="gramEnd"/>
      <w:r w:rsidRPr="00A44018">
        <w:rPr>
          <w:rFonts w:ascii="Calibri" w:eastAsia="Calibri" w:hAnsi="Calibri"/>
          <w:color w:val="00000A"/>
          <w:sz w:val="24"/>
          <w:szCs w:val="24"/>
        </w:rPr>
        <w:t xml:space="preserve"> sex education) teenagers might not change their decisions.  However, they should not be stereotyped as universally incompetent decision-makers, as this would be unfair </w:t>
      </w:r>
      <w:proofErr w:type="gramStart"/>
      <w:r w:rsidRPr="00A44018">
        <w:rPr>
          <w:rFonts w:ascii="Calibri" w:eastAsia="Calibri" w:hAnsi="Calibri"/>
          <w:color w:val="00000A"/>
          <w:sz w:val="24"/>
          <w:szCs w:val="24"/>
        </w:rPr>
        <w:t>in light of</w:t>
      </w:r>
      <w:proofErr w:type="gramEnd"/>
      <w:r w:rsidRPr="00A44018">
        <w:rPr>
          <w:rFonts w:ascii="Calibri" w:eastAsia="Calibri" w:hAnsi="Calibri"/>
          <w:color w:val="00000A"/>
          <w:sz w:val="24"/>
          <w:szCs w:val="24"/>
        </w:rPr>
        <w:t xml:space="preserve"> the many decisions they have to make regarding identity, friends, fashion, substances, driving, jobs, money etc., at a time when they are still learning (ibid.).</w:t>
      </w:r>
    </w:p>
    <w:p w14:paraId="5A39C988" w14:textId="77777777" w:rsidR="00A44018" w:rsidRPr="00A44018" w:rsidRDefault="00A44018" w:rsidP="00A44018">
      <w:pPr>
        <w:spacing w:after="100" w:afterAutospacing="1" w:line="480" w:lineRule="auto"/>
        <w:jc w:val="both"/>
        <w:rPr>
          <w:rFonts w:ascii="Calibri" w:eastAsia="Calibri" w:hAnsi="Calibri"/>
          <w:color w:val="00000A"/>
          <w:sz w:val="24"/>
          <w:szCs w:val="24"/>
        </w:rPr>
      </w:pPr>
      <w:r w:rsidRPr="00A44018">
        <w:rPr>
          <w:rFonts w:ascii="Calibri" w:eastAsia="Calibri" w:hAnsi="Calibri"/>
          <w:color w:val="00000A"/>
          <w:sz w:val="24"/>
          <w:szCs w:val="24"/>
        </w:rPr>
        <w:t xml:space="preserve">Learning, that is taking up, thinking about and understanding new information, requires cognitive effort, and adolescents’ willingness to invest this effort has been shown to relate to how motivated they are to engage in cognitively challenging tasks (Kramer, Van </w:t>
      </w:r>
      <w:proofErr w:type="spellStart"/>
      <w:r w:rsidRPr="00A44018">
        <w:rPr>
          <w:rFonts w:ascii="Calibri" w:eastAsia="Calibri" w:hAnsi="Calibri"/>
          <w:color w:val="00000A"/>
          <w:sz w:val="24"/>
          <w:szCs w:val="24"/>
        </w:rPr>
        <w:t>Duijvenvoorde</w:t>
      </w:r>
      <w:proofErr w:type="spellEnd"/>
      <w:r w:rsidRPr="00A44018">
        <w:rPr>
          <w:rFonts w:ascii="Calibri" w:eastAsia="Calibri" w:hAnsi="Calibri"/>
          <w:color w:val="00000A"/>
          <w:sz w:val="24"/>
          <w:szCs w:val="24"/>
        </w:rPr>
        <w:t xml:space="preserve">, </w:t>
      </w:r>
      <w:proofErr w:type="spellStart"/>
      <w:r w:rsidRPr="00A44018">
        <w:rPr>
          <w:rFonts w:ascii="Calibri" w:eastAsia="Calibri" w:hAnsi="Calibri"/>
          <w:color w:val="00000A"/>
          <w:sz w:val="24"/>
          <w:szCs w:val="24"/>
        </w:rPr>
        <w:t>Krabbendam</w:t>
      </w:r>
      <w:proofErr w:type="spellEnd"/>
      <w:r w:rsidRPr="00A44018">
        <w:rPr>
          <w:rFonts w:ascii="Calibri" w:eastAsia="Calibri" w:hAnsi="Calibri"/>
          <w:color w:val="00000A"/>
          <w:sz w:val="24"/>
          <w:szCs w:val="24"/>
        </w:rPr>
        <w:t xml:space="preserve"> and Huizenga, 2021).  In order to increase their willingness to invest cognitive effort, it is essential to make learning enjoyable (ibid.).</w:t>
      </w:r>
    </w:p>
    <w:p w14:paraId="75F55F7D" w14:textId="77777777" w:rsidR="00A44018" w:rsidRPr="00A44018" w:rsidRDefault="00A44018" w:rsidP="00A44018">
      <w:pPr>
        <w:spacing w:after="100" w:afterAutospacing="1" w:line="480" w:lineRule="auto"/>
        <w:jc w:val="both"/>
        <w:rPr>
          <w:rFonts w:ascii="Calibri" w:eastAsia="Calibri" w:hAnsi="Calibri"/>
          <w:color w:val="00000A"/>
          <w:sz w:val="24"/>
          <w:szCs w:val="24"/>
        </w:rPr>
      </w:pPr>
      <w:r w:rsidRPr="00A44018">
        <w:rPr>
          <w:rFonts w:ascii="Calibri" w:eastAsia="Calibri" w:hAnsi="Calibri"/>
          <w:color w:val="00000A"/>
          <w:sz w:val="24"/>
          <w:szCs w:val="24"/>
        </w:rPr>
        <w:t xml:space="preserve">Using learning to moderate risky choices also requires self-control.  Self-control, that is, inhibiting automatic response, is an ability that develops linearly from childhood onwards, but it is also dependent upon how affectively charged the context is (Salvia et al, 2021).  Think, for example, how it feels to resist a hug during the pandemic.  Adolescents are thought to have ‘specific difficulties resisting pre-potent responses’ in emotionally charged contexts, probably linked to cognitive and emotional imbalance (ibid., para.17), which makes them more likely to take risks.  </w:t>
      </w:r>
    </w:p>
    <w:p w14:paraId="615D2CA1" w14:textId="77777777" w:rsidR="00A44018" w:rsidRPr="00A44018" w:rsidRDefault="00A44018" w:rsidP="00A44018">
      <w:pPr>
        <w:spacing w:after="100" w:afterAutospacing="1" w:line="480" w:lineRule="auto"/>
        <w:jc w:val="both"/>
        <w:rPr>
          <w:rFonts w:ascii="Calibri" w:eastAsia="Calibri" w:hAnsi="Calibri"/>
          <w:color w:val="00000A"/>
          <w:sz w:val="24"/>
          <w:szCs w:val="24"/>
        </w:rPr>
      </w:pPr>
      <w:r w:rsidRPr="00A44018">
        <w:rPr>
          <w:rFonts w:ascii="Calibri" w:eastAsia="Calibri" w:hAnsi="Calibri"/>
          <w:color w:val="00000A"/>
          <w:sz w:val="24"/>
          <w:szCs w:val="24"/>
        </w:rPr>
        <w:t xml:space="preserve">Functional magnetic resonance imaging (fMRI) of the brain has shown how and where information is processed when performing tasks, thinking certain thoughts and experiencing different feelings (White and </w:t>
      </w:r>
      <w:proofErr w:type="spellStart"/>
      <w:r w:rsidRPr="00A44018">
        <w:rPr>
          <w:rFonts w:ascii="Calibri" w:eastAsia="Calibri" w:hAnsi="Calibri"/>
          <w:color w:val="00000A"/>
          <w:sz w:val="24"/>
          <w:szCs w:val="24"/>
        </w:rPr>
        <w:t>Swartzwelder</w:t>
      </w:r>
      <w:proofErr w:type="spellEnd"/>
      <w:r w:rsidRPr="00A44018">
        <w:rPr>
          <w:rFonts w:ascii="Calibri" w:eastAsia="Calibri" w:hAnsi="Calibri"/>
          <w:color w:val="00000A"/>
          <w:sz w:val="24"/>
          <w:szCs w:val="24"/>
        </w:rPr>
        <w:t xml:space="preserve">, 2013).  It has also shown how brain structure changes during adolescence and how responses change with age.  When used with young people who are developing normally it shows that they take risks because their motivational </w:t>
      </w:r>
      <w:r w:rsidRPr="00A44018">
        <w:rPr>
          <w:rFonts w:ascii="Calibri" w:eastAsia="Calibri" w:hAnsi="Calibri"/>
          <w:color w:val="00000A"/>
          <w:sz w:val="24"/>
          <w:szCs w:val="24"/>
        </w:rPr>
        <w:lastRenderedPageBreak/>
        <w:t xml:space="preserve">drive and their behavioural control mechanisms are imbalanced, and particularly so in mid-adolescence (Bjork and </w:t>
      </w:r>
      <w:proofErr w:type="spellStart"/>
      <w:r w:rsidRPr="00A44018">
        <w:rPr>
          <w:rFonts w:ascii="Calibri" w:eastAsia="Calibri" w:hAnsi="Calibri"/>
          <w:color w:val="00000A"/>
          <w:sz w:val="24"/>
          <w:szCs w:val="24"/>
        </w:rPr>
        <w:t>Pardini</w:t>
      </w:r>
      <w:proofErr w:type="spellEnd"/>
      <w:r w:rsidRPr="00A44018">
        <w:rPr>
          <w:rFonts w:ascii="Calibri" w:eastAsia="Calibri" w:hAnsi="Calibri"/>
          <w:color w:val="00000A"/>
          <w:sz w:val="24"/>
          <w:szCs w:val="24"/>
        </w:rPr>
        <w:t xml:space="preserve">, 2014).    </w:t>
      </w:r>
    </w:p>
    <w:p w14:paraId="4E85FDD2" w14:textId="77777777" w:rsidR="00A44018" w:rsidRPr="00A44018" w:rsidRDefault="00A44018" w:rsidP="00A44018">
      <w:pPr>
        <w:spacing w:after="100" w:afterAutospacing="1" w:line="480" w:lineRule="auto"/>
        <w:jc w:val="both"/>
        <w:rPr>
          <w:rFonts w:ascii="Calibri" w:eastAsia="Calibri" w:hAnsi="Calibri"/>
          <w:color w:val="00000A"/>
          <w:sz w:val="24"/>
          <w:szCs w:val="24"/>
        </w:rPr>
      </w:pPr>
      <w:r w:rsidRPr="00A44018">
        <w:rPr>
          <w:rFonts w:ascii="Calibri" w:eastAsia="Calibri" w:hAnsi="Calibri"/>
          <w:color w:val="00000A"/>
          <w:sz w:val="24"/>
          <w:szCs w:val="24"/>
        </w:rPr>
        <w:t xml:space="preserve">However, mortality and morbidity associated with high-risk behaviours is strongly attributed to non-neurotypical adolescents, such as those with conduct disorder (CD), oppositional-defiant disorder (ODD) and attention-deficit hyperactivity disorder (ADHD), and so individual differences in childhood behaviour history need to be </w:t>
      </w:r>
      <w:proofErr w:type="gramStart"/>
      <w:r w:rsidRPr="00A44018">
        <w:rPr>
          <w:rFonts w:ascii="Calibri" w:eastAsia="Calibri" w:hAnsi="Calibri"/>
          <w:color w:val="00000A"/>
          <w:sz w:val="24"/>
          <w:szCs w:val="24"/>
        </w:rPr>
        <w:t>taken into account</w:t>
      </w:r>
      <w:proofErr w:type="gramEnd"/>
      <w:r w:rsidRPr="00A44018">
        <w:rPr>
          <w:rFonts w:ascii="Calibri" w:eastAsia="Calibri" w:hAnsi="Calibri"/>
          <w:color w:val="00000A"/>
          <w:sz w:val="24"/>
          <w:szCs w:val="24"/>
        </w:rPr>
        <w:t xml:space="preserve"> when considering the likelihood of adolescent risk-taking behaviour </w:t>
      </w:r>
      <w:bookmarkStart w:id="5" w:name="_Hlk71463282"/>
      <w:r w:rsidRPr="00A44018">
        <w:rPr>
          <w:rFonts w:ascii="Calibri" w:eastAsia="Calibri" w:hAnsi="Calibri"/>
          <w:color w:val="00000A"/>
          <w:sz w:val="24"/>
          <w:szCs w:val="24"/>
        </w:rPr>
        <w:t xml:space="preserve">(Bjork and </w:t>
      </w:r>
      <w:proofErr w:type="spellStart"/>
      <w:r w:rsidRPr="00A44018">
        <w:rPr>
          <w:rFonts w:ascii="Calibri" w:eastAsia="Calibri" w:hAnsi="Calibri"/>
          <w:color w:val="00000A"/>
          <w:sz w:val="24"/>
          <w:szCs w:val="24"/>
        </w:rPr>
        <w:t>Pardini</w:t>
      </w:r>
      <w:proofErr w:type="spellEnd"/>
      <w:r w:rsidRPr="00A44018">
        <w:rPr>
          <w:rFonts w:ascii="Calibri" w:eastAsia="Calibri" w:hAnsi="Calibri"/>
          <w:color w:val="00000A"/>
          <w:sz w:val="24"/>
          <w:szCs w:val="24"/>
        </w:rPr>
        <w:t>, 2014)</w:t>
      </w:r>
      <w:bookmarkEnd w:id="5"/>
      <w:r w:rsidRPr="00A44018">
        <w:rPr>
          <w:rFonts w:ascii="Calibri" w:eastAsia="Calibri" w:hAnsi="Calibri"/>
          <w:color w:val="00000A"/>
          <w:sz w:val="24"/>
          <w:szCs w:val="24"/>
        </w:rPr>
        <w:t>.</w:t>
      </w:r>
    </w:p>
    <w:p w14:paraId="05673942" w14:textId="77777777" w:rsidR="00A44018" w:rsidRPr="00A44018" w:rsidRDefault="00A44018" w:rsidP="00A44018">
      <w:pPr>
        <w:spacing w:after="100" w:afterAutospacing="1" w:line="480" w:lineRule="auto"/>
        <w:jc w:val="both"/>
        <w:rPr>
          <w:rFonts w:ascii="Calibri" w:eastAsia="Calibri" w:hAnsi="Calibri"/>
          <w:color w:val="00000A"/>
          <w:sz w:val="24"/>
          <w:szCs w:val="24"/>
        </w:rPr>
      </w:pPr>
      <w:r w:rsidRPr="00A44018">
        <w:rPr>
          <w:rFonts w:ascii="Calibri" w:eastAsia="Calibri" w:hAnsi="Calibri"/>
          <w:color w:val="00000A"/>
          <w:sz w:val="24"/>
          <w:szCs w:val="24"/>
        </w:rPr>
        <w:t xml:space="preserve">ADHD is a developmental disorder that runs in families and is characterised by differences in brain structure and function (NHS, 2018).  It is also considered a mental health condition (ADHD UK, 2021) whose symptoms include inattention, hyperactivity and impulsiveness, meaning that some young people with ADHD have little or no sense of danger and can act without thinking (NHS, 2018), which places them more at risk than others.  However, Roberts, Alderson, Betancourt and Bullard (2021) found that ADHD was only associated with moderate risk-taking behaviour.  It is considered that approximately 5% of the population globally is afflicted with ADHD (ADHD UK, 2021), although Biederman, DiSalvo, </w:t>
      </w:r>
      <w:proofErr w:type="spellStart"/>
      <w:r w:rsidRPr="00A44018">
        <w:rPr>
          <w:rFonts w:ascii="Calibri" w:eastAsia="Calibri" w:hAnsi="Calibri"/>
          <w:color w:val="00000A"/>
          <w:sz w:val="24"/>
          <w:szCs w:val="24"/>
        </w:rPr>
        <w:t>Vaudreuil</w:t>
      </w:r>
      <w:proofErr w:type="spellEnd"/>
      <w:r w:rsidRPr="00A44018">
        <w:rPr>
          <w:rFonts w:ascii="Calibri" w:eastAsia="Calibri" w:hAnsi="Calibri"/>
          <w:color w:val="00000A"/>
          <w:sz w:val="24"/>
          <w:szCs w:val="24"/>
        </w:rPr>
        <w:t xml:space="preserve">, Wozniak, Uchida, Woodworth, Green, Farrell and </w:t>
      </w:r>
      <w:proofErr w:type="spellStart"/>
      <w:r w:rsidRPr="00A44018">
        <w:rPr>
          <w:rFonts w:ascii="Calibri" w:eastAsia="Calibri" w:hAnsi="Calibri"/>
          <w:color w:val="00000A"/>
          <w:sz w:val="24"/>
          <w:szCs w:val="24"/>
        </w:rPr>
        <w:t>Faraone</w:t>
      </w:r>
      <w:proofErr w:type="spellEnd"/>
      <w:r w:rsidRPr="00A44018">
        <w:rPr>
          <w:rFonts w:ascii="Calibri" w:eastAsia="Calibri" w:hAnsi="Calibri"/>
          <w:color w:val="00000A"/>
          <w:sz w:val="24"/>
          <w:szCs w:val="24"/>
        </w:rPr>
        <w:t xml:space="preserve"> (2021) refer to an estimation of up to 11% in the USA.</w:t>
      </w:r>
    </w:p>
    <w:p w14:paraId="640C55E4" w14:textId="77777777" w:rsidR="00A44018" w:rsidRPr="00A44018" w:rsidRDefault="00A44018" w:rsidP="00A44018">
      <w:pPr>
        <w:spacing w:after="100" w:afterAutospacing="1" w:line="480" w:lineRule="auto"/>
        <w:jc w:val="both"/>
        <w:rPr>
          <w:rFonts w:ascii="Calibri" w:eastAsia="Calibri" w:hAnsi="Calibri"/>
          <w:color w:val="00000A"/>
          <w:sz w:val="24"/>
          <w:szCs w:val="24"/>
        </w:rPr>
      </w:pPr>
      <w:r w:rsidRPr="00A44018">
        <w:rPr>
          <w:rFonts w:ascii="Calibri" w:eastAsia="Calibri" w:hAnsi="Calibri"/>
          <w:color w:val="00000A"/>
          <w:sz w:val="24"/>
          <w:szCs w:val="24"/>
        </w:rPr>
        <w:t xml:space="preserve">Further, ADHD is strongly associated with other conditions (NHS, 2021).  </w:t>
      </w:r>
      <w:proofErr w:type="spellStart"/>
      <w:r w:rsidRPr="00A44018">
        <w:rPr>
          <w:rFonts w:ascii="Calibri" w:eastAsia="Calibri" w:hAnsi="Calibri"/>
          <w:color w:val="00000A"/>
          <w:sz w:val="24"/>
          <w:szCs w:val="24"/>
        </w:rPr>
        <w:t>Biedermann</w:t>
      </w:r>
      <w:proofErr w:type="spellEnd"/>
      <w:r w:rsidRPr="00A44018">
        <w:rPr>
          <w:rFonts w:ascii="Calibri" w:eastAsia="Calibri" w:hAnsi="Calibri"/>
          <w:color w:val="00000A"/>
          <w:sz w:val="24"/>
          <w:szCs w:val="24"/>
        </w:rPr>
        <w:t xml:space="preserve"> et al. (2021) found that 76% of the children and young people with ADHD also had other psychopathological conditions, and that for 44% of those studied it was the latter conditions that were more severe than their ADHD: these conditions manifested as aggressive behaviour, oppositional defiance, rule-breaking, anxiety and depression (ibid.). </w:t>
      </w:r>
    </w:p>
    <w:p w14:paraId="4847FF84" w14:textId="77777777" w:rsidR="00A44018" w:rsidRPr="00A44018" w:rsidRDefault="00A44018" w:rsidP="00A44018">
      <w:pPr>
        <w:spacing w:after="100" w:afterAutospacing="1" w:line="480" w:lineRule="auto"/>
        <w:jc w:val="both"/>
        <w:rPr>
          <w:rFonts w:ascii="Calibri" w:eastAsia="Calibri" w:hAnsi="Calibri"/>
          <w:color w:val="00000A"/>
          <w:sz w:val="24"/>
          <w:szCs w:val="24"/>
        </w:rPr>
      </w:pPr>
      <w:r w:rsidRPr="00A44018">
        <w:rPr>
          <w:rFonts w:ascii="Calibri" w:eastAsia="Calibri" w:hAnsi="Calibri"/>
          <w:color w:val="00000A"/>
          <w:sz w:val="24"/>
          <w:szCs w:val="24"/>
        </w:rPr>
        <w:lastRenderedPageBreak/>
        <w:t xml:space="preserve">Interestingly, ADHD, as well as autistic spectrum disorders, anxiety and mood disorders and allergies, asthma and immune disorders, have also been strongly linked with high intelligence (Karpinski, Kolb, Tetreault and Borowski, 2017).  High cognitive ability comes with a significantly higher chance of these psychological and physiological disorders relative to the rest of the population (ibid.).  Citing Gere, Capps, Mitchell and Grubbs (2009), Karpinski et al. (2017, p9) state that gifted children showed ‘significantly heightened emotional and behavioural responses to their environment’.  Thus, high cognitive ability (hyper brain) is linked with heightened psychological and physiological responses (hyper body) (ibid.). </w:t>
      </w:r>
    </w:p>
    <w:p w14:paraId="0D22562E" w14:textId="77777777" w:rsidR="00A44018" w:rsidRPr="00A44018" w:rsidRDefault="00A44018" w:rsidP="00A44018">
      <w:pPr>
        <w:spacing w:after="100" w:afterAutospacing="1" w:line="480" w:lineRule="auto"/>
        <w:jc w:val="both"/>
        <w:rPr>
          <w:rFonts w:ascii="Calibri" w:eastAsia="Calibri" w:hAnsi="Calibri"/>
          <w:color w:val="00000A"/>
          <w:sz w:val="24"/>
          <w:szCs w:val="24"/>
        </w:rPr>
      </w:pPr>
      <w:bookmarkStart w:id="6" w:name="_Hlk76386095"/>
      <w:r w:rsidRPr="00A44018">
        <w:rPr>
          <w:rFonts w:ascii="Calibri" w:eastAsia="Calibri" w:hAnsi="Calibri"/>
          <w:color w:val="00000A"/>
          <w:sz w:val="24"/>
          <w:szCs w:val="24"/>
        </w:rPr>
        <w:t xml:space="preserve">Karpinski et al. (2017, p20) </w:t>
      </w:r>
      <w:bookmarkEnd w:id="6"/>
      <w:r w:rsidRPr="00A44018">
        <w:rPr>
          <w:rFonts w:ascii="Calibri" w:eastAsia="Calibri" w:hAnsi="Calibri"/>
          <w:color w:val="00000A"/>
          <w:sz w:val="24"/>
          <w:szCs w:val="24"/>
        </w:rPr>
        <w:t xml:space="preserve">make references to the famous geniuses, artists, scientists and poets who were also debilitated with anxiety and depression and say, </w:t>
      </w:r>
    </w:p>
    <w:p w14:paraId="7950D369" w14:textId="77777777" w:rsidR="00A44018" w:rsidRPr="00A44018" w:rsidRDefault="00A44018" w:rsidP="00A44018">
      <w:pPr>
        <w:spacing w:after="100" w:afterAutospacing="1" w:line="240" w:lineRule="auto"/>
        <w:ind w:left="284" w:right="284"/>
        <w:jc w:val="both"/>
        <w:rPr>
          <w:rFonts w:ascii="Calibri" w:eastAsia="Calibri" w:hAnsi="Calibri"/>
          <w:color w:val="00000A"/>
          <w:sz w:val="24"/>
          <w:szCs w:val="24"/>
        </w:rPr>
      </w:pPr>
      <w:r w:rsidRPr="00A44018">
        <w:rPr>
          <w:rFonts w:ascii="Calibri" w:eastAsia="Calibri" w:hAnsi="Calibri"/>
          <w:color w:val="00000A"/>
          <w:sz w:val="24"/>
          <w:szCs w:val="24"/>
        </w:rPr>
        <w:t xml:space="preserve">Intelligence research most often focuses on the flashes of lightning seen in [highly intelligent </w:t>
      </w:r>
      <w:proofErr w:type="gramStart"/>
      <w:r w:rsidRPr="00A44018">
        <w:rPr>
          <w:rFonts w:ascii="Calibri" w:eastAsia="Calibri" w:hAnsi="Calibri"/>
          <w:color w:val="00000A"/>
          <w:sz w:val="24"/>
          <w:szCs w:val="24"/>
        </w:rPr>
        <w:t>people]…</w:t>
      </w:r>
      <w:proofErr w:type="gramEnd"/>
      <w:r w:rsidRPr="00A44018">
        <w:rPr>
          <w:rFonts w:ascii="Calibri" w:eastAsia="Calibri" w:hAnsi="Calibri"/>
          <w:color w:val="00000A"/>
          <w:sz w:val="24"/>
          <w:szCs w:val="24"/>
        </w:rPr>
        <w:t xml:space="preserve"> [but] we must not neglect to acknowledge the rumbles of thunder that follow in the wake of their brilliance. </w:t>
      </w:r>
    </w:p>
    <w:p w14:paraId="2CCB65E5" w14:textId="77777777" w:rsidR="00A44018" w:rsidRPr="00A44018" w:rsidRDefault="00A44018" w:rsidP="00A44018">
      <w:pPr>
        <w:spacing w:after="100" w:afterAutospacing="1" w:line="480" w:lineRule="auto"/>
        <w:jc w:val="right"/>
        <w:rPr>
          <w:rFonts w:ascii="Calibri" w:eastAsia="Calibri" w:hAnsi="Calibri"/>
          <w:color w:val="00000A"/>
          <w:sz w:val="24"/>
          <w:szCs w:val="24"/>
        </w:rPr>
      </w:pPr>
      <w:r w:rsidRPr="00A44018">
        <w:rPr>
          <w:rFonts w:ascii="Calibri" w:eastAsia="Calibri" w:hAnsi="Calibri"/>
          <w:color w:val="00000A"/>
          <w:sz w:val="24"/>
          <w:szCs w:val="24"/>
        </w:rPr>
        <w:t>Karpinski et al. (2017, p20)</w:t>
      </w:r>
    </w:p>
    <w:p w14:paraId="1210DAAF" w14:textId="77777777" w:rsidR="00A44018" w:rsidRPr="00A44018" w:rsidRDefault="00A44018" w:rsidP="00A44018">
      <w:pPr>
        <w:spacing w:after="100" w:afterAutospacing="1" w:line="480" w:lineRule="auto"/>
        <w:jc w:val="both"/>
        <w:rPr>
          <w:rFonts w:ascii="Calibri" w:eastAsia="Calibri" w:hAnsi="Calibri"/>
          <w:color w:val="00000A"/>
          <w:sz w:val="24"/>
          <w:szCs w:val="24"/>
        </w:rPr>
      </w:pPr>
      <w:r w:rsidRPr="00A44018">
        <w:rPr>
          <w:rFonts w:ascii="Calibri" w:eastAsia="Calibri" w:hAnsi="Calibri"/>
          <w:color w:val="00000A"/>
          <w:sz w:val="24"/>
          <w:szCs w:val="24"/>
        </w:rPr>
        <w:t xml:space="preserve">It is worth considering, therefore, that if high intelligence is linked with mental disorders such as ADHD, Asperger’s Syndrome and depression (Karpinski et al., 2017), and with those non-neurotypical disorders being linked with higher mortality and morbidity in adolescence (Bjork and </w:t>
      </w:r>
      <w:proofErr w:type="spellStart"/>
      <w:r w:rsidRPr="00A44018">
        <w:rPr>
          <w:rFonts w:ascii="Calibri" w:eastAsia="Calibri" w:hAnsi="Calibri"/>
          <w:color w:val="00000A"/>
          <w:sz w:val="24"/>
          <w:szCs w:val="24"/>
        </w:rPr>
        <w:t>Pardini</w:t>
      </w:r>
      <w:proofErr w:type="spellEnd"/>
      <w:r w:rsidRPr="00A44018">
        <w:rPr>
          <w:rFonts w:ascii="Calibri" w:eastAsia="Calibri" w:hAnsi="Calibri"/>
          <w:color w:val="00000A"/>
          <w:sz w:val="24"/>
          <w:szCs w:val="24"/>
        </w:rPr>
        <w:t>, 2014), whether intelligence can be a predictor of adolescent risk-taking behaviour.</w:t>
      </w:r>
    </w:p>
    <w:p w14:paraId="2BA232E8" w14:textId="77777777" w:rsidR="00A44018" w:rsidRPr="00A44018" w:rsidRDefault="00A44018" w:rsidP="00A44018">
      <w:pPr>
        <w:spacing w:after="100" w:afterAutospacing="1" w:line="480" w:lineRule="auto"/>
        <w:jc w:val="both"/>
        <w:rPr>
          <w:rFonts w:ascii="Calibri" w:eastAsia="Calibri" w:hAnsi="Calibri"/>
          <w:color w:val="00000A"/>
          <w:sz w:val="24"/>
          <w:szCs w:val="24"/>
        </w:rPr>
      </w:pPr>
      <w:r w:rsidRPr="00A44018">
        <w:rPr>
          <w:rFonts w:ascii="Calibri" w:eastAsia="Calibri" w:hAnsi="Calibri"/>
          <w:color w:val="00000A"/>
          <w:sz w:val="24"/>
          <w:szCs w:val="24"/>
        </w:rPr>
        <w:t xml:space="preserve">Emotional intelligence is also worth consideration.  Lower emotional intelligence, and particularly lower self-awareness and a disconnect between thoughts and feelings, has been significantly associated with higher levels of adolescent substance abuse and involvement in fighting and vandalism (Chong, Lee, </w:t>
      </w:r>
      <w:proofErr w:type="spellStart"/>
      <w:r w:rsidRPr="00A44018">
        <w:rPr>
          <w:rFonts w:ascii="Calibri" w:eastAsia="Calibri" w:hAnsi="Calibri"/>
          <w:color w:val="00000A"/>
          <w:sz w:val="24"/>
          <w:szCs w:val="24"/>
        </w:rPr>
        <w:t>Roslan</w:t>
      </w:r>
      <w:proofErr w:type="spellEnd"/>
      <w:r w:rsidRPr="00A44018">
        <w:rPr>
          <w:rFonts w:ascii="Calibri" w:eastAsia="Calibri" w:hAnsi="Calibri"/>
          <w:color w:val="00000A"/>
          <w:sz w:val="24"/>
          <w:szCs w:val="24"/>
        </w:rPr>
        <w:t xml:space="preserve"> and Baba, 2015, p2).  However, the students being </w:t>
      </w:r>
      <w:r w:rsidRPr="00A44018">
        <w:rPr>
          <w:rFonts w:ascii="Calibri" w:eastAsia="Calibri" w:hAnsi="Calibri"/>
          <w:color w:val="00000A"/>
          <w:sz w:val="24"/>
          <w:szCs w:val="24"/>
        </w:rPr>
        <w:lastRenderedPageBreak/>
        <w:t>studied, described by the authors as ‘delinquent’, were also found to be motivated, innovative and initiators of change, so perhaps the label ‘delinquent’ should be dropped (ibid., p7).  Thus, rather than punishing or excluding them, the cognitive development of these adolescents could potentially be supported better with help in understanding and managing emotions (ibid., p6).</w:t>
      </w:r>
    </w:p>
    <w:p w14:paraId="0887C520" w14:textId="77777777" w:rsidR="00A44018" w:rsidRPr="00A44018" w:rsidRDefault="00A44018" w:rsidP="00A44018">
      <w:pPr>
        <w:spacing w:after="100" w:afterAutospacing="1" w:line="480" w:lineRule="auto"/>
        <w:jc w:val="both"/>
        <w:rPr>
          <w:rFonts w:ascii="Calibri" w:eastAsia="Calibri" w:hAnsi="Calibri"/>
          <w:color w:val="00000A"/>
          <w:sz w:val="24"/>
          <w:szCs w:val="24"/>
        </w:rPr>
      </w:pPr>
      <w:r w:rsidRPr="00A44018">
        <w:rPr>
          <w:rFonts w:ascii="Calibri" w:eastAsia="Calibri" w:hAnsi="Calibri"/>
          <w:color w:val="00000A"/>
          <w:sz w:val="24"/>
          <w:szCs w:val="24"/>
        </w:rPr>
        <w:t>Managing our own emotions (intrapersonal emotion regulation) is a skill that develops, and is taught, from early childhood and good emotional self-regulation is associated with positive social relationships and academic achievement (</w:t>
      </w:r>
      <w:proofErr w:type="spellStart"/>
      <w:r w:rsidRPr="00A44018">
        <w:rPr>
          <w:rFonts w:ascii="Calibri" w:eastAsia="Calibri" w:hAnsi="Calibri"/>
          <w:color w:val="00000A"/>
          <w:sz w:val="24"/>
          <w:szCs w:val="24"/>
        </w:rPr>
        <w:t>Gummerum</w:t>
      </w:r>
      <w:proofErr w:type="spellEnd"/>
      <w:r w:rsidRPr="00A44018">
        <w:rPr>
          <w:rFonts w:ascii="Calibri" w:eastAsia="Calibri" w:hAnsi="Calibri"/>
          <w:color w:val="00000A"/>
          <w:sz w:val="24"/>
          <w:szCs w:val="24"/>
        </w:rPr>
        <w:t xml:space="preserve"> and Lopez-Perez, 2020).  Managing others’ emotions (interpersonal emotion regulation), however, is learned during adolescence and can be used to improve or worsen another’s feelings (ibid.).  Adolescents with maladaptive social development in this regard, selecting to hurt or insult others rather than trying to improve another’s emotions, can be seen to be putting both themselves and others at risk. </w:t>
      </w:r>
    </w:p>
    <w:p w14:paraId="5BA2241B" w14:textId="77777777" w:rsidR="00A44018" w:rsidRPr="00A44018" w:rsidRDefault="00A44018" w:rsidP="00A44018">
      <w:pPr>
        <w:spacing w:after="100" w:afterAutospacing="1" w:line="480" w:lineRule="auto"/>
        <w:jc w:val="both"/>
        <w:rPr>
          <w:rFonts w:ascii="Calibri" w:eastAsia="Calibri" w:hAnsi="Calibri"/>
          <w:color w:val="00000A"/>
          <w:sz w:val="24"/>
          <w:szCs w:val="24"/>
        </w:rPr>
      </w:pPr>
      <w:r w:rsidRPr="00A44018">
        <w:rPr>
          <w:rFonts w:ascii="Calibri" w:eastAsia="Calibri" w:hAnsi="Calibri"/>
          <w:color w:val="00000A"/>
          <w:sz w:val="24"/>
          <w:szCs w:val="24"/>
        </w:rPr>
        <w:t>Social cognition, the way we think and feel about, and interpret ourselves and others in social situations, also continues to develop during adolescence alongside general cognitive skills such as memory and attention (Meinhardt-</w:t>
      </w:r>
      <w:proofErr w:type="spellStart"/>
      <w:r w:rsidRPr="00A44018">
        <w:rPr>
          <w:rFonts w:ascii="Calibri" w:eastAsia="Calibri" w:hAnsi="Calibri"/>
          <w:color w:val="00000A"/>
          <w:sz w:val="24"/>
          <w:szCs w:val="24"/>
        </w:rPr>
        <w:t>Injac</w:t>
      </w:r>
      <w:proofErr w:type="spellEnd"/>
      <w:r w:rsidRPr="00A44018">
        <w:rPr>
          <w:rFonts w:ascii="Calibri" w:eastAsia="Calibri" w:hAnsi="Calibri"/>
          <w:color w:val="00000A"/>
          <w:sz w:val="24"/>
          <w:szCs w:val="24"/>
        </w:rPr>
        <w:t xml:space="preserve">, </w:t>
      </w:r>
      <w:proofErr w:type="spellStart"/>
      <w:r w:rsidRPr="00A44018">
        <w:rPr>
          <w:rFonts w:ascii="Calibri" w:eastAsia="Calibri" w:hAnsi="Calibri"/>
          <w:color w:val="00000A"/>
          <w:sz w:val="24"/>
          <w:szCs w:val="24"/>
        </w:rPr>
        <w:t>Kurbel</w:t>
      </w:r>
      <w:proofErr w:type="spellEnd"/>
      <w:r w:rsidRPr="00A44018">
        <w:rPr>
          <w:rFonts w:ascii="Calibri" w:eastAsia="Calibri" w:hAnsi="Calibri"/>
          <w:color w:val="00000A"/>
          <w:sz w:val="24"/>
          <w:szCs w:val="24"/>
        </w:rPr>
        <w:t xml:space="preserve"> and Meinhardt, 2020).  The social transition from childhood to adulthood requires the ability to understand the mental and emotional states of others, but during adolescence it is still developing.  It has been shown, using the Glasgow Face Matching Test developed in 2010, that by the age of 16 we reach full competence in recognising faces (Meinhardt-</w:t>
      </w:r>
      <w:proofErr w:type="spellStart"/>
      <w:r w:rsidRPr="00A44018">
        <w:rPr>
          <w:rFonts w:ascii="Calibri" w:eastAsia="Calibri" w:hAnsi="Calibri"/>
          <w:color w:val="00000A"/>
          <w:sz w:val="24"/>
          <w:szCs w:val="24"/>
        </w:rPr>
        <w:t>Injac</w:t>
      </w:r>
      <w:proofErr w:type="spellEnd"/>
      <w:r w:rsidRPr="00A44018">
        <w:rPr>
          <w:rFonts w:ascii="Calibri" w:eastAsia="Calibri" w:hAnsi="Calibri"/>
          <w:color w:val="00000A"/>
          <w:sz w:val="24"/>
          <w:szCs w:val="24"/>
        </w:rPr>
        <w:t xml:space="preserve"> et al., 2020), but our ability to recognise others’ emotions takes longer to develop and does not complete until we are well into young adulthood (aged 20-24) (ibid.).  Thus, it is likely that in social situations where adolescents are </w:t>
      </w:r>
      <w:r w:rsidRPr="00A44018">
        <w:rPr>
          <w:rFonts w:ascii="Calibri" w:eastAsia="Calibri" w:hAnsi="Calibri"/>
          <w:color w:val="00000A"/>
          <w:sz w:val="24"/>
          <w:szCs w:val="24"/>
        </w:rPr>
        <w:lastRenderedPageBreak/>
        <w:t>making decisions and choices, there will be some misinterpretation of others’ emotions that could confound that decision or choice.</w:t>
      </w:r>
    </w:p>
    <w:p w14:paraId="76500496" w14:textId="77777777" w:rsidR="00A44018" w:rsidRPr="00A44018" w:rsidRDefault="00A44018" w:rsidP="00A44018">
      <w:pPr>
        <w:spacing w:after="100" w:afterAutospacing="1" w:line="480" w:lineRule="auto"/>
        <w:jc w:val="both"/>
        <w:rPr>
          <w:rFonts w:ascii="Calibri" w:eastAsia="Calibri" w:hAnsi="Calibri"/>
          <w:color w:val="00000A"/>
          <w:sz w:val="24"/>
          <w:szCs w:val="24"/>
        </w:rPr>
      </w:pPr>
      <w:r w:rsidRPr="00A44018">
        <w:rPr>
          <w:rFonts w:ascii="Calibri" w:eastAsia="Calibri" w:hAnsi="Calibri"/>
          <w:color w:val="00000A"/>
          <w:sz w:val="24"/>
          <w:szCs w:val="24"/>
        </w:rPr>
        <w:t>Finally, it has been shown that adolescents who are given more freedom to learn in the way that they wish to learn, learn better (</w:t>
      </w:r>
      <w:proofErr w:type="spellStart"/>
      <w:r w:rsidRPr="00A44018">
        <w:rPr>
          <w:rFonts w:ascii="Calibri" w:eastAsia="Calibri" w:hAnsi="Calibri"/>
          <w:color w:val="00000A"/>
          <w:sz w:val="24"/>
          <w:szCs w:val="24"/>
        </w:rPr>
        <w:t>Modrek</w:t>
      </w:r>
      <w:proofErr w:type="spellEnd"/>
      <w:r w:rsidRPr="00A44018">
        <w:rPr>
          <w:rFonts w:ascii="Calibri" w:eastAsia="Calibri" w:hAnsi="Calibri"/>
          <w:color w:val="00000A"/>
          <w:sz w:val="24"/>
          <w:szCs w:val="24"/>
        </w:rPr>
        <w:t xml:space="preserve"> and Sandoval, 2020).  When weighing up the possible outcomes of a situation, adolescents need to understand cause and effect (causal reasoning) and consider other things that may influence the outcome (multivariable reasoning).  These skills are improved by giving adolescents autonomy, especially younger adolescents aged 11-13 (ibid.).</w:t>
      </w:r>
    </w:p>
    <w:p w14:paraId="76CCD418" w14:textId="77777777" w:rsidR="00A44018" w:rsidRPr="00A44018" w:rsidRDefault="00A44018" w:rsidP="00A44018">
      <w:pPr>
        <w:spacing w:after="100" w:afterAutospacing="1" w:line="480" w:lineRule="auto"/>
        <w:jc w:val="both"/>
        <w:rPr>
          <w:rFonts w:ascii="Calibri" w:eastAsia="Calibri" w:hAnsi="Calibri"/>
          <w:color w:val="00000A"/>
          <w:sz w:val="24"/>
          <w:szCs w:val="24"/>
        </w:rPr>
      </w:pPr>
      <w:r w:rsidRPr="00A44018">
        <w:rPr>
          <w:rFonts w:ascii="Calibri" w:eastAsia="Calibri" w:hAnsi="Calibri"/>
          <w:color w:val="00000A"/>
          <w:sz w:val="24"/>
          <w:szCs w:val="24"/>
        </w:rPr>
        <w:t xml:space="preserve">To summarise, the many facets of cognition during adolescence, such as the ability to solve problems, make decisions, understand and regulate emotions and control impulsivity, are all skills that are in development simultaneously and at different rates.  Many decisions must be </w:t>
      </w:r>
      <w:proofErr w:type="gramStart"/>
      <w:r w:rsidRPr="00A44018">
        <w:rPr>
          <w:rFonts w:ascii="Calibri" w:eastAsia="Calibri" w:hAnsi="Calibri"/>
          <w:color w:val="00000A"/>
          <w:sz w:val="24"/>
          <w:szCs w:val="24"/>
        </w:rPr>
        <w:t>made</w:t>
      </w:r>
      <w:proofErr w:type="gramEnd"/>
      <w:r w:rsidRPr="00A44018">
        <w:rPr>
          <w:rFonts w:ascii="Calibri" w:eastAsia="Calibri" w:hAnsi="Calibri"/>
          <w:color w:val="00000A"/>
          <w:sz w:val="24"/>
          <w:szCs w:val="24"/>
        </w:rPr>
        <w:t xml:space="preserve"> and it is inevitable that teenagers will make mistakes.  Reasoning about risky behaviours requires effort that may not be invested in highly charged situations.  Individual differences, personal traits, intelligence and psychology are all influencers too.  Youth workers need to develop innovative and engaging interactive activities that support young people’s learning about risks, emotions and relationships.</w:t>
      </w:r>
      <w:bookmarkStart w:id="7" w:name="_Toc76631141"/>
    </w:p>
    <w:p w14:paraId="2AF18240" w14:textId="77777777" w:rsidR="00A44018" w:rsidRPr="00A44018" w:rsidRDefault="00A44018" w:rsidP="00A44018">
      <w:pPr>
        <w:keepNext/>
        <w:keepLines/>
        <w:spacing w:before="40" w:after="0" w:afterAutospacing="1" w:line="252" w:lineRule="auto"/>
        <w:outlineLvl w:val="1"/>
        <w:rPr>
          <w:rFonts w:asciiTheme="majorHAnsi" w:eastAsiaTheme="majorEastAsia" w:hAnsiTheme="majorHAnsi" w:cstheme="majorBidi"/>
          <w:color w:val="2F5496" w:themeColor="accent1" w:themeShade="BF"/>
          <w:sz w:val="26"/>
          <w:szCs w:val="26"/>
        </w:rPr>
      </w:pPr>
      <w:r w:rsidRPr="00A44018">
        <w:rPr>
          <w:rFonts w:asciiTheme="majorHAnsi" w:eastAsiaTheme="majorEastAsia" w:hAnsiTheme="majorHAnsi" w:cstheme="majorBidi"/>
          <w:color w:val="2F5496" w:themeColor="accent1" w:themeShade="BF"/>
          <w:sz w:val="26"/>
          <w:szCs w:val="26"/>
        </w:rPr>
        <w:t>2.3 Puberty</w:t>
      </w:r>
      <w:bookmarkEnd w:id="7"/>
    </w:p>
    <w:p w14:paraId="0E1E8986" w14:textId="77777777" w:rsidR="00A44018" w:rsidRPr="00A44018" w:rsidRDefault="00A44018" w:rsidP="00A44018">
      <w:pPr>
        <w:spacing w:after="100" w:afterAutospacing="1" w:line="480" w:lineRule="auto"/>
        <w:jc w:val="both"/>
        <w:rPr>
          <w:rFonts w:ascii="Calibri" w:eastAsia="Calibri" w:hAnsi="Calibri"/>
          <w:color w:val="00000A"/>
          <w:sz w:val="24"/>
          <w:szCs w:val="24"/>
        </w:rPr>
      </w:pPr>
      <w:r w:rsidRPr="00A44018">
        <w:rPr>
          <w:rFonts w:ascii="Calibri" w:eastAsia="Calibri" w:hAnsi="Calibri"/>
          <w:color w:val="00000A"/>
          <w:sz w:val="24"/>
          <w:szCs w:val="24"/>
        </w:rPr>
        <w:t xml:space="preserve">Literature with titles such as ‘What are they Thinking?!’ (White and </w:t>
      </w:r>
      <w:proofErr w:type="spellStart"/>
      <w:r w:rsidRPr="00A44018">
        <w:rPr>
          <w:rFonts w:ascii="Calibri" w:eastAsia="Calibri" w:hAnsi="Calibri"/>
          <w:color w:val="00000A"/>
          <w:sz w:val="24"/>
          <w:szCs w:val="24"/>
        </w:rPr>
        <w:t>Swartzwelder</w:t>
      </w:r>
      <w:proofErr w:type="spellEnd"/>
      <w:r w:rsidRPr="00A44018">
        <w:rPr>
          <w:rFonts w:ascii="Calibri" w:eastAsia="Calibri" w:hAnsi="Calibri"/>
          <w:color w:val="00000A"/>
          <w:sz w:val="24"/>
          <w:szCs w:val="24"/>
        </w:rPr>
        <w:t>, 2013) perpetuates the notion that adolescents are debilitated by their raging hormones and unable to suppress risky impulses.  This theme looks specifically at puberty and attempts to unravel some of the associations between pubertal development and risky behaviours.</w:t>
      </w:r>
    </w:p>
    <w:p w14:paraId="448E9CF7" w14:textId="77777777" w:rsidR="00A44018" w:rsidRPr="00A44018" w:rsidRDefault="00A44018" w:rsidP="00A44018">
      <w:pPr>
        <w:spacing w:after="100" w:afterAutospacing="1" w:line="480" w:lineRule="auto"/>
        <w:jc w:val="both"/>
        <w:rPr>
          <w:rFonts w:ascii="Calibri" w:eastAsia="Calibri" w:hAnsi="Calibri"/>
          <w:color w:val="00000A"/>
          <w:sz w:val="24"/>
          <w:szCs w:val="24"/>
        </w:rPr>
      </w:pPr>
      <w:r w:rsidRPr="00A44018">
        <w:rPr>
          <w:rFonts w:ascii="Calibri" w:eastAsia="Calibri" w:hAnsi="Calibri"/>
          <w:color w:val="00000A"/>
          <w:sz w:val="24"/>
          <w:szCs w:val="24"/>
        </w:rPr>
        <w:lastRenderedPageBreak/>
        <w:t xml:space="preserve">Puberty normally begins between age 8 and 14, on average starting at 11 for girls and 12 for boys (NHS, 2018).  </w:t>
      </w:r>
      <w:proofErr w:type="spellStart"/>
      <w:r w:rsidRPr="00A44018">
        <w:rPr>
          <w:rFonts w:ascii="Calibri" w:eastAsia="Calibri" w:hAnsi="Calibri"/>
          <w:color w:val="00000A"/>
          <w:sz w:val="24"/>
          <w:szCs w:val="24"/>
        </w:rPr>
        <w:t>Laube</w:t>
      </w:r>
      <w:proofErr w:type="spellEnd"/>
      <w:r w:rsidRPr="00A44018">
        <w:rPr>
          <w:rFonts w:ascii="Calibri" w:eastAsia="Calibri" w:hAnsi="Calibri"/>
          <w:color w:val="00000A"/>
          <w:sz w:val="24"/>
          <w:szCs w:val="24"/>
        </w:rPr>
        <w:t xml:space="preserve"> and Fuhrmann (2020), however, state that this has now declined to well below age 10 for girls worldwide, with a less marked decline for boys.  Triggered by the release of gonadotrophins from the brain, sexual maturity is reached 2 to 5 years after the first apparent signs of development (BMJ Best Practice, 2021).  </w:t>
      </w:r>
    </w:p>
    <w:p w14:paraId="2E288DEB" w14:textId="77777777" w:rsidR="00A44018" w:rsidRPr="00A44018" w:rsidRDefault="00A44018" w:rsidP="00A44018">
      <w:pPr>
        <w:spacing w:after="100" w:afterAutospacing="1" w:line="480" w:lineRule="auto"/>
        <w:jc w:val="both"/>
        <w:rPr>
          <w:rFonts w:ascii="Calibri" w:eastAsia="Calibri" w:hAnsi="Calibri"/>
          <w:color w:val="00000A"/>
          <w:sz w:val="24"/>
          <w:szCs w:val="24"/>
        </w:rPr>
      </w:pPr>
      <w:r w:rsidRPr="00A44018">
        <w:rPr>
          <w:rFonts w:ascii="Calibri" w:eastAsia="Calibri" w:hAnsi="Calibri"/>
          <w:color w:val="00000A"/>
          <w:sz w:val="24"/>
          <w:szCs w:val="24"/>
        </w:rPr>
        <w:t xml:space="preserve">In a study to demonstrate the link between puberty and risk taking, </w:t>
      </w:r>
      <w:proofErr w:type="spellStart"/>
      <w:r w:rsidRPr="00A44018">
        <w:rPr>
          <w:rFonts w:ascii="Calibri" w:eastAsia="Calibri" w:hAnsi="Calibri"/>
          <w:color w:val="00000A"/>
          <w:sz w:val="24"/>
          <w:szCs w:val="24"/>
        </w:rPr>
        <w:t>Collado</w:t>
      </w:r>
      <w:proofErr w:type="spellEnd"/>
      <w:r w:rsidRPr="00A44018">
        <w:rPr>
          <w:rFonts w:ascii="Calibri" w:eastAsia="Calibri" w:hAnsi="Calibri"/>
          <w:color w:val="00000A"/>
          <w:sz w:val="24"/>
          <w:szCs w:val="24"/>
        </w:rPr>
        <w:t xml:space="preserve">, MacPherson, </w:t>
      </w:r>
      <w:proofErr w:type="spellStart"/>
      <w:r w:rsidRPr="00A44018">
        <w:rPr>
          <w:rFonts w:ascii="Calibri" w:eastAsia="Calibri" w:hAnsi="Calibri"/>
          <w:color w:val="00000A"/>
          <w:sz w:val="24"/>
          <w:szCs w:val="24"/>
        </w:rPr>
        <w:t>Kurdziel</w:t>
      </w:r>
      <w:proofErr w:type="spellEnd"/>
      <w:r w:rsidRPr="00A44018">
        <w:rPr>
          <w:rFonts w:ascii="Calibri" w:eastAsia="Calibri" w:hAnsi="Calibri"/>
          <w:color w:val="00000A"/>
          <w:sz w:val="24"/>
          <w:szCs w:val="24"/>
        </w:rPr>
        <w:t xml:space="preserve">, Rosenberg and </w:t>
      </w:r>
      <w:proofErr w:type="spellStart"/>
      <w:r w:rsidRPr="00A44018">
        <w:rPr>
          <w:rFonts w:ascii="Calibri" w:eastAsia="Calibri" w:hAnsi="Calibri"/>
          <w:color w:val="00000A"/>
          <w:sz w:val="24"/>
          <w:szCs w:val="24"/>
        </w:rPr>
        <w:t>Lejuez</w:t>
      </w:r>
      <w:proofErr w:type="spellEnd"/>
      <w:r w:rsidRPr="00A44018">
        <w:rPr>
          <w:rFonts w:ascii="Calibri" w:eastAsia="Calibri" w:hAnsi="Calibri"/>
          <w:color w:val="00000A"/>
          <w:sz w:val="24"/>
          <w:szCs w:val="24"/>
        </w:rPr>
        <w:t xml:space="preserve"> (2014) showed that both self-reported risk taking and results from undertaking the Balloon Analogue Risk Task for Youth (BART-Y) (</w:t>
      </w:r>
      <w:proofErr w:type="spellStart"/>
      <w:r w:rsidRPr="00A44018">
        <w:rPr>
          <w:rFonts w:eastAsia="Calibri" w:cstheme="minorHAnsi"/>
          <w:color w:val="333333"/>
          <w:sz w:val="24"/>
          <w:szCs w:val="24"/>
          <w:bdr w:val="none" w:sz="0" w:space="0" w:color="auto" w:frame="1"/>
          <w:shd w:val="clear" w:color="auto" w:fill="FFFFFF"/>
        </w:rPr>
        <w:t>Lejuez</w:t>
      </w:r>
      <w:proofErr w:type="spellEnd"/>
      <w:r w:rsidRPr="00A44018">
        <w:rPr>
          <w:rFonts w:eastAsia="Calibri" w:cstheme="minorHAnsi"/>
          <w:color w:val="333333"/>
          <w:sz w:val="24"/>
          <w:szCs w:val="24"/>
          <w:bdr w:val="none" w:sz="0" w:space="0" w:color="auto" w:frame="1"/>
          <w:shd w:val="clear" w:color="auto" w:fill="FFFFFF"/>
        </w:rPr>
        <w:t>, </w:t>
      </w:r>
      <w:proofErr w:type="spellStart"/>
      <w:r w:rsidRPr="00A44018">
        <w:rPr>
          <w:rFonts w:eastAsia="Calibri" w:cstheme="minorHAnsi"/>
          <w:color w:val="333333"/>
          <w:sz w:val="24"/>
          <w:szCs w:val="24"/>
          <w:bdr w:val="none" w:sz="0" w:space="0" w:color="auto" w:frame="1"/>
          <w:shd w:val="clear" w:color="auto" w:fill="FFFFFF"/>
        </w:rPr>
        <w:t>Aklin</w:t>
      </w:r>
      <w:proofErr w:type="spellEnd"/>
      <w:r w:rsidRPr="00A44018">
        <w:rPr>
          <w:rFonts w:eastAsia="Calibri" w:cstheme="minorHAnsi"/>
          <w:color w:val="333333"/>
          <w:sz w:val="24"/>
          <w:szCs w:val="24"/>
          <w:bdr w:val="none" w:sz="0" w:space="0" w:color="auto" w:frame="1"/>
          <w:shd w:val="clear" w:color="auto" w:fill="FFFFFF"/>
        </w:rPr>
        <w:t>, Daughters, </w:t>
      </w:r>
      <w:proofErr w:type="spellStart"/>
      <w:r w:rsidRPr="00A44018">
        <w:rPr>
          <w:rFonts w:eastAsia="Calibri" w:cstheme="minorHAnsi"/>
          <w:color w:val="333333"/>
          <w:sz w:val="24"/>
          <w:szCs w:val="24"/>
          <w:bdr w:val="none" w:sz="0" w:space="0" w:color="auto" w:frame="1"/>
          <w:shd w:val="clear" w:color="auto" w:fill="FFFFFF"/>
        </w:rPr>
        <w:t>Zvolensky</w:t>
      </w:r>
      <w:proofErr w:type="spellEnd"/>
      <w:r w:rsidRPr="00A44018">
        <w:rPr>
          <w:rFonts w:eastAsia="Calibri" w:cstheme="minorHAnsi"/>
          <w:color w:val="333333"/>
          <w:sz w:val="24"/>
          <w:szCs w:val="24"/>
          <w:bdr w:val="none" w:sz="0" w:space="0" w:color="auto" w:frame="1"/>
          <w:shd w:val="clear" w:color="auto" w:fill="FFFFFF"/>
        </w:rPr>
        <w:t xml:space="preserve">, Kahler, and </w:t>
      </w:r>
      <w:proofErr w:type="spellStart"/>
      <w:r w:rsidRPr="00A44018">
        <w:rPr>
          <w:rFonts w:eastAsia="Calibri" w:cstheme="minorHAnsi"/>
          <w:color w:val="333333"/>
          <w:sz w:val="24"/>
          <w:szCs w:val="24"/>
          <w:bdr w:val="none" w:sz="0" w:space="0" w:color="auto" w:frame="1"/>
          <w:shd w:val="clear" w:color="auto" w:fill="FFFFFF"/>
        </w:rPr>
        <w:t>Gwadz</w:t>
      </w:r>
      <w:proofErr w:type="spellEnd"/>
      <w:r w:rsidRPr="00A44018">
        <w:rPr>
          <w:rFonts w:eastAsia="Calibri" w:cstheme="minorHAnsi"/>
          <w:color w:val="333333"/>
          <w:sz w:val="24"/>
          <w:szCs w:val="24"/>
          <w:bdr w:val="none" w:sz="0" w:space="0" w:color="auto" w:frame="1"/>
          <w:shd w:val="clear" w:color="auto" w:fill="FFFFFF"/>
        </w:rPr>
        <w:t>, 2007</w:t>
      </w:r>
      <w:r w:rsidRPr="00A44018">
        <w:rPr>
          <w:rFonts w:eastAsia="Calibri" w:cstheme="minorHAnsi"/>
          <w:color w:val="333333"/>
          <w:sz w:val="24"/>
          <w:szCs w:val="24"/>
          <w:shd w:val="clear" w:color="auto" w:fill="FFFFFF"/>
        </w:rPr>
        <w:t xml:space="preserve">) </w:t>
      </w:r>
      <w:r w:rsidRPr="00A44018">
        <w:rPr>
          <w:rFonts w:ascii="Calibri" w:eastAsia="Calibri" w:hAnsi="Calibri"/>
          <w:color w:val="00000A"/>
          <w:sz w:val="24"/>
          <w:szCs w:val="24"/>
        </w:rPr>
        <w:t xml:space="preserve">in the laboratory, were significantly correlated with self-reported stage of puberty.  </w:t>
      </w:r>
      <w:proofErr w:type="spellStart"/>
      <w:r w:rsidRPr="00A44018">
        <w:rPr>
          <w:rFonts w:ascii="Calibri" w:eastAsia="Calibri" w:hAnsi="Calibri"/>
          <w:color w:val="00000A"/>
          <w:sz w:val="24"/>
          <w:szCs w:val="24"/>
        </w:rPr>
        <w:t>Collado</w:t>
      </w:r>
      <w:proofErr w:type="spellEnd"/>
      <w:r w:rsidRPr="00A44018">
        <w:rPr>
          <w:rFonts w:ascii="Calibri" w:eastAsia="Calibri" w:hAnsi="Calibri"/>
          <w:color w:val="00000A"/>
          <w:sz w:val="24"/>
          <w:szCs w:val="24"/>
        </w:rPr>
        <w:t xml:space="preserve"> et al. (2014) also reference previous studies suggesting that advanced pubertal status, regardless of age, is correlated with the higher likelihood of risk behaviours such as substance abuse in real world situations.  </w:t>
      </w:r>
    </w:p>
    <w:p w14:paraId="64D93035" w14:textId="77777777" w:rsidR="00A44018" w:rsidRPr="00A44018" w:rsidRDefault="00A44018" w:rsidP="00A44018">
      <w:pPr>
        <w:spacing w:after="100" w:afterAutospacing="1" w:line="480" w:lineRule="auto"/>
        <w:jc w:val="both"/>
        <w:rPr>
          <w:rFonts w:ascii="Calibri" w:eastAsia="Calibri" w:hAnsi="Calibri"/>
          <w:color w:val="00000A"/>
          <w:sz w:val="24"/>
          <w:szCs w:val="24"/>
        </w:rPr>
      </w:pPr>
      <w:r w:rsidRPr="00A44018">
        <w:rPr>
          <w:rFonts w:ascii="Calibri" w:eastAsia="Calibri" w:hAnsi="Calibri"/>
          <w:color w:val="00000A"/>
          <w:sz w:val="24"/>
          <w:szCs w:val="24"/>
        </w:rPr>
        <w:t>The timing of the onset of puberty has been shown to be influenced by factors such as obesity and socioeconomic status (Downing and Bellis, 2009).  Likewise, the tempo of puberty has been shown to have negative mental health and risk behaviour consequences for some adolescents (</w:t>
      </w:r>
      <w:bookmarkStart w:id="8" w:name="_Hlk74217232"/>
      <w:r w:rsidRPr="00A44018">
        <w:rPr>
          <w:rFonts w:ascii="Calibri" w:eastAsia="Calibri" w:hAnsi="Calibri"/>
          <w:color w:val="00000A"/>
          <w:sz w:val="24"/>
          <w:szCs w:val="24"/>
        </w:rPr>
        <w:t xml:space="preserve">Kowalski, Addo, Kramer, Martorell, Norris, </w:t>
      </w:r>
      <w:proofErr w:type="spellStart"/>
      <w:r w:rsidRPr="00A44018">
        <w:rPr>
          <w:rFonts w:ascii="Calibri" w:eastAsia="Calibri" w:hAnsi="Calibri"/>
          <w:color w:val="00000A"/>
          <w:sz w:val="24"/>
          <w:szCs w:val="24"/>
        </w:rPr>
        <w:t>Waford</w:t>
      </w:r>
      <w:proofErr w:type="spellEnd"/>
      <w:r w:rsidRPr="00A44018">
        <w:rPr>
          <w:rFonts w:ascii="Calibri" w:eastAsia="Calibri" w:hAnsi="Calibri"/>
          <w:color w:val="00000A"/>
          <w:sz w:val="24"/>
          <w:szCs w:val="24"/>
        </w:rPr>
        <w:t xml:space="preserve">, Richter, and Stein, 2020, Deardorff, Marceau, Johnson, Reeves, Biro, Kubo, Greenspan, Laurent, Windham, </w:t>
      </w:r>
      <w:proofErr w:type="spellStart"/>
      <w:r w:rsidRPr="00A44018">
        <w:rPr>
          <w:rFonts w:ascii="Calibri" w:eastAsia="Calibri" w:hAnsi="Calibri"/>
          <w:color w:val="00000A"/>
          <w:sz w:val="24"/>
          <w:szCs w:val="24"/>
        </w:rPr>
        <w:t>Pinney</w:t>
      </w:r>
      <w:proofErr w:type="spellEnd"/>
      <w:r w:rsidRPr="00A44018">
        <w:rPr>
          <w:rFonts w:ascii="Calibri" w:eastAsia="Calibri" w:hAnsi="Calibri"/>
          <w:color w:val="00000A"/>
          <w:sz w:val="24"/>
          <w:szCs w:val="24"/>
        </w:rPr>
        <w:t xml:space="preserve">, </w:t>
      </w:r>
      <w:proofErr w:type="spellStart"/>
      <w:r w:rsidRPr="00A44018">
        <w:rPr>
          <w:rFonts w:ascii="Calibri" w:eastAsia="Calibri" w:hAnsi="Calibri"/>
          <w:color w:val="00000A"/>
          <w:sz w:val="24"/>
          <w:szCs w:val="24"/>
        </w:rPr>
        <w:t>Kushi</w:t>
      </w:r>
      <w:proofErr w:type="spellEnd"/>
      <w:r w:rsidRPr="00A44018">
        <w:rPr>
          <w:rFonts w:ascii="Calibri" w:eastAsia="Calibri" w:hAnsi="Calibri"/>
          <w:color w:val="00000A"/>
          <w:sz w:val="24"/>
          <w:szCs w:val="24"/>
        </w:rPr>
        <w:t xml:space="preserve">, and Hiatt, </w:t>
      </w:r>
      <w:bookmarkEnd w:id="8"/>
      <w:r w:rsidRPr="00A44018">
        <w:rPr>
          <w:rFonts w:ascii="Calibri" w:eastAsia="Calibri" w:hAnsi="Calibri"/>
          <w:color w:val="00000A"/>
          <w:sz w:val="24"/>
          <w:szCs w:val="24"/>
        </w:rPr>
        <w:t>2021).</w:t>
      </w:r>
    </w:p>
    <w:p w14:paraId="7B1B5829" w14:textId="77777777" w:rsidR="00A44018" w:rsidRPr="00A44018" w:rsidRDefault="00A44018" w:rsidP="00A44018">
      <w:pPr>
        <w:spacing w:after="100" w:afterAutospacing="1" w:line="480" w:lineRule="auto"/>
        <w:jc w:val="both"/>
        <w:rPr>
          <w:rFonts w:ascii="Calibri" w:eastAsia="Calibri" w:hAnsi="Calibri"/>
          <w:color w:val="00000A"/>
          <w:sz w:val="24"/>
          <w:szCs w:val="24"/>
        </w:rPr>
      </w:pPr>
      <w:r w:rsidRPr="00A44018">
        <w:rPr>
          <w:rFonts w:ascii="Calibri" w:eastAsia="Calibri" w:hAnsi="Calibri"/>
          <w:color w:val="00000A"/>
          <w:sz w:val="24"/>
          <w:szCs w:val="24"/>
        </w:rPr>
        <w:t xml:space="preserve">Much of the research exploring the links between puberty and risky behaviour focuses on early puberty as an indicator or predictor of higher risk-taking in adolescence.  However, much of this literature fails to distinguish between early puberty in the normal range given above </w:t>
      </w:r>
      <w:r w:rsidRPr="00A44018">
        <w:rPr>
          <w:rFonts w:ascii="Calibri" w:eastAsia="Calibri" w:hAnsi="Calibri"/>
          <w:color w:val="00000A"/>
          <w:sz w:val="24"/>
          <w:szCs w:val="24"/>
        </w:rPr>
        <w:lastRenderedPageBreak/>
        <w:t>(NHS, 2018) and precocious puberty, defined by the appearance of secondary sexual characteristics in girls before age 8 and boys younger than 9 (BMJ, 2021).  Further, some research uses early onset of puberty as a baseline, whereas others use early menarche.  For the purposes of this literature review, research references to ‘early puberty’, where not explicit, are taken to refer to early onset of puberty at the lower ages of 8 and 9 in the normal range.</w:t>
      </w:r>
    </w:p>
    <w:p w14:paraId="63122736" w14:textId="77777777" w:rsidR="00A44018" w:rsidRPr="00A44018" w:rsidRDefault="00A44018" w:rsidP="00A44018">
      <w:pPr>
        <w:spacing w:after="100" w:afterAutospacing="1" w:line="480" w:lineRule="auto"/>
        <w:jc w:val="both"/>
        <w:rPr>
          <w:rFonts w:ascii="Calibri" w:eastAsia="Calibri" w:hAnsi="Calibri"/>
          <w:color w:val="00000A"/>
          <w:sz w:val="24"/>
          <w:szCs w:val="24"/>
        </w:rPr>
      </w:pPr>
      <w:r w:rsidRPr="00A44018">
        <w:rPr>
          <w:rFonts w:ascii="Calibri" w:eastAsia="Calibri" w:hAnsi="Calibri"/>
          <w:color w:val="00000A"/>
          <w:sz w:val="24"/>
          <w:szCs w:val="24"/>
        </w:rPr>
        <w:t xml:space="preserve">In their synthesis of prior research on the detrimental outcomes associated with earlier maturation of girls, </w:t>
      </w:r>
      <w:proofErr w:type="spellStart"/>
      <w:r w:rsidRPr="00A44018">
        <w:rPr>
          <w:rFonts w:ascii="Calibri" w:eastAsia="Calibri" w:hAnsi="Calibri"/>
          <w:color w:val="00000A"/>
          <w:sz w:val="24"/>
          <w:szCs w:val="24"/>
        </w:rPr>
        <w:t>Mendle</w:t>
      </w:r>
      <w:proofErr w:type="spellEnd"/>
      <w:r w:rsidRPr="00A44018">
        <w:rPr>
          <w:rFonts w:ascii="Calibri" w:eastAsia="Calibri" w:hAnsi="Calibri"/>
          <w:color w:val="00000A"/>
          <w:sz w:val="24"/>
          <w:szCs w:val="24"/>
        </w:rPr>
        <w:t xml:space="preserve">, </w:t>
      </w:r>
      <w:proofErr w:type="spellStart"/>
      <w:r w:rsidRPr="00A44018">
        <w:rPr>
          <w:rFonts w:ascii="Calibri" w:eastAsia="Calibri" w:hAnsi="Calibri"/>
          <w:color w:val="00000A"/>
          <w:sz w:val="24"/>
          <w:szCs w:val="24"/>
        </w:rPr>
        <w:t>Turkheimer</w:t>
      </w:r>
      <w:proofErr w:type="spellEnd"/>
      <w:r w:rsidRPr="00A44018">
        <w:rPr>
          <w:rFonts w:ascii="Calibri" w:eastAsia="Calibri" w:hAnsi="Calibri"/>
          <w:color w:val="00000A"/>
          <w:sz w:val="24"/>
          <w:szCs w:val="24"/>
        </w:rPr>
        <w:t xml:space="preserve"> and Emery (2006) categorised these outcomes as psychosocial, biological and selection effects.  Psychosocial outcomes are dependent on the social context in which early maturing girls find themselves and how well they cope with the reactions and responses of others to their physical development (ibid.).  Biological outcomes include excessive emotionality and/or disproportionate responses to negative situations due to the heightened imbalance between pubertal hormones and cognitive development (judgement and self-regulation) (ibid.).  Selection effect outcomes include choosing to socialise with peers who are equally physically mature, because early maturing girls find it difficult to maintain friendships with slower </w:t>
      </w:r>
      <w:proofErr w:type="spellStart"/>
      <w:r w:rsidRPr="00A44018">
        <w:rPr>
          <w:rFonts w:ascii="Calibri" w:eastAsia="Calibri" w:hAnsi="Calibri"/>
          <w:color w:val="00000A"/>
          <w:sz w:val="24"/>
          <w:szCs w:val="24"/>
        </w:rPr>
        <w:t>maturers</w:t>
      </w:r>
      <w:proofErr w:type="spellEnd"/>
      <w:r w:rsidRPr="00A44018">
        <w:rPr>
          <w:rFonts w:ascii="Calibri" w:eastAsia="Calibri" w:hAnsi="Calibri"/>
          <w:color w:val="00000A"/>
          <w:sz w:val="24"/>
          <w:szCs w:val="24"/>
        </w:rPr>
        <w:t xml:space="preserve"> or being attracted to older boys (ibid.).  The negative outcomes and associated risk behaviours that are correlated within these categories include depression, substance abuse, eating disorders, problems with body image, externalising behaviours, risky sexual behaviour and its sequelae and poorer academic achievement (ibid.).</w:t>
      </w:r>
    </w:p>
    <w:p w14:paraId="4A772872" w14:textId="77777777" w:rsidR="00A44018" w:rsidRPr="00A44018" w:rsidRDefault="00A44018" w:rsidP="00A44018">
      <w:pPr>
        <w:spacing w:after="100" w:afterAutospacing="1" w:line="480" w:lineRule="auto"/>
        <w:jc w:val="both"/>
        <w:rPr>
          <w:rFonts w:ascii="Calibri" w:eastAsia="Calibri" w:hAnsi="Calibri"/>
          <w:color w:val="00000A"/>
          <w:sz w:val="24"/>
          <w:szCs w:val="24"/>
        </w:rPr>
      </w:pPr>
      <w:r w:rsidRPr="00A44018">
        <w:rPr>
          <w:rFonts w:ascii="Calibri" w:eastAsia="Calibri" w:hAnsi="Calibri"/>
          <w:color w:val="00000A"/>
          <w:sz w:val="24"/>
          <w:szCs w:val="24"/>
        </w:rPr>
        <w:t xml:space="preserve">In 2012 </w:t>
      </w:r>
      <w:proofErr w:type="spellStart"/>
      <w:r w:rsidRPr="00A44018">
        <w:rPr>
          <w:rFonts w:ascii="Calibri" w:eastAsia="Calibri" w:hAnsi="Calibri"/>
          <w:color w:val="00000A"/>
          <w:sz w:val="24"/>
          <w:szCs w:val="24"/>
        </w:rPr>
        <w:t>Mendle</w:t>
      </w:r>
      <w:proofErr w:type="spellEnd"/>
      <w:r w:rsidRPr="00A44018">
        <w:rPr>
          <w:rFonts w:ascii="Calibri" w:eastAsia="Calibri" w:hAnsi="Calibri"/>
          <w:color w:val="00000A"/>
          <w:sz w:val="24"/>
          <w:szCs w:val="24"/>
        </w:rPr>
        <w:t xml:space="preserve"> and Ferrero followed the above study with another, focussed on boys.  They identified that early puberty, despite the belief that this is advantageous for boys, was instead predictive of negative consequences, as for girls.  This was again found to </w:t>
      </w:r>
      <w:proofErr w:type="spellStart"/>
      <w:r w:rsidRPr="00A44018">
        <w:rPr>
          <w:rFonts w:ascii="Calibri" w:eastAsia="Calibri" w:hAnsi="Calibri"/>
          <w:color w:val="00000A"/>
          <w:sz w:val="24"/>
          <w:szCs w:val="24"/>
        </w:rPr>
        <w:t>relae</w:t>
      </w:r>
      <w:proofErr w:type="spellEnd"/>
      <w:r w:rsidRPr="00A44018">
        <w:rPr>
          <w:rFonts w:ascii="Calibri" w:eastAsia="Calibri" w:hAnsi="Calibri"/>
          <w:color w:val="00000A"/>
          <w:sz w:val="24"/>
          <w:szCs w:val="24"/>
        </w:rPr>
        <w:t xml:space="preserve"> to the disparity </w:t>
      </w:r>
      <w:r w:rsidRPr="00A44018">
        <w:rPr>
          <w:rFonts w:ascii="Calibri" w:eastAsia="Calibri" w:hAnsi="Calibri"/>
          <w:color w:val="00000A"/>
          <w:sz w:val="24"/>
          <w:szCs w:val="24"/>
        </w:rPr>
        <w:lastRenderedPageBreak/>
        <w:t>between biological and social maturity (ibid.), manifesting as both internalising symptoms (anxiety and depression) and externalising behaviours (attention deficit, oppositional defiance, conduct disorder, hostility, aggression and greater risk-taking) (ibid.).  Early puberty in boys was also associated with substance abuse, becoming a victim of violence or becoming offensive, provocative or belligerent, acquiring eating disorders, and engaging in earlier and riskier sexual behaviour (ibid.).  However, no significant correlation was found between early puberty in boys and better or worse academic achievement (ibid.).</w:t>
      </w:r>
    </w:p>
    <w:p w14:paraId="5857717C" w14:textId="77777777" w:rsidR="00A44018" w:rsidRPr="00A44018" w:rsidRDefault="00A44018" w:rsidP="00A44018">
      <w:pPr>
        <w:spacing w:after="100" w:afterAutospacing="1" w:line="480" w:lineRule="auto"/>
        <w:jc w:val="both"/>
        <w:rPr>
          <w:rFonts w:ascii="Calibri" w:eastAsia="Calibri" w:hAnsi="Calibri"/>
          <w:color w:val="00000A"/>
          <w:sz w:val="24"/>
          <w:szCs w:val="24"/>
        </w:rPr>
      </w:pPr>
      <w:r w:rsidRPr="00A44018">
        <w:rPr>
          <w:rFonts w:ascii="Calibri" w:eastAsia="Calibri" w:hAnsi="Calibri"/>
          <w:color w:val="00000A"/>
          <w:sz w:val="24"/>
          <w:szCs w:val="24"/>
        </w:rPr>
        <w:t>An interesting point to note here is that very recent research (</w:t>
      </w:r>
      <w:proofErr w:type="spellStart"/>
      <w:r w:rsidRPr="00A44018">
        <w:rPr>
          <w:rFonts w:ascii="Calibri" w:eastAsia="Calibri" w:hAnsi="Calibri"/>
          <w:color w:val="00000A"/>
          <w:sz w:val="24"/>
          <w:szCs w:val="24"/>
        </w:rPr>
        <w:t>Torvik</w:t>
      </w:r>
      <w:proofErr w:type="spellEnd"/>
      <w:r w:rsidRPr="00A44018">
        <w:rPr>
          <w:rFonts w:ascii="Calibri" w:eastAsia="Calibri" w:hAnsi="Calibri"/>
          <w:color w:val="00000A"/>
          <w:sz w:val="24"/>
          <w:szCs w:val="24"/>
        </w:rPr>
        <w:t xml:space="preserve">, </w:t>
      </w:r>
      <w:proofErr w:type="spellStart"/>
      <w:r w:rsidRPr="00A44018">
        <w:rPr>
          <w:rFonts w:ascii="Calibri" w:eastAsia="Calibri" w:hAnsi="Calibri"/>
          <w:color w:val="00000A"/>
          <w:sz w:val="24"/>
          <w:szCs w:val="24"/>
        </w:rPr>
        <w:t>Flato</w:t>
      </w:r>
      <w:proofErr w:type="spellEnd"/>
      <w:r w:rsidRPr="00A44018">
        <w:rPr>
          <w:rFonts w:ascii="Calibri" w:eastAsia="Calibri" w:hAnsi="Calibri"/>
          <w:color w:val="00000A"/>
          <w:sz w:val="24"/>
          <w:szCs w:val="24"/>
        </w:rPr>
        <w:t xml:space="preserve">, McAdams, Colman, </w:t>
      </w:r>
      <w:proofErr w:type="spellStart"/>
      <w:r w:rsidRPr="00A44018">
        <w:rPr>
          <w:rFonts w:ascii="Calibri" w:eastAsia="Calibri" w:hAnsi="Calibri"/>
          <w:color w:val="00000A"/>
          <w:sz w:val="24"/>
          <w:szCs w:val="24"/>
        </w:rPr>
        <w:t>Silventoinen</w:t>
      </w:r>
      <w:proofErr w:type="spellEnd"/>
      <w:r w:rsidRPr="00A44018">
        <w:rPr>
          <w:rFonts w:ascii="Calibri" w:eastAsia="Calibri" w:hAnsi="Calibri"/>
          <w:color w:val="00000A"/>
          <w:sz w:val="24"/>
          <w:szCs w:val="24"/>
        </w:rPr>
        <w:t xml:space="preserve"> and Stoltenberg, 2021) indicates that early puberty is associated with higher academic achievement in both boys and girls, contradicting the findings of </w:t>
      </w:r>
      <w:proofErr w:type="spellStart"/>
      <w:r w:rsidRPr="00A44018">
        <w:rPr>
          <w:rFonts w:ascii="Calibri" w:eastAsia="Calibri" w:hAnsi="Calibri"/>
          <w:color w:val="00000A"/>
          <w:sz w:val="24"/>
          <w:szCs w:val="24"/>
        </w:rPr>
        <w:t>Mendle</w:t>
      </w:r>
      <w:proofErr w:type="spellEnd"/>
      <w:r w:rsidRPr="00A44018">
        <w:rPr>
          <w:rFonts w:ascii="Calibri" w:eastAsia="Calibri" w:hAnsi="Calibri"/>
          <w:color w:val="00000A"/>
          <w:sz w:val="24"/>
          <w:szCs w:val="24"/>
        </w:rPr>
        <w:t xml:space="preserve"> et al. (2006, 2012).</w:t>
      </w:r>
    </w:p>
    <w:p w14:paraId="2DA9743F" w14:textId="77777777" w:rsidR="00A44018" w:rsidRPr="00A44018" w:rsidRDefault="00A44018" w:rsidP="00A44018">
      <w:pPr>
        <w:spacing w:after="100" w:afterAutospacing="1" w:line="480" w:lineRule="auto"/>
        <w:jc w:val="both"/>
        <w:rPr>
          <w:rFonts w:ascii="Calibri" w:eastAsia="Calibri" w:hAnsi="Calibri"/>
          <w:color w:val="00000A"/>
          <w:sz w:val="24"/>
          <w:szCs w:val="24"/>
        </w:rPr>
      </w:pPr>
      <w:r w:rsidRPr="00A44018">
        <w:rPr>
          <w:rFonts w:ascii="Calibri" w:eastAsia="Calibri" w:hAnsi="Calibri"/>
          <w:color w:val="00000A"/>
          <w:sz w:val="24"/>
          <w:szCs w:val="24"/>
        </w:rPr>
        <w:t xml:space="preserve">Although mental health, depression and anxiety, and their links to risk-taking behaviour, are explored specifically in the next theme, it is important to add here that early puberty is strongly linked to depressive symptomatology (Alcala-Herrera and </w:t>
      </w:r>
      <w:proofErr w:type="spellStart"/>
      <w:r w:rsidRPr="00A44018">
        <w:rPr>
          <w:rFonts w:ascii="Calibri" w:eastAsia="Calibri" w:hAnsi="Calibri"/>
          <w:color w:val="00000A"/>
          <w:sz w:val="24"/>
          <w:szCs w:val="24"/>
        </w:rPr>
        <w:t>Marvan</w:t>
      </w:r>
      <w:proofErr w:type="spellEnd"/>
      <w:r w:rsidRPr="00A44018">
        <w:rPr>
          <w:rFonts w:ascii="Calibri" w:eastAsia="Calibri" w:hAnsi="Calibri"/>
          <w:color w:val="00000A"/>
          <w:sz w:val="24"/>
          <w:szCs w:val="24"/>
        </w:rPr>
        <w:t xml:space="preserve">, 2014) but that early maturing girls are </w:t>
      </w:r>
      <w:r w:rsidRPr="00A44018">
        <w:rPr>
          <w:rFonts w:ascii="Calibri" w:eastAsia="Calibri" w:hAnsi="Calibri"/>
          <w:i/>
          <w:iCs/>
          <w:color w:val="00000A"/>
          <w:sz w:val="24"/>
          <w:szCs w:val="24"/>
        </w:rPr>
        <w:t>less</w:t>
      </w:r>
      <w:r w:rsidRPr="00A44018">
        <w:rPr>
          <w:rFonts w:ascii="Calibri" w:eastAsia="Calibri" w:hAnsi="Calibri"/>
          <w:color w:val="00000A"/>
          <w:sz w:val="24"/>
          <w:szCs w:val="24"/>
        </w:rPr>
        <w:t xml:space="preserve"> likely to use non-productive coping strategies such as aggressive behaviour than their later maturing peers, because they have to learn how to cope at a younger age (ibid.).  Deardorff et al. (2021) </w:t>
      </w:r>
      <w:proofErr w:type="spellStart"/>
      <w:r w:rsidRPr="00A44018">
        <w:rPr>
          <w:rFonts w:ascii="Calibri" w:eastAsia="Calibri" w:hAnsi="Calibri"/>
          <w:color w:val="00000A"/>
          <w:sz w:val="24"/>
          <w:szCs w:val="24"/>
        </w:rPr>
        <w:t>suport</w:t>
      </w:r>
      <w:proofErr w:type="spellEnd"/>
      <w:r w:rsidRPr="00A44018">
        <w:rPr>
          <w:rFonts w:ascii="Calibri" w:eastAsia="Calibri" w:hAnsi="Calibri"/>
          <w:color w:val="00000A"/>
          <w:sz w:val="24"/>
          <w:szCs w:val="24"/>
        </w:rPr>
        <w:t xml:space="preserve"> the link between early puberty and depression, noting also that there are racial and/or cultural variations.  Roberts, Fraser, Gunnell, </w:t>
      </w:r>
      <w:proofErr w:type="spellStart"/>
      <w:r w:rsidRPr="00A44018">
        <w:rPr>
          <w:rFonts w:ascii="Calibri" w:eastAsia="Calibri" w:hAnsi="Calibri"/>
          <w:color w:val="00000A"/>
          <w:sz w:val="24"/>
          <w:szCs w:val="24"/>
        </w:rPr>
        <w:t>Joinson</w:t>
      </w:r>
      <w:proofErr w:type="spellEnd"/>
      <w:r w:rsidRPr="00A44018">
        <w:rPr>
          <w:rFonts w:ascii="Calibri" w:eastAsia="Calibri" w:hAnsi="Calibri"/>
          <w:color w:val="00000A"/>
          <w:sz w:val="24"/>
          <w:szCs w:val="24"/>
        </w:rPr>
        <w:t xml:space="preserve"> and Mars (2019) link early menarche with increased risk of self-harm.  Kowalski et al. (2020) showed that such associations are also present in lower income countries, with earlier and faster puberty in girls being linked to internalising and externalising problems in mid-adolescence and eating disorders in early and late adolescence; and with earlier and faster puberty in boys linked to externalising problems in early adolescence and </w:t>
      </w:r>
      <w:r w:rsidRPr="00A44018">
        <w:rPr>
          <w:rFonts w:ascii="Calibri" w:eastAsia="Calibri" w:hAnsi="Calibri"/>
          <w:color w:val="00000A"/>
          <w:sz w:val="24"/>
          <w:szCs w:val="24"/>
        </w:rPr>
        <w:lastRenderedPageBreak/>
        <w:t xml:space="preserve">oppositional defiance in mid-adolescence.  </w:t>
      </w:r>
      <w:proofErr w:type="spellStart"/>
      <w:r w:rsidRPr="00A44018">
        <w:rPr>
          <w:rFonts w:ascii="Calibri" w:eastAsia="Calibri" w:hAnsi="Calibri"/>
          <w:color w:val="00000A"/>
          <w:sz w:val="24"/>
          <w:szCs w:val="24"/>
        </w:rPr>
        <w:t>Ullsperger</w:t>
      </w:r>
      <w:proofErr w:type="spellEnd"/>
      <w:r w:rsidRPr="00A44018">
        <w:rPr>
          <w:rFonts w:ascii="Calibri" w:eastAsia="Calibri" w:hAnsi="Calibri"/>
          <w:color w:val="00000A"/>
          <w:sz w:val="24"/>
          <w:szCs w:val="24"/>
        </w:rPr>
        <w:t xml:space="preserve"> and Nikolas (2017, p903) also note that there are ‘robust early pubertal timing effects’ for both boys and girls across all domains of psychopathology.  </w:t>
      </w:r>
    </w:p>
    <w:p w14:paraId="58DD5254" w14:textId="77777777" w:rsidR="00A44018" w:rsidRPr="00A44018" w:rsidRDefault="00A44018" w:rsidP="00A44018">
      <w:pPr>
        <w:spacing w:after="100" w:afterAutospacing="1" w:line="480" w:lineRule="auto"/>
        <w:jc w:val="both"/>
        <w:rPr>
          <w:rFonts w:ascii="Calibri" w:eastAsia="Calibri" w:hAnsi="Calibri"/>
          <w:color w:val="00000A"/>
          <w:sz w:val="24"/>
          <w:szCs w:val="24"/>
        </w:rPr>
      </w:pPr>
      <w:r w:rsidRPr="00A44018">
        <w:rPr>
          <w:rFonts w:ascii="Calibri" w:eastAsia="Calibri" w:hAnsi="Calibri"/>
          <w:color w:val="00000A"/>
          <w:sz w:val="24"/>
          <w:szCs w:val="24"/>
        </w:rPr>
        <w:t>Early puberty is associated with significantly greater anxiety and eating disorders (binge eating, dieting, bulimic behaviour and eating, weight and shape concerns) for both males and females (</w:t>
      </w:r>
      <w:proofErr w:type="spellStart"/>
      <w:r w:rsidRPr="00A44018">
        <w:rPr>
          <w:rFonts w:ascii="Calibri" w:eastAsia="Calibri" w:hAnsi="Calibri"/>
          <w:color w:val="00000A"/>
          <w:sz w:val="24"/>
          <w:szCs w:val="24"/>
        </w:rPr>
        <w:t>Zehr</w:t>
      </w:r>
      <w:proofErr w:type="spellEnd"/>
      <w:r w:rsidRPr="00A44018">
        <w:rPr>
          <w:rFonts w:ascii="Calibri" w:eastAsia="Calibri" w:hAnsi="Calibri"/>
          <w:color w:val="00000A"/>
          <w:sz w:val="24"/>
          <w:szCs w:val="24"/>
        </w:rPr>
        <w:t xml:space="preserve">, </w:t>
      </w:r>
      <w:proofErr w:type="spellStart"/>
      <w:r w:rsidRPr="00A44018">
        <w:rPr>
          <w:rFonts w:ascii="Calibri" w:eastAsia="Calibri" w:hAnsi="Calibri"/>
          <w:color w:val="00000A"/>
          <w:sz w:val="24"/>
          <w:szCs w:val="24"/>
        </w:rPr>
        <w:t>Culbert</w:t>
      </w:r>
      <w:proofErr w:type="spellEnd"/>
      <w:r w:rsidRPr="00A44018">
        <w:rPr>
          <w:rFonts w:ascii="Calibri" w:eastAsia="Calibri" w:hAnsi="Calibri"/>
          <w:color w:val="00000A"/>
          <w:sz w:val="24"/>
          <w:szCs w:val="24"/>
        </w:rPr>
        <w:t xml:space="preserve">, Sisk and </w:t>
      </w:r>
      <w:proofErr w:type="spellStart"/>
      <w:r w:rsidRPr="00A44018">
        <w:rPr>
          <w:rFonts w:ascii="Calibri" w:eastAsia="Calibri" w:hAnsi="Calibri"/>
          <w:color w:val="00000A"/>
          <w:sz w:val="24"/>
          <w:szCs w:val="24"/>
        </w:rPr>
        <w:t>Klump</w:t>
      </w:r>
      <w:proofErr w:type="spellEnd"/>
      <w:r w:rsidRPr="00A44018">
        <w:rPr>
          <w:rFonts w:ascii="Calibri" w:eastAsia="Calibri" w:hAnsi="Calibri"/>
          <w:color w:val="00000A"/>
          <w:sz w:val="24"/>
          <w:szCs w:val="24"/>
        </w:rPr>
        <w:t>, 2007).  It is also considered that the earlier release of steroid hormones relative to brain maturation causes long-term organisational effects that result in differences in adult psychology and behaviour (ibid.).</w:t>
      </w:r>
    </w:p>
    <w:p w14:paraId="3DAC3842" w14:textId="77777777" w:rsidR="00A44018" w:rsidRPr="00A44018" w:rsidRDefault="00A44018" w:rsidP="00A44018">
      <w:pPr>
        <w:spacing w:after="100" w:afterAutospacing="1" w:line="480" w:lineRule="auto"/>
        <w:jc w:val="both"/>
        <w:rPr>
          <w:rFonts w:ascii="Calibri" w:eastAsia="Calibri" w:hAnsi="Calibri"/>
          <w:color w:val="00000A"/>
          <w:sz w:val="24"/>
          <w:szCs w:val="24"/>
        </w:rPr>
      </w:pPr>
      <w:r w:rsidRPr="00A44018">
        <w:rPr>
          <w:rFonts w:ascii="Calibri" w:eastAsia="Calibri" w:hAnsi="Calibri"/>
          <w:color w:val="00000A"/>
          <w:sz w:val="24"/>
          <w:szCs w:val="24"/>
        </w:rPr>
        <w:t xml:space="preserve">Acknowledging that early puberty does increase the risk of eating disorders for both boys and girls, </w:t>
      </w:r>
      <w:proofErr w:type="spellStart"/>
      <w:r w:rsidRPr="00A44018">
        <w:rPr>
          <w:rFonts w:ascii="Calibri" w:eastAsia="Calibri" w:hAnsi="Calibri"/>
          <w:color w:val="00000A"/>
          <w:sz w:val="24"/>
          <w:szCs w:val="24"/>
        </w:rPr>
        <w:t>Klump</w:t>
      </w:r>
      <w:proofErr w:type="spellEnd"/>
      <w:r w:rsidRPr="00A44018">
        <w:rPr>
          <w:rFonts w:ascii="Calibri" w:eastAsia="Calibri" w:hAnsi="Calibri"/>
          <w:color w:val="00000A"/>
          <w:sz w:val="24"/>
          <w:szCs w:val="24"/>
        </w:rPr>
        <w:t xml:space="preserve"> (2013) later indicates that the correlation is much weaker for boys, that many studies have conflicting or mixed results, that early puberty can be positively associated with body image in boys, and that perhaps other factors such as psychosocial influences are more significant catalysts of eating disorders for boys.  Twin studies and animal studies have also suggested that oestrogen production at puberty can in part explain the higher risk of eating disorders in adolescent girls (ibid.).</w:t>
      </w:r>
    </w:p>
    <w:p w14:paraId="12F70A5B" w14:textId="77777777" w:rsidR="00A44018" w:rsidRPr="00A44018" w:rsidRDefault="00A44018" w:rsidP="00A44018">
      <w:pPr>
        <w:spacing w:after="100" w:afterAutospacing="1" w:line="480" w:lineRule="auto"/>
        <w:jc w:val="both"/>
        <w:rPr>
          <w:rFonts w:ascii="Calibri" w:eastAsia="Calibri" w:hAnsi="Calibri"/>
          <w:color w:val="00000A"/>
          <w:sz w:val="24"/>
          <w:szCs w:val="24"/>
        </w:rPr>
      </w:pPr>
      <w:proofErr w:type="spellStart"/>
      <w:r w:rsidRPr="00A44018">
        <w:rPr>
          <w:rFonts w:ascii="Calibri" w:eastAsia="Calibri" w:hAnsi="Calibri"/>
          <w:color w:val="00000A"/>
          <w:sz w:val="24"/>
          <w:szCs w:val="24"/>
        </w:rPr>
        <w:t>Dowing</w:t>
      </w:r>
      <w:proofErr w:type="spellEnd"/>
      <w:r w:rsidRPr="00A44018">
        <w:rPr>
          <w:rFonts w:ascii="Calibri" w:eastAsia="Calibri" w:hAnsi="Calibri"/>
          <w:color w:val="00000A"/>
          <w:sz w:val="24"/>
          <w:szCs w:val="24"/>
        </w:rPr>
        <w:t xml:space="preserve"> and Bellis (2009) found that early puberty was linked to childhood obesity and lower economic status, and that it predicted having drunk alcohol, been drunk, smoked and used drugs at less than 14 years of age for both boys and girls.  It also predicted having had sex, including unprotected sex before age 16 in both sexes (ibid.).  Further, earlier maturing boys were more likely to report having been involved in fighting or responding aggressively to emotional situations in adolescence, and early maturing girls were more likely to have been bullied and taken more time off school (ibid.).  Given that obesity is of increasing concern with </w:t>
      </w:r>
      <w:r w:rsidRPr="00A44018">
        <w:rPr>
          <w:rFonts w:ascii="Calibri" w:eastAsia="Calibri" w:hAnsi="Calibri"/>
          <w:color w:val="00000A"/>
          <w:sz w:val="24"/>
          <w:szCs w:val="24"/>
        </w:rPr>
        <w:lastRenderedPageBreak/>
        <w:t>respect to children and that it is linked to early puberty, the gap between physical and social maturity warns of increased adolescent health risk behaviours in deprived communities that need to be tackled (ibid.).</w:t>
      </w:r>
    </w:p>
    <w:p w14:paraId="2A54F863" w14:textId="77777777" w:rsidR="00A44018" w:rsidRPr="00A44018" w:rsidRDefault="00A44018" w:rsidP="00A44018">
      <w:pPr>
        <w:spacing w:after="100" w:afterAutospacing="1" w:line="480" w:lineRule="auto"/>
        <w:jc w:val="both"/>
        <w:rPr>
          <w:rFonts w:ascii="Calibri" w:eastAsia="Calibri" w:hAnsi="Calibri"/>
          <w:color w:val="00000A"/>
          <w:sz w:val="24"/>
          <w:szCs w:val="24"/>
        </w:rPr>
      </w:pPr>
      <w:r w:rsidRPr="00A44018">
        <w:rPr>
          <w:rFonts w:ascii="Calibri" w:eastAsia="Calibri" w:hAnsi="Calibri"/>
          <w:color w:val="00000A"/>
          <w:sz w:val="24"/>
          <w:szCs w:val="24"/>
        </w:rPr>
        <w:t xml:space="preserve">Early puberty was found to be a significant predictor of adolescent externalising behaviours such as social deviancy, delinquency, classroom disruption and aggression in a meta-analysis conducted by </w:t>
      </w:r>
      <w:proofErr w:type="spellStart"/>
      <w:r w:rsidRPr="00A44018">
        <w:rPr>
          <w:rFonts w:ascii="Calibri" w:eastAsia="Calibri" w:hAnsi="Calibri"/>
          <w:color w:val="00000A"/>
          <w:sz w:val="24"/>
          <w:szCs w:val="24"/>
        </w:rPr>
        <w:t>Dimler</w:t>
      </w:r>
      <w:proofErr w:type="spellEnd"/>
      <w:r w:rsidRPr="00A44018">
        <w:rPr>
          <w:rFonts w:ascii="Calibri" w:eastAsia="Calibri" w:hAnsi="Calibri"/>
          <w:color w:val="00000A"/>
          <w:sz w:val="24"/>
          <w:szCs w:val="24"/>
        </w:rPr>
        <w:t xml:space="preserve"> and </w:t>
      </w:r>
      <w:proofErr w:type="spellStart"/>
      <w:r w:rsidRPr="00A44018">
        <w:rPr>
          <w:rFonts w:ascii="Calibri" w:eastAsia="Calibri" w:hAnsi="Calibri"/>
          <w:color w:val="00000A"/>
          <w:sz w:val="24"/>
          <w:szCs w:val="24"/>
        </w:rPr>
        <w:t>Natsuaki</w:t>
      </w:r>
      <w:proofErr w:type="spellEnd"/>
      <w:r w:rsidRPr="00A44018">
        <w:rPr>
          <w:rFonts w:ascii="Calibri" w:eastAsia="Calibri" w:hAnsi="Calibri"/>
          <w:color w:val="00000A"/>
          <w:sz w:val="24"/>
          <w:szCs w:val="24"/>
        </w:rPr>
        <w:t xml:space="preserve"> (2015), who also found no significant difference between the sexes.  This effect of early puberty on externalising behaviours was found to be most apparent during adolescence, but not afterwards (ibid.).</w:t>
      </w:r>
    </w:p>
    <w:p w14:paraId="18C9B1B4" w14:textId="77777777" w:rsidR="00A44018" w:rsidRPr="00A44018" w:rsidRDefault="00A44018" w:rsidP="00A44018">
      <w:pPr>
        <w:spacing w:after="100" w:afterAutospacing="1" w:line="480" w:lineRule="auto"/>
        <w:jc w:val="both"/>
        <w:rPr>
          <w:rFonts w:ascii="Calibri" w:eastAsia="Calibri" w:hAnsi="Calibri"/>
          <w:color w:val="00000A"/>
          <w:sz w:val="24"/>
          <w:szCs w:val="24"/>
        </w:rPr>
      </w:pPr>
      <w:r w:rsidRPr="00A44018">
        <w:rPr>
          <w:rFonts w:ascii="Calibri" w:eastAsia="Calibri" w:hAnsi="Calibri"/>
          <w:color w:val="00000A"/>
          <w:sz w:val="24"/>
          <w:szCs w:val="24"/>
        </w:rPr>
        <w:t xml:space="preserve">The latter finding for boys was reconfirmed by </w:t>
      </w:r>
      <w:proofErr w:type="spellStart"/>
      <w:r w:rsidRPr="00A44018">
        <w:rPr>
          <w:rFonts w:ascii="Calibri" w:eastAsia="Calibri" w:hAnsi="Calibri"/>
          <w:color w:val="00000A"/>
          <w:sz w:val="24"/>
          <w:szCs w:val="24"/>
        </w:rPr>
        <w:t>Dimler</w:t>
      </w:r>
      <w:proofErr w:type="spellEnd"/>
      <w:r w:rsidRPr="00A44018">
        <w:rPr>
          <w:rFonts w:ascii="Calibri" w:eastAsia="Calibri" w:hAnsi="Calibri"/>
          <w:color w:val="00000A"/>
          <w:sz w:val="24"/>
          <w:szCs w:val="24"/>
        </w:rPr>
        <w:t xml:space="preserve"> and </w:t>
      </w:r>
      <w:proofErr w:type="spellStart"/>
      <w:r w:rsidRPr="00A44018">
        <w:rPr>
          <w:rFonts w:ascii="Calibri" w:eastAsia="Calibri" w:hAnsi="Calibri"/>
          <w:color w:val="00000A"/>
          <w:sz w:val="24"/>
          <w:szCs w:val="24"/>
        </w:rPr>
        <w:t>Natsuaki</w:t>
      </w:r>
      <w:proofErr w:type="spellEnd"/>
      <w:r w:rsidRPr="00A44018">
        <w:rPr>
          <w:rFonts w:ascii="Calibri" w:eastAsia="Calibri" w:hAnsi="Calibri"/>
          <w:color w:val="00000A"/>
          <w:sz w:val="24"/>
          <w:szCs w:val="24"/>
        </w:rPr>
        <w:t xml:space="preserve"> in 2020, who then also showed that early maturing girls showed higher levels of non-violent and externalising behaviours, but not violence, during adolescence, which dissipated upon early adulthood (ibid.).  </w:t>
      </w:r>
    </w:p>
    <w:p w14:paraId="0CB301AA" w14:textId="77777777" w:rsidR="00A44018" w:rsidRPr="00A44018" w:rsidRDefault="00A44018" w:rsidP="00A44018">
      <w:pPr>
        <w:spacing w:after="100" w:afterAutospacing="1" w:line="480" w:lineRule="auto"/>
        <w:jc w:val="both"/>
        <w:rPr>
          <w:rFonts w:ascii="Calibri" w:eastAsia="Calibri" w:hAnsi="Calibri"/>
          <w:color w:val="00000A"/>
          <w:sz w:val="24"/>
          <w:szCs w:val="24"/>
        </w:rPr>
      </w:pPr>
      <w:r w:rsidRPr="00A44018">
        <w:rPr>
          <w:rFonts w:ascii="Calibri" w:eastAsia="Calibri" w:hAnsi="Calibri"/>
          <w:color w:val="00000A"/>
          <w:sz w:val="24"/>
          <w:szCs w:val="24"/>
        </w:rPr>
        <w:t>Early adrenarche, the release of hormones marking the first transition towards puberty that typically occurs between the ages of 6 and 9, has tentatively been found to have an association with antisocial behaviour in girls (</w:t>
      </w:r>
      <w:proofErr w:type="spellStart"/>
      <w:r w:rsidRPr="00A44018">
        <w:rPr>
          <w:rFonts w:ascii="Calibri" w:eastAsia="Calibri" w:hAnsi="Calibri"/>
          <w:color w:val="00000A"/>
          <w:sz w:val="24"/>
          <w:szCs w:val="24"/>
        </w:rPr>
        <w:t>Michielsen</w:t>
      </w:r>
      <w:proofErr w:type="spellEnd"/>
      <w:r w:rsidRPr="00A44018">
        <w:rPr>
          <w:rFonts w:ascii="Calibri" w:eastAsia="Calibri" w:hAnsi="Calibri"/>
          <w:color w:val="00000A"/>
          <w:sz w:val="24"/>
          <w:szCs w:val="24"/>
        </w:rPr>
        <w:t xml:space="preserve">, </w:t>
      </w:r>
      <w:proofErr w:type="spellStart"/>
      <w:r w:rsidRPr="00A44018">
        <w:rPr>
          <w:rFonts w:ascii="Calibri" w:eastAsia="Calibri" w:hAnsi="Calibri"/>
          <w:color w:val="00000A"/>
          <w:sz w:val="24"/>
          <w:szCs w:val="24"/>
        </w:rPr>
        <w:t>Roza</w:t>
      </w:r>
      <w:proofErr w:type="spellEnd"/>
      <w:r w:rsidRPr="00A44018">
        <w:rPr>
          <w:rFonts w:ascii="Calibri" w:eastAsia="Calibri" w:hAnsi="Calibri"/>
          <w:color w:val="00000A"/>
          <w:sz w:val="24"/>
          <w:szCs w:val="24"/>
        </w:rPr>
        <w:t xml:space="preserve"> and van </w:t>
      </w:r>
      <w:proofErr w:type="spellStart"/>
      <w:r w:rsidRPr="00A44018">
        <w:rPr>
          <w:rFonts w:ascii="Calibri" w:eastAsia="Calibri" w:hAnsi="Calibri"/>
          <w:color w:val="00000A"/>
          <w:sz w:val="24"/>
          <w:szCs w:val="24"/>
        </w:rPr>
        <w:t>Marle</w:t>
      </w:r>
      <w:proofErr w:type="spellEnd"/>
      <w:r w:rsidRPr="00A44018">
        <w:rPr>
          <w:rFonts w:ascii="Calibri" w:eastAsia="Calibri" w:hAnsi="Calibri"/>
          <w:color w:val="00000A"/>
          <w:sz w:val="24"/>
          <w:szCs w:val="24"/>
        </w:rPr>
        <w:t xml:space="preserve">, 2020) and in boys when adrenarche is relatively late (ibid.), although further studies are suggested.    </w:t>
      </w:r>
    </w:p>
    <w:p w14:paraId="4A537DDF" w14:textId="77777777" w:rsidR="00A44018" w:rsidRPr="00A44018" w:rsidRDefault="00A44018" w:rsidP="00A44018">
      <w:pPr>
        <w:spacing w:after="100" w:afterAutospacing="1" w:line="480" w:lineRule="auto"/>
        <w:jc w:val="both"/>
        <w:rPr>
          <w:rFonts w:ascii="Calibri" w:eastAsia="Calibri" w:hAnsi="Calibri"/>
          <w:color w:val="00000A"/>
          <w:sz w:val="24"/>
          <w:szCs w:val="24"/>
        </w:rPr>
      </w:pPr>
      <w:r w:rsidRPr="00A44018">
        <w:rPr>
          <w:rFonts w:ascii="Calibri" w:eastAsia="Calibri" w:hAnsi="Calibri"/>
          <w:color w:val="00000A"/>
          <w:sz w:val="24"/>
          <w:szCs w:val="24"/>
        </w:rPr>
        <w:t xml:space="preserve">Earlier puberty has been linked to earlier and more sexual behaviour and risky sexual behaviour, especially for girls and especially for younger adolescents (Baams, </w:t>
      </w:r>
      <w:proofErr w:type="spellStart"/>
      <w:r w:rsidRPr="00A44018">
        <w:rPr>
          <w:rFonts w:ascii="Calibri" w:eastAsia="Calibri" w:hAnsi="Calibri"/>
          <w:color w:val="00000A"/>
          <w:sz w:val="24"/>
          <w:szCs w:val="24"/>
        </w:rPr>
        <w:t>Dubas</w:t>
      </w:r>
      <w:proofErr w:type="spellEnd"/>
      <w:r w:rsidRPr="00A44018">
        <w:rPr>
          <w:rFonts w:ascii="Calibri" w:eastAsia="Calibri" w:hAnsi="Calibri"/>
          <w:color w:val="00000A"/>
          <w:sz w:val="24"/>
          <w:szCs w:val="24"/>
        </w:rPr>
        <w:t xml:space="preserve">, </w:t>
      </w:r>
      <w:proofErr w:type="spellStart"/>
      <w:r w:rsidRPr="00A44018">
        <w:rPr>
          <w:rFonts w:ascii="Calibri" w:eastAsia="Calibri" w:hAnsi="Calibri"/>
          <w:color w:val="00000A"/>
          <w:sz w:val="24"/>
          <w:szCs w:val="24"/>
        </w:rPr>
        <w:t>Overbeek</w:t>
      </w:r>
      <w:proofErr w:type="spellEnd"/>
      <w:r w:rsidRPr="00A44018">
        <w:rPr>
          <w:rFonts w:ascii="Calibri" w:eastAsia="Calibri" w:hAnsi="Calibri"/>
          <w:color w:val="00000A"/>
          <w:sz w:val="24"/>
          <w:szCs w:val="24"/>
        </w:rPr>
        <w:t xml:space="preserve"> and van </w:t>
      </w:r>
      <w:proofErr w:type="spellStart"/>
      <w:r w:rsidRPr="00A44018">
        <w:rPr>
          <w:rFonts w:ascii="Calibri" w:eastAsia="Calibri" w:hAnsi="Calibri"/>
          <w:color w:val="00000A"/>
          <w:sz w:val="24"/>
          <w:szCs w:val="24"/>
        </w:rPr>
        <w:t>Aken</w:t>
      </w:r>
      <w:proofErr w:type="spellEnd"/>
      <w:r w:rsidRPr="00A44018">
        <w:rPr>
          <w:rFonts w:ascii="Calibri" w:eastAsia="Calibri" w:hAnsi="Calibri"/>
          <w:color w:val="00000A"/>
          <w:sz w:val="24"/>
          <w:szCs w:val="24"/>
        </w:rPr>
        <w:t xml:space="preserve">, 2015).  As younger adolescents are less able to handle risky situations and their cognitive control is immature, this has clear implications for sexual health interventions with young adolescents (ibid.). </w:t>
      </w:r>
    </w:p>
    <w:p w14:paraId="0010A6D0" w14:textId="77777777" w:rsidR="00A44018" w:rsidRPr="00A44018" w:rsidRDefault="00A44018" w:rsidP="00A44018">
      <w:pPr>
        <w:spacing w:after="100" w:afterAutospacing="1" w:line="480" w:lineRule="auto"/>
        <w:jc w:val="both"/>
        <w:rPr>
          <w:rFonts w:ascii="Calibri" w:eastAsia="Calibri" w:hAnsi="Calibri"/>
          <w:color w:val="00000A"/>
          <w:sz w:val="24"/>
          <w:szCs w:val="24"/>
        </w:rPr>
      </w:pPr>
      <w:r w:rsidRPr="00A44018">
        <w:rPr>
          <w:rFonts w:ascii="Calibri" w:eastAsia="Calibri" w:hAnsi="Calibri"/>
          <w:color w:val="00000A"/>
          <w:sz w:val="24"/>
          <w:szCs w:val="24"/>
        </w:rPr>
        <w:lastRenderedPageBreak/>
        <w:t xml:space="preserve">Thus, the impact of pubertal hormones on risky behaviours is widely seen to be greater in early </w:t>
      </w:r>
      <w:proofErr w:type="spellStart"/>
      <w:r w:rsidRPr="00A44018">
        <w:rPr>
          <w:rFonts w:ascii="Calibri" w:eastAsia="Calibri" w:hAnsi="Calibri"/>
          <w:color w:val="00000A"/>
          <w:sz w:val="24"/>
          <w:szCs w:val="24"/>
        </w:rPr>
        <w:t>maturers</w:t>
      </w:r>
      <w:proofErr w:type="spellEnd"/>
      <w:r w:rsidRPr="00A44018">
        <w:rPr>
          <w:rFonts w:ascii="Calibri" w:eastAsia="Calibri" w:hAnsi="Calibri"/>
          <w:color w:val="00000A"/>
          <w:sz w:val="24"/>
          <w:szCs w:val="24"/>
        </w:rPr>
        <w:t xml:space="preserve"> because their impact occurs at an earlier age when self-regulation and decision-making are immature (Smith, </w:t>
      </w:r>
      <w:proofErr w:type="spellStart"/>
      <w:r w:rsidRPr="00A44018">
        <w:rPr>
          <w:rFonts w:ascii="Calibri" w:eastAsia="Calibri" w:hAnsi="Calibri"/>
          <w:color w:val="00000A"/>
          <w:sz w:val="24"/>
          <w:szCs w:val="24"/>
        </w:rPr>
        <w:t>Chein</w:t>
      </w:r>
      <w:proofErr w:type="spellEnd"/>
      <w:r w:rsidRPr="00A44018">
        <w:rPr>
          <w:rFonts w:ascii="Calibri" w:eastAsia="Calibri" w:hAnsi="Calibri"/>
          <w:color w:val="00000A"/>
          <w:sz w:val="24"/>
          <w:szCs w:val="24"/>
        </w:rPr>
        <w:t xml:space="preserve"> and Steinberg, 2013).  However, rebellious, delinquent, non-violent behaviours, such as underage drinking, stealing and running away are used by adolescents to affirm independence, and as the need to do this decreases with age and attainment of adulthood, such risky behaviours fade (</w:t>
      </w:r>
      <w:proofErr w:type="spellStart"/>
      <w:r w:rsidRPr="00A44018">
        <w:rPr>
          <w:rFonts w:ascii="Calibri" w:eastAsia="Calibri" w:hAnsi="Calibri"/>
          <w:color w:val="00000A"/>
          <w:sz w:val="24"/>
          <w:szCs w:val="24"/>
        </w:rPr>
        <w:t>Dimler</w:t>
      </w:r>
      <w:proofErr w:type="spellEnd"/>
      <w:r w:rsidRPr="00A44018">
        <w:rPr>
          <w:rFonts w:ascii="Calibri" w:eastAsia="Calibri" w:hAnsi="Calibri"/>
          <w:color w:val="00000A"/>
          <w:sz w:val="24"/>
          <w:szCs w:val="24"/>
        </w:rPr>
        <w:t xml:space="preserve"> and </w:t>
      </w:r>
      <w:proofErr w:type="spellStart"/>
      <w:r w:rsidRPr="00A44018">
        <w:rPr>
          <w:rFonts w:ascii="Calibri" w:eastAsia="Calibri" w:hAnsi="Calibri"/>
          <w:color w:val="00000A"/>
          <w:sz w:val="24"/>
          <w:szCs w:val="24"/>
        </w:rPr>
        <w:t>Natsuaki</w:t>
      </w:r>
      <w:proofErr w:type="spellEnd"/>
      <w:r w:rsidRPr="00A44018">
        <w:rPr>
          <w:rFonts w:ascii="Calibri" w:eastAsia="Calibri" w:hAnsi="Calibri"/>
          <w:color w:val="00000A"/>
          <w:sz w:val="24"/>
          <w:szCs w:val="24"/>
        </w:rPr>
        <w:t xml:space="preserve">, 2020).  It is the harmful risk behaviours of adolescence that need to be of concern, especially those displayed by early maturing adolescents who have not yet developed the self-regulatory or decision-making skills that will protect them: substance misuse, sex, violence and self-harm, including disordered eating.  It is therefore essential that youth work begins at the earliest possible opportunity to educate and support the youngest adolescents. </w:t>
      </w:r>
    </w:p>
    <w:p w14:paraId="19DC2207" w14:textId="77777777" w:rsidR="00A44018" w:rsidRPr="00A44018" w:rsidRDefault="00A44018" w:rsidP="00A44018">
      <w:pPr>
        <w:keepNext/>
        <w:keepLines/>
        <w:spacing w:before="40" w:after="0" w:afterAutospacing="1" w:line="252" w:lineRule="auto"/>
        <w:outlineLvl w:val="1"/>
        <w:rPr>
          <w:rFonts w:asciiTheme="majorHAnsi" w:eastAsiaTheme="majorEastAsia" w:hAnsiTheme="majorHAnsi" w:cstheme="majorBidi"/>
          <w:color w:val="2F5496" w:themeColor="accent1" w:themeShade="BF"/>
          <w:sz w:val="26"/>
          <w:szCs w:val="26"/>
        </w:rPr>
      </w:pPr>
      <w:bookmarkStart w:id="9" w:name="_Toc76631142"/>
      <w:r w:rsidRPr="00A44018">
        <w:rPr>
          <w:rFonts w:asciiTheme="majorHAnsi" w:eastAsiaTheme="majorEastAsia" w:hAnsiTheme="majorHAnsi" w:cstheme="majorBidi"/>
          <w:color w:val="2F5496" w:themeColor="accent1" w:themeShade="BF"/>
          <w:sz w:val="24"/>
          <w:szCs w:val="24"/>
        </w:rPr>
        <w:t xml:space="preserve">2.4 </w:t>
      </w:r>
      <w:r w:rsidRPr="00A44018">
        <w:rPr>
          <w:rFonts w:asciiTheme="majorHAnsi" w:eastAsiaTheme="majorEastAsia" w:hAnsiTheme="majorHAnsi" w:cstheme="majorBidi"/>
          <w:color w:val="2F5496" w:themeColor="accent1" w:themeShade="BF"/>
          <w:sz w:val="26"/>
          <w:szCs w:val="26"/>
        </w:rPr>
        <w:t>Mental Health</w:t>
      </w:r>
      <w:bookmarkEnd w:id="9"/>
    </w:p>
    <w:p w14:paraId="2D121D52" w14:textId="77777777" w:rsidR="00A44018" w:rsidRPr="00A44018" w:rsidRDefault="00A44018" w:rsidP="00A44018">
      <w:pPr>
        <w:spacing w:after="100" w:afterAutospacing="1" w:line="480" w:lineRule="auto"/>
        <w:jc w:val="both"/>
        <w:rPr>
          <w:rFonts w:ascii="Calibri" w:eastAsia="Calibri" w:hAnsi="Calibri"/>
          <w:color w:val="00000A"/>
          <w:sz w:val="24"/>
          <w:szCs w:val="24"/>
        </w:rPr>
      </w:pPr>
      <w:r w:rsidRPr="00A44018">
        <w:rPr>
          <w:rFonts w:ascii="Calibri" w:eastAsia="Calibri" w:hAnsi="Calibri"/>
          <w:color w:val="00000A"/>
          <w:sz w:val="24"/>
          <w:szCs w:val="24"/>
        </w:rPr>
        <w:t xml:space="preserve">This theme examines areas of concern in adolescence such as activity online, issues experienced by those in sexual minorities, anxiety, self-esteem and other factors that influence risk taking and mental health. </w:t>
      </w:r>
    </w:p>
    <w:p w14:paraId="2AFB8B75" w14:textId="77777777" w:rsidR="00A44018" w:rsidRPr="00A44018" w:rsidRDefault="00A44018" w:rsidP="00A44018">
      <w:pPr>
        <w:spacing w:after="100" w:afterAutospacing="1" w:line="480" w:lineRule="auto"/>
        <w:jc w:val="both"/>
        <w:rPr>
          <w:rFonts w:ascii="Calibri" w:eastAsia="Calibri" w:hAnsi="Calibri"/>
          <w:color w:val="00000A"/>
          <w:sz w:val="24"/>
          <w:szCs w:val="24"/>
        </w:rPr>
      </w:pPr>
      <w:r w:rsidRPr="00A44018">
        <w:rPr>
          <w:rFonts w:ascii="Calibri" w:eastAsia="Calibri" w:hAnsi="Calibri"/>
          <w:color w:val="00000A"/>
          <w:sz w:val="24"/>
          <w:szCs w:val="24"/>
        </w:rPr>
        <w:t>The bi-directional nature of the relationship between risky behaviours and mental health was confirmed in a large study of adolescents aged 11 to 19 in 2020 by Escobar, Noll, de Jesus and Noll, who showed that those with symptoms of poor mental health (feeling alone, lacking friends and having trouble sleeping due to worry) were involved in risky behaviours such as drug use and unsafe sex, and that higher frequency of these behaviours elevated their mental health symptoms.  For instance, not having more than one close friend was linked to adolescents’ higher use of alcohol, and higher frequency of alcohol use was directly associated with increased mental health problems (ibid.).</w:t>
      </w:r>
    </w:p>
    <w:p w14:paraId="0F21BF67" w14:textId="77777777" w:rsidR="00A44018" w:rsidRPr="00A44018" w:rsidRDefault="00A44018" w:rsidP="00A44018">
      <w:pPr>
        <w:spacing w:after="100" w:afterAutospacing="1" w:line="480" w:lineRule="auto"/>
        <w:jc w:val="both"/>
        <w:rPr>
          <w:rFonts w:ascii="Calibri" w:eastAsia="Calibri" w:hAnsi="Calibri"/>
          <w:color w:val="00000A"/>
          <w:sz w:val="24"/>
          <w:szCs w:val="24"/>
        </w:rPr>
      </w:pPr>
      <w:r w:rsidRPr="00A44018">
        <w:rPr>
          <w:rFonts w:ascii="Calibri" w:eastAsia="Calibri" w:hAnsi="Calibri"/>
          <w:color w:val="00000A"/>
          <w:sz w:val="24"/>
          <w:szCs w:val="24"/>
        </w:rPr>
        <w:lastRenderedPageBreak/>
        <w:t>Alcohol misuse has also been shown to be linked to problematic online activity (gaming, internet use and social media) and more pronounced antisocial behaviour (</w:t>
      </w:r>
      <w:proofErr w:type="spellStart"/>
      <w:r w:rsidRPr="00A44018">
        <w:rPr>
          <w:rFonts w:ascii="Calibri" w:eastAsia="Calibri" w:hAnsi="Calibri"/>
          <w:color w:val="00000A"/>
          <w:sz w:val="24"/>
          <w:szCs w:val="24"/>
        </w:rPr>
        <w:t>Wartberg</w:t>
      </w:r>
      <w:proofErr w:type="spellEnd"/>
      <w:r w:rsidRPr="00A44018">
        <w:rPr>
          <w:rFonts w:ascii="Calibri" w:eastAsia="Calibri" w:hAnsi="Calibri"/>
          <w:color w:val="00000A"/>
          <w:sz w:val="24"/>
          <w:szCs w:val="24"/>
        </w:rPr>
        <w:t xml:space="preserve"> and </w:t>
      </w:r>
      <w:proofErr w:type="spellStart"/>
      <w:r w:rsidRPr="00A44018">
        <w:rPr>
          <w:rFonts w:ascii="Calibri" w:eastAsia="Calibri" w:hAnsi="Calibri"/>
          <w:color w:val="00000A"/>
          <w:sz w:val="24"/>
          <w:szCs w:val="24"/>
        </w:rPr>
        <w:t>Kammerl</w:t>
      </w:r>
      <w:proofErr w:type="spellEnd"/>
      <w:r w:rsidRPr="00A44018">
        <w:rPr>
          <w:rFonts w:ascii="Calibri" w:eastAsia="Calibri" w:hAnsi="Calibri"/>
          <w:color w:val="00000A"/>
          <w:sz w:val="24"/>
          <w:szCs w:val="24"/>
        </w:rPr>
        <w:t xml:space="preserve">, 2020).  However, mental health issues such as emotional distress, problems with self-esteem and hyperactivity or inattention were associated with problematic online behaviours but not with problem drinking (ibid.).   </w:t>
      </w:r>
    </w:p>
    <w:p w14:paraId="1CB8993A" w14:textId="77777777" w:rsidR="00A44018" w:rsidRPr="00A44018" w:rsidRDefault="00A44018" w:rsidP="00A44018">
      <w:pPr>
        <w:spacing w:after="100" w:afterAutospacing="1" w:line="480" w:lineRule="auto"/>
        <w:jc w:val="both"/>
        <w:rPr>
          <w:rFonts w:ascii="Calibri" w:eastAsia="Calibri" w:hAnsi="Calibri"/>
          <w:color w:val="00000A"/>
          <w:sz w:val="24"/>
          <w:szCs w:val="24"/>
        </w:rPr>
      </w:pPr>
      <w:r w:rsidRPr="00A44018">
        <w:rPr>
          <w:rFonts w:ascii="Calibri" w:eastAsia="Calibri" w:hAnsi="Calibri"/>
          <w:color w:val="00000A"/>
          <w:sz w:val="24"/>
          <w:szCs w:val="24"/>
        </w:rPr>
        <w:t>Young people’s extensive use of social media has prompted growing concern for their mental health as they increasingly interact other than in person, yet a large study of American students found that daily use of social media was not a significant risk factor for depressive symptoms (</w:t>
      </w:r>
      <w:proofErr w:type="spellStart"/>
      <w:r w:rsidRPr="00A44018">
        <w:rPr>
          <w:rFonts w:ascii="Calibri" w:eastAsia="Calibri" w:hAnsi="Calibri"/>
          <w:color w:val="00000A"/>
          <w:sz w:val="24"/>
          <w:szCs w:val="24"/>
        </w:rPr>
        <w:t>Kreski</w:t>
      </w:r>
      <w:proofErr w:type="spellEnd"/>
      <w:r w:rsidRPr="00A44018">
        <w:rPr>
          <w:rFonts w:ascii="Calibri" w:eastAsia="Calibri" w:hAnsi="Calibri"/>
          <w:color w:val="00000A"/>
          <w:sz w:val="24"/>
          <w:szCs w:val="24"/>
        </w:rPr>
        <w:t xml:space="preserve">, Platt, Rutherford, </w:t>
      </w:r>
      <w:proofErr w:type="spellStart"/>
      <w:r w:rsidRPr="00A44018">
        <w:rPr>
          <w:rFonts w:ascii="Calibri" w:eastAsia="Calibri" w:hAnsi="Calibri"/>
          <w:color w:val="00000A"/>
          <w:sz w:val="24"/>
          <w:szCs w:val="24"/>
        </w:rPr>
        <w:t>Olfsen</w:t>
      </w:r>
      <w:proofErr w:type="spellEnd"/>
      <w:r w:rsidRPr="00A44018">
        <w:rPr>
          <w:rFonts w:ascii="Calibri" w:eastAsia="Calibri" w:hAnsi="Calibri"/>
          <w:color w:val="00000A"/>
          <w:sz w:val="24"/>
          <w:szCs w:val="24"/>
        </w:rPr>
        <w:t xml:space="preserve">, Odgers, </w:t>
      </w:r>
      <w:proofErr w:type="spellStart"/>
      <w:r w:rsidRPr="00A44018">
        <w:rPr>
          <w:rFonts w:ascii="Calibri" w:eastAsia="Calibri" w:hAnsi="Calibri"/>
          <w:color w:val="00000A"/>
          <w:sz w:val="24"/>
          <w:szCs w:val="24"/>
        </w:rPr>
        <w:t>Schulenbert</w:t>
      </w:r>
      <w:proofErr w:type="spellEnd"/>
      <w:r w:rsidRPr="00A44018">
        <w:rPr>
          <w:rFonts w:ascii="Calibri" w:eastAsia="Calibri" w:hAnsi="Calibri"/>
          <w:color w:val="00000A"/>
          <w:sz w:val="24"/>
          <w:szCs w:val="24"/>
        </w:rPr>
        <w:t xml:space="preserve"> and Keyes, 2021).  Complementing this, a Swedish study (</w:t>
      </w:r>
      <w:proofErr w:type="spellStart"/>
      <w:r w:rsidRPr="00A44018">
        <w:rPr>
          <w:rFonts w:ascii="Calibri" w:eastAsia="Calibri" w:hAnsi="Calibri"/>
          <w:color w:val="00000A"/>
          <w:sz w:val="24"/>
          <w:szCs w:val="24"/>
        </w:rPr>
        <w:t>Beeres</w:t>
      </w:r>
      <w:proofErr w:type="spellEnd"/>
      <w:r w:rsidRPr="00A44018">
        <w:rPr>
          <w:rFonts w:ascii="Calibri" w:eastAsia="Calibri" w:hAnsi="Calibri"/>
          <w:color w:val="00000A"/>
          <w:sz w:val="24"/>
          <w:szCs w:val="24"/>
        </w:rPr>
        <w:t xml:space="preserve">, Andersson, </w:t>
      </w:r>
      <w:proofErr w:type="spellStart"/>
      <w:r w:rsidRPr="00A44018">
        <w:rPr>
          <w:rFonts w:ascii="Calibri" w:eastAsia="Calibri" w:hAnsi="Calibri"/>
          <w:color w:val="00000A"/>
          <w:sz w:val="24"/>
          <w:szCs w:val="24"/>
        </w:rPr>
        <w:t>Vossen</w:t>
      </w:r>
      <w:proofErr w:type="spellEnd"/>
      <w:r w:rsidRPr="00A44018">
        <w:rPr>
          <w:rFonts w:ascii="Calibri" w:eastAsia="Calibri" w:hAnsi="Calibri"/>
          <w:color w:val="00000A"/>
          <w:sz w:val="24"/>
          <w:szCs w:val="24"/>
        </w:rPr>
        <w:t xml:space="preserve"> and </w:t>
      </w:r>
      <w:proofErr w:type="spellStart"/>
      <w:r w:rsidRPr="00A44018">
        <w:rPr>
          <w:rFonts w:ascii="Calibri" w:eastAsia="Calibri" w:hAnsi="Calibri"/>
          <w:color w:val="00000A"/>
          <w:sz w:val="24"/>
          <w:szCs w:val="24"/>
        </w:rPr>
        <w:t>Galanti</w:t>
      </w:r>
      <w:proofErr w:type="spellEnd"/>
      <w:r w:rsidRPr="00A44018">
        <w:rPr>
          <w:rFonts w:ascii="Calibri" w:eastAsia="Calibri" w:hAnsi="Calibri"/>
          <w:color w:val="00000A"/>
          <w:sz w:val="24"/>
          <w:szCs w:val="24"/>
        </w:rPr>
        <w:t xml:space="preserve">, 2020) reported that adolescents with higher use of social media </w:t>
      </w:r>
      <w:r w:rsidRPr="00A44018">
        <w:rPr>
          <w:rFonts w:ascii="Calibri" w:eastAsia="Calibri" w:hAnsi="Calibri"/>
          <w:i/>
          <w:iCs/>
          <w:color w:val="00000A"/>
          <w:sz w:val="24"/>
          <w:szCs w:val="24"/>
        </w:rPr>
        <w:t>did</w:t>
      </w:r>
      <w:r w:rsidRPr="00A44018">
        <w:rPr>
          <w:rFonts w:ascii="Calibri" w:eastAsia="Calibri" w:hAnsi="Calibri"/>
          <w:color w:val="00000A"/>
          <w:sz w:val="24"/>
          <w:szCs w:val="24"/>
        </w:rPr>
        <w:t xml:space="preserve"> report more symptoms of poor mental health, but because there was no longitudinal association between the two, the conclusion was drawn that rather than social media being a risk factor for future mental health issues, it was more likely to be an indicator of poorer mental health.</w:t>
      </w:r>
    </w:p>
    <w:p w14:paraId="70DB127F" w14:textId="77777777" w:rsidR="00A44018" w:rsidRPr="00A44018" w:rsidRDefault="00A44018" w:rsidP="00A44018">
      <w:pPr>
        <w:spacing w:after="100" w:afterAutospacing="1" w:line="480" w:lineRule="auto"/>
        <w:jc w:val="both"/>
        <w:rPr>
          <w:rFonts w:ascii="Calibri" w:eastAsia="Calibri" w:hAnsi="Calibri"/>
          <w:color w:val="00000A"/>
          <w:sz w:val="24"/>
          <w:szCs w:val="24"/>
        </w:rPr>
      </w:pPr>
      <w:r w:rsidRPr="00A44018">
        <w:rPr>
          <w:rFonts w:ascii="Calibri" w:eastAsia="Calibri" w:hAnsi="Calibri"/>
          <w:color w:val="00000A"/>
          <w:sz w:val="24"/>
          <w:szCs w:val="24"/>
        </w:rPr>
        <w:t xml:space="preserve">Of note with respect to poor adolescent mental health is the fact that those who self-harm </w:t>
      </w:r>
      <w:proofErr w:type="gramStart"/>
      <w:r w:rsidRPr="00A44018">
        <w:rPr>
          <w:rFonts w:ascii="Calibri" w:eastAsia="Calibri" w:hAnsi="Calibri"/>
          <w:color w:val="00000A"/>
          <w:sz w:val="24"/>
          <w:szCs w:val="24"/>
        </w:rPr>
        <w:t>use</w:t>
      </w:r>
      <w:proofErr w:type="gramEnd"/>
      <w:r w:rsidRPr="00A44018">
        <w:rPr>
          <w:rFonts w:ascii="Calibri" w:eastAsia="Calibri" w:hAnsi="Calibri"/>
          <w:color w:val="00000A"/>
          <w:sz w:val="24"/>
          <w:szCs w:val="24"/>
        </w:rPr>
        <w:t xml:space="preserve"> the internet to find information and support (Pritchard, Lewis and </w:t>
      </w:r>
      <w:proofErr w:type="spellStart"/>
      <w:r w:rsidRPr="00A44018">
        <w:rPr>
          <w:rFonts w:ascii="Calibri" w:eastAsia="Calibri" w:hAnsi="Calibri"/>
          <w:color w:val="00000A"/>
          <w:sz w:val="24"/>
          <w:szCs w:val="24"/>
        </w:rPr>
        <w:t>Marcincinova</w:t>
      </w:r>
      <w:proofErr w:type="spellEnd"/>
      <w:r w:rsidRPr="00A44018">
        <w:rPr>
          <w:rFonts w:ascii="Calibri" w:eastAsia="Calibri" w:hAnsi="Calibri"/>
          <w:color w:val="00000A"/>
          <w:sz w:val="24"/>
          <w:szCs w:val="24"/>
        </w:rPr>
        <w:t xml:space="preserve">, 2020), either by preference or due to barriers to finding help offline.  By analysing the </w:t>
      </w:r>
      <w:proofErr w:type="spellStart"/>
      <w:r w:rsidRPr="00A44018">
        <w:rPr>
          <w:rFonts w:ascii="Calibri" w:eastAsia="Calibri" w:hAnsi="Calibri"/>
          <w:color w:val="00000A"/>
          <w:sz w:val="24"/>
          <w:szCs w:val="24"/>
        </w:rPr>
        <w:t>TalkLife</w:t>
      </w:r>
      <w:proofErr w:type="spellEnd"/>
      <w:r w:rsidRPr="00A44018">
        <w:rPr>
          <w:rFonts w:ascii="Calibri" w:eastAsia="Calibri" w:hAnsi="Calibri"/>
          <w:color w:val="00000A"/>
          <w:sz w:val="24"/>
          <w:szCs w:val="24"/>
        </w:rPr>
        <w:t xml:space="preserve"> app it was found that these young people were recording problems with their emotions and relationships, feeling isolated and misunderstood as well as posting about suicidal ideation and behaviours, most often just before midnight, which has clear implications for the provision of crisis support for young people at night (ibid.).</w:t>
      </w:r>
    </w:p>
    <w:p w14:paraId="1F617678" w14:textId="77777777" w:rsidR="00A44018" w:rsidRPr="00A44018" w:rsidRDefault="00A44018" w:rsidP="00A44018">
      <w:pPr>
        <w:spacing w:after="100" w:afterAutospacing="1" w:line="480" w:lineRule="auto"/>
        <w:jc w:val="both"/>
        <w:rPr>
          <w:rFonts w:ascii="Calibri" w:eastAsia="Calibri" w:hAnsi="Calibri"/>
          <w:color w:val="00000A"/>
          <w:sz w:val="24"/>
          <w:szCs w:val="24"/>
        </w:rPr>
      </w:pPr>
      <w:r w:rsidRPr="00A44018">
        <w:rPr>
          <w:rFonts w:ascii="Calibri" w:eastAsia="Calibri" w:hAnsi="Calibri"/>
          <w:color w:val="00000A"/>
          <w:sz w:val="24"/>
          <w:szCs w:val="24"/>
        </w:rPr>
        <w:lastRenderedPageBreak/>
        <w:t xml:space="preserve">Adolescents in a sexual minority may also prefer to seek support online or find it easier to access that way.  This theory is supported by a recent study into disordered eating behaviours and body image dissatisfaction in a large cross-section of young people, of whom 5% identified as in a sexual minority (Parmar, Alabaster, Vance Jr., Weintraub and Lau, 2021).  These young people were found to be twice as likely to have disordered eating behaviours and nearly four times more likely to have body image dissatisfaction, but they were no more likely than the rest of the population studied to access specialised mental health services (ibid.). </w:t>
      </w:r>
    </w:p>
    <w:p w14:paraId="790A9575" w14:textId="77777777" w:rsidR="00A44018" w:rsidRPr="00A44018" w:rsidRDefault="00A44018" w:rsidP="00A44018">
      <w:pPr>
        <w:spacing w:after="100" w:afterAutospacing="1" w:line="480" w:lineRule="auto"/>
        <w:jc w:val="both"/>
        <w:rPr>
          <w:rFonts w:ascii="Calibri" w:eastAsia="Calibri" w:hAnsi="Calibri"/>
          <w:color w:val="00000A"/>
          <w:sz w:val="24"/>
          <w:szCs w:val="24"/>
        </w:rPr>
      </w:pPr>
      <w:r w:rsidRPr="00A44018">
        <w:rPr>
          <w:rFonts w:ascii="Calibri" w:eastAsia="Calibri" w:hAnsi="Calibri"/>
          <w:color w:val="00000A"/>
          <w:sz w:val="24"/>
          <w:szCs w:val="24"/>
        </w:rPr>
        <w:t>Looking specifically at bisexual adolescents, Smith, Reidy and Norris (2020) found that they were at higher risk of both teen dating violence (physical, emotional and psychological aggression in their relationships) and suicide than their peers, including their gay/lesbian peers, and that bisexual girls are more at risk than bisexual males.  Young bisexuals are also at increased risk of mental health problems because of the stigma surrounding their bisexuality and the fact that bisexuals are less accepted as part of the sexual minority community (ibid.).</w:t>
      </w:r>
    </w:p>
    <w:p w14:paraId="2614AEBA" w14:textId="77777777" w:rsidR="00A44018" w:rsidRPr="00A44018" w:rsidRDefault="00A44018" w:rsidP="00A44018">
      <w:pPr>
        <w:spacing w:after="100" w:afterAutospacing="1" w:line="480" w:lineRule="auto"/>
        <w:jc w:val="both"/>
        <w:rPr>
          <w:rFonts w:ascii="Calibri" w:eastAsia="Calibri" w:hAnsi="Calibri"/>
          <w:color w:val="00000A"/>
          <w:sz w:val="24"/>
          <w:szCs w:val="24"/>
        </w:rPr>
      </w:pPr>
      <w:r w:rsidRPr="00A44018">
        <w:rPr>
          <w:rFonts w:ascii="Calibri" w:eastAsia="Calibri" w:hAnsi="Calibri"/>
          <w:color w:val="00000A"/>
          <w:sz w:val="24"/>
          <w:szCs w:val="24"/>
        </w:rPr>
        <w:t xml:space="preserve">Poor mental health such as anxiety, depression, personal distress and suicidality can also result from sexual harassment and homophobic name calling (Rinehart, </w:t>
      </w:r>
      <w:proofErr w:type="spellStart"/>
      <w:r w:rsidRPr="00A44018">
        <w:rPr>
          <w:rFonts w:ascii="Calibri" w:eastAsia="Calibri" w:hAnsi="Calibri"/>
          <w:color w:val="00000A"/>
          <w:sz w:val="24"/>
          <w:szCs w:val="24"/>
        </w:rPr>
        <w:t>Espelage</w:t>
      </w:r>
      <w:proofErr w:type="spellEnd"/>
      <w:r w:rsidRPr="00A44018">
        <w:rPr>
          <w:rFonts w:ascii="Calibri" w:eastAsia="Calibri" w:hAnsi="Calibri"/>
          <w:color w:val="00000A"/>
          <w:sz w:val="24"/>
          <w:szCs w:val="24"/>
        </w:rPr>
        <w:t xml:space="preserve"> and Bub, 2017).  Studying both perpetrators and victims at age 13 and again at 17, it was found that there were negative mental health outcomes for both, regardless of their sex; that is, if they had been a victim or perpetrator of any kind of gendered harassment between the age of 13 and 17, they were also more likely to have depressive symptoms and use drugs/alcohol at age 17 (ibid.).</w:t>
      </w:r>
    </w:p>
    <w:p w14:paraId="027FEDEA" w14:textId="77777777" w:rsidR="00A44018" w:rsidRPr="00A44018" w:rsidRDefault="00A44018" w:rsidP="00A44018">
      <w:pPr>
        <w:spacing w:after="100" w:afterAutospacing="1" w:line="480" w:lineRule="auto"/>
        <w:jc w:val="both"/>
        <w:rPr>
          <w:rFonts w:ascii="Calibri" w:eastAsia="Calibri" w:hAnsi="Calibri"/>
          <w:color w:val="00000A"/>
          <w:sz w:val="24"/>
          <w:szCs w:val="24"/>
        </w:rPr>
      </w:pPr>
      <w:r w:rsidRPr="00A44018">
        <w:rPr>
          <w:rFonts w:ascii="Calibri" w:eastAsia="Calibri" w:hAnsi="Calibri"/>
          <w:color w:val="00000A"/>
          <w:sz w:val="24"/>
          <w:szCs w:val="24"/>
        </w:rPr>
        <w:lastRenderedPageBreak/>
        <w:t>Anxiety is often associated with risk avoidance, and studies exist that make this link apparent, but there is also evidence from research that shows that adolescents use risky behaviours to alleviate the effects of their anxiety, and that this is particularly so for boys (</w:t>
      </w:r>
      <w:proofErr w:type="spellStart"/>
      <w:r w:rsidRPr="00A44018">
        <w:rPr>
          <w:rFonts w:ascii="Calibri" w:eastAsia="Calibri" w:hAnsi="Calibri"/>
          <w:color w:val="00000A"/>
          <w:sz w:val="24"/>
          <w:szCs w:val="24"/>
        </w:rPr>
        <w:t>Auerback</w:t>
      </w:r>
      <w:proofErr w:type="spellEnd"/>
      <w:r w:rsidRPr="00A44018">
        <w:rPr>
          <w:rFonts w:ascii="Calibri" w:eastAsia="Calibri" w:hAnsi="Calibri"/>
          <w:color w:val="00000A"/>
          <w:sz w:val="24"/>
          <w:szCs w:val="24"/>
        </w:rPr>
        <w:t xml:space="preserve">, </w:t>
      </w:r>
      <w:proofErr w:type="spellStart"/>
      <w:r w:rsidRPr="00A44018">
        <w:rPr>
          <w:rFonts w:ascii="Calibri" w:eastAsia="Calibri" w:hAnsi="Calibri"/>
          <w:color w:val="00000A"/>
          <w:sz w:val="24"/>
          <w:szCs w:val="24"/>
        </w:rPr>
        <w:t>Kertz</w:t>
      </w:r>
      <w:proofErr w:type="spellEnd"/>
      <w:r w:rsidRPr="00A44018">
        <w:rPr>
          <w:rFonts w:ascii="Calibri" w:eastAsia="Calibri" w:hAnsi="Calibri"/>
          <w:color w:val="00000A"/>
          <w:sz w:val="24"/>
          <w:szCs w:val="24"/>
        </w:rPr>
        <w:t xml:space="preserve"> and Gardiner, 2012).  It has also been found for boys that ruminating on negative experiences can strengthen the link between stress and anxiety and lead to a greater involvement in risky behaviours, whereas for girls, it seemed that self-reflection was more protective in that it reduced impulsivity and became a coping mechanism (ibid.).</w:t>
      </w:r>
    </w:p>
    <w:p w14:paraId="00D6E368" w14:textId="77777777" w:rsidR="00A44018" w:rsidRPr="00A44018" w:rsidRDefault="00A44018" w:rsidP="00A44018">
      <w:pPr>
        <w:spacing w:after="100" w:afterAutospacing="1" w:line="480" w:lineRule="auto"/>
        <w:jc w:val="both"/>
        <w:rPr>
          <w:rFonts w:ascii="Calibri" w:eastAsia="Calibri" w:hAnsi="Calibri"/>
          <w:color w:val="00000A"/>
          <w:sz w:val="24"/>
          <w:szCs w:val="24"/>
        </w:rPr>
      </w:pPr>
      <w:r w:rsidRPr="00A44018">
        <w:rPr>
          <w:rFonts w:ascii="Calibri" w:eastAsia="Calibri" w:hAnsi="Calibri"/>
          <w:color w:val="00000A"/>
          <w:sz w:val="24"/>
          <w:szCs w:val="24"/>
        </w:rPr>
        <w:t>High anxiety in adolescents leads them towards high-risk behaviour and this has been shown to be related to their enhanced sensitivity to reward, whereby they are likely to increase risk-taking as potential outcomes shift from negative to positive (Peris and Galvan, 2020).  Anxiety and the decision-making behind risky behaviour (substance use, unprotected sex and impulsive decisions) are also influenced by individual and situational factors and key developmental processes such as sleep (ibid.).</w:t>
      </w:r>
    </w:p>
    <w:p w14:paraId="4EDEC581" w14:textId="77777777" w:rsidR="00A44018" w:rsidRPr="00A44018" w:rsidRDefault="00A44018" w:rsidP="00A44018">
      <w:pPr>
        <w:spacing w:after="100" w:afterAutospacing="1" w:line="480" w:lineRule="auto"/>
        <w:jc w:val="both"/>
        <w:rPr>
          <w:rFonts w:ascii="Calibri" w:eastAsia="Calibri" w:hAnsi="Calibri"/>
          <w:color w:val="00000A"/>
          <w:sz w:val="24"/>
          <w:szCs w:val="24"/>
        </w:rPr>
      </w:pPr>
      <w:r w:rsidRPr="00A44018">
        <w:rPr>
          <w:rFonts w:ascii="Calibri" w:eastAsia="Calibri" w:hAnsi="Calibri"/>
          <w:color w:val="00000A"/>
          <w:sz w:val="24"/>
          <w:szCs w:val="24"/>
        </w:rPr>
        <w:t xml:space="preserve">Adolescence is also seen to be characterised by anxiety and avoidance behaviour </w:t>
      </w:r>
      <w:r w:rsidRPr="00A44018">
        <w:rPr>
          <w:rFonts w:ascii="Calibri" w:eastAsia="Calibri" w:hAnsi="Calibri"/>
          <w:i/>
          <w:iCs/>
          <w:color w:val="00000A"/>
          <w:sz w:val="24"/>
          <w:szCs w:val="24"/>
        </w:rPr>
        <w:t>as well as</w:t>
      </w:r>
      <w:r w:rsidRPr="00A44018">
        <w:rPr>
          <w:rFonts w:ascii="Calibri" w:eastAsia="Calibri" w:hAnsi="Calibri"/>
          <w:color w:val="00000A"/>
          <w:sz w:val="24"/>
          <w:szCs w:val="24"/>
        </w:rPr>
        <w:t xml:space="preserve"> an increase in risk taking or ‘approach behaviours’ by Baker and Galvan (2020, para.2), who note that risking danger might be ‘uniquely thrilling’ (ibid., para.19) in adolescence compared to other times of life.  They call for a longitudinal study into young people at risk of anxiety that tracks their approach and avoidance motivations, their risk taking and changes in their mental health, in order to understand better how to help young people with clinical anxiety (ibid.).</w:t>
      </w:r>
    </w:p>
    <w:p w14:paraId="534BC398" w14:textId="77777777" w:rsidR="00A44018" w:rsidRPr="00A44018" w:rsidRDefault="00A44018" w:rsidP="00A44018">
      <w:pPr>
        <w:spacing w:after="100" w:afterAutospacing="1" w:line="480" w:lineRule="auto"/>
        <w:jc w:val="both"/>
        <w:rPr>
          <w:rFonts w:ascii="Calibri" w:eastAsia="Calibri" w:hAnsi="Calibri"/>
          <w:color w:val="00000A"/>
          <w:sz w:val="24"/>
          <w:szCs w:val="24"/>
        </w:rPr>
      </w:pPr>
      <w:r w:rsidRPr="00A44018">
        <w:rPr>
          <w:rFonts w:ascii="Calibri" w:eastAsia="Calibri" w:hAnsi="Calibri"/>
          <w:color w:val="00000A"/>
          <w:sz w:val="24"/>
          <w:szCs w:val="24"/>
        </w:rPr>
        <w:t>It has been argued that anxiety and depression are more prevalent in early maturing boys (</w:t>
      </w:r>
      <w:proofErr w:type="spellStart"/>
      <w:r w:rsidRPr="00A44018">
        <w:rPr>
          <w:rFonts w:ascii="Calibri" w:eastAsia="Calibri" w:hAnsi="Calibri"/>
          <w:color w:val="00000A"/>
          <w:sz w:val="24"/>
          <w:szCs w:val="24"/>
        </w:rPr>
        <w:t>Mendle</w:t>
      </w:r>
      <w:proofErr w:type="spellEnd"/>
      <w:r w:rsidRPr="00A44018">
        <w:rPr>
          <w:rFonts w:ascii="Calibri" w:eastAsia="Calibri" w:hAnsi="Calibri"/>
          <w:color w:val="00000A"/>
          <w:sz w:val="24"/>
          <w:szCs w:val="24"/>
        </w:rPr>
        <w:t xml:space="preserve">, 2012, p52) and that this is exacerbated when their mothers have moderate to high </w:t>
      </w:r>
      <w:r w:rsidRPr="00A44018">
        <w:rPr>
          <w:rFonts w:ascii="Calibri" w:eastAsia="Calibri" w:hAnsi="Calibri"/>
          <w:color w:val="00000A"/>
          <w:sz w:val="24"/>
          <w:szCs w:val="24"/>
        </w:rPr>
        <w:lastRenderedPageBreak/>
        <w:t xml:space="preserve">levels of depression or when there are high levels of adversity or stress in their household (ibid.).  This is echoed by </w:t>
      </w:r>
      <w:proofErr w:type="spellStart"/>
      <w:r w:rsidRPr="00A44018">
        <w:rPr>
          <w:rFonts w:ascii="Calibri" w:eastAsia="Calibri" w:hAnsi="Calibri"/>
          <w:color w:val="00000A"/>
          <w:sz w:val="24"/>
          <w:szCs w:val="24"/>
        </w:rPr>
        <w:t>Bozzini</w:t>
      </w:r>
      <w:proofErr w:type="spellEnd"/>
      <w:r w:rsidRPr="00A44018">
        <w:rPr>
          <w:rFonts w:ascii="Calibri" w:eastAsia="Calibri" w:hAnsi="Calibri"/>
          <w:color w:val="00000A"/>
          <w:sz w:val="24"/>
          <w:szCs w:val="24"/>
        </w:rPr>
        <w:t xml:space="preserve">, Maruyama, </w:t>
      </w:r>
      <w:proofErr w:type="spellStart"/>
      <w:r w:rsidRPr="00A44018">
        <w:rPr>
          <w:rFonts w:ascii="Calibri" w:eastAsia="Calibri" w:hAnsi="Calibri"/>
          <w:color w:val="00000A"/>
          <w:sz w:val="24"/>
          <w:szCs w:val="24"/>
        </w:rPr>
        <w:t>Munhoz</w:t>
      </w:r>
      <w:proofErr w:type="spellEnd"/>
      <w:r w:rsidRPr="00A44018">
        <w:rPr>
          <w:rFonts w:ascii="Calibri" w:eastAsia="Calibri" w:hAnsi="Calibri"/>
          <w:color w:val="00000A"/>
          <w:sz w:val="24"/>
          <w:szCs w:val="24"/>
        </w:rPr>
        <w:t xml:space="preserve">, Barros, Barros, Santos and </w:t>
      </w:r>
      <w:proofErr w:type="spellStart"/>
      <w:r w:rsidRPr="00A44018">
        <w:rPr>
          <w:rFonts w:ascii="Calibri" w:eastAsia="Calibri" w:hAnsi="Calibri"/>
          <w:color w:val="00000A"/>
          <w:sz w:val="24"/>
          <w:szCs w:val="24"/>
        </w:rPr>
        <w:t>Matijasevich</w:t>
      </w:r>
      <w:proofErr w:type="spellEnd"/>
      <w:r w:rsidRPr="00A44018">
        <w:rPr>
          <w:rFonts w:ascii="Calibri" w:eastAsia="Calibri" w:hAnsi="Calibri"/>
          <w:color w:val="00000A"/>
          <w:sz w:val="24"/>
          <w:szCs w:val="24"/>
        </w:rPr>
        <w:t xml:space="preserve"> (2021) who refer to evidence that adolescents with depressed mothers are at more risk of behavioural inhibition, emotional problems, violent behaviours, externalising problems and psychiatric disorders.  However, after studying the link between maternal depression and risk taking in a cohort of </w:t>
      </w:r>
      <w:proofErr w:type="gramStart"/>
      <w:r w:rsidRPr="00A44018">
        <w:rPr>
          <w:rFonts w:ascii="Calibri" w:eastAsia="Calibri" w:hAnsi="Calibri"/>
          <w:color w:val="00000A"/>
          <w:sz w:val="24"/>
          <w:szCs w:val="24"/>
        </w:rPr>
        <w:t>11 year olds</w:t>
      </w:r>
      <w:proofErr w:type="gramEnd"/>
      <w:r w:rsidRPr="00A44018">
        <w:rPr>
          <w:rFonts w:ascii="Calibri" w:eastAsia="Calibri" w:hAnsi="Calibri"/>
          <w:color w:val="00000A"/>
          <w:sz w:val="24"/>
          <w:szCs w:val="24"/>
        </w:rPr>
        <w:t>, they concluded that there was no significant link between maternal depression and alcohol use or fighting at age 11 (ibid).  However, this study was limited as it did not extend beyond early adolescence.</w:t>
      </w:r>
    </w:p>
    <w:p w14:paraId="1C9B6DDF" w14:textId="77777777" w:rsidR="00A44018" w:rsidRPr="00A44018" w:rsidRDefault="00A44018" w:rsidP="00A44018">
      <w:pPr>
        <w:spacing w:after="100" w:afterAutospacing="1" w:line="480" w:lineRule="auto"/>
        <w:jc w:val="both"/>
        <w:rPr>
          <w:rFonts w:ascii="Calibri" w:eastAsia="Calibri" w:hAnsi="Calibri"/>
          <w:color w:val="00000A"/>
          <w:sz w:val="24"/>
          <w:szCs w:val="24"/>
        </w:rPr>
      </w:pPr>
      <w:r w:rsidRPr="00A44018">
        <w:rPr>
          <w:rFonts w:ascii="Calibri" w:eastAsia="Calibri" w:hAnsi="Calibri"/>
          <w:color w:val="00000A"/>
          <w:sz w:val="24"/>
          <w:szCs w:val="24"/>
        </w:rPr>
        <w:t>The environment in which we grow up has clear implications for adolescent mental health, and it has been demonstrated that adolescent emotional wellbeing and risk-taking behaviours can be influenced by, and can influence, the perceived level of safety in the local neighbourhood (</w:t>
      </w:r>
      <w:proofErr w:type="spellStart"/>
      <w:r w:rsidRPr="00A44018">
        <w:rPr>
          <w:rFonts w:ascii="Calibri" w:eastAsia="Calibri" w:hAnsi="Calibri"/>
          <w:color w:val="00000A"/>
          <w:sz w:val="24"/>
          <w:szCs w:val="24"/>
        </w:rPr>
        <w:t>Midouhas</w:t>
      </w:r>
      <w:proofErr w:type="spellEnd"/>
      <w:r w:rsidRPr="00A44018">
        <w:rPr>
          <w:rFonts w:ascii="Calibri" w:eastAsia="Calibri" w:hAnsi="Calibri"/>
          <w:color w:val="00000A"/>
          <w:sz w:val="24"/>
          <w:szCs w:val="24"/>
        </w:rPr>
        <w:t xml:space="preserve">, </w:t>
      </w:r>
      <w:proofErr w:type="spellStart"/>
      <w:r w:rsidRPr="00A44018">
        <w:rPr>
          <w:rFonts w:ascii="Calibri" w:eastAsia="Calibri" w:hAnsi="Calibri"/>
          <w:color w:val="00000A"/>
          <w:sz w:val="24"/>
          <w:szCs w:val="24"/>
        </w:rPr>
        <w:t>Sifaki</w:t>
      </w:r>
      <w:proofErr w:type="spellEnd"/>
      <w:r w:rsidRPr="00A44018">
        <w:rPr>
          <w:rFonts w:ascii="Calibri" w:eastAsia="Calibri" w:hAnsi="Calibri"/>
          <w:color w:val="00000A"/>
          <w:sz w:val="24"/>
          <w:szCs w:val="24"/>
        </w:rPr>
        <w:t xml:space="preserve">, Lai and </w:t>
      </w:r>
      <w:proofErr w:type="spellStart"/>
      <w:r w:rsidRPr="00A44018">
        <w:rPr>
          <w:rFonts w:ascii="Calibri" w:eastAsia="Calibri" w:hAnsi="Calibri"/>
          <w:color w:val="00000A"/>
          <w:sz w:val="24"/>
          <w:szCs w:val="24"/>
        </w:rPr>
        <w:t>Flouri</w:t>
      </w:r>
      <w:proofErr w:type="spellEnd"/>
      <w:r w:rsidRPr="00A44018">
        <w:rPr>
          <w:rFonts w:ascii="Calibri" w:eastAsia="Calibri" w:hAnsi="Calibri"/>
          <w:color w:val="00000A"/>
          <w:sz w:val="24"/>
          <w:szCs w:val="24"/>
        </w:rPr>
        <w:t>, 2021) and that it is the perception of how violent, disordered or unsafe the neighbourhood is that is more impactful on adolescent mental health than the actual objective measures of neighbourhood safety (ibid.).  This is particularly evident in socioeconomically disadvantaged areas, and it has been shown that adolescents who think their neighbourhood is unsafe are about two and a half times more likely to experience severe psychological effects (ibid.).</w:t>
      </w:r>
    </w:p>
    <w:p w14:paraId="11D2BAB6" w14:textId="77777777" w:rsidR="00A44018" w:rsidRPr="00A44018" w:rsidRDefault="00A44018" w:rsidP="00A44018">
      <w:pPr>
        <w:spacing w:after="100" w:afterAutospacing="1" w:line="480" w:lineRule="auto"/>
        <w:jc w:val="both"/>
        <w:rPr>
          <w:rFonts w:ascii="Calibri" w:eastAsia="Calibri" w:hAnsi="Calibri"/>
          <w:color w:val="00000A"/>
          <w:sz w:val="24"/>
          <w:szCs w:val="24"/>
        </w:rPr>
      </w:pPr>
      <w:r w:rsidRPr="00A44018">
        <w:rPr>
          <w:rFonts w:ascii="Calibri" w:eastAsia="Calibri" w:hAnsi="Calibri"/>
          <w:color w:val="00000A"/>
          <w:sz w:val="24"/>
          <w:szCs w:val="24"/>
        </w:rPr>
        <w:t>Another set of factors that influences adolescent mental health are poor diet, lack of physical exercise and obesity, and the latter is strongly associated with adolescent depression (</w:t>
      </w:r>
      <w:proofErr w:type="spellStart"/>
      <w:r w:rsidRPr="00A44018">
        <w:rPr>
          <w:rFonts w:ascii="Calibri" w:eastAsia="Calibri" w:hAnsi="Calibri"/>
          <w:color w:val="00000A"/>
          <w:sz w:val="24"/>
          <w:szCs w:val="24"/>
        </w:rPr>
        <w:t>Monzonis-Carda</w:t>
      </w:r>
      <w:proofErr w:type="spellEnd"/>
      <w:r w:rsidRPr="00A44018">
        <w:rPr>
          <w:rFonts w:ascii="Calibri" w:eastAsia="Calibri" w:hAnsi="Calibri"/>
          <w:color w:val="00000A"/>
          <w:sz w:val="24"/>
          <w:szCs w:val="24"/>
        </w:rPr>
        <w:t>, Adelantado-</w:t>
      </w:r>
      <w:proofErr w:type="spellStart"/>
      <w:r w:rsidRPr="00A44018">
        <w:rPr>
          <w:rFonts w:ascii="Calibri" w:eastAsia="Calibri" w:hAnsi="Calibri"/>
          <w:color w:val="00000A"/>
          <w:sz w:val="24"/>
          <w:szCs w:val="24"/>
        </w:rPr>
        <w:t>Renau</w:t>
      </w:r>
      <w:proofErr w:type="spellEnd"/>
      <w:r w:rsidRPr="00A44018">
        <w:rPr>
          <w:rFonts w:ascii="Calibri" w:eastAsia="Calibri" w:hAnsi="Calibri"/>
          <w:color w:val="00000A"/>
          <w:sz w:val="24"/>
          <w:szCs w:val="24"/>
        </w:rPr>
        <w:t xml:space="preserve">, Beltran-Valls and </w:t>
      </w:r>
      <w:proofErr w:type="spellStart"/>
      <w:r w:rsidRPr="00A44018">
        <w:rPr>
          <w:rFonts w:ascii="Calibri" w:eastAsia="Calibri" w:hAnsi="Calibri"/>
          <w:color w:val="00000A"/>
          <w:sz w:val="24"/>
          <w:szCs w:val="24"/>
        </w:rPr>
        <w:t>Moliner-Urdiales</w:t>
      </w:r>
      <w:proofErr w:type="spellEnd"/>
      <w:r w:rsidRPr="00A44018">
        <w:rPr>
          <w:rFonts w:ascii="Calibri" w:eastAsia="Calibri" w:hAnsi="Calibri"/>
          <w:color w:val="00000A"/>
          <w:sz w:val="24"/>
          <w:szCs w:val="24"/>
        </w:rPr>
        <w:t>, 2021).  As adolescent depression is also strongly associated with poorer academic performance, there are clear reasons for policy makers and educators to address health risk behaviours and root causes (ibid.).</w:t>
      </w:r>
    </w:p>
    <w:p w14:paraId="5C51A285" w14:textId="77777777" w:rsidR="00A44018" w:rsidRPr="00A44018" w:rsidRDefault="00A44018" w:rsidP="00A44018">
      <w:pPr>
        <w:spacing w:after="100" w:afterAutospacing="1" w:line="480" w:lineRule="auto"/>
        <w:jc w:val="both"/>
        <w:rPr>
          <w:rFonts w:ascii="Calibri" w:eastAsia="Calibri" w:hAnsi="Calibri"/>
          <w:color w:val="00000A"/>
          <w:sz w:val="24"/>
          <w:szCs w:val="24"/>
        </w:rPr>
      </w:pPr>
      <w:r w:rsidRPr="00A44018">
        <w:rPr>
          <w:rFonts w:ascii="Calibri" w:eastAsia="Calibri" w:hAnsi="Calibri"/>
          <w:color w:val="00000A"/>
          <w:sz w:val="24"/>
          <w:szCs w:val="24"/>
        </w:rPr>
        <w:lastRenderedPageBreak/>
        <w:t>Self-esteem is said to be labile, or fluctuating, throughout adolescence for most young people, but it can be strongly influenced by engagement in risky behaviours (Auerbach and Gardiner, 2012).  Young people who are more impulsive than others or who have poor coping strategies are particularly vulnerable to participating in risky activities such as precocious sex, substance use, self-harm and rule-breaking, and when these activities are at odds with their core values, these young people can become critical of themselves and evaluate themselves harshly, leading to lower self-esteem (ibid.).</w:t>
      </w:r>
    </w:p>
    <w:p w14:paraId="42D4B051" w14:textId="77777777" w:rsidR="00A44018" w:rsidRPr="00A44018" w:rsidRDefault="00A44018" w:rsidP="00A44018">
      <w:pPr>
        <w:spacing w:after="100" w:afterAutospacing="1" w:line="480" w:lineRule="auto"/>
        <w:jc w:val="both"/>
        <w:rPr>
          <w:rFonts w:ascii="Calibri" w:eastAsia="Calibri" w:hAnsi="Calibri"/>
          <w:color w:val="00000A"/>
          <w:sz w:val="24"/>
          <w:szCs w:val="24"/>
        </w:rPr>
      </w:pPr>
      <w:r w:rsidRPr="00A44018">
        <w:rPr>
          <w:rFonts w:ascii="Calibri" w:eastAsia="Calibri" w:hAnsi="Calibri"/>
          <w:color w:val="00000A"/>
          <w:sz w:val="24"/>
          <w:szCs w:val="24"/>
        </w:rPr>
        <w:t>Mental health competence in early adolescence has been shown to have a preventive effect against risky behaviours, and thus a protective effect for mental health in mid-adolescence (</w:t>
      </w:r>
      <w:proofErr w:type="spellStart"/>
      <w:r w:rsidRPr="00A44018">
        <w:rPr>
          <w:rFonts w:ascii="Calibri" w:eastAsia="Calibri" w:hAnsi="Calibri"/>
          <w:color w:val="00000A"/>
          <w:sz w:val="24"/>
          <w:szCs w:val="24"/>
        </w:rPr>
        <w:t>Rougeaux</w:t>
      </w:r>
      <w:proofErr w:type="spellEnd"/>
      <w:r w:rsidRPr="00A44018">
        <w:rPr>
          <w:rFonts w:ascii="Calibri" w:eastAsia="Calibri" w:hAnsi="Calibri"/>
          <w:color w:val="00000A"/>
          <w:sz w:val="24"/>
          <w:szCs w:val="24"/>
        </w:rPr>
        <w:t>, Hope, Viner, Deighton, Law and Pearce, 2020).  Using UK Millennium Cohort Study data from young people at ages 11 and 14, it was shown that compared to those with high mental health competence (prosocial behaviours and learning skills) at 11, the remainder were one and a half times more likely to binge drink at age 14 and more than twice as likely to have tried smoking cigarettes or taking drugs (ibid.).</w:t>
      </w:r>
    </w:p>
    <w:p w14:paraId="747CF1C2" w14:textId="77777777" w:rsidR="00A44018" w:rsidRPr="00A44018" w:rsidRDefault="00A44018" w:rsidP="00A44018">
      <w:pPr>
        <w:spacing w:after="100" w:afterAutospacing="1" w:line="480" w:lineRule="auto"/>
        <w:jc w:val="both"/>
        <w:rPr>
          <w:rFonts w:ascii="Calibri" w:eastAsia="Calibri" w:hAnsi="Calibri"/>
          <w:color w:val="00000A"/>
          <w:sz w:val="24"/>
          <w:szCs w:val="24"/>
        </w:rPr>
      </w:pPr>
      <w:r w:rsidRPr="00A44018">
        <w:rPr>
          <w:rFonts w:ascii="Calibri" w:eastAsia="Calibri" w:hAnsi="Calibri"/>
          <w:color w:val="00000A"/>
          <w:sz w:val="24"/>
          <w:szCs w:val="24"/>
        </w:rPr>
        <w:t>The same cohort data has been used to test whether depression, self-harm, trouble with the police and drug use at age 14 could be predicted by monitoring children for internalising and externalising problems at ages 3, 5, 7 and 11 (</w:t>
      </w:r>
      <w:proofErr w:type="spellStart"/>
      <w:r w:rsidRPr="00A44018">
        <w:rPr>
          <w:rFonts w:ascii="Calibri" w:eastAsia="Calibri" w:hAnsi="Calibri"/>
          <w:color w:val="00000A"/>
          <w:sz w:val="24"/>
          <w:szCs w:val="24"/>
        </w:rPr>
        <w:t>Papachristou</w:t>
      </w:r>
      <w:proofErr w:type="spellEnd"/>
      <w:r w:rsidRPr="00A44018">
        <w:rPr>
          <w:rFonts w:ascii="Calibri" w:eastAsia="Calibri" w:hAnsi="Calibri"/>
          <w:color w:val="00000A"/>
          <w:sz w:val="24"/>
          <w:szCs w:val="24"/>
        </w:rPr>
        <w:t xml:space="preserve"> and </w:t>
      </w:r>
      <w:proofErr w:type="spellStart"/>
      <w:r w:rsidRPr="00A44018">
        <w:rPr>
          <w:rFonts w:ascii="Calibri" w:eastAsia="Calibri" w:hAnsi="Calibri"/>
          <w:color w:val="00000A"/>
          <w:sz w:val="24"/>
          <w:szCs w:val="24"/>
        </w:rPr>
        <w:t>Flouri</w:t>
      </w:r>
      <w:proofErr w:type="spellEnd"/>
      <w:r w:rsidRPr="00A44018">
        <w:rPr>
          <w:rFonts w:ascii="Calibri" w:eastAsia="Calibri" w:hAnsi="Calibri"/>
          <w:color w:val="00000A"/>
          <w:sz w:val="24"/>
          <w:szCs w:val="24"/>
        </w:rPr>
        <w:t>, 2020).  Results indicate that depression in mid-adolescence could be predicted for those with increasing internalising or externalising behaviours (ibid.) and that increasing internalising symptoms over time was shown to be associated with self-harm and drug use in early adolescence (ibid.).  The key point to be made is that efforts to prevent depression, self-harm and drug use in adolescence need to be made before the age of 11 (ibid.).</w:t>
      </w:r>
    </w:p>
    <w:p w14:paraId="7853939D" w14:textId="77777777" w:rsidR="00A44018" w:rsidRPr="00A44018" w:rsidRDefault="00A44018" w:rsidP="00A44018">
      <w:pPr>
        <w:spacing w:after="100" w:afterAutospacing="1" w:line="480" w:lineRule="auto"/>
        <w:jc w:val="both"/>
        <w:rPr>
          <w:rFonts w:ascii="Calibri" w:eastAsia="Calibri" w:hAnsi="Calibri"/>
          <w:color w:val="00000A"/>
          <w:sz w:val="24"/>
          <w:szCs w:val="24"/>
        </w:rPr>
      </w:pPr>
      <w:r w:rsidRPr="00A44018">
        <w:rPr>
          <w:rFonts w:ascii="Calibri" w:eastAsia="Calibri" w:hAnsi="Calibri"/>
          <w:color w:val="00000A"/>
          <w:sz w:val="24"/>
          <w:szCs w:val="24"/>
        </w:rPr>
        <w:lastRenderedPageBreak/>
        <w:t>Adolescents’ levels of anxiety and depression have increased as a result of the global pandemic (</w:t>
      </w:r>
      <w:proofErr w:type="spellStart"/>
      <w:r w:rsidRPr="00A44018">
        <w:rPr>
          <w:rFonts w:ascii="Calibri" w:eastAsia="Calibri" w:hAnsi="Calibri"/>
          <w:color w:val="00000A"/>
          <w:sz w:val="24"/>
          <w:szCs w:val="24"/>
        </w:rPr>
        <w:t>Magson</w:t>
      </w:r>
      <w:proofErr w:type="spellEnd"/>
      <w:r w:rsidRPr="00A44018">
        <w:rPr>
          <w:rFonts w:ascii="Calibri" w:eastAsia="Calibri" w:hAnsi="Calibri"/>
          <w:color w:val="00000A"/>
          <w:sz w:val="24"/>
          <w:szCs w:val="24"/>
        </w:rPr>
        <w:t xml:space="preserve">, Freeman, </w:t>
      </w:r>
      <w:proofErr w:type="spellStart"/>
      <w:r w:rsidRPr="00A44018">
        <w:rPr>
          <w:rFonts w:ascii="Calibri" w:eastAsia="Calibri" w:hAnsi="Calibri"/>
          <w:color w:val="00000A"/>
          <w:sz w:val="24"/>
          <w:szCs w:val="24"/>
        </w:rPr>
        <w:t>Rapee</w:t>
      </w:r>
      <w:proofErr w:type="spellEnd"/>
      <w:r w:rsidRPr="00A44018">
        <w:rPr>
          <w:rFonts w:ascii="Calibri" w:eastAsia="Calibri" w:hAnsi="Calibri"/>
          <w:color w:val="00000A"/>
          <w:sz w:val="24"/>
          <w:szCs w:val="24"/>
        </w:rPr>
        <w:t xml:space="preserve">, Richardson, Oar and </w:t>
      </w:r>
      <w:proofErr w:type="spellStart"/>
      <w:r w:rsidRPr="00A44018">
        <w:rPr>
          <w:rFonts w:ascii="Calibri" w:eastAsia="Calibri" w:hAnsi="Calibri"/>
          <w:color w:val="00000A"/>
          <w:sz w:val="24"/>
          <w:szCs w:val="24"/>
        </w:rPr>
        <w:t>Fardouly</w:t>
      </w:r>
      <w:proofErr w:type="spellEnd"/>
      <w:r w:rsidRPr="00A44018">
        <w:rPr>
          <w:rFonts w:ascii="Calibri" w:eastAsia="Calibri" w:hAnsi="Calibri"/>
          <w:color w:val="00000A"/>
          <w:sz w:val="24"/>
          <w:szCs w:val="24"/>
        </w:rPr>
        <w:t>, 2021) and urgent attention needs to be paid to their mental health.  Recent research has highlighted the links between social isolation, loneliness and depression in adolescents and shows that talking directly to others, even by digital means, is essential to protect mental wellbeing, whereas indirect communication (</w:t>
      </w:r>
      <w:proofErr w:type="spellStart"/>
      <w:r w:rsidRPr="00A44018">
        <w:rPr>
          <w:rFonts w:ascii="Calibri" w:eastAsia="Calibri" w:hAnsi="Calibri"/>
          <w:color w:val="00000A"/>
          <w:sz w:val="24"/>
          <w:szCs w:val="24"/>
        </w:rPr>
        <w:t>ie</w:t>
      </w:r>
      <w:proofErr w:type="spellEnd"/>
      <w:r w:rsidRPr="00A44018">
        <w:rPr>
          <w:rFonts w:ascii="Calibri" w:eastAsia="Calibri" w:hAnsi="Calibri"/>
          <w:color w:val="00000A"/>
          <w:sz w:val="24"/>
          <w:szCs w:val="24"/>
        </w:rPr>
        <w:t xml:space="preserve">. text messaging) is detrimental (Cooper, </w:t>
      </w:r>
      <w:proofErr w:type="spellStart"/>
      <w:r w:rsidRPr="00A44018">
        <w:rPr>
          <w:rFonts w:ascii="Calibri" w:eastAsia="Calibri" w:hAnsi="Calibri"/>
          <w:color w:val="00000A"/>
          <w:sz w:val="24"/>
          <w:szCs w:val="24"/>
        </w:rPr>
        <w:t>Hards</w:t>
      </w:r>
      <w:proofErr w:type="spellEnd"/>
      <w:r w:rsidRPr="00A44018">
        <w:rPr>
          <w:rFonts w:ascii="Calibri" w:eastAsia="Calibri" w:hAnsi="Calibri"/>
          <w:color w:val="00000A"/>
          <w:sz w:val="24"/>
          <w:szCs w:val="24"/>
        </w:rPr>
        <w:t xml:space="preserve">, </w:t>
      </w:r>
      <w:proofErr w:type="spellStart"/>
      <w:r w:rsidRPr="00A44018">
        <w:rPr>
          <w:rFonts w:ascii="Calibri" w:eastAsia="Calibri" w:hAnsi="Calibri"/>
          <w:color w:val="00000A"/>
          <w:sz w:val="24"/>
          <w:szCs w:val="24"/>
        </w:rPr>
        <w:t>Moltrecht</w:t>
      </w:r>
      <w:proofErr w:type="spellEnd"/>
      <w:r w:rsidRPr="00A44018">
        <w:rPr>
          <w:rFonts w:ascii="Calibri" w:eastAsia="Calibri" w:hAnsi="Calibri"/>
          <w:color w:val="00000A"/>
          <w:sz w:val="24"/>
          <w:szCs w:val="24"/>
        </w:rPr>
        <w:t xml:space="preserve">, Reynolds, Sum, McElroy and Loades, 2021).  Overuse of digital technology, such as the 75% increase in online gaming seen amongst </w:t>
      </w:r>
      <w:proofErr w:type="gramStart"/>
      <w:r w:rsidRPr="00A44018">
        <w:rPr>
          <w:rFonts w:ascii="Calibri" w:eastAsia="Calibri" w:hAnsi="Calibri"/>
          <w:color w:val="00000A"/>
          <w:sz w:val="24"/>
          <w:szCs w:val="24"/>
        </w:rPr>
        <w:t>10 to 17 year olds</w:t>
      </w:r>
      <w:proofErr w:type="gramEnd"/>
      <w:r w:rsidRPr="00A44018">
        <w:rPr>
          <w:rFonts w:ascii="Calibri" w:eastAsia="Calibri" w:hAnsi="Calibri"/>
          <w:color w:val="00000A"/>
          <w:sz w:val="24"/>
          <w:szCs w:val="24"/>
        </w:rPr>
        <w:t xml:space="preserve"> in Germany during the pandemic, is a direct result of depriving children and young people of their inherent need to play and explore, especially at a time when adults are fearful and anxious (Montag and </w:t>
      </w:r>
      <w:proofErr w:type="spellStart"/>
      <w:r w:rsidRPr="00A44018">
        <w:rPr>
          <w:rFonts w:ascii="Calibri" w:eastAsia="Calibri" w:hAnsi="Calibri"/>
          <w:color w:val="00000A"/>
          <w:sz w:val="24"/>
          <w:szCs w:val="24"/>
        </w:rPr>
        <w:t>Elhai</w:t>
      </w:r>
      <w:proofErr w:type="spellEnd"/>
      <w:r w:rsidRPr="00A44018">
        <w:rPr>
          <w:rFonts w:ascii="Calibri" w:eastAsia="Calibri" w:hAnsi="Calibri"/>
          <w:color w:val="00000A"/>
          <w:sz w:val="24"/>
          <w:szCs w:val="24"/>
        </w:rPr>
        <w:t xml:space="preserve">, 2020) and the long term effects of this on young people’s mental health are yet to be seen.  The mental health of children and young people </w:t>
      </w:r>
      <w:proofErr w:type="gramStart"/>
      <w:r w:rsidRPr="00A44018">
        <w:rPr>
          <w:rFonts w:ascii="Calibri" w:eastAsia="Calibri" w:hAnsi="Calibri"/>
          <w:color w:val="00000A"/>
          <w:sz w:val="24"/>
          <w:szCs w:val="24"/>
        </w:rPr>
        <w:t>has</w:t>
      </w:r>
      <w:proofErr w:type="gramEnd"/>
      <w:r w:rsidRPr="00A44018">
        <w:rPr>
          <w:rFonts w:ascii="Calibri" w:eastAsia="Calibri" w:hAnsi="Calibri"/>
          <w:color w:val="00000A"/>
          <w:sz w:val="24"/>
          <w:szCs w:val="24"/>
        </w:rPr>
        <w:t xml:space="preserve"> always been a priority in youth work, and now more than ever it needs to be firmly in focus as an element of safeguarding.</w:t>
      </w:r>
    </w:p>
    <w:p w14:paraId="3952DCDB" w14:textId="77777777" w:rsidR="00A44018" w:rsidRPr="00A44018" w:rsidRDefault="00A44018" w:rsidP="00A44018">
      <w:pPr>
        <w:keepNext/>
        <w:keepLines/>
        <w:spacing w:before="40" w:after="0" w:afterAutospacing="1" w:line="252" w:lineRule="auto"/>
        <w:outlineLvl w:val="1"/>
        <w:rPr>
          <w:rFonts w:asciiTheme="majorHAnsi" w:eastAsiaTheme="majorEastAsia" w:hAnsiTheme="majorHAnsi" w:cstheme="majorBidi"/>
          <w:color w:val="2F5496" w:themeColor="accent1" w:themeShade="BF"/>
          <w:sz w:val="26"/>
          <w:szCs w:val="26"/>
        </w:rPr>
      </w:pPr>
      <w:bookmarkStart w:id="10" w:name="_Toc76631143"/>
      <w:r w:rsidRPr="00A44018">
        <w:rPr>
          <w:rFonts w:asciiTheme="majorHAnsi" w:eastAsiaTheme="majorEastAsia" w:hAnsiTheme="majorHAnsi" w:cstheme="majorBidi"/>
          <w:color w:val="2F5496" w:themeColor="accent1" w:themeShade="BF"/>
          <w:sz w:val="26"/>
          <w:szCs w:val="26"/>
        </w:rPr>
        <w:t>2.5 Peer Influence</w:t>
      </w:r>
      <w:bookmarkEnd w:id="10"/>
    </w:p>
    <w:p w14:paraId="3AEF89E9" w14:textId="77777777" w:rsidR="00A44018" w:rsidRPr="00A44018" w:rsidRDefault="00A44018" w:rsidP="00A44018">
      <w:pPr>
        <w:spacing w:after="100" w:afterAutospacing="1" w:line="480" w:lineRule="auto"/>
        <w:jc w:val="both"/>
        <w:rPr>
          <w:rFonts w:ascii="Calibri" w:eastAsia="Calibri" w:hAnsi="Calibri"/>
          <w:color w:val="00000A"/>
          <w:sz w:val="24"/>
          <w:szCs w:val="24"/>
        </w:rPr>
      </w:pPr>
      <w:r w:rsidRPr="00A44018">
        <w:rPr>
          <w:rFonts w:ascii="Calibri" w:eastAsia="Calibri" w:hAnsi="Calibri"/>
          <w:color w:val="00000A"/>
          <w:sz w:val="24"/>
          <w:szCs w:val="24"/>
        </w:rPr>
        <w:t xml:space="preserve">It has been recognised for some time that adolescents’ decision-making and behaviour are influenced by their peers, whether through direct encouragement, subtle influencing or unconsciously (Brown and </w:t>
      </w:r>
      <w:proofErr w:type="spellStart"/>
      <w:r w:rsidRPr="00A44018">
        <w:rPr>
          <w:rFonts w:ascii="Calibri" w:eastAsia="Calibri" w:hAnsi="Calibri"/>
          <w:color w:val="00000A"/>
          <w:sz w:val="24"/>
          <w:szCs w:val="24"/>
        </w:rPr>
        <w:t>Anistranski</w:t>
      </w:r>
      <w:proofErr w:type="spellEnd"/>
      <w:r w:rsidRPr="00A44018">
        <w:rPr>
          <w:rFonts w:ascii="Calibri" w:eastAsia="Calibri" w:hAnsi="Calibri"/>
          <w:color w:val="00000A"/>
          <w:sz w:val="24"/>
          <w:szCs w:val="24"/>
        </w:rPr>
        <w:t xml:space="preserve"> Jr., 2020), and whereas peer influence has largely been explored in relation to detrimental behaviours, there are increasing numbers of studies that look at positive peer influence too (ibid., Maxwell, 2002).</w:t>
      </w:r>
    </w:p>
    <w:p w14:paraId="128A8D02" w14:textId="77777777" w:rsidR="00A44018" w:rsidRPr="00A44018" w:rsidRDefault="00A44018" w:rsidP="00A44018">
      <w:pPr>
        <w:spacing w:after="100" w:afterAutospacing="1" w:line="480" w:lineRule="auto"/>
        <w:jc w:val="both"/>
        <w:rPr>
          <w:rFonts w:ascii="Calibri" w:eastAsia="Calibri" w:hAnsi="Calibri"/>
          <w:color w:val="00000A"/>
          <w:sz w:val="24"/>
          <w:szCs w:val="24"/>
        </w:rPr>
      </w:pPr>
      <w:r w:rsidRPr="00A44018">
        <w:rPr>
          <w:rFonts w:ascii="Calibri" w:eastAsia="Calibri" w:hAnsi="Calibri"/>
          <w:color w:val="00000A"/>
          <w:sz w:val="24"/>
          <w:szCs w:val="24"/>
        </w:rPr>
        <w:t>Active peer influencing, or peer pressure, is when one young person takes an active role in changing another’s behaviour, whereas passive peer encouragement does not involve effort to effect the change and usually involves modelling or imitating behaviour that the peer then chooses to copy (</w:t>
      </w:r>
      <w:proofErr w:type="spellStart"/>
      <w:r w:rsidRPr="00A44018">
        <w:rPr>
          <w:rFonts w:ascii="Calibri" w:eastAsia="Calibri" w:hAnsi="Calibri"/>
          <w:color w:val="00000A"/>
          <w:sz w:val="24"/>
          <w:szCs w:val="24"/>
        </w:rPr>
        <w:t>Harakeh</w:t>
      </w:r>
      <w:proofErr w:type="spellEnd"/>
      <w:r w:rsidRPr="00A44018">
        <w:rPr>
          <w:rFonts w:ascii="Calibri" w:eastAsia="Calibri" w:hAnsi="Calibri"/>
          <w:color w:val="00000A"/>
          <w:sz w:val="24"/>
          <w:szCs w:val="24"/>
        </w:rPr>
        <w:t xml:space="preserve"> and de Boer, 2019).  Passive peer encouragement has been shown </w:t>
      </w:r>
      <w:r w:rsidRPr="00A44018">
        <w:rPr>
          <w:rFonts w:ascii="Calibri" w:eastAsia="Calibri" w:hAnsi="Calibri"/>
          <w:color w:val="00000A"/>
          <w:sz w:val="24"/>
          <w:szCs w:val="24"/>
        </w:rPr>
        <w:lastRenderedPageBreak/>
        <w:t>to have more influence over peers’ risk taking than active encouragement, and this applies to both boys and girls (ibid.).</w:t>
      </w:r>
    </w:p>
    <w:p w14:paraId="685045A3" w14:textId="77777777" w:rsidR="00A44018" w:rsidRPr="00A44018" w:rsidRDefault="00A44018" w:rsidP="00A44018">
      <w:pPr>
        <w:spacing w:after="100" w:afterAutospacing="1" w:line="480" w:lineRule="auto"/>
        <w:jc w:val="both"/>
        <w:rPr>
          <w:rFonts w:ascii="Calibri" w:eastAsia="Calibri" w:hAnsi="Calibri"/>
          <w:color w:val="00000A"/>
          <w:sz w:val="24"/>
          <w:szCs w:val="24"/>
        </w:rPr>
      </w:pPr>
      <w:r w:rsidRPr="00A44018">
        <w:rPr>
          <w:rFonts w:ascii="Calibri" w:eastAsia="Calibri" w:hAnsi="Calibri"/>
          <w:color w:val="00000A"/>
          <w:sz w:val="24"/>
          <w:szCs w:val="24"/>
        </w:rPr>
        <w:t>A relatively small Japanese study has recently revealed that if a young person believes that their own risk-taking activity might be disclosed to a peer, and they are told that peer is more risk-oriented than they are, there is a ‘peer effect’ that causes them to take a greater risk (</w:t>
      </w:r>
      <w:proofErr w:type="spellStart"/>
      <w:r w:rsidRPr="00A44018">
        <w:rPr>
          <w:rFonts w:ascii="Calibri" w:eastAsia="Calibri" w:hAnsi="Calibri"/>
          <w:color w:val="00000A"/>
          <w:sz w:val="24"/>
          <w:szCs w:val="24"/>
        </w:rPr>
        <w:t>Moriizumi</w:t>
      </w:r>
      <w:proofErr w:type="spellEnd"/>
      <w:r w:rsidRPr="00A44018">
        <w:rPr>
          <w:rFonts w:ascii="Calibri" w:eastAsia="Calibri" w:hAnsi="Calibri"/>
          <w:color w:val="00000A"/>
          <w:sz w:val="24"/>
          <w:szCs w:val="24"/>
        </w:rPr>
        <w:t xml:space="preserve"> and Usui, 2020, p131).  However, </w:t>
      </w:r>
      <w:proofErr w:type="spellStart"/>
      <w:r w:rsidRPr="00A44018">
        <w:rPr>
          <w:rFonts w:ascii="Calibri" w:eastAsia="Calibri" w:hAnsi="Calibri"/>
          <w:color w:val="00000A"/>
          <w:sz w:val="24"/>
          <w:szCs w:val="24"/>
        </w:rPr>
        <w:t>Tymula</w:t>
      </w:r>
      <w:proofErr w:type="spellEnd"/>
      <w:r w:rsidRPr="00A44018">
        <w:rPr>
          <w:rFonts w:ascii="Calibri" w:eastAsia="Calibri" w:hAnsi="Calibri"/>
          <w:color w:val="00000A"/>
          <w:sz w:val="24"/>
          <w:szCs w:val="24"/>
        </w:rPr>
        <w:t xml:space="preserve"> (2019) argues that observation by peers alters neither the underlying attitudes that young people have towards risk nor their risk-taking behaviour, rather it causes them to become more impatient and inconsistent, which leads to poorer decision making.</w:t>
      </w:r>
    </w:p>
    <w:p w14:paraId="6A8C7C18" w14:textId="77777777" w:rsidR="00A44018" w:rsidRPr="00A44018" w:rsidRDefault="00A44018" w:rsidP="00A44018">
      <w:pPr>
        <w:spacing w:after="100" w:afterAutospacing="1" w:line="480" w:lineRule="auto"/>
        <w:jc w:val="both"/>
        <w:rPr>
          <w:rFonts w:ascii="Calibri" w:eastAsia="Calibri" w:hAnsi="Calibri"/>
          <w:color w:val="00000A"/>
          <w:sz w:val="24"/>
          <w:szCs w:val="24"/>
        </w:rPr>
      </w:pPr>
      <w:r w:rsidRPr="00A44018">
        <w:rPr>
          <w:rFonts w:ascii="Calibri" w:eastAsia="Calibri" w:hAnsi="Calibri"/>
          <w:color w:val="00000A"/>
          <w:sz w:val="24"/>
          <w:szCs w:val="24"/>
        </w:rPr>
        <w:t xml:space="preserve">Examining peer selection and socialisation and substance use among adolescents, Kim-Spoon, </w:t>
      </w:r>
      <w:proofErr w:type="spellStart"/>
      <w:r w:rsidRPr="00A44018">
        <w:rPr>
          <w:rFonts w:ascii="Calibri" w:eastAsia="Calibri" w:hAnsi="Calibri"/>
          <w:color w:val="00000A"/>
          <w:sz w:val="24"/>
          <w:szCs w:val="24"/>
        </w:rPr>
        <w:t>Deater</w:t>
      </w:r>
      <w:proofErr w:type="spellEnd"/>
      <w:r w:rsidRPr="00A44018">
        <w:rPr>
          <w:rFonts w:ascii="Calibri" w:eastAsia="Calibri" w:hAnsi="Calibri"/>
          <w:color w:val="00000A"/>
          <w:sz w:val="24"/>
          <w:szCs w:val="24"/>
        </w:rPr>
        <w:t xml:space="preserve">-Deckard, </w:t>
      </w:r>
      <w:proofErr w:type="spellStart"/>
      <w:r w:rsidRPr="00A44018">
        <w:rPr>
          <w:rFonts w:ascii="Calibri" w:eastAsia="Calibri" w:hAnsi="Calibri"/>
          <w:color w:val="00000A"/>
          <w:sz w:val="24"/>
          <w:szCs w:val="24"/>
        </w:rPr>
        <w:t>Brieant</w:t>
      </w:r>
      <w:proofErr w:type="spellEnd"/>
      <w:r w:rsidRPr="00A44018">
        <w:rPr>
          <w:rFonts w:ascii="Calibri" w:eastAsia="Calibri" w:hAnsi="Calibri"/>
          <w:color w:val="00000A"/>
          <w:sz w:val="24"/>
          <w:szCs w:val="24"/>
        </w:rPr>
        <w:t xml:space="preserve">, </w:t>
      </w:r>
      <w:proofErr w:type="spellStart"/>
      <w:r w:rsidRPr="00A44018">
        <w:rPr>
          <w:rFonts w:ascii="Calibri" w:eastAsia="Calibri" w:hAnsi="Calibri"/>
          <w:color w:val="00000A"/>
          <w:sz w:val="24"/>
          <w:szCs w:val="24"/>
        </w:rPr>
        <w:t>Lauharatanahirun</w:t>
      </w:r>
      <w:proofErr w:type="spellEnd"/>
      <w:r w:rsidRPr="00A44018">
        <w:rPr>
          <w:rFonts w:ascii="Calibri" w:eastAsia="Calibri" w:hAnsi="Calibri"/>
          <w:color w:val="00000A"/>
          <w:sz w:val="24"/>
          <w:szCs w:val="24"/>
        </w:rPr>
        <w:t>, Lee and King-Casas (2019) point to a specific brain-behaviour mechanism that could be a biomarker for identifying young people who are especially susceptible to unhealthy peer influence.  This is described as ‘peer contagion’ (ibid., p1661), whereby a young person is influenced by a peer to their own detriment.  Even knowledge of a peer’s risky behaviour without observing it can predispose young people to take harmful risks, as is shown by Syed, Kingsbury, Bennett, Manion and Colman (2020) who studied the contagion effect of knowing that a friend had self-harmed.  They showed that this was associated with subsequent self-harm by the young person who was told, as well as suicidal ideation and attempt, and refer to the fact that 38% of young people who reported self-harm in an earlier study had got the idea from a self-harming peer.</w:t>
      </w:r>
    </w:p>
    <w:p w14:paraId="2A81848E" w14:textId="77777777" w:rsidR="00A44018" w:rsidRPr="00A44018" w:rsidRDefault="00A44018" w:rsidP="00A44018">
      <w:pPr>
        <w:spacing w:after="100" w:afterAutospacing="1" w:line="480" w:lineRule="auto"/>
        <w:jc w:val="both"/>
        <w:rPr>
          <w:rFonts w:ascii="Calibri" w:eastAsia="Calibri" w:hAnsi="Calibri"/>
          <w:color w:val="00000A"/>
          <w:sz w:val="24"/>
          <w:szCs w:val="24"/>
        </w:rPr>
      </w:pPr>
      <w:r w:rsidRPr="00A44018">
        <w:rPr>
          <w:rFonts w:ascii="Calibri" w:eastAsia="Calibri" w:hAnsi="Calibri"/>
          <w:color w:val="00000A"/>
          <w:sz w:val="24"/>
          <w:szCs w:val="24"/>
        </w:rPr>
        <w:t xml:space="preserve">Peer selection, or choosing who to be friends with, may not be a conscious decision, but it is seen that groups of friends often share similar characteristics and attitudes as well as </w:t>
      </w:r>
      <w:r w:rsidRPr="00A44018">
        <w:rPr>
          <w:rFonts w:ascii="Calibri" w:eastAsia="Calibri" w:hAnsi="Calibri"/>
          <w:color w:val="00000A"/>
          <w:sz w:val="24"/>
          <w:szCs w:val="24"/>
        </w:rPr>
        <w:lastRenderedPageBreak/>
        <w:t xml:space="preserve">vulnerabilities, and this is the ‘theory of assortative relating’ (Syed et al., p370) whereby we instinctively seek out friends who are like ourselves, and this can mean that vulnerable or risk-taking young people can form friendship groups (ibid.).  In their study into substance use in adolescence, </w:t>
      </w:r>
      <w:proofErr w:type="spellStart"/>
      <w:r w:rsidRPr="00A44018">
        <w:rPr>
          <w:rFonts w:ascii="Calibri" w:eastAsia="Calibri" w:hAnsi="Calibri"/>
          <w:color w:val="00000A"/>
          <w:sz w:val="24"/>
          <w:szCs w:val="24"/>
        </w:rPr>
        <w:t>Henneberger</w:t>
      </w:r>
      <w:proofErr w:type="spellEnd"/>
      <w:r w:rsidRPr="00A44018">
        <w:rPr>
          <w:rFonts w:ascii="Calibri" w:eastAsia="Calibri" w:hAnsi="Calibri"/>
          <w:color w:val="00000A"/>
          <w:sz w:val="24"/>
          <w:szCs w:val="24"/>
        </w:rPr>
        <w:t xml:space="preserve"> and </w:t>
      </w:r>
      <w:proofErr w:type="spellStart"/>
      <w:r w:rsidRPr="00A44018">
        <w:rPr>
          <w:rFonts w:ascii="Calibri" w:eastAsia="Calibri" w:hAnsi="Calibri"/>
          <w:color w:val="00000A"/>
          <w:sz w:val="24"/>
          <w:szCs w:val="24"/>
        </w:rPr>
        <w:t>Mushonga</w:t>
      </w:r>
      <w:proofErr w:type="spellEnd"/>
      <w:r w:rsidRPr="00A44018">
        <w:rPr>
          <w:rFonts w:ascii="Calibri" w:eastAsia="Calibri" w:hAnsi="Calibri"/>
          <w:color w:val="00000A"/>
          <w:sz w:val="24"/>
          <w:szCs w:val="24"/>
        </w:rPr>
        <w:t xml:space="preserve"> (2021) note that peer socialisation, the way in which friends influence each other’s behaviour, can lead to individuals taking up the risky behaviours of their friends in order to gain or retain approval and remain in the group.  They also note that ‘peer selection plays a unique role in the development of substance use during adolescence’ (ibid., para.22) and that it is usually based on behavioural similarity, although sometimes on popularity.  Programmes designed to prevent young people from using substances are most effective when they target peer selection, are interactive and encourage young people to reflect on and discuss, for example, how they select their friends, what makes a good friend, how friends and groups behave and the consequences of different behaviours (ibid.).</w:t>
      </w:r>
    </w:p>
    <w:p w14:paraId="45C6FB46" w14:textId="77777777" w:rsidR="00A44018" w:rsidRPr="00A44018" w:rsidRDefault="00A44018" w:rsidP="00A44018">
      <w:pPr>
        <w:spacing w:after="100" w:afterAutospacing="1" w:line="480" w:lineRule="auto"/>
        <w:jc w:val="both"/>
        <w:rPr>
          <w:rFonts w:ascii="Calibri" w:eastAsia="Calibri" w:hAnsi="Calibri"/>
          <w:color w:val="00000A"/>
          <w:sz w:val="24"/>
          <w:szCs w:val="24"/>
        </w:rPr>
      </w:pPr>
      <w:r w:rsidRPr="00A44018">
        <w:rPr>
          <w:rFonts w:ascii="Calibri" w:eastAsia="Calibri" w:hAnsi="Calibri"/>
          <w:color w:val="00000A"/>
          <w:sz w:val="24"/>
          <w:szCs w:val="24"/>
        </w:rPr>
        <w:t xml:space="preserve">Even peer presence can alter behaviour.  In an fMRI study of risky driving amongst male adolescents, </w:t>
      </w:r>
      <w:proofErr w:type="spellStart"/>
      <w:r w:rsidRPr="00A44018">
        <w:rPr>
          <w:rFonts w:ascii="Calibri" w:eastAsia="Calibri" w:hAnsi="Calibri"/>
          <w:color w:val="00000A"/>
          <w:sz w:val="24"/>
          <w:szCs w:val="24"/>
        </w:rPr>
        <w:t>Vorobyev</w:t>
      </w:r>
      <w:proofErr w:type="spellEnd"/>
      <w:r w:rsidRPr="00A44018">
        <w:rPr>
          <w:rFonts w:ascii="Calibri" w:eastAsia="Calibri" w:hAnsi="Calibri"/>
          <w:color w:val="00000A"/>
          <w:sz w:val="24"/>
          <w:szCs w:val="24"/>
        </w:rPr>
        <w:t xml:space="preserve">, Kwon, Moe, </w:t>
      </w:r>
      <w:proofErr w:type="spellStart"/>
      <w:r w:rsidRPr="00A44018">
        <w:rPr>
          <w:rFonts w:ascii="Calibri" w:eastAsia="Calibri" w:hAnsi="Calibri"/>
          <w:color w:val="00000A"/>
          <w:sz w:val="24"/>
          <w:szCs w:val="24"/>
        </w:rPr>
        <w:t>Parkkola</w:t>
      </w:r>
      <w:proofErr w:type="spellEnd"/>
      <w:r w:rsidRPr="00A44018">
        <w:rPr>
          <w:rFonts w:ascii="Calibri" w:eastAsia="Calibri" w:hAnsi="Calibri"/>
          <w:color w:val="00000A"/>
          <w:sz w:val="24"/>
          <w:szCs w:val="24"/>
        </w:rPr>
        <w:t xml:space="preserve"> and </w:t>
      </w:r>
      <w:proofErr w:type="spellStart"/>
      <w:r w:rsidRPr="00A44018">
        <w:rPr>
          <w:rFonts w:ascii="Calibri" w:eastAsia="Calibri" w:hAnsi="Calibri"/>
          <w:color w:val="00000A"/>
          <w:sz w:val="24"/>
          <w:szCs w:val="24"/>
        </w:rPr>
        <w:t>Hamalainen</w:t>
      </w:r>
      <w:proofErr w:type="spellEnd"/>
      <w:r w:rsidRPr="00A44018">
        <w:rPr>
          <w:rFonts w:ascii="Calibri" w:eastAsia="Calibri" w:hAnsi="Calibri"/>
          <w:color w:val="00000A"/>
          <w:sz w:val="24"/>
          <w:szCs w:val="24"/>
        </w:rPr>
        <w:t xml:space="preserve"> (2015) identified brain areas that were activated during risky (stop or go) decisions at simulated crossroads with traffic lights and observed increased reward processing when subjects were competing in the risky driving simulation against their peers.  A similar ‘stoplight’ test was used by Defoe, </w:t>
      </w:r>
      <w:proofErr w:type="spellStart"/>
      <w:r w:rsidRPr="00A44018">
        <w:rPr>
          <w:rFonts w:ascii="Calibri" w:eastAsia="Calibri" w:hAnsi="Calibri"/>
          <w:color w:val="00000A"/>
          <w:sz w:val="24"/>
          <w:szCs w:val="24"/>
        </w:rPr>
        <w:t>Dubas</w:t>
      </w:r>
      <w:proofErr w:type="spellEnd"/>
      <w:r w:rsidRPr="00A44018">
        <w:rPr>
          <w:rFonts w:ascii="Calibri" w:eastAsia="Calibri" w:hAnsi="Calibri"/>
          <w:color w:val="00000A"/>
          <w:sz w:val="24"/>
          <w:szCs w:val="24"/>
        </w:rPr>
        <w:t xml:space="preserve">, </w:t>
      </w:r>
      <w:proofErr w:type="spellStart"/>
      <w:r w:rsidRPr="00A44018">
        <w:rPr>
          <w:rFonts w:ascii="Calibri" w:eastAsia="Calibri" w:hAnsi="Calibri"/>
          <w:color w:val="00000A"/>
          <w:sz w:val="24"/>
          <w:szCs w:val="24"/>
        </w:rPr>
        <w:t>Dalmaijer</w:t>
      </w:r>
      <w:proofErr w:type="spellEnd"/>
      <w:r w:rsidRPr="00A44018">
        <w:rPr>
          <w:rFonts w:ascii="Calibri" w:eastAsia="Calibri" w:hAnsi="Calibri"/>
          <w:color w:val="00000A"/>
          <w:sz w:val="24"/>
          <w:szCs w:val="24"/>
        </w:rPr>
        <w:t xml:space="preserve"> and van </w:t>
      </w:r>
      <w:proofErr w:type="spellStart"/>
      <w:r w:rsidRPr="00A44018">
        <w:rPr>
          <w:rFonts w:ascii="Calibri" w:eastAsia="Calibri" w:hAnsi="Calibri"/>
          <w:color w:val="00000A"/>
          <w:sz w:val="24"/>
          <w:szCs w:val="24"/>
        </w:rPr>
        <w:t>Aken</w:t>
      </w:r>
      <w:proofErr w:type="spellEnd"/>
      <w:r w:rsidRPr="00A44018">
        <w:rPr>
          <w:rFonts w:ascii="Calibri" w:eastAsia="Calibri" w:hAnsi="Calibri"/>
          <w:color w:val="00000A"/>
          <w:sz w:val="24"/>
          <w:szCs w:val="24"/>
        </w:rPr>
        <w:t xml:space="preserve"> (2020) to assess risk-taking by gender and stage of adolescence.  They found that the stage of adolescence had no association with risk-taking, that boys and girls took equal risks, but that boys (only) took more risks when in the presence of two male peers and that this aligned with boys’ self-reported real world risk-taking in driving, alcohol use and delinquency, validating the laboratory task as a predictor of risky behaviour (ibid.).</w:t>
      </w:r>
    </w:p>
    <w:p w14:paraId="7DA29567" w14:textId="77777777" w:rsidR="00A44018" w:rsidRPr="00A44018" w:rsidRDefault="00A44018" w:rsidP="00A44018">
      <w:pPr>
        <w:spacing w:after="100" w:afterAutospacing="1" w:line="480" w:lineRule="auto"/>
        <w:jc w:val="both"/>
        <w:rPr>
          <w:rFonts w:ascii="Calibri" w:eastAsia="Calibri" w:hAnsi="Calibri"/>
          <w:color w:val="00000A"/>
          <w:sz w:val="24"/>
          <w:szCs w:val="24"/>
        </w:rPr>
      </w:pPr>
      <w:r w:rsidRPr="00A44018">
        <w:rPr>
          <w:rFonts w:ascii="Calibri" w:eastAsia="Calibri" w:hAnsi="Calibri"/>
          <w:color w:val="00000A"/>
          <w:sz w:val="24"/>
          <w:szCs w:val="24"/>
        </w:rPr>
        <w:lastRenderedPageBreak/>
        <w:t xml:space="preserve">Thus, peer selection and socialisation lead to some peer groups being more risk-oriented or more deviant than others.  Although not all young people who associate with risk-taking peers will experience negative outcomes, it has been shown that the earlier a young person is involved with a deviant group, and the more severe the deviance of that group, the more likely the young person is to experience substance use disorder as an outcome (Price, </w:t>
      </w:r>
      <w:proofErr w:type="spellStart"/>
      <w:r w:rsidRPr="00A44018">
        <w:rPr>
          <w:rFonts w:ascii="Calibri" w:eastAsia="Calibri" w:hAnsi="Calibri"/>
          <w:color w:val="00000A"/>
          <w:sz w:val="24"/>
          <w:szCs w:val="24"/>
        </w:rPr>
        <w:t>Drabick</w:t>
      </w:r>
      <w:proofErr w:type="spellEnd"/>
      <w:r w:rsidRPr="00A44018">
        <w:rPr>
          <w:rFonts w:ascii="Calibri" w:eastAsia="Calibri" w:hAnsi="Calibri"/>
          <w:color w:val="00000A"/>
          <w:sz w:val="24"/>
          <w:szCs w:val="24"/>
        </w:rPr>
        <w:t xml:space="preserve"> and Ridenour, 2019).  Problematic drug and alcohol use has also been linked with peer delinquency by </w:t>
      </w:r>
      <w:proofErr w:type="spellStart"/>
      <w:r w:rsidRPr="00A44018">
        <w:rPr>
          <w:rFonts w:ascii="Calibri" w:eastAsia="Calibri" w:hAnsi="Calibri"/>
          <w:color w:val="00000A"/>
          <w:sz w:val="24"/>
          <w:szCs w:val="24"/>
        </w:rPr>
        <w:t>Prins</w:t>
      </w:r>
      <w:proofErr w:type="spellEnd"/>
      <w:r w:rsidRPr="00A44018">
        <w:rPr>
          <w:rFonts w:ascii="Calibri" w:eastAsia="Calibri" w:hAnsi="Calibri"/>
          <w:color w:val="00000A"/>
          <w:sz w:val="24"/>
          <w:szCs w:val="24"/>
        </w:rPr>
        <w:t xml:space="preserve">, </w:t>
      </w:r>
      <w:proofErr w:type="spellStart"/>
      <w:r w:rsidRPr="00A44018">
        <w:rPr>
          <w:rFonts w:ascii="Calibri" w:eastAsia="Calibri" w:hAnsi="Calibri"/>
          <w:color w:val="00000A"/>
          <w:sz w:val="24"/>
          <w:szCs w:val="24"/>
        </w:rPr>
        <w:t>Kajeepeta</w:t>
      </w:r>
      <w:proofErr w:type="spellEnd"/>
      <w:r w:rsidRPr="00A44018">
        <w:rPr>
          <w:rFonts w:ascii="Calibri" w:eastAsia="Calibri" w:hAnsi="Calibri"/>
          <w:color w:val="00000A"/>
          <w:sz w:val="24"/>
          <w:szCs w:val="24"/>
        </w:rPr>
        <w:t xml:space="preserve">, Pearce, </w:t>
      </w:r>
      <w:proofErr w:type="spellStart"/>
      <w:r w:rsidRPr="00A44018">
        <w:rPr>
          <w:rFonts w:ascii="Calibri" w:eastAsia="Calibri" w:hAnsi="Calibri"/>
          <w:color w:val="00000A"/>
          <w:sz w:val="24"/>
          <w:szCs w:val="24"/>
        </w:rPr>
        <w:t>Beardslee</w:t>
      </w:r>
      <w:proofErr w:type="spellEnd"/>
      <w:r w:rsidRPr="00A44018">
        <w:rPr>
          <w:rFonts w:ascii="Calibri" w:eastAsia="Calibri" w:hAnsi="Calibri"/>
          <w:color w:val="00000A"/>
          <w:sz w:val="24"/>
          <w:szCs w:val="24"/>
        </w:rPr>
        <w:t xml:space="preserve">, </w:t>
      </w:r>
      <w:proofErr w:type="spellStart"/>
      <w:r w:rsidRPr="00A44018">
        <w:rPr>
          <w:rFonts w:ascii="Calibri" w:eastAsia="Calibri" w:hAnsi="Calibri"/>
          <w:color w:val="00000A"/>
          <w:sz w:val="24"/>
          <w:szCs w:val="24"/>
        </w:rPr>
        <w:t>Pardini</w:t>
      </w:r>
      <w:proofErr w:type="spellEnd"/>
      <w:r w:rsidRPr="00A44018">
        <w:rPr>
          <w:rFonts w:ascii="Calibri" w:eastAsia="Calibri" w:hAnsi="Calibri"/>
          <w:color w:val="00000A"/>
          <w:sz w:val="24"/>
          <w:szCs w:val="24"/>
        </w:rPr>
        <w:t xml:space="preserve"> and Cerda (2021) who reinforce the need to prevent or mitigate these risks in early adolescence, also noting that reduced supervision by parents and parental stress can exacerbate problems, that the strongest association between these risk factors occurs at ages 14-15, but that this does dissipate later.</w:t>
      </w:r>
    </w:p>
    <w:p w14:paraId="614A7C9D" w14:textId="77777777" w:rsidR="00A44018" w:rsidRPr="00A44018" w:rsidRDefault="00A44018" w:rsidP="00A44018">
      <w:pPr>
        <w:spacing w:after="100" w:afterAutospacing="1" w:line="480" w:lineRule="auto"/>
        <w:jc w:val="both"/>
        <w:rPr>
          <w:rFonts w:ascii="Calibri" w:eastAsia="Calibri" w:hAnsi="Calibri"/>
          <w:color w:val="00000A"/>
          <w:sz w:val="24"/>
          <w:szCs w:val="24"/>
        </w:rPr>
      </w:pPr>
      <w:r w:rsidRPr="00A44018">
        <w:rPr>
          <w:rFonts w:ascii="Calibri" w:eastAsia="Calibri" w:hAnsi="Calibri"/>
          <w:color w:val="00000A"/>
          <w:sz w:val="24"/>
          <w:szCs w:val="24"/>
        </w:rPr>
        <w:t>Echoing this are the results of a longitudinal study of young people aged 11-18 (</w:t>
      </w:r>
      <w:proofErr w:type="spellStart"/>
      <w:r w:rsidRPr="00A44018">
        <w:rPr>
          <w:rFonts w:ascii="Calibri" w:eastAsia="Calibri" w:hAnsi="Calibri"/>
          <w:color w:val="00000A"/>
          <w:sz w:val="24"/>
          <w:szCs w:val="24"/>
        </w:rPr>
        <w:t>Mak</w:t>
      </w:r>
      <w:proofErr w:type="spellEnd"/>
      <w:r w:rsidRPr="00A44018">
        <w:rPr>
          <w:rFonts w:ascii="Calibri" w:eastAsia="Calibri" w:hAnsi="Calibri"/>
          <w:color w:val="00000A"/>
          <w:sz w:val="24"/>
          <w:szCs w:val="24"/>
        </w:rPr>
        <w:t xml:space="preserve">, Russell, Lanza, Feinberg and </w:t>
      </w:r>
      <w:proofErr w:type="spellStart"/>
      <w:r w:rsidRPr="00A44018">
        <w:rPr>
          <w:rFonts w:ascii="Calibri" w:eastAsia="Calibri" w:hAnsi="Calibri"/>
          <w:color w:val="00000A"/>
          <w:sz w:val="24"/>
          <w:szCs w:val="24"/>
        </w:rPr>
        <w:t>Fosco</w:t>
      </w:r>
      <w:proofErr w:type="spellEnd"/>
      <w:r w:rsidRPr="00A44018">
        <w:rPr>
          <w:rFonts w:ascii="Calibri" w:eastAsia="Calibri" w:hAnsi="Calibri"/>
          <w:color w:val="00000A"/>
          <w:sz w:val="24"/>
          <w:szCs w:val="24"/>
        </w:rPr>
        <w:t>, 2020) which found that lower parental supervision and engagement with antisocial peers were associated with adolescent smoking, drunkenness and drug use, again showing that risk factors did reduce over time, but that the association between antisocial peers and drug use did not.  Parent and peer interventions during early adolescence are once more emphasised (ibid.).</w:t>
      </w:r>
    </w:p>
    <w:p w14:paraId="019B77F8" w14:textId="77777777" w:rsidR="00A44018" w:rsidRPr="00A44018" w:rsidRDefault="00A44018" w:rsidP="00A44018">
      <w:pPr>
        <w:spacing w:after="100" w:afterAutospacing="1" w:line="480" w:lineRule="auto"/>
        <w:jc w:val="both"/>
        <w:rPr>
          <w:rFonts w:ascii="Calibri" w:eastAsia="Calibri" w:hAnsi="Calibri"/>
          <w:color w:val="00000A"/>
          <w:sz w:val="24"/>
          <w:szCs w:val="24"/>
        </w:rPr>
      </w:pPr>
      <w:r w:rsidRPr="00A44018">
        <w:rPr>
          <w:rFonts w:ascii="Calibri" w:eastAsia="Calibri" w:hAnsi="Calibri"/>
          <w:color w:val="00000A"/>
          <w:sz w:val="24"/>
          <w:szCs w:val="24"/>
        </w:rPr>
        <w:t xml:space="preserve">Young people who are depressed engage in more substance use than others and do this with their peers (Mason, </w:t>
      </w:r>
      <w:proofErr w:type="spellStart"/>
      <w:r w:rsidRPr="00A44018">
        <w:rPr>
          <w:rFonts w:ascii="Calibri" w:eastAsia="Calibri" w:hAnsi="Calibri"/>
          <w:color w:val="00000A"/>
          <w:sz w:val="24"/>
          <w:szCs w:val="24"/>
        </w:rPr>
        <w:t>Mennis</w:t>
      </w:r>
      <w:proofErr w:type="spellEnd"/>
      <w:r w:rsidRPr="00A44018">
        <w:rPr>
          <w:rFonts w:ascii="Calibri" w:eastAsia="Calibri" w:hAnsi="Calibri"/>
          <w:color w:val="00000A"/>
          <w:sz w:val="24"/>
          <w:szCs w:val="24"/>
        </w:rPr>
        <w:t xml:space="preserve">, Russell, Moore and Brown, 2019).  The likelihood of them using substances increases fourfold if their peers do the same (ibid.).  However, a healthy peer group where friends help each other and talk through problems is protective and can reduce the risk for substance use by three times (ibid.).  The ability to resist peer pressure to drink is also protective, and this is related to self-confidence when interacting with peers, being able </w:t>
      </w:r>
      <w:r w:rsidRPr="00A44018">
        <w:rPr>
          <w:rFonts w:ascii="Calibri" w:eastAsia="Calibri" w:hAnsi="Calibri"/>
          <w:color w:val="00000A"/>
          <w:sz w:val="24"/>
          <w:szCs w:val="24"/>
        </w:rPr>
        <w:lastRenderedPageBreak/>
        <w:t>to understand alternative points of view and empathy, all of which should be addressed early in adolescence (</w:t>
      </w:r>
      <w:proofErr w:type="spellStart"/>
      <w:r w:rsidRPr="00A44018">
        <w:rPr>
          <w:rFonts w:ascii="Calibri" w:eastAsia="Calibri" w:hAnsi="Calibri"/>
          <w:color w:val="00000A"/>
          <w:sz w:val="24"/>
          <w:szCs w:val="24"/>
        </w:rPr>
        <w:t>Laghi</w:t>
      </w:r>
      <w:proofErr w:type="spellEnd"/>
      <w:r w:rsidRPr="00A44018">
        <w:rPr>
          <w:rFonts w:ascii="Calibri" w:eastAsia="Calibri" w:hAnsi="Calibri"/>
          <w:color w:val="00000A"/>
          <w:sz w:val="24"/>
          <w:szCs w:val="24"/>
        </w:rPr>
        <w:t xml:space="preserve">, Bianchi, </w:t>
      </w:r>
      <w:proofErr w:type="spellStart"/>
      <w:r w:rsidRPr="00A44018">
        <w:rPr>
          <w:rFonts w:ascii="Calibri" w:eastAsia="Calibri" w:hAnsi="Calibri"/>
          <w:color w:val="00000A"/>
          <w:sz w:val="24"/>
          <w:szCs w:val="24"/>
        </w:rPr>
        <w:t>Pompili</w:t>
      </w:r>
      <w:proofErr w:type="spellEnd"/>
      <w:r w:rsidRPr="00A44018">
        <w:rPr>
          <w:rFonts w:ascii="Calibri" w:eastAsia="Calibri" w:hAnsi="Calibri"/>
          <w:color w:val="00000A"/>
          <w:sz w:val="24"/>
          <w:szCs w:val="24"/>
        </w:rPr>
        <w:t xml:space="preserve">, </w:t>
      </w:r>
      <w:proofErr w:type="spellStart"/>
      <w:r w:rsidRPr="00A44018">
        <w:rPr>
          <w:rFonts w:ascii="Calibri" w:eastAsia="Calibri" w:hAnsi="Calibri"/>
          <w:color w:val="00000A"/>
          <w:sz w:val="24"/>
          <w:szCs w:val="24"/>
        </w:rPr>
        <w:t>Lonigro</w:t>
      </w:r>
      <w:proofErr w:type="spellEnd"/>
      <w:r w:rsidRPr="00A44018">
        <w:rPr>
          <w:rFonts w:ascii="Calibri" w:eastAsia="Calibri" w:hAnsi="Calibri"/>
          <w:color w:val="00000A"/>
          <w:sz w:val="24"/>
          <w:szCs w:val="24"/>
        </w:rPr>
        <w:t xml:space="preserve"> and Baiocco, 2019).</w:t>
      </w:r>
    </w:p>
    <w:p w14:paraId="44560BE8" w14:textId="77777777" w:rsidR="00A44018" w:rsidRPr="00A44018" w:rsidRDefault="00A44018" w:rsidP="00A44018">
      <w:pPr>
        <w:spacing w:after="100" w:afterAutospacing="1" w:line="480" w:lineRule="auto"/>
        <w:jc w:val="both"/>
        <w:rPr>
          <w:rFonts w:ascii="Calibri" w:eastAsia="Calibri" w:hAnsi="Calibri"/>
          <w:color w:val="00000A"/>
          <w:sz w:val="24"/>
          <w:szCs w:val="24"/>
        </w:rPr>
      </w:pPr>
      <w:r w:rsidRPr="00A44018">
        <w:rPr>
          <w:rFonts w:ascii="Calibri" w:eastAsia="Calibri" w:hAnsi="Calibri"/>
          <w:color w:val="00000A"/>
          <w:sz w:val="24"/>
          <w:szCs w:val="24"/>
        </w:rPr>
        <w:t xml:space="preserve">Other risky and harmful behaviours such as bullying and peer victimisation need examination as they have a bi-directional relationship with adolescent anxiety and depression (Forbes, Fitzpatrick, </w:t>
      </w:r>
      <w:proofErr w:type="spellStart"/>
      <w:r w:rsidRPr="00A44018">
        <w:rPr>
          <w:rFonts w:ascii="Calibri" w:eastAsia="Calibri" w:hAnsi="Calibri"/>
          <w:color w:val="00000A"/>
          <w:sz w:val="24"/>
          <w:szCs w:val="24"/>
        </w:rPr>
        <w:t>Magson</w:t>
      </w:r>
      <w:proofErr w:type="spellEnd"/>
      <w:r w:rsidRPr="00A44018">
        <w:rPr>
          <w:rFonts w:ascii="Calibri" w:eastAsia="Calibri" w:hAnsi="Calibri"/>
          <w:color w:val="00000A"/>
          <w:sz w:val="24"/>
          <w:szCs w:val="24"/>
        </w:rPr>
        <w:t xml:space="preserve"> and </w:t>
      </w:r>
      <w:proofErr w:type="spellStart"/>
      <w:r w:rsidRPr="00A44018">
        <w:rPr>
          <w:rFonts w:ascii="Calibri" w:eastAsia="Calibri" w:hAnsi="Calibri"/>
          <w:color w:val="00000A"/>
          <w:sz w:val="24"/>
          <w:szCs w:val="24"/>
        </w:rPr>
        <w:t>Rapee</w:t>
      </w:r>
      <w:proofErr w:type="spellEnd"/>
      <w:r w:rsidRPr="00A44018">
        <w:rPr>
          <w:rFonts w:ascii="Calibri" w:eastAsia="Calibri" w:hAnsi="Calibri"/>
          <w:color w:val="00000A"/>
          <w:sz w:val="24"/>
          <w:szCs w:val="24"/>
        </w:rPr>
        <w:t>, 2019).  Bullying is seen to peak in early adolescence at ages 11-14, coinciding with the formation of new friendship groups following school transition, and internalising symptoms are both antecedents and consequences of it (ibid.).  Peer victimisation also has long term consequences for victims, with 15% of them having a diagnosis of depression at age 18 (Armitage, Wang, Davis, Bowes and Haworth, 2021) and experiencing significantly worse wellbeing at age 23 (ibid.).  Mental health support for victims is called for as is research into why some adolescents are more resilient in the face of bullying than others (ibid.).</w:t>
      </w:r>
    </w:p>
    <w:p w14:paraId="3413A092" w14:textId="77777777" w:rsidR="00A44018" w:rsidRPr="00A44018" w:rsidRDefault="00A44018" w:rsidP="00A44018">
      <w:pPr>
        <w:spacing w:after="100" w:afterAutospacing="1" w:line="480" w:lineRule="auto"/>
        <w:jc w:val="both"/>
        <w:rPr>
          <w:rFonts w:ascii="Calibri" w:eastAsia="Calibri" w:hAnsi="Calibri"/>
          <w:color w:val="00000A"/>
          <w:sz w:val="24"/>
          <w:szCs w:val="24"/>
        </w:rPr>
      </w:pPr>
      <w:r w:rsidRPr="00A44018">
        <w:rPr>
          <w:rFonts w:ascii="Calibri" w:eastAsia="Calibri" w:hAnsi="Calibri"/>
          <w:color w:val="00000A"/>
          <w:sz w:val="24"/>
          <w:szCs w:val="24"/>
        </w:rPr>
        <w:t>It seems that bullies of both sexes are more risk-oriented than their non-bullying peers and that they are either more sensitive to reward or less sensitive to punishment too (</w:t>
      </w:r>
      <w:proofErr w:type="spellStart"/>
      <w:r w:rsidRPr="00A44018">
        <w:rPr>
          <w:rFonts w:ascii="Calibri" w:eastAsia="Calibri" w:hAnsi="Calibri"/>
          <w:color w:val="00000A"/>
          <w:sz w:val="24"/>
          <w:szCs w:val="24"/>
        </w:rPr>
        <w:t>Flouri</w:t>
      </w:r>
      <w:proofErr w:type="spellEnd"/>
      <w:r w:rsidRPr="00A44018">
        <w:rPr>
          <w:rFonts w:ascii="Calibri" w:eastAsia="Calibri" w:hAnsi="Calibri"/>
          <w:color w:val="00000A"/>
          <w:sz w:val="24"/>
          <w:szCs w:val="24"/>
        </w:rPr>
        <w:t xml:space="preserve"> and </w:t>
      </w:r>
      <w:proofErr w:type="spellStart"/>
      <w:r w:rsidRPr="00A44018">
        <w:rPr>
          <w:rFonts w:ascii="Calibri" w:eastAsia="Calibri" w:hAnsi="Calibri"/>
          <w:color w:val="00000A"/>
          <w:sz w:val="24"/>
          <w:szCs w:val="24"/>
        </w:rPr>
        <w:t>Papachristou</w:t>
      </w:r>
      <w:proofErr w:type="spellEnd"/>
      <w:r w:rsidRPr="00A44018">
        <w:rPr>
          <w:rFonts w:ascii="Calibri" w:eastAsia="Calibri" w:hAnsi="Calibri"/>
          <w:color w:val="00000A"/>
          <w:sz w:val="24"/>
          <w:szCs w:val="24"/>
        </w:rPr>
        <w:t>, 2019).  Bullying can be seen as strategic behaviour, in that taking opportunities to dominate victims must be balanced against the potential loss of important friends, and of note is the fact that male bullies, but not female bullies, improve their strategic decision-making skill over time (ibid.).</w:t>
      </w:r>
    </w:p>
    <w:p w14:paraId="7003C572" w14:textId="77777777" w:rsidR="00A44018" w:rsidRPr="00A44018" w:rsidRDefault="00A44018" w:rsidP="00A44018">
      <w:pPr>
        <w:spacing w:after="100" w:afterAutospacing="1" w:line="480" w:lineRule="auto"/>
        <w:jc w:val="both"/>
        <w:rPr>
          <w:rFonts w:ascii="Calibri" w:eastAsia="Calibri" w:hAnsi="Calibri"/>
          <w:color w:val="00000A"/>
          <w:sz w:val="24"/>
          <w:szCs w:val="24"/>
        </w:rPr>
      </w:pPr>
      <w:r w:rsidRPr="00A44018">
        <w:rPr>
          <w:rFonts w:ascii="Calibri" w:eastAsia="Calibri" w:hAnsi="Calibri"/>
          <w:color w:val="00000A"/>
          <w:sz w:val="24"/>
          <w:szCs w:val="24"/>
        </w:rPr>
        <w:t>Peer aggression also takes place online and it has been shown that adolescent victims of cyber-bullying are also likely to be bullied in person, although not all victims of traditional bullying are also bullied online (</w:t>
      </w:r>
      <w:proofErr w:type="spellStart"/>
      <w:r w:rsidRPr="00A44018">
        <w:rPr>
          <w:rFonts w:ascii="Calibri" w:eastAsia="Calibri" w:hAnsi="Calibri"/>
          <w:color w:val="00000A"/>
          <w:sz w:val="24"/>
          <w:szCs w:val="24"/>
        </w:rPr>
        <w:t>Viau</w:t>
      </w:r>
      <w:proofErr w:type="spellEnd"/>
      <w:r w:rsidRPr="00A44018">
        <w:rPr>
          <w:rFonts w:ascii="Calibri" w:eastAsia="Calibri" w:hAnsi="Calibri"/>
          <w:color w:val="00000A"/>
          <w:sz w:val="24"/>
          <w:szCs w:val="24"/>
        </w:rPr>
        <w:t xml:space="preserve">, </w:t>
      </w:r>
      <w:proofErr w:type="spellStart"/>
      <w:r w:rsidRPr="00A44018">
        <w:rPr>
          <w:rFonts w:ascii="Calibri" w:eastAsia="Calibri" w:hAnsi="Calibri"/>
          <w:color w:val="00000A"/>
          <w:sz w:val="24"/>
          <w:szCs w:val="24"/>
        </w:rPr>
        <w:t>Denault</w:t>
      </w:r>
      <w:proofErr w:type="spellEnd"/>
      <w:r w:rsidRPr="00A44018">
        <w:rPr>
          <w:rFonts w:ascii="Calibri" w:eastAsia="Calibri" w:hAnsi="Calibri"/>
          <w:color w:val="00000A"/>
          <w:sz w:val="24"/>
          <w:szCs w:val="24"/>
        </w:rPr>
        <w:t xml:space="preserve">, Dionne, </w:t>
      </w:r>
      <w:proofErr w:type="spellStart"/>
      <w:r w:rsidRPr="00A44018">
        <w:rPr>
          <w:rFonts w:ascii="Calibri" w:eastAsia="Calibri" w:hAnsi="Calibri"/>
          <w:color w:val="00000A"/>
          <w:sz w:val="24"/>
          <w:szCs w:val="24"/>
        </w:rPr>
        <w:t>Brendgen</w:t>
      </w:r>
      <w:proofErr w:type="spellEnd"/>
      <w:r w:rsidRPr="00A44018">
        <w:rPr>
          <w:rFonts w:ascii="Calibri" w:eastAsia="Calibri" w:hAnsi="Calibri"/>
          <w:color w:val="00000A"/>
          <w:sz w:val="24"/>
          <w:szCs w:val="24"/>
        </w:rPr>
        <w:t xml:space="preserve">, Geoffroy, Cote, Larose, </w:t>
      </w:r>
      <w:proofErr w:type="spellStart"/>
      <w:r w:rsidRPr="00A44018">
        <w:rPr>
          <w:rFonts w:ascii="Calibri" w:eastAsia="Calibri" w:hAnsi="Calibri"/>
          <w:color w:val="00000A"/>
          <w:sz w:val="24"/>
          <w:szCs w:val="24"/>
        </w:rPr>
        <w:t>Vitaro</w:t>
      </w:r>
      <w:proofErr w:type="spellEnd"/>
      <w:r w:rsidRPr="00A44018">
        <w:rPr>
          <w:rFonts w:ascii="Calibri" w:eastAsia="Calibri" w:hAnsi="Calibri"/>
          <w:color w:val="00000A"/>
          <w:sz w:val="24"/>
          <w:szCs w:val="24"/>
        </w:rPr>
        <w:t xml:space="preserve">, Tremblay and Boivin, 2020).  Although cyber-victimisation is less common than </w:t>
      </w:r>
      <w:r w:rsidRPr="00A44018">
        <w:rPr>
          <w:rFonts w:ascii="Calibri" w:eastAsia="Calibri" w:hAnsi="Calibri"/>
          <w:color w:val="00000A"/>
          <w:sz w:val="24"/>
          <w:szCs w:val="24"/>
        </w:rPr>
        <w:lastRenderedPageBreak/>
        <w:t xml:space="preserve">traditional bullying (estimated at 15% versus 36%), the two do tend to co-occur, and even though online victimisation tends to decrease over time, in person bullying tends to remain moderate but chronic for some teenagers and the consequences of both can be devastating (ibid.).  Being male, having both internalising and externalising problems, having a poor relationship with parents and a negative view of school all increase the likelihood of being a victim of peer aggression (ibid.). </w:t>
      </w:r>
    </w:p>
    <w:p w14:paraId="5BBAA065" w14:textId="77777777" w:rsidR="00A44018" w:rsidRPr="00A44018" w:rsidRDefault="00A44018" w:rsidP="00A44018">
      <w:pPr>
        <w:spacing w:after="100" w:afterAutospacing="1" w:line="480" w:lineRule="auto"/>
        <w:jc w:val="both"/>
        <w:rPr>
          <w:rFonts w:ascii="Calibri" w:eastAsia="Calibri" w:hAnsi="Calibri"/>
          <w:color w:val="00000A"/>
          <w:sz w:val="24"/>
          <w:szCs w:val="24"/>
        </w:rPr>
      </w:pPr>
      <w:r w:rsidRPr="00A44018">
        <w:rPr>
          <w:rFonts w:ascii="Calibri" w:eastAsia="Calibri" w:hAnsi="Calibri"/>
          <w:color w:val="00000A"/>
          <w:sz w:val="24"/>
          <w:szCs w:val="24"/>
        </w:rPr>
        <w:t xml:space="preserve">There is a huge body of research into peer influence on risky adolescent behaviours; this ranges from crossing the road safely alone compared to with friends (O’Neal, Jian, Brown, Kearney and </w:t>
      </w:r>
      <w:proofErr w:type="spellStart"/>
      <w:r w:rsidRPr="00A44018">
        <w:rPr>
          <w:rFonts w:ascii="Calibri" w:eastAsia="Calibri" w:hAnsi="Calibri"/>
          <w:color w:val="00000A"/>
          <w:sz w:val="24"/>
          <w:szCs w:val="24"/>
        </w:rPr>
        <w:t>Plumert</w:t>
      </w:r>
      <w:proofErr w:type="spellEnd"/>
      <w:r w:rsidRPr="00A44018">
        <w:rPr>
          <w:rFonts w:ascii="Calibri" w:eastAsia="Calibri" w:hAnsi="Calibri"/>
          <w:color w:val="00000A"/>
          <w:sz w:val="24"/>
          <w:szCs w:val="24"/>
        </w:rPr>
        <w:t xml:space="preserve">, 2019, </w:t>
      </w:r>
      <w:proofErr w:type="spellStart"/>
      <w:r w:rsidRPr="00A44018">
        <w:rPr>
          <w:rFonts w:ascii="Calibri" w:eastAsia="Calibri" w:hAnsi="Calibri"/>
          <w:color w:val="00000A"/>
          <w:sz w:val="24"/>
          <w:szCs w:val="24"/>
        </w:rPr>
        <w:t>Baltruschat</w:t>
      </w:r>
      <w:proofErr w:type="spellEnd"/>
      <w:r w:rsidRPr="00A44018">
        <w:rPr>
          <w:rFonts w:ascii="Calibri" w:eastAsia="Calibri" w:hAnsi="Calibri"/>
          <w:color w:val="00000A"/>
          <w:sz w:val="24"/>
          <w:szCs w:val="24"/>
        </w:rPr>
        <w:t xml:space="preserve">, </w:t>
      </w:r>
      <w:proofErr w:type="spellStart"/>
      <w:r w:rsidRPr="00A44018">
        <w:rPr>
          <w:rFonts w:ascii="Calibri" w:eastAsia="Calibri" w:hAnsi="Calibri"/>
          <w:color w:val="00000A"/>
          <w:sz w:val="24"/>
          <w:szCs w:val="24"/>
        </w:rPr>
        <w:t>Megias</w:t>
      </w:r>
      <w:proofErr w:type="spellEnd"/>
      <w:r w:rsidRPr="00A44018">
        <w:rPr>
          <w:rFonts w:ascii="Calibri" w:eastAsia="Calibri" w:hAnsi="Calibri"/>
          <w:color w:val="00000A"/>
          <w:sz w:val="24"/>
          <w:szCs w:val="24"/>
        </w:rPr>
        <w:t>-Robles, Candido, Maldonado and Catena, 2021) to early sexual behaviour (</w:t>
      </w:r>
      <w:proofErr w:type="spellStart"/>
      <w:r w:rsidRPr="00A44018">
        <w:rPr>
          <w:rFonts w:ascii="Calibri" w:eastAsia="Calibri" w:hAnsi="Calibri"/>
          <w:color w:val="00000A"/>
          <w:sz w:val="24"/>
          <w:szCs w:val="24"/>
        </w:rPr>
        <w:t>Wesche</w:t>
      </w:r>
      <w:proofErr w:type="spellEnd"/>
      <w:r w:rsidRPr="00A44018">
        <w:rPr>
          <w:rFonts w:ascii="Calibri" w:eastAsia="Calibri" w:hAnsi="Calibri"/>
          <w:color w:val="00000A"/>
          <w:sz w:val="24"/>
          <w:szCs w:val="24"/>
        </w:rPr>
        <w:t xml:space="preserve">, </w:t>
      </w:r>
      <w:proofErr w:type="spellStart"/>
      <w:r w:rsidRPr="00A44018">
        <w:rPr>
          <w:rFonts w:ascii="Calibri" w:eastAsia="Calibri" w:hAnsi="Calibri"/>
          <w:color w:val="00000A"/>
          <w:sz w:val="24"/>
          <w:szCs w:val="24"/>
        </w:rPr>
        <w:t>Kreager</w:t>
      </w:r>
      <w:proofErr w:type="spellEnd"/>
      <w:r w:rsidRPr="00A44018">
        <w:rPr>
          <w:rFonts w:ascii="Calibri" w:eastAsia="Calibri" w:hAnsi="Calibri"/>
          <w:color w:val="00000A"/>
          <w:sz w:val="24"/>
          <w:szCs w:val="24"/>
        </w:rPr>
        <w:t xml:space="preserve">, Feinberg and Lefkowitz, 2019), how adverse childhood experiences can lead to selecting antisocial peers (Trinidad, 2021) and subsequently to developing antisocial personality disorder (Wojciechowski, 2019), to </w:t>
      </w:r>
      <w:proofErr w:type="spellStart"/>
      <w:r w:rsidRPr="00A44018">
        <w:rPr>
          <w:rFonts w:ascii="Calibri" w:eastAsia="Calibri" w:hAnsi="Calibri"/>
          <w:color w:val="00000A"/>
          <w:sz w:val="24"/>
          <w:szCs w:val="24"/>
        </w:rPr>
        <w:t>facebook</w:t>
      </w:r>
      <w:proofErr w:type="spellEnd"/>
      <w:r w:rsidRPr="00A44018">
        <w:rPr>
          <w:rFonts w:ascii="Calibri" w:eastAsia="Calibri" w:hAnsi="Calibri"/>
          <w:color w:val="00000A"/>
          <w:sz w:val="24"/>
          <w:szCs w:val="24"/>
        </w:rPr>
        <w:t xml:space="preserve"> addiction (</w:t>
      </w:r>
      <w:proofErr w:type="spellStart"/>
      <w:r w:rsidRPr="00A44018">
        <w:rPr>
          <w:rFonts w:ascii="Calibri" w:eastAsia="Calibri" w:hAnsi="Calibri"/>
          <w:color w:val="00000A"/>
          <w:sz w:val="24"/>
          <w:szCs w:val="24"/>
        </w:rPr>
        <w:t>Badenes</w:t>
      </w:r>
      <w:proofErr w:type="spellEnd"/>
      <w:r w:rsidRPr="00A44018">
        <w:rPr>
          <w:rFonts w:ascii="Calibri" w:eastAsia="Calibri" w:hAnsi="Calibri"/>
          <w:color w:val="00000A"/>
          <w:sz w:val="24"/>
          <w:szCs w:val="24"/>
        </w:rPr>
        <w:t xml:space="preserve">-Ribera, </w:t>
      </w:r>
      <w:proofErr w:type="spellStart"/>
      <w:r w:rsidRPr="00A44018">
        <w:rPr>
          <w:rFonts w:ascii="Calibri" w:eastAsia="Calibri" w:hAnsi="Calibri"/>
          <w:color w:val="00000A"/>
          <w:sz w:val="24"/>
          <w:szCs w:val="24"/>
        </w:rPr>
        <w:t>Fabris</w:t>
      </w:r>
      <w:proofErr w:type="spellEnd"/>
      <w:r w:rsidRPr="00A44018">
        <w:rPr>
          <w:rFonts w:ascii="Calibri" w:eastAsia="Calibri" w:hAnsi="Calibri"/>
          <w:color w:val="00000A"/>
          <w:sz w:val="24"/>
          <w:szCs w:val="24"/>
        </w:rPr>
        <w:t xml:space="preserve">, Gastaldi, </w:t>
      </w:r>
      <w:proofErr w:type="spellStart"/>
      <w:r w:rsidRPr="00A44018">
        <w:rPr>
          <w:rFonts w:ascii="Calibri" w:eastAsia="Calibri" w:hAnsi="Calibri"/>
          <w:color w:val="00000A"/>
          <w:sz w:val="24"/>
          <w:szCs w:val="24"/>
        </w:rPr>
        <w:t>Prino</w:t>
      </w:r>
      <w:proofErr w:type="spellEnd"/>
      <w:r w:rsidRPr="00A44018">
        <w:rPr>
          <w:rFonts w:ascii="Calibri" w:eastAsia="Calibri" w:hAnsi="Calibri"/>
          <w:color w:val="00000A"/>
          <w:sz w:val="24"/>
          <w:szCs w:val="24"/>
        </w:rPr>
        <w:t xml:space="preserve"> and </w:t>
      </w:r>
      <w:proofErr w:type="spellStart"/>
      <w:r w:rsidRPr="00A44018">
        <w:rPr>
          <w:rFonts w:ascii="Calibri" w:eastAsia="Calibri" w:hAnsi="Calibri"/>
          <w:color w:val="00000A"/>
          <w:sz w:val="24"/>
          <w:szCs w:val="24"/>
        </w:rPr>
        <w:t>Longobardi</w:t>
      </w:r>
      <w:proofErr w:type="spellEnd"/>
      <w:r w:rsidRPr="00A44018">
        <w:rPr>
          <w:rFonts w:ascii="Calibri" w:eastAsia="Calibri" w:hAnsi="Calibri"/>
          <w:color w:val="00000A"/>
          <w:sz w:val="24"/>
          <w:szCs w:val="24"/>
        </w:rPr>
        <w:t xml:space="preserve">, 2019) and more.  Much of the research points to the need for risk prevention and intervention very early in adolescence, and much of it highlights the importance of </w:t>
      </w:r>
      <w:proofErr w:type="gramStart"/>
      <w:r w:rsidRPr="00A44018">
        <w:rPr>
          <w:rFonts w:ascii="Calibri" w:eastAsia="Calibri" w:hAnsi="Calibri"/>
          <w:color w:val="00000A"/>
          <w:sz w:val="24"/>
          <w:szCs w:val="24"/>
        </w:rPr>
        <w:t>high quality</w:t>
      </w:r>
      <w:proofErr w:type="gramEnd"/>
      <w:r w:rsidRPr="00A44018">
        <w:rPr>
          <w:rFonts w:ascii="Calibri" w:eastAsia="Calibri" w:hAnsi="Calibri"/>
          <w:color w:val="00000A"/>
          <w:sz w:val="24"/>
          <w:szCs w:val="24"/>
        </w:rPr>
        <w:t xml:space="preserve"> peer and parental, relationships (McMahon, </w:t>
      </w:r>
      <w:proofErr w:type="spellStart"/>
      <w:r w:rsidRPr="00A44018">
        <w:rPr>
          <w:rFonts w:ascii="Calibri" w:eastAsia="Calibri" w:hAnsi="Calibri"/>
          <w:color w:val="00000A"/>
          <w:sz w:val="24"/>
          <w:szCs w:val="24"/>
        </w:rPr>
        <w:t>Creaven</w:t>
      </w:r>
      <w:proofErr w:type="spellEnd"/>
      <w:r w:rsidRPr="00A44018">
        <w:rPr>
          <w:rFonts w:ascii="Calibri" w:eastAsia="Calibri" w:hAnsi="Calibri"/>
          <w:color w:val="00000A"/>
          <w:sz w:val="24"/>
          <w:szCs w:val="24"/>
        </w:rPr>
        <w:t xml:space="preserve"> and Gallagher, 2020, Dorrell, </w:t>
      </w:r>
      <w:proofErr w:type="spellStart"/>
      <w:r w:rsidRPr="00A44018">
        <w:rPr>
          <w:rFonts w:ascii="Calibri" w:eastAsia="Calibri" w:hAnsi="Calibri"/>
          <w:color w:val="00000A"/>
          <w:sz w:val="24"/>
          <w:szCs w:val="24"/>
        </w:rPr>
        <w:t>Berona</w:t>
      </w:r>
      <w:proofErr w:type="spellEnd"/>
      <w:r w:rsidRPr="00A44018">
        <w:rPr>
          <w:rFonts w:ascii="Calibri" w:eastAsia="Calibri" w:hAnsi="Calibri"/>
          <w:color w:val="00000A"/>
          <w:sz w:val="24"/>
          <w:szCs w:val="24"/>
        </w:rPr>
        <w:t xml:space="preserve">, </w:t>
      </w:r>
      <w:proofErr w:type="spellStart"/>
      <w:r w:rsidRPr="00A44018">
        <w:rPr>
          <w:rFonts w:ascii="Calibri" w:eastAsia="Calibri" w:hAnsi="Calibri"/>
          <w:color w:val="00000A"/>
          <w:sz w:val="24"/>
          <w:szCs w:val="24"/>
        </w:rPr>
        <w:t>Hipwell</w:t>
      </w:r>
      <w:proofErr w:type="spellEnd"/>
      <w:r w:rsidRPr="00A44018">
        <w:rPr>
          <w:rFonts w:ascii="Calibri" w:eastAsia="Calibri" w:hAnsi="Calibri"/>
          <w:color w:val="00000A"/>
          <w:sz w:val="24"/>
          <w:szCs w:val="24"/>
        </w:rPr>
        <w:t xml:space="preserve"> and Keenan, 2021) and the need to encourage the development of prosocial behaviour (Son and Padilla-Walker, 2020).  There are clear implications for youth work here, where peer relationships and interactions can be observed and shaped into healthy elements of young people’s lives. </w:t>
      </w:r>
    </w:p>
    <w:p w14:paraId="21A837CE" w14:textId="77777777" w:rsidR="00A44018" w:rsidRPr="00A44018" w:rsidRDefault="00A44018" w:rsidP="00A44018">
      <w:pPr>
        <w:keepNext/>
        <w:keepLines/>
        <w:spacing w:before="40" w:after="0" w:afterAutospacing="1" w:line="252" w:lineRule="auto"/>
        <w:outlineLvl w:val="1"/>
        <w:rPr>
          <w:rFonts w:asciiTheme="majorHAnsi" w:eastAsiaTheme="majorEastAsia" w:hAnsiTheme="majorHAnsi" w:cstheme="majorBidi"/>
          <w:color w:val="2F5496" w:themeColor="accent1" w:themeShade="BF"/>
          <w:sz w:val="26"/>
          <w:szCs w:val="26"/>
        </w:rPr>
      </w:pPr>
      <w:bookmarkStart w:id="11" w:name="_Toc76631144"/>
      <w:r w:rsidRPr="00A44018">
        <w:rPr>
          <w:rFonts w:asciiTheme="majorHAnsi" w:eastAsiaTheme="majorEastAsia" w:hAnsiTheme="majorHAnsi" w:cstheme="majorBidi"/>
          <w:color w:val="2F5496" w:themeColor="accent1" w:themeShade="BF"/>
          <w:sz w:val="26"/>
          <w:szCs w:val="26"/>
        </w:rPr>
        <w:t>2.6 Conclusion</w:t>
      </w:r>
      <w:bookmarkEnd w:id="11"/>
    </w:p>
    <w:p w14:paraId="4D71B001" w14:textId="77777777" w:rsidR="00A44018" w:rsidRPr="00A44018" w:rsidRDefault="00A44018" w:rsidP="00A44018">
      <w:pPr>
        <w:spacing w:after="100" w:afterAutospacing="1" w:line="480" w:lineRule="auto"/>
        <w:jc w:val="both"/>
        <w:rPr>
          <w:rFonts w:ascii="Calibri" w:eastAsia="Calibri" w:hAnsi="Calibri"/>
          <w:color w:val="00000A"/>
          <w:sz w:val="24"/>
          <w:szCs w:val="24"/>
        </w:rPr>
      </w:pPr>
      <w:r w:rsidRPr="00A44018">
        <w:rPr>
          <w:rFonts w:ascii="Calibri" w:eastAsia="Calibri" w:hAnsi="Calibri"/>
          <w:color w:val="00000A"/>
          <w:sz w:val="24"/>
          <w:szCs w:val="24"/>
        </w:rPr>
        <w:t xml:space="preserve">A wide review of recent literature on four themes of adolescent development in the context of risk-taking behaviour has been undertaken.  This has incorporated laboratory-based </w:t>
      </w:r>
      <w:r w:rsidRPr="00A44018">
        <w:rPr>
          <w:rFonts w:ascii="Calibri" w:eastAsia="Calibri" w:hAnsi="Calibri"/>
          <w:color w:val="00000A"/>
          <w:sz w:val="24"/>
          <w:szCs w:val="24"/>
        </w:rPr>
        <w:lastRenderedPageBreak/>
        <w:t>experiment and research, population-based surveys and data, meta-analyses of multiple similar studies and large-scale longitudinal research.</w:t>
      </w:r>
    </w:p>
    <w:p w14:paraId="1D79EBDC" w14:textId="77777777" w:rsidR="00A44018" w:rsidRPr="00A44018" w:rsidRDefault="00A44018" w:rsidP="00A44018">
      <w:pPr>
        <w:spacing w:after="100" w:afterAutospacing="1" w:line="480" w:lineRule="auto"/>
        <w:jc w:val="both"/>
        <w:rPr>
          <w:rFonts w:ascii="Calibri" w:eastAsia="Calibri" w:hAnsi="Calibri"/>
          <w:color w:val="00000A"/>
          <w:sz w:val="24"/>
          <w:szCs w:val="24"/>
        </w:rPr>
      </w:pPr>
      <w:proofErr w:type="gramStart"/>
      <w:r w:rsidRPr="00A44018">
        <w:rPr>
          <w:rFonts w:ascii="Calibri" w:eastAsia="Calibri" w:hAnsi="Calibri"/>
          <w:color w:val="00000A"/>
          <w:sz w:val="24"/>
          <w:szCs w:val="24"/>
        </w:rPr>
        <w:t>It is clear that, as well as</w:t>
      </w:r>
      <w:proofErr w:type="gramEnd"/>
      <w:r w:rsidRPr="00A44018">
        <w:rPr>
          <w:rFonts w:ascii="Calibri" w:eastAsia="Calibri" w:hAnsi="Calibri"/>
          <w:color w:val="00000A"/>
          <w:sz w:val="24"/>
          <w:szCs w:val="24"/>
        </w:rPr>
        <w:t xml:space="preserve"> having an influence on and being influenced by risk-taking behaviour, there are correlations between the themes themselves.  For instance, early puberty can influence mental health, as can peer relationships.  There are also observations and findings that occur regularly across all themes, such as the emphasis on early intervention.</w:t>
      </w:r>
    </w:p>
    <w:p w14:paraId="695A1410" w14:textId="77777777" w:rsidR="00A44018" w:rsidRPr="00A44018" w:rsidRDefault="00A44018" w:rsidP="00A44018">
      <w:pPr>
        <w:spacing w:after="100" w:afterAutospacing="1" w:line="480" w:lineRule="auto"/>
        <w:jc w:val="both"/>
        <w:rPr>
          <w:rFonts w:ascii="Calibri" w:eastAsia="Calibri" w:hAnsi="Calibri"/>
          <w:color w:val="00000A"/>
          <w:sz w:val="24"/>
          <w:szCs w:val="24"/>
        </w:rPr>
      </w:pPr>
      <w:r w:rsidRPr="00A44018">
        <w:rPr>
          <w:rFonts w:ascii="Calibri" w:eastAsia="Calibri" w:hAnsi="Calibri"/>
          <w:color w:val="00000A"/>
          <w:sz w:val="24"/>
          <w:szCs w:val="24"/>
        </w:rPr>
        <w:t xml:space="preserve">It must be remembered that this literature review has only focussed on four aspects of adolescence amongst many that can influence risk-taking behaviour.  Other themes could have been reviewed too, such as the role played by gender, ‘girls having higher engagement in tobacco smoking, self-harm and a lack of physical activity’ (Kipping et al., 2012, pi1) and boys more involved in ‘anti-social and criminal behaviours, cannabis use and vehicle-related risk behaviours’ (ibid., pi1).  </w:t>
      </w:r>
    </w:p>
    <w:p w14:paraId="3FC08C0B" w14:textId="77777777" w:rsidR="00A44018" w:rsidRPr="00A44018" w:rsidRDefault="00A44018" w:rsidP="00A44018">
      <w:pPr>
        <w:spacing w:after="100" w:afterAutospacing="1" w:line="480" w:lineRule="auto"/>
        <w:jc w:val="both"/>
        <w:rPr>
          <w:rFonts w:ascii="Calibri" w:eastAsia="Calibri" w:hAnsi="Calibri"/>
          <w:color w:val="00000A"/>
          <w:sz w:val="24"/>
          <w:szCs w:val="24"/>
        </w:rPr>
      </w:pPr>
      <w:r w:rsidRPr="00A44018">
        <w:rPr>
          <w:rFonts w:ascii="Calibri" w:eastAsia="Calibri" w:hAnsi="Calibri"/>
          <w:color w:val="00000A"/>
          <w:sz w:val="24"/>
          <w:szCs w:val="24"/>
        </w:rPr>
        <w:t xml:space="preserve">However, the next chapter will discuss the significance of the four themes studied, cognitive development, puberty, mental health and peer influence, and this will be framed in a youth work and social education context. </w:t>
      </w:r>
    </w:p>
    <w:p w14:paraId="58C960DB" w14:textId="77777777" w:rsidR="00A44018" w:rsidRPr="00A44018" w:rsidRDefault="00A44018" w:rsidP="00A44018">
      <w:pPr>
        <w:spacing w:after="100" w:afterAutospacing="1" w:line="252" w:lineRule="auto"/>
        <w:rPr>
          <w:rFonts w:asciiTheme="majorHAnsi" w:eastAsiaTheme="majorEastAsia" w:hAnsiTheme="majorHAnsi" w:cstheme="majorBidi"/>
          <w:color w:val="2F5496" w:themeColor="accent1" w:themeShade="BF"/>
          <w:sz w:val="32"/>
          <w:szCs w:val="32"/>
        </w:rPr>
      </w:pPr>
      <w:r w:rsidRPr="00A44018">
        <w:rPr>
          <w:rFonts w:asciiTheme="majorHAnsi" w:eastAsiaTheme="majorEastAsia" w:hAnsiTheme="majorHAnsi" w:cstheme="majorBidi"/>
          <w:color w:val="2F5496" w:themeColor="accent1" w:themeShade="BF"/>
          <w:sz w:val="32"/>
          <w:szCs w:val="32"/>
        </w:rPr>
        <w:br w:type="page"/>
      </w:r>
    </w:p>
    <w:p w14:paraId="409589C0" w14:textId="77777777" w:rsidR="00A44018" w:rsidRPr="00A44018" w:rsidRDefault="00A44018" w:rsidP="00A44018">
      <w:pPr>
        <w:keepNext/>
        <w:keepLines/>
        <w:spacing w:before="240" w:after="0" w:afterAutospacing="1" w:line="252" w:lineRule="auto"/>
        <w:outlineLvl w:val="0"/>
        <w:rPr>
          <w:rFonts w:asciiTheme="majorHAnsi" w:eastAsiaTheme="majorEastAsia" w:hAnsiTheme="majorHAnsi" w:cstheme="majorBidi"/>
          <w:b/>
          <w:bCs/>
          <w:color w:val="2F5496" w:themeColor="accent1" w:themeShade="BF"/>
          <w:sz w:val="32"/>
          <w:szCs w:val="32"/>
        </w:rPr>
      </w:pPr>
      <w:bookmarkStart w:id="12" w:name="_Toc76631145"/>
      <w:r w:rsidRPr="00A44018">
        <w:rPr>
          <w:rFonts w:asciiTheme="majorHAnsi" w:eastAsiaTheme="majorEastAsia" w:hAnsiTheme="majorHAnsi" w:cstheme="majorBidi"/>
          <w:b/>
          <w:bCs/>
          <w:color w:val="2F5496" w:themeColor="accent1" w:themeShade="BF"/>
          <w:sz w:val="32"/>
          <w:szCs w:val="32"/>
        </w:rPr>
        <w:lastRenderedPageBreak/>
        <w:t>3.0 Discussion</w:t>
      </w:r>
      <w:bookmarkEnd w:id="12"/>
    </w:p>
    <w:p w14:paraId="43D25C92" w14:textId="77777777" w:rsidR="00A44018" w:rsidRPr="00A44018" w:rsidRDefault="00A44018" w:rsidP="00A44018">
      <w:pPr>
        <w:spacing w:after="100" w:afterAutospacing="1" w:line="480" w:lineRule="auto"/>
        <w:jc w:val="both"/>
        <w:rPr>
          <w:rFonts w:ascii="Calibri" w:eastAsia="Calibri" w:hAnsi="Calibri"/>
          <w:i/>
          <w:iCs/>
          <w:color w:val="00000A"/>
          <w:sz w:val="24"/>
          <w:szCs w:val="24"/>
        </w:rPr>
      </w:pPr>
      <w:r w:rsidRPr="00A44018">
        <w:rPr>
          <w:rFonts w:ascii="Calibri" w:eastAsia="Calibri" w:hAnsi="Calibri"/>
          <w:color w:val="00000A"/>
          <w:sz w:val="24"/>
          <w:szCs w:val="24"/>
        </w:rPr>
        <w:t>The literature review in Chapter 2 focussed on four elements of adolescent development that influence risk-taking behaviour, the aim being to identify potential predictors of hazardous behaviour to support the author’s study question, ‘</w:t>
      </w:r>
      <w:r w:rsidRPr="00A44018">
        <w:rPr>
          <w:rFonts w:ascii="Calibri" w:eastAsia="Calibri" w:hAnsi="Calibri"/>
          <w:i/>
          <w:iCs/>
          <w:color w:val="00000A"/>
          <w:sz w:val="24"/>
          <w:szCs w:val="24"/>
        </w:rPr>
        <w:t xml:space="preserve">To what extent do cognitive development, puberty, mental health and peers influence children and young people’s risk-taking behaviours, and how can the conclusions drawn be used to inform youth work practice? </w:t>
      </w:r>
    </w:p>
    <w:p w14:paraId="7836345D" w14:textId="77777777" w:rsidR="00A44018" w:rsidRPr="00A44018" w:rsidRDefault="00A44018" w:rsidP="00A44018">
      <w:pPr>
        <w:spacing w:after="100" w:afterAutospacing="1" w:line="480" w:lineRule="auto"/>
        <w:jc w:val="both"/>
        <w:rPr>
          <w:rFonts w:ascii="Calibri" w:eastAsia="Calibri" w:hAnsi="Calibri"/>
          <w:color w:val="00000A"/>
          <w:sz w:val="24"/>
          <w:szCs w:val="24"/>
        </w:rPr>
      </w:pPr>
      <w:r w:rsidRPr="00A44018">
        <w:rPr>
          <w:rFonts w:ascii="Calibri" w:eastAsia="Calibri" w:hAnsi="Calibri"/>
          <w:color w:val="00000A"/>
          <w:sz w:val="24"/>
          <w:szCs w:val="24"/>
        </w:rPr>
        <w:t>It could with equal validity have approached the topic by taking high risk behaviours themselves as themes, perhaps unsafe sex, smoking and self-harm, and examined them for connections with adolescent development.  However, the author now draws the salient points from the research undertaken around the themes of cognition, puberty, mental health and peer influence.</w:t>
      </w:r>
    </w:p>
    <w:p w14:paraId="5283C021" w14:textId="77777777" w:rsidR="00A44018" w:rsidRPr="00A44018" w:rsidRDefault="00A44018" w:rsidP="00A44018">
      <w:pPr>
        <w:spacing w:after="100" w:afterAutospacing="1" w:line="480" w:lineRule="auto"/>
        <w:jc w:val="both"/>
        <w:rPr>
          <w:rFonts w:ascii="Calibri" w:eastAsia="Calibri" w:hAnsi="Calibri"/>
          <w:color w:val="00000A"/>
          <w:sz w:val="24"/>
          <w:szCs w:val="24"/>
        </w:rPr>
      </w:pPr>
      <w:r w:rsidRPr="00A44018">
        <w:rPr>
          <w:rFonts w:ascii="Calibri" w:eastAsia="Calibri" w:hAnsi="Calibri"/>
          <w:color w:val="00000A"/>
          <w:sz w:val="24"/>
          <w:szCs w:val="24"/>
        </w:rPr>
        <w:t>The developing adolescent brain leads to a physical imbalance between areas of the brain responsible for judgement and decision making versus impulses and emotions, and this means that adolescent cognition is markedly different from both that of childhood and that of adulthood.  Self-control is not easy for adolescents, nor are emotional self-regulation, interpersonal emotion regulation and social cognition, the ability to understand others.  These developmental vulnerabilities can lead to risky decisions and potentially harmful behaviour, which can be seen to peak at around ages 14 to 15 (</w:t>
      </w:r>
      <w:proofErr w:type="spellStart"/>
      <w:r w:rsidRPr="00A44018">
        <w:rPr>
          <w:rFonts w:ascii="Calibri" w:eastAsia="Calibri" w:hAnsi="Calibri"/>
          <w:color w:val="00000A"/>
          <w:sz w:val="24"/>
          <w:szCs w:val="24"/>
        </w:rPr>
        <w:t>Prins</w:t>
      </w:r>
      <w:proofErr w:type="spellEnd"/>
      <w:r w:rsidRPr="00A44018">
        <w:rPr>
          <w:rFonts w:ascii="Calibri" w:eastAsia="Calibri" w:hAnsi="Calibri"/>
          <w:color w:val="00000A"/>
          <w:sz w:val="24"/>
          <w:szCs w:val="24"/>
        </w:rPr>
        <w:t xml:space="preserve"> et al., 2021).  Young people with non-neurotypical disorders such as CD, ODD or ADHD are particularly vulnerable.   ADHD-afflicted young people are more than twice as likely to display physical aggression and three times as likely to be expelled from school, to drink problematically and to attempt suicide (Sultan, Liu, Hacker and </w:t>
      </w:r>
      <w:proofErr w:type="spellStart"/>
      <w:r w:rsidRPr="00A44018">
        <w:rPr>
          <w:rFonts w:ascii="Calibri" w:eastAsia="Calibri" w:hAnsi="Calibri"/>
          <w:color w:val="00000A"/>
          <w:sz w:val="24"/>
          <w:szCs w:val="24"/>
        </w:rPr>
        <w:t>Olfson</w:t>
      </w:r>
      <w:proofErr w:type="spellEnd"/>
      <w:r w:rsidRPr="00A44018">
        <w:rPr>
          <w:rFonts w:ascii="Calibri" w:eastAsia="Calibri" w:hAnsi="Calibri"/>
          <w:color w:val="00000A"/>
          <w:sz w:val="24"/>
          <w:szCs w:val="24"/>
        </w:rPr>
        <w:t>, 2021).</w:t>
      </w:r>
    </w:p>
    <w:p w14:paraId="236EA501" w14:textId="77777777" w:rsidR="00A44018" w:rsidRPr="00A44018" w:rsidRDefault="00A44018" w:rsidP="00A44018">
      <w:pPr>
        <w:spacing w:after="100" w:afterAutospacing="1" w:line="480" w:lineRule="auto"/>
        <w:jc w:val="both"/>
        <w:rPr>
          <w:rFonts w:ascii="Calibri" w:eastAsia="Calibri" w:hAnsi="Calibri"/>
          <w:color w:val="00000A"/>
          <w:sz w:val="24"/>
          <w:szCs w:val="24"/>
        </w:rPr>
      </w:pPr>
      <w:r w:rsidRPr="00A44018">
        <w:rPr>
          <w:rFonts w:ascii="Calibri" w:eastAsia="Calibri" w:hAnsi="Calibri"/>
          <w:color w:val="00000A"/>
          <w:sz w:val="24"/>
          <w:szCs w:val="24"/>
        </w:rPr>
        <w:lastRenderedPageBreak/>
        <w:t>Puberty is starting earlier worldwide, noticeably for girls, and early puberty is associated with negative mental health and harmful behaviours.  The risky decisions and impulsivity linked to immature cognition elevate the risk of potentially harmful behaviour when combined with early puberty.</w:t>
      </w:r>
    </w:p>
    <w:p w14:paraId="66BCEA3B" w14:textId="77777777" w:rsidR="00A44018" w:rsidRPr="00A44018" w:rsidRDefault="00A44018" w:rsidP="00A44018">
      <w:pPr>
        <w:spacing w:after="100" w:afterAutospacing="1" w:line="480" w:lineRule="auto"/>
        <w:jc w:val="both"/>
        <w:rPr>
          <w:rFonts w:ascii="Calibri" w:eastAsia="Calibri" w:hAnsi="Calibri"/>
          <w:color w:val="00000A"/>
          <w:sz w:val="24"/>
          <w:szCs w:val="24"/>
        </w:rPr>
      </w:pPr>
      <w:r w:rsidRPr="00A44018">
        <w:rPr>
          <w:rFonts w:ascii="Calibri" w:eastAsia="Calibri" w:hAnsi="Calibri"/>
          <w:color w:val="00000A"/>
          <w:sz w:val="24"/>
          <w:szCs w:val="24"/>
        </w:rPr>
        <w:t xml:space="preserve">There is a bi-directional relationship between risk-taking behaviour and poorer mental health, each potentially escalating the other.  Earlier intervention and prevention are emphasised for pre-adolescents with symptoms of adverse mental health.  Particular attention needs to be paid to those young people who are in sexual minorities or underprivileged communities.  There are still conflicting findings regarding the role of social media in adolescent mental health, but the scale of its significance in their lives demands further attention. </w:t>
      </w:r>
    </w:p>
    <w:p w14:paraId="7872D596" w14:textId="77777777" w:rsidR="00A44018" w:rsidRPr="00A44018" w:rsidRDefault="00A44018" w:rsidP="00A44018">
      <w:pPr>
        <w:spacing w:after="100" w:afterAutospacing="1" w:line="480" w:lineRule="auto"/>
        <w:jc w:val="both"/>
        <w:rPr>
          <w:rFonts w:ascii="Calibri" w:eastAsia="Calibri" w:hAnsi="Calibri"/>
          <w:color w:val="00000A"/>
          <w:sz w:val="24"/>
          <w:szCs w:val="24"/>
        </w:rPr>
      </w:pPr>
      <w:r w:rsidRPr="00A44018">
        <w:rPr>
          <w:rFonts w:ascii="Calibri" w:eastAsia="Calibri" w:hAnsi="Calibri"/>
          <w:color w:val="00000A"/>
          <w:sz w:val="24"/>
          <w:szCs w:val="24"/>
        </w:rPr>
        <w:t>Peer influences can be both negative and positive, active or passive, and passive peer influence has a greater effect on both boys and girls.  Adolescent risky behaviours can be contagious through observation, expectation, knowledge or presence of peers, and so peer selection is an important area to focus on.  Negative peer interactions such as bullying and name calling, online and off, continue to jeopardise adolescent mental health and wellbeing outcomes and remain as key items for prevention in work with children and young people.</w:t>
      </w:r>
    </w:p>
    <w:p w14:paraId="6878DADE" w14:textId="77777777" w:rsidR="00A44018" w:rsidRPr="00A44018" w:rsidRDefault="00A44018" w:rsidP="00A44018">
      <w:pPr>
        <w:spacing w:after="100" w:afterAutospacing="1" w:line="480" w:lineRule="auto"/>
        <w:jc w:val="both"/>
        <w:rPr>
          <w:rFonts w:ascii="Calibri" w:eastAsia="Calibri" w:hAnsi="Calibri"/>
          <w:color w:val="00000A"/>
          <w:sz w:val="24"/>
          <w:szCs w:val="24"/>
        </w:rPr>
      </w:pPr>
      <w:r w:rsidRPr="00A44018">
        <w:rPr>
          <w:rFonts w:ascii="Calibri" w:eastAsia="Calibri" w:hAnsi="Calibri"/>
          <w:color w:val="00000A"/>
          <w:sz w:val="24"/>
          <w:szCs w:val="24"/>
        </w:rPr>
        <w:t xml:space="preserve">With the above key points in mind, how then can youth workers identify those children and young people who are most likely to engage in harmful risk behaviours?  Youth centres are not equipped with fMRI scanners to examine brain activity, nor with laboratories within which risk-taking experiments can be undertaken.  Nor might questionnaire-based risk assessments such as the Risky Behaviour Questionnaire for Adolescents (RBQ-A) (Auerbach and Gardiner, 2012), provided in </w:t>
      </w:r>
      <w:r w:rsidRPr="00A44018">
        <w:rPr>
          <w:rFonts w:ascii="Calibri" w:eastAsia="Calibri" w:hAnsi="Calibri"/>
          <w:sz w:val="24"/>
          <w:szCs w:val="24"/>
        </w:rPr>
        <w:t xml:space="preserve">Appendix 2, </w:t>
      </w:r>
      <w:r w:rsidRPr="00A44018">
        <w:rPr>
          <w:rFonts w:ascii="Calibri" w:eastAsia="Calibri" w:hAnsi="Calibri"/>
          <w:color w:val="00000A"/>
          <w:sz w:val="24"/>
          <w:szCs w:val="24"/>
        </w:rPr>
        <w:t xml:space="preserve">or psychosocial screening be appropriate.  Everything points </w:t>
      </w:r>
      <w:r w:rsidRPr="00A44018">
        <w:rPr>
          <w:rFonts w:ascii="Calibri" w:eastAsia="Calibri" w:hAnsi="Calibri"/>
          <w:color w:val="00000A"/>
          <w:sz w:val="24"/>
          <w:szCs w:val="24"/>
        </w:rPr>
        <w:lastRenderedPageBreak/>
        <w:t>to the youth workers’ relationships with young people: knowing them well, knowing about their family life, understanding their school experiences, their friendship groups and more.  Sufficient trust must be built for young people to share all of this, and the principles of voluntary engagement, empowerment, equality and inclusion (YWWRG, 2018) are essential to build this.</w:t>
      </w:r>
    </w:p>
    <w:p w14:paraId="7F716EC1" w14:textId="77777777" w:rsidR="00A44018" w:rsidRPr="00A44018" w:rsidRDefault="00A44018" w:rsidP="00A44018">
      <w:pPr>
        <w:spacing w:after="100" w:afterAutospacing="1" w:line="480" w:lineRule="auto"/>
        <w:jc w:val="both"/>
        <w:rPr>
          <w:rFonts w:ascii="Calibri" w:eastAsia="Calibri" w:hAnsi="Calibri"/>
          <w:color w:val="00000A"/>
          <w:sz w:val="24"/>
          <w:szCs w:val="24"/>
        </w:rPr>
      </w:pPr>
      <w:r w:rsidRPr="00A44018">
        <w:rPr>
          <w:rFonts w:ascii="Calibri" w:eastAsia="Calibri" w:hAnsi="Calibri"/>
          <w:color w:val="00000A"/>
          <w:sz w:val="24"/>
          <w:szCs w:val="24"/>
        </w:rPr>
        <w:t>However, in order to identify those children and young people who are potentially going to become high risk takers, youth workers need to allocate time for reflection and thought, to think about what is known about the young person against the backdrop of significant points drawn from recent research.  Does the young person have a diagnosis of a disorder such as ADHD?  What is known of their behaviour to date? Are they highly intelligent?  Perhaps an early developer?  Do they exhibit externalising or internalising behaviours of concern?  It might be too early to know, but are they in a sexual minority?  How does their peer group behave?  How is their home life and how positive is their relationship with their parent(s)?  Do you know of any adverse childhood experiences they may have suffered?</w:t>
      </w:r>
    </w:p>
    <w:p w14:paraId="3DB2E8D6" w14:textId="77777777" w:rsidR="00A44018" w:rsidRPr="00A44018" w:rsidRDefault="00A44018" w:rsidP="00A44018">
      <w:pPr>
        <w:spacing w:after="100" w:afterAutospacing="1" w:line="480" w:lineRule="auto"/>
        <w:jc w:val="both"/>
        <w:rPr>
          <w:rFonts w:ascii="Calibri" w:eastAsia="Calibri" w:hAnsi="Calibri"/>
          <w:color w:val="00000A"/>
          <w:sz w:val="24"/>
          <w:szCs w:val="24"/>
        </w:rPr>
      </w:pPr>
      <w:r w:rsidRPr="00A44018">
        <w:rPr>
          <w:rFonts w:ascii="Calibri" w:eastAsia="Calibri" w:hAnsi="Calibri"/>
          <w:color w:val="00000A"/>
          <w:sz w:val="24"/>
          <w:szCs w:val="24"/>
        </w:rPr>
        <w:t>Like a mental risk assessment, the aim is to identify the hazards (predictors) from the list and to see how many there are in co-existence, then to assess the weight of these against protective factors you are aware of.  These might include good family communication and school connectedness (</w:t>
      </w:r>
      <w:proofErr w:type="spellStart"/>
      <w:r w:rsidRPr="00A44018">
        <w:rPr>
          <w:rFonts w:ascii="Calibri" w:eastAsia="Calibri" w:hAnsi="Calibri"/>
          <w:color w:val="00000A"/>
          <w:sz w:val="24"/>
          <w:szCs w:val="24"/>
        </w:rPr>
        <w:t>Lensch</w:t>
      </w:r>
      <w:proofErr w:type="spellEnd"/>
      <w:r w:rsidRPr="00A44018">
        <w:rPr>
          <w:rFonts w:ascii="Calibri" w:eastAsia="Calibri" w:hAnsi="Calibri"/>
          <w:color w:val="00000A"/>
          <w:sz w:val="24"/>
          <w:szCs w:val="24"/>
        </w:rPr>
        <w:t xml:space="preserve">, Clements-Nolle, Oman, Evans, </w:t>
      </w:r>
      <w:proofErr w:type="spellStart"/>
      <w:r w:rsidRPr="00A44018">
        <w:rPr>
          <w:rFonts w:ascii="Calibri" w:eastAsia="Calibri" w:hAnsi="Calibri"/>
          <w:color w:val="00000A"/>
          <w:sz w:val="24"/>
          <w:szCs w:val="24"/>
        </w:rPr>
        <w:t>Minggen</w:t>
      </w:r>
      <w:proofErr w:type="spellEnd"/>
      <w:r w:rsidRPr="00A44018">
        <w:rPr>
          <w:rFonts w:ascii="Calibri" w:eastAsia="Calibri" w:hAnsi="Calibri"/>
          <w:color w:val="00000A"/>
          <w:sz w:val="24"/>
          <w:szCs w:val="24"/>
        </w:rPr>
        <w:t xml:space="preserve"> and Yang, 2020) and participation in positive leisure activities and social networks (</w:t>
      </w:r>
      <w:proofErr w:type="spellStart"/>
      <w:r w:rsidRPr="00A44018">
        <w:rPr>
          <w:rFonts w:ascii="Calibri" w:eastAsia="Calibri" w:hAnsi="Calibri"/>
          <w:color w:val="00000A"/>
          <w:sz w:val="24"/>
          <w:szCs w:val="24"/>
        </w:rPr>
        <w:t>Ati</w:t>
      </w:r>
      <w:proofErr w:type="spellEnd"/>
      <w:r w:rsidRPr="00A44018">
        <w:rPr>
          <w:rFonts w:ascii="Calibri" w:eastAsia="Calibri" w:hAnsi="Calibri"/>
          <w:color w:val="00000A"/>
          <w:sz w:val="24"/>
          <w:szCs w:val="24"/>
        </w:rPr>
        <w:t xml:space="preserve">, </w:t>
      </w:r>
      <w:proofErr w:type="spellStart"/>
      <w:r w:rsidRPr="00A44018">
        <w:rPr>
          <w:rFonts w:ascii="Calibri" w:eastAsia="Calibri" w:hAnsi="Calibri"/>
          <w:color w:val="00000A"/>
          <w:sz w:val="24"/>
          <w:szCs w:val="24"/>
        </w:rPr>
        <w:t>Paraswati</w:t>
      </w:r>
      <w:proofErr w:type="spellEnd"/>
      <w:r w:rsidRPr="00A44018">
        <w:rPr>
          <w:rFonts w:ascii="Calibri" w:eastAsia="Calibri" w:hAnsi="Calibri"/>
          <w:color w:val="00000A"/>
          <w:sz w:val="24"/>
          <w:szCs w:val="24"/>
        </w:rPr>
        <w:t xml:space="preserve"> and </w:t>
      </w:r>
      <w:proofErr w:type="spellStart"/>
      <w:r w:rsidRPr="00A44018">
        <w:rPr>
          <w:rFonts w:ascii="Calibri" w:eastAsia="Calibri" w:hAnsi="Calibri"/>
          <w:color w:val="00000A"/>
          <w:sz w:val="24"/>
          <w:szCs w:val="24"/>
        </w:rPr>
        <w:t>Windarwati</w:t>
      </w:r>
      <w:proofErr w:type="spellEnd"/>
      <w:r w:rsidRPr="00A44018">
        <w:rPr>
          <w:rFonts w:ascii="Calibri" w:eastAsia="Calibri" w:hAnsi="Calibri"/>
          <w:color w:val="00000A"/>
          <w:sz w:val="24"/>
          <w:szCs w:val="24"/>
        </w:rPr>
        <w:t>, 2020).  So long as you have plenty of knowledge of the young person to think about, the result should be a balanced view of how likely that young person is to make a poor choice, take a silly risk or put themself and/or others in harm’s way.  Then you need to consider whether and how to intervene.</w:t>
      </w:r>
    </w:p>
    <w:p w14:paraId="139B2400" w14:textId="77777777" w:rsidR="00A44018" w:rsidRPr="00A44018" w:rsidRDefault="00A44018" w:rsidP="00A44018">
      <w:pPr>
        <w:spacing w:after="100" w:afterAutospacing="1" w:line="480" w:lineRule="auto"/>
        <w:jc w:val="both"/>
        <w:rPr>
          <w:rFonts w:ascii="Calibri" w:eastAsia="Calibri" w:hAnsi="Calibri"/>
          <w:color w:val="00000A"/>
          <w:sz w:val="24"/>
          <w:szCs w:val="24"/>
        </w:rPr>
      </w:pPr>
      <w:r w:rsidRPr="00A44018">
        <w:rPr>
          <w:rFonts w:ascii="Calibri" w:eastAsia="Calibri" w:hAnsi="Calibri"/>
          <w:color w:val="00000A"/>
          <w:sz w:val="24"/>
          <w:szCs w:val="24"/>
        </w:rPr>
        <w:lastRenderedPageBreak/>
        <w:t>There will, of course, be many other predictors that have not been drawn from this literature review that could help with building a complete picture.   For instance, if parental influence had been chosen as a theme for this review, then additional predictors could have been added.  For example, elder daughters of socially deviant fathers, with whom they live, can be predicted to engage in substance use and risky sexual behaviour in adolescence (</w:t>
      </w:r>
      <w:proofErr w:type="spellStart"/>
      <w:r w:rsidRPr="00A44018">
        <w:rPr>
          <w:rFonts w:ascii="Calibri" w:eastAsia="Calibri" w:hAnsi="Calibri"/>
          <w:color w:val="00000A"/>
          <w:sz w:val="24"/>
          <w:szCs w:val="24"/>
        </w:rPr>
        <w:t>DelPriore</w:t>
      </w:r>
      <w:proofErr w:type="spellEnd"/>
      <w:r w:rsidRPr="00A44018">
        <w:rPr>
          <w:rFonts w:ascii="Calibri" w:eastAsia="Calibri" w:hAnsi="Calibri"/>
          <w:color w:val="00000A"/>
          <w:sz w:val="24"/>
          <w:szCs w:val="24"/>
        </w:rPr>
        <w:t xml:space="preserve">, </w:t>
      </w:r>
      <w:proofErr w:type="spellStart"/>
      <w:r w:rsidRPr="00A44018">
        <w:rPr>
          <w:rFonts w:ascii="Calibri" w:eastAsia="Calibri" w:hAnsi="Calibri"/>
          <w:color w:val="00000A"/>
          <w:sz w:val="24"/>
          <w:szCs w:val="24"/>
        </w:rPr>
        <w:t>Brener</w:t>
      </w:r>
      <w:proofErr w:type="spellEnd"/>
      <w:r w:rsidRPr="00A44018">
        <w:rPr>
          <w:rFonts w:ascii="Calibri" w:eastAsia="Calibri" w:hAnsi="Calibri"/>
          <w:color w:val="00000A"/>
          <w:sz w:val="24"/>
          <w:szCs w:val="24"/>
        </w:rPr>
        <w:t>, Hill and Ellis, 2020), and pre-adolescents under age 13 who have a diagnosed depressive disorder as well as mood disordered parents are three times more likely to engage in suicidal behaviour (</w:t>
      </w:r>
      <w:proofErr w:type="spellStart"/>
      <w:r w:rsidRPr="00A44018">
        <w:rPr>
          <w:rFonts w:ascii="Calibri" w:eastAsia="Calibri" w:hAnsi="Calibri"/>
          <w:color w:val="00000A"/>
          <w:sz w:val="24"/>
          <w:szCs w:val="24"/>
        </w:rPr>
        <w:t>Zelazny</w:t>
      </w:r>
      <w:proofErr w:type="spellEnd"/>
      <w:r w:rsidRPr="00A44018">
        <w:rPr>
          <w:rFonts w:ascii="Calibri" w:eastAsia="Calibri" w:hAnsi="Calibri"/>
          <w:color w:val="00000A"/>
          <w:sz w:val="24"/>
          <w:szCs w:val="24"/>
        </w:rPr>
        <w:t xml:space="preserve">, Stanley, Porta, Mann, Oquendo, </w:t>
      </w:r>
      <w:proofErr w:type="spellStart"/>
      <w:r w:rsidRPr="00A44018">
        <w:rPr>
          <w:rFonts w:ascii="Calibri" w:eastAsia="Calibri" w:hAnsi="Calibri"/>
          <w:color w:val="00000A"/>
          <w:sz w:val="24"/>
          <w:szCs w:val="24"/>
        </w:rPr>
        <w:t>Birmaher</w:t>
      </w:r>
      <w:proofErr w:type="spellEnd"/>
      <w:r w:rsidRPr="00A44018">
        <w:rPr>
          <w:rFonts w:ascii="Calibri" w:eastAsia="Calibri" w:hAnsi="Calibri"/>
          <w:color w:val="00000A"/>
          <w:sz w:val="24"/>
          <w:szCs w:val="24"/>
        </w:rPr>
        <w:t xml:space="preserve">, </w:t>
      </w:r>
      <w:proofErr w:type="spellStart"/>
      <w:r w:rsidRPr="00A44018">
        <w:rPr>
          <w:rFonts w:ascii="Calibri" w:eastAsia="Calibri" w:hAnsi="Calibri"/>
          <w:color w:val="00000A"/>
          <w:sz w:val="24"/>
          <w:szCs w:val="24"/>
        </w:rPr>
        <w:t>Melhem</w:t>
      </w:r>
      <w:proofErr w:type="spellEnd"/>
      <w:r w:rsidRPr="00A44018">
        <w:rPr>
          <w:rFonts w:ascii="Calibri" w:eastAsia="Calibri" w:hAnsi="Calibri"/>
          <w:color w:val="00000A"/>
          <w:sz w:val="24"/>
          <w:szCs w:val="24"/>
        </w:rPr>
        <w:t xml:space="preserve"> and Brent, 2021).  Emerging research in the USA is considering the use of the electronic health records of mothers and their children to predict their child(ren)’s later adolescent drug and alcohol use (Chi, </w:t>
      </w:r>
      <w:proofErr w:type="spellStart"/>
      <w:r w:rsidRPr="00A44018">
        <w:rPr>
          <w:rFonts w:ascii="Calibri" w:eastAsia="Calibri" w:hAnsi="Calibri"/>
          <w:color w:val="00000A"/>
          <w:sz w:val="24"/>
          <w:szCs w:val="24"/>
        </w:rPr>
        <w:t>Alexeeff</w:t>
      </w:r>
      <w:proofErr w:type="spellEnd"/>
      <w:r w:rsidRPr="00A44018">
        <w:rPr>
          <w:rFonts w:ascii="Calibri" w:eastAsia="Calibri" w:hAnsi="Calibri"/>
          <w:color w:val="00000A"/>
          <w:sz w:val="24"/>
          <w:szCs w:val="24"/>
        </w:rPr>
        <w:t xml:space="preserve">, </w:t>
      </w:r>
      <w:proofErr w:type="spellStart"/>
      <w:r w:rsidRPr="00A44018">
        <w:rPr>
          <w:rFonts w:ascii="Calibri" w:eastAsia="Calibri" w:hAnsi="Calibri"/>
          <w:color w:val="00000A"/>
          <w:sz w:val="24"/>
          <w:szCs w:val="24"/>
        </w:rPr>
        <w:t>Ahmedani</w:t>
      </w:r>
      <w:proofErr w:type="spellEnd"/>
      <w:r w:rsidRPr="00A44018">
        <w:rPr>
          <w:rFonts w:ascii="Calibri" w:eastAsia="Calibri" w:hAnsi="Calibri"/>
          <w:color w:val="00000A"/>
          <w:sz w:val="24"/>
          <w:szCs w:val="24"/>
        </w:rPr>
        <w:t xml:space="preserve">, </w:t>
      </w:r>
      <w:proofErr w:type="spellStart"/>
      <w:r w:rsidRPr="00A44018">
        <w:rPr>
          <w:rFonts w:ascii="Calibri" w:eastAsia="Calibri" w:hAnsi="Calibri"/>
          <w:color w:val="00000A"/>
          <w:sz w:val="24"/>
          <w:szCs w:val="24"/>
        </w:rPr>
        <w:t>Boscarino</w:t>
      </w:r>
      <w:proofErr w:type="spellEnd"/>
      <w:r w:rsidRPr="00A44018">
        <w:rPr>
          <w:rFonts w:ascii="Calibri" w:eastAsia="Calibri" w:hAnsi="Calibri"/>
          <w:color w:val="00000A"/>
          <w:sz w:val="24"/>
          <w:szCs w:val="24"/>
        </w:rPr>
        <w:t xml:space="preserve">, </w:t>
      </w:r>
      <w:proofErr w:type="spellStart"/>
      <w:r w:rsidRPr="00A44018">
        <w:rPr>
          <w:rFonts w:ascii="Calibri" w:eastAsia="Calibri" w:hAnsi="Calibri"/>
          <w:color w:val="00000A"/>
          <w:sz w:val="24"/>
          <w:szCs w:val="24"/>
        </w:rPr>
        <w:t>Waitzfelder</w:t>
      </w:r>
      <w:proofErr w:type="spellEnd"/>
      <w:r w:rsidRPr="00A44018">
        <w:rPr>
          <w:rFonts w:ascii="Calibri" w:eastAsia="Calibri" w:hAnsi="Calibri"/>
          <w:color w:val="00000A"/>
          <w:sz w:val="24"/>
          <w:szCs w:val="24"/>
        </w:rPr>
        <w:t>, Dugan, Frankland, Hu, Loree and Sterling, 2021).</w:t>
      </w:r>
    </w:p>
    <w:p w14:paraId="41C0C7B3" w14:textId="77777777" w:rsidR="00A44018" w:rsidRPr="00A44018" w:rsidRDefault="00A44018" w:rsidP="00A44018">
      <w:pPr>
        <w:spacing w:after="100" w:afterAutospacing="1" w:line="480" w:lineRule="auto"/>
        <w:jc w:val="both"/>
        <w:rPr>
          <w:rFonts w:ascii="Calibri" w:eastAsia="Calibri" w:hAnsi="Calibri"/>
          <w:color w:val="00000A"/>
          <w:sz w:val="24"/>
          <w:szCs w:val="24"/>
        </w:rPr>
      </w:pPr>
      <w:r w:rsidRPr="00A44018">
        <w:rPr>
          <w:rFonts w:ascii="Calibri" w:eastAsia="Calibri" w:hAnsi="Calibri"/>
          <w:color w:val="00000A"/>
          <w:sz w:val="24"/>
          <w:szCs w:val="24"/>
        </w:rPr>
        <w:t>Experienced youth workers might at this point ask, ‘What are you telling me that I didn’t already know?’, having benefitted from lots of experience working with young people and having developed a keen instinct for spotting potential delinquency.  The point to be made is that broader and deeper research is being produced constantly, new cohorts of young people are being recruited into research, new global databases are being populated with data and new insights can be surprising, so it is worth keeping up to date.  Trainee youth workers might find the information and predictors provided here useful to inform their developing practice.  Those with no youth work knowledge or experience might be fascinated by some of the findings and gain a better understanding and acceptance of adolescent risk-taking behaviours.</w:t>
      </w:r>
    </w:p>
    <w:p w14:paraId="1BBA049B" w14:textId="77777777" w:rsidR="00A44018" w:rsidRPr="00A44018" w:rsidRDefault="00A44018" w:rsidP="00A44018">
      <w:pPr>
        <w:spacing w:after="100" w:afterAutospacing="1" w:line="480" w:lineRule="auto"/>
        <w:jc w:val="both"/>
        <w:rPr>
          <w:rFonts w:ascii="Calibri" w:eastAsia="Calibri" w:hAnsi="Calibri"/>
          <w:color w:val="00000A"/>
          <w:sz w:val="24"/>
          <w:szCs w:val="24"/>
        </w:rPr>
      </w:pPr>
      <w:r w:rsidRPr="00A44018">
        <w:rPr>
          <w:rFonts w:ascii="Calibri" w:eastAsia="Calibri" w:hAnsi="Calibri"/>
          <w:color w:val="00000A"/>
          <w:sz w:val="24"/>
          <w:szCs w:val="24"/>
        </w:rPr>
        <w:t xml:space="preserve">It has been stated that ‘Common predictors of risky behaviours include being male, living in a single headed household, parental substance use, and having reached puberty’ (Fitzsimons, </w:t>
      </w:r>
      <w:r w:rsidRPr="00A44018">
        <w:rPr>
          <w:rFonts w:ascii="Calibri" w:eastAsia="Calibri" w:hAnsi="Calibri"/>
          <w:color w:val="00000A"/>
          <w:sz w:val="24"/>
          <w:szCs w:val="24"/>
        </w:rPr>
        <w:lastRenderedPageBreak/>
        <w:t xml:space="preserve">Jackman, </w:t>
      </w:r>
      <w:proofErr w:type="spellStart"/>
      <w:r w:rsidRPr="00A44018">
        <w:rPr>
          <w:rFonts w:ascii="Calibri" w:eastAsia="Calibri" w:hAnsi="Calibri"/>
          <w:color w:val="00000A"/>
          <w:sz w:val="24"/>
          <w:szCs w:val="24"/>
        </w:rPr>
        <w:t>Kyprianides</w:t>
      </w:r>
      <w:proofErr w:type="spellEnd"/>
      <w:r w:rsidRPr="00A44018">
        <w:rPr>
          <w:rFonts w:ascii="Calibri" w:eastAsia="Calibri" w:hAnsi="Calibri"/>
          <w:color w:val="00000A"/>
          <w:sz w:val="24"/>
          <w:szCs w:val="24"/>
        </w:rPr>
        <w:t xml:space="preserve"> and </w:t>
      </w:r>
      <w:proofErr w:type="spellStart"/>
      <w:r w:rsidRPr="00A44018">
        <w:rPr>
          <w:rFonts w:ascii="Calibri" w:eastAsia="Calibri" w:hAnsi="Calibri"/>
          <w:color w:val="00000A"/>
          <w:sz w:val="24"/>
          <w:szCs w:val="24"/>
        </w:rPr>
        <w:t>Villadsen</w:t>
      </w:r>
      <w:proofErr w:type="spellEnd"/>
      <w:r w:rsidRPr="00A44018">
        <w:rPr>
          <w:rFonts w:ascii="Calibri" w:eastAsia="Calibri" w:hAnsi="Calibri"/>
          <w:color w:val="00000A"/>
          <w:sz w:val="24"/>
          <w:szCs w:val="24"/>
        </w:rPr>
        <w:t>, 2018, p51).  The author considers this to be a bold statement that produces a rather black and white profile of the type of young person to look out for.  It almost encourages a ‘Where’s Wally?’ approach to youth work.  While the indicators do indeed line up with the predictors identified in this literature review, it could be very distracting from good youth work to be constantly seeking out the boy wearing the red and white striped top.  What about the other boys, and what about the girls?</w:t>
      </w:r>
    </w:p>
    <w:p w14:paraId="4A4F7B56" w14:textId="77777777" w:rsidR="00A44018" w:rsidRPr="00A44018" w:rsidRDefault="00A44018" w:rsidP="00A44018">
      <w:pPr>
        <w:spacing w:after="100" w:afterAutospacing="1" w:line="480" w:lineRule="auto"/>
        <w:jc w:val="both"/>
        <w:rPr>
          <w:rFonts w:ascii="Calibri" w:eastAsia="Calibri" w:hAnsi="Calibri"/>
          <w:i/>
          <w:iCs/>
          <w:color w:val="00000A"/>
          <w:sz w:val="24"/>
          <w:szCs w:val="24"/>
        </w:rPr>
      </w:pPr>
      <w:r w:rsidRPr="00A44018">
        <w:rPr>
          <w:rFonts w:ascii="Calibri" w:eastAsia="Calibri" w:hAnsi="Calibri"/>
          <w:color w:val="00000A"/>
          <w:sz w:val="24"/>
          <w:szCs w:val="24"/>
        </w:rPr>
        <w:t>The final chapter of this dissertations draws conclusions regarding the research question posed and the literature review undertaken and makes recommendations for youth work practice that have been gleaned from this study, which was ‘</w:t>
      </w:r>
      <w:r w:rsidRPr="00A44018">
        <w:rPr>
          <w:rFonts w:ascii="Calibri" w:eastAsia="Calibri" w:hAnsi="Calibri"/>
          <w:i/>
          <w:iCs/>
          <w:color w:val="00000A"/>
          <w:sz w:val="24"/>
          <w:szCs w:val="24"/>
        </w:rPr>
        <w:t xml:space="preserve">To what extent do cognitive development, puberty, mental health and peers influence children and young people’s risk-taking behaviours, and how can the conclusions drawn be used to inform youth work practice? </w:t>
      </w:r>
    </w:p>
    <w:p w14:paraId="663B6197" w14:textId="77777777" w:rsidR="00A44018" w:rsidRPr="00A44018" w:rsidRDefault="00A44018" w:rsidP="00A44018">
      <w:pPr>
        <w:spacing w:after="100" w:afterAutospacing="1" w:line="480" w:lineRule="auto"/>
        <w:jc w:val="both"/>
        <w:rPr>
          <w:rFonts w:ascii="Calibri" w:eastAsia="Calibri" w:hAnsi="Calibri"/>
          <w:color w:val="00000A"/>
        </w:rPr>
      </w:pPr>
    </w:p>
    <w:p w14:paraId="0F1BC569" w14:textId="77777777" w:rsidR="00A44018" w:rsidRPr="00A44018" w:rsidRDefault="00A44018" w:rsidP="00A44018">
      <w:pPr>
        <w:spacing w:after="100" w:afterAutospacing="1" w:line="252" w:lineRule="auto"/>
        <w:rPr>
          <w:rFonts w:asciiTheme="majorHAnsi" w:eastAsiaTheme="majorEastAsia" w:hAnsiTheme="majorHAnsi" w:cstheme="majorBidi"/>
          <w:color w:val="2F5496" w:themeColor="accent1" w:themeShade="BF"/>
          <w:sz w:val="32"/>
          <w:szCs w:val="32"/>
        </w:rPr>
      </w:pPr>
      <w:r w:rsidRPr="00A44018">
        <w:rPr>
          <w:rFonts w:ascii="Calibri" w:eastAsia="Calibri" w:hAnsi="Calibri"/>
          <w:color w:val="00000A"/>
        </w:rPr>
        <w:br w:type="page"/>
      </w:r>
    </w:p>
    <w:p w14:paraId="377101AC" w14:textId="77777777" w:rsidR="00A44018" w:rsidRPr="00A44018" w:rsidRDefault="00A44018" w:rsidP="00A44018">
      <w:pPr>
        <w:keepNext/>
        <w:keepLines/>
        <w:spacing w:before="240" w:after="0" w:afterAutospacing="1" w:line="252" w:lineRule="auto"/>
        <w:outlineLvl w:val="0"/>
        <w:rPr>
          <w:rFonts w:asciiTheme="majorHAnsi" w:eastAsiaTheme="majorEastAsia" w:hAnsiTheme="majorHAnsi" w:cstheme="majorBidi"/>
          <w:b/>
          <w:bCs/>
          <w:color w:val="2F5496" w:themeColor="accent1" w:themeShade="BF"/>
          <w:sz w:val="32"/>
          <w:szCs w:val="32"/>
        </w:rPr>
      </w:pPr>
      <w:bookmarkStart w:id="13" w:name="_Toc76631146"/>
      <w:r w:rsidRPr="00A44018">
        <w:rPr>
          <w:rFonts w:asciiTheme="majorHAnsi" w:eastAsiaTheme="majorEastAsia" w:hAnsiTheme="majorHAnsi" w:cstheme="majorBidi"/>
          <w:b/>
          <w:bCs/>
          <w:color w:val="2F5496" w:themeColor="accent1" w:themeShade="BF"/>
          <w:sz w:val="32"/>
          <w:szCs w:val="32"/>
        </w:rPr>
        <w:lastRenderedPageBreak/>
        <w:t>4.0 Conclusions and Recommendations for Practice</w:t>
      </w:r>
      <w:bookmarkEnd w:id="13"/>
    </w:p>
    <w:p w14:paraId="0559E3A0" w14:textId="77777777" w:rsidR="00A44018" w:rsidRPr="00A44018" w:rsidRDefault="00A44018" w:rsidP="00A44018">
      <w:pPr>
        <w:spacing w:after="100" w:afterAutospacing="1" w:line="480" w:lineRule="auto"/>
        <w:jc w:val="both"/>
        <w:rPr>
          <w:rFonts w:ascii="Calibri" w:eastAsia="Calibri" w:hAnsi="Calibri"/>
          <w:i/>
          <w:iCs/>
          <w:color w:val="00000A"/>
          <w:sz w:val="24"/>
          <w:szCs w:val="24"/>
        </w:rPr>
      </w:pPr>
      <w:r w:rsidRPr="00A44018">
        <w:rPr>
          <w:rFonts w:ascii="Calibri" w:eastAsia="Calibri" w:hAnsi="Calibri"/>
          <w:color w:val="00000A"/>
          <w:sz w:val="24"/>
          <w:szCs w:val="24"/>
        </w:rPr>
        <w:t>The research question posed for this study was ‘</w:t>
      </w:r>
      <w:r w:rsidRPr="00A44018">
        <w:rPr>
          <w:rFonts w:ascii="Calibri" w:eastAsia="Calibri" w:hAnsi="Calibri"/>
          <w:i/>
          <w:iCs/>
          <w:color w:val="00000A"/>
          <w:sz w:val="24"/>
          <w:szCs w:val="24"/>
        </w:rPr>
        <w:t xml:space="preserve">To what extent do cognitive development, puberty, mental health and peers influence children and young people’s risk-taking behaviours, and how can the conclusions drawn be used to inform youth work practice?’. </w:t>
      </w:r>
    </w:p>
    <w:p w14:paraId="647E372E" w14:textId="77777777" w:rsidR="00A44018" w:rsidRPr="00A44018" w:rsidRDefault="00A44018" w:rsidP="00A44018">
      <w:pPr>
        <w:spacing w:after="100" w:afterAutospacing="1" w:line="480" w:lineRule="auto"/>
        <w:jc w:val="both"/>
        <w:rPr>
          <w:rFonts w:ascii="Calibri" w:eastAsia="Calibri" w:hAnsi="Calibri"/>
          <w:color w:val="00000A"/>
          <w:sz w:val="24"/>
          <w:szCs w:val="24"/>
        </w:rPr>
      </w:pPr>
      <w:r w:rsidRPr="00A44018">
        <w:rPr>
          <w:rFonts w:ascii="Calibri" w:eastAsia="Calibri" w:hAnsi="Calibri"/>
          <w:color w:val="00000A"/>
          <w:sz w:val="24"/>
          <w:szCs w:val="24"/>
        </w:rPr>
        <w:t>A broad literature review on the themes of adolescent cognition, puberty, mental health and peer influence has shown that they all influence young people’s behaviour to a high degree.  The study is limited due to the vast range of risky behaviours and other themes that could have been examined.  Nevertheless, the large number of research studies that have been and continue to be undertaken on this topic demonstrates the continued and increasing concern for adolescent health and wellbeing, validating this research study.</w:t>
      </w:r>
    </w:p>
    <w:p w14:paraId="5917D98B" w14:textId="77777777" w:rsidR="00A44018" w:rsidRPr="00A44018" w:rsidRDefault="00A44018" w:rsidP="00A44018">
      <w:pPr>
        <w:spacing w:after="100" w:afterAutospacing="1" w:line="480" w:lineRule="auto"/>
        <w:jc w:val="both"/>
        <w:rPr>
          <w:rFonts w:ascii="Calibri" w:eastAsia="Calibri" w:hAnsi="Calibri"/>
          <w:color w:val="00000A"/>
          <w:sz w:val="24"/>
          <w:szCs w:val="24"/>
        </w:rPr>
      </w:pPr>
      <w:r w:rsidRPr="00A44018">
        <w:rPr>
          <w:rFonts w:ascii="Calibri" w:eastAsia="Calibri" w:hAnsi="Calibri"/>
          <w:color w:val="00000A"/>
          <w:sz w:val="24"/>
          <w:szCs w:val="24"/>
        </w:rPr>
        <w:t>The themes chosen for the purposes of this study do indeed offer predictors of risk-taking behaviour, and this is supported across a wide range of research.  The purpose of providing youth workers with these predictors is to enable prevention and intervention activities or programmes that could be targeted towards those most vulnerable to harmful risks.</w:t>
      </w:r>
    </w:p>
    <w:p w14:paraId="030190AD" w14:textId="77777777" w:rsidR="00A44018" w:rsidRPr="00A44018" w:rsidRDefault="00A44018" w:rsidP="00A44018">
      <w:pPr>
        <w:spacing w:after="100" w:afterAutospacing="1" w:line="480" w:lineRule="auto"/>
        <w:jc w:val="both"/>
        <w:rPr>
          <w:rFonts w:ascii="Calibri" w:eastAsia="Calibri" w:hAnsi="Calibri"/>
          <w:color w:val="00000A"/>
          <w:sz w:val="24"/>
          <w:szCs w:val="24"/>
        </w:rPr>
      </w:pPr>
      <w:r w:rsidRPr="00A44018">
        <w:rPr>
          <w:rFonts w:ascii="Calibri" w:eastAsia="Calibri" w:hAnsi="Calibri"/>
          <w:color w:val="00000A"/>
          <w:sz w:val="24"/>
          <w:szCs w:val="24"/>
        </w:rPr>
        <w:t>However, since youth work strategy is focussed on ages 11 to 25 (Welsh Government, 2019), the prevention of future adolescent health problems due to risk-taking behaviour falls firmly into the domain of schools and social care rather than youth work.  Based on the strong evidence revealed by this and previous studies it is very apparent that early interventions are required at primary school age and possibly earlier.</w:t>
      </w:r>
    </w:p>
    <w:p w14:paraId="6E17F4E4" w14:textId="77777777" w:rsidR="00A44018" w:rsidRPr="00A44018" w:rsidRDefault="00A44018" w:rsidP="00A44018">
      <w:pPr>
        <w:spacing w:after="100" w:afterAutospacing="1" w:line="480" w:lineRule="auto"/>
        <w:jc w:val="both"/>
        <w:rPr>
          <w:rFonts w:ascii="Calibri" w:eastAsia="Calibri" w:hAnsi="Calibri"/>
          <w:color w:val="00000A"/>
          <w:sz w:val="24"/>
          <w:szCs w:val="24"/>
        </w:rPr>
      </w:pPr>
      <w:r w:rsidRPr="00A44018">
        <w:rPr>
          <w:rFonts w:ascii="Calibri" w:eastAsia="Calibri" w:hAnsi="Calibri"/>
          <w:color w:val="00000A"/>
          <w:sz w:val="24"/>
          <w:szCs w:val="24"/>
        </w:rPr>
        <w:t xml:space="preserve">This leaves youth work with the opportunity to provide supplementary education to reinforce the positive life skills that young people have hopefully already learned and to mitigate </w:t>
      </w:r>
      <w:r w:rsidRPr="00A44018">
        <w:rPr>
          <w:rFonts w:ascii="Calibri" w:eastAsia="Calibri" w:hAnsi="Calibri"/>
          <w:color w:val="00000A"/>
          <w:sz w:val="24"/>
          <w:szCs w:val="24"/>
        </w:rPr>
        <w:lastRenderedPageBreak/>
        <w:t>against or stop the harmful risk behaviours that have not been prevented.  Thus, the emphasis is on education and intervention rather than prevention.</w:t>
      </w:r>
    </w:p>
    <w:p w14:paraId="281AC9F0" w14:textId="77777777" w:rsidR="00A44018" w:rsidRPr="00A44018" w:rsidRDefault="00A44018" w:rsidP="00A44018">
      <w:pPr>
        <w:spacing w:after="100" w:afterAutospacing="1" w:line="480" w:lineRule="auto"/>
        <w:jc w:val="both"/>
        <w:rPr>
          <w:rFonts w:ascii="Calibri" w:eastAsia="Calibri" w:hAnsi="Calibri"/>
          <w:sz w:val="24"/>
          <w:szCs w:val="24"/>
        </w:rPr>
      </w:pPr>
      <w:r w:rsidRPr="00A44018">
        <w:rPr>
          <w:rFonts w:ascii="Calibri" w:eastAsia="Calibri" w:hAnsi="Calibri"/>
          <w:color w:val="00000A"/>
          <w:sz w:val="24"/>
          <w:szCs w:val="24"/>
        </w:rPr>
        <w:t xml:space="preserve">The activities and interventions to be planned should focus on building children and young people’s developmental assets (Search Institute, 2021).  Some examples of these are provided in </w:t>
      </w:r>
      <w:r w:rsidRPr="00A44018">
        <w:rPr>
          <w:rFonts w:ascii="Calibri" w:eastAsia="Calibri" w:hAnsi="Calibri"/>
          <w:sz w:val="24"/>
          <w:szCs w:val="24"/>
        </w:rPr>
        <w:t>Appendix 3 offering useful age-appropriate checklists to help identify where children and young people might need additional help and support.</w:t>
      </w:r>
    </w:p>
    <w:p w14:paraId="26C1D761" w14:textId="77777777" w:rsidR="00A44018" w:rsidRPr="00A44018" w:rsidRDefault="00A44018" w:rsidP="00A44018">
      <w:pPr>
        <w:spacing w:after="100" w:afterAutospacing="1" w:line="480" w:lineRule="auto"/>
        <w:jc w:val="both"/>
        <w:rPr>
          <w:rFonts w:ascii="Calibri" w:eastAsia="Calibri" w:hAnsi="Calibri"/>
          <w:sz w:val="24"/>
          <w:szCs w:val="24"/>
        </w:rPr>
      </w:pPr>
      <w:r w:rsidRPr="00A44018">
        <w:rPr>
          <w:rFonts w:ascii="Calibri" w:eastAsia="Calibri" w:hAnsi="Calibri"/>
          <w:sz w:val="24"/>
          <w:szCs w:val="24"/>
        </w:rPr>
        <w:t xml:space="preserve">The workshops, games or activities should, the author suggests, be organised around the following five P’s: </w:t>
      </w:r>
    </w:p>
    <w:p w14:paraId="757059E2" w14:textId="77777777" w:rsidR="00A44018" w:rsidRPr="00A44018" w:rsidRDefault="00A44018" w:rsidP="00A44018">
      <w:pPr>
        <w:numPr>
          <w:ilvl w:val="0"/>
          <w:numId w:val="1"/>
        </w:numPr>
        <w:suppressLineNumbers/>
        <w:spacing w:before="120" w:after="120" w:afterAutospacing="1" w:line="480" w:lineRule="auto"/>
        <w:jc w:val="both"/>
        <w:rPr>
          <w:rFonts w:ascii="Calibri" w:eastAsia="Calibri" w:hAnsi="Calibri" w:cs="Arial"/>
          <w:sz w:val="24"/>
          <w:szCs w:val="24"/>
        </w:rPr>
      </w:pPr>
      <w:r w:rsidRPr="00A44018">
        <w:rPr>
          <w:rFonts w:ascii="Calibri" w:eastAsia="Calibri" w:hAnsi="Calibri" w:cs="Arial"/>
          <w:sz w:val="24"/>
          <w:szCs w:val="24"/>
        </w:rPr>
        <w:t>Physical and mental wellbeing – Physical activity, screen-time and sleep (</w:t>
      </w:r>
      <w:proofErr w:type="spellStart"/>
      <w:r w:rsidRPr="00A44018">
        <w:rPr>
          <w:rFonts w:ascii="Calibri" w:eastAsia="Calibri" w:hAnsi="Calibri" w:cs="Arial"/>
          <w:sz w:val="24"/>
          <w:szCs w:val="24"/>
        </w:rPr>
        <w:t>Sampasa-Kanyinga</w:t>
      </w:r>
      <w:proofErr w:type="spellEnd"/>
      <w:r w:rsidRPr="00A44018">
        <w:rPr>
          <w:rFonts w:ascii="Calibri" w:eastAsia="Calibri" w:hAnsi="Calibri" w:cs="Arial"/>
          <w:sz w:val="24"/>
          <w:szCs w:val="24"/>
        </w:rPr>
        <w:t xml:space="preserve">, Colman, Goldfield, Janssen, Wang, Tremblay, Barnes, Walsh and </w:t>
      </w:r>
      <w:proofErr w:type="spellStart"/>
      <w:r w:rsidRPr="00A44018">
        <w:rPr>
          <w:rFonts w:ascii="Calibri" w:eastAsia="Calibri" w:hAnsi="Calibri" w:cs="Arial"/>
          <w:sz w:val="24"/>
          <w:szCs w:val="24"/>
        </w:rPr>
        <w:t>Chaput</w:t>
      </w:r>
      <w:proofErr w:type="spellEnd"/>
      <w:r w:rsidRPr="00A44018">
        <w:rPr>
          <w:rFonts w:ascii="Calibri" w:eastAsia="Calibri" w:hAnsi="Calibri" w:cs="Arial"/>
          <w:sz w:val="24"/>
          <w:szCs w:val="24"/>
        </w:rPr>
        <w:t xml:space="preserve">, 2020) and healthy eating, managing emotions and coping strategies (Alcala-Herrera and </w:t>
      </w:r>
      <w:proofErr w:type="spellStart"/>
      <w:r w:rsidRPr="00A44018">
        <w:rPr>
          <w:rFonts w:ascii="Calibri" w:eastAsia="Calibri" w:hAnsi="Calibri" w:cs="Arial"/>
          <w:sz w:val="24"/>
          <w:szCs w:val="24"/>
        </w:rPr>
        <w:t>Marvan</w:t>
      </w:r>
      <w:proofErr w:type="spellEnd"/>
      <w:r w:rsidRPr="00A44018">
        <w:rPr>
          <w:rFonts w:ascii="Calibri" w:eastAsia="Calibri" w:hAnsi="Calibri" w:cs="Arial"/>
          <w:sz w:val="24"/>
          <w:szCs w:val="24"/>
        </w:rPr>
        <w:t xml:space="preserve">, 2014).  Keeping harmful health behaviours as a subset here, within which risks, danger and legal implications can be discussed versus young people’s core values, </w:t>
      </w:r>
    </w:p>
    <w:p w14:paraId="72353566" w14:textId="77777777" w:rsidR="00A44018" w:rsidRPr="00A44018" w:rsidRDefault="00A44018" w:rsidP="00A44018">
      <w:pPr>
        <w:numPr>
          <w:ilvl w:val="0"/>
          <w:numId w:val="1"/>
        </w:numPr>
        <w:suppressLineNumbers/>
        <w:spacing w:before="120" w:after="120" w:afterAutospacing="1" w:line="480" w:lineRule="auto"/>
        <w:jc w:val="both"/>
        <w:rPr>
          <w:rFonts w:ascii="Calibri" w:eastAsia="Calibri" w:hAnsi="Calibri" w:cs="Arial"/>
          <w:sz w:val="24"/>
          <w:szCs w:val="24"/>
        </w:rPr>
      </w:pPr>
      <w:r w:rsidRPr="00A44018">
        <w:rPr>
          <w:rFonts w:ascii="Calibri" w:eastAsia="Calibri" w:hAnsi="Calibri" w:cs="Arial"/>
          <w:sz w:val="24"/>
          <w:szCs w:val="24"/>
        </w:rPr>
        <w:t>Prosocial behaviour – Being considerate, sharing, being helpful and being kind (Connell, N., 2020),</w:t>
      </w:r>
    </w:p>
    <w:p w14:paraId="7E4E8575" w14:textId="77777777" w:rsidR="00A44018" w:rsidRPr="00A44018" w:rsidRDefault="00A44018" w:rsidP="00A44018">
      <w:pPr>
        <w:numPr>
          <w:ilvl w:val="0"/>
          <w:numId w:val="1"/>
        </w:numPr>
        <w:suppressLineNumbers/>
        <w:spacing w:before="120" w:after="120" w:afterAutospacing="1" w:line="480" w:lineRule="auto"/>
        <w:jc w:val="both"/>
        <w:rPr>
          <w:rFonts w:ascii="Calibri" w:eastAsia="Calibri" w:hAnsi="Calibri" w:cs="Arial"/>
          <w:sz w:val="24"/>
          <w:szCs w:val="24"/>
        </w:rPr>
      </w:pPr>
      <w:r w:rsidRPr="00A44018">
        <w:rPr>
          <w:rFonts w:ascii="Calibri" w:eastAsia="Calibri" w:hAnsi="Calibri" w:cs="Arial"/>
          <w:sz w:val="24"/>
          <w:szCs w:val="24"/>
        </w:rPr>
        <w:t>Participation – Young people having their voices heard, getting involved as co-producers in issues that matter to them such as climate change and their own health priorities (</w:t>
      </w:r>
      <w:proofErr w:type="spellStart"/>
      <w:r w:rsidRPr="00A44018">
        <w:rPr>
          <w:rFonts w:ascii="Calibri" w:eastAsia="Calibri" w:hAnsi="Calibri" w:cs="Arial"/>
          <w:sz w:val="24"/>
          <w:szCs w:val="24"/>
        </w:rPr>
        <w:t>Oketah</w:t>
      </w:r>
      <w:proofErr w:type="spellEnd"/>
      <w:r w:rsidRPr="00A44018">
        <w:rPr>
          <w:rFonts w:ascii="Calibri" w:eastAsia="Calibri" w:hAnsi="Calibri" w:cs="Arial"/>
          <w:sz w:val="24"/>
          <w:szCs w:val="24"/>
        </w:rPr>
        <w:t xml:space="preserve">, </w:t>
      </w:r>
      <w:proofErr w:type="spellStart"/>
      <w:r w:rsidRPr="00A44018">
        <w:rPr>
          <w:rFonts w:ascii="Calibri" w:eastAsia="Calibri" w:hAnsi="Calibri" w:cs="Arial"/>
          <w:sz w:val="24"/>
          <w:szCs w:val="24"/>
        </w:rPr>
        <w:t>Wokoma</w:t>
      </w:r>
      <w:proofErr w:type="spellEnd"/>
      <w:r w:rsidRPr="00A44018">
        <w:rPr>
          <w:rFonts w:ascii="Calibri" w:eastAsia="Calibri" w:hAnsi="Calibri" w:cs="Arial"/>
          <w:sz w:val="24"/>
          <w:szCs w:val="24"/>
        </w:rPr>
        <w:t xml:space="preserve">, Klein, </w:t>
      </w:r>
      <w:proofErr w:type="spellStart"/>
      <w:r w:rsidRPr="00A44018">
        <w:rPr>
          <w:rFonts w:ascii="Calibri" w:eastAsia="Calibri" w:hAnsi="Calibri" w:cs="Arial"/>
          <w:sz w:val="24"/>
          <w:szCs w:val="24"/>
        </w:rPr>
        <w:t>Galagali</w:t>
      </w:r>
      <w:proofErr w:type="spellEnd"/>
      <w:r w:rsidRPr="00A44018">
        <w:rPr>
          <w:rFonts w:ascii="Calibri" w:eastAsia="Calibri" w:hAnsi="Calibri" w:cs="Arial"/>
          <w:sz w:val="24"/>
          <w:szCs w:val="24"/>
        </w:rPr>
        <w:t xml:space="preserve">, Simpson and Offutt, 2021, YWWRG, 2018, </w:t>
      </w:r>
      <w:proofErr w:type="spellStart"/>
      <w:r w:rsidRPr="00A44018">
        <w:rPr>
          <w:rFonts w:ascii="Calibri" w:eastAsia="Calibri" w:hAnsi="Calibri" w:cs="Arial"/>
          <w:sz w:val="24"/>
          <w:szCs w:val="24"/>
        </w:rPr>
        <w:t>Unicef</w:t>
      </w:r>
      <w:proofErr w:type="spellEnd"/>
      <w:r w:rsidRPr="00A44018">
        <w:rPr>
          <w:rFonts w:ascii="Calibri" w:eastAsia="Calibri" w:hAnsi="Calibri" w:cs="Arial"/>
          <w:sz w:val="24"/>
          <w:szCs w:val="24"/>
        </w:rPr>
        <w:t xml:space="preserve">, 2019), </w:t>
      </w:r>
    </w:p>
    <w:p w14:paraId="2562E001" w14:textId="77777777" w:rsidR="00A44018" w:rsidRPr="00A44018" w:rsidRDefault="00A44018" w:rsidP="00A44018">
      <w:pPr>
        <w:numPr>
          <w:ilvl w:val="0"/>
          <w:numId w:val="1"/>
        </w:numPr>
        <w:suppressLineNumbers/>
        <w:spacing w:before="120" w:after="120" w:afterAutospacing="1" w:line="480" w:lineRule="auto"/>
        <w:jc w:val="both"/>
        <w:rPr>
          <w:rFonts w:ascii="Calibri" w:eastAsia="Calibri" w:hAnsi="Calibri" w:cs="Arial"/>
          <w:sz w:val="24"/>
          <w:szCs w:val="24"/>
        </w:rPr>
      </w:pPr>
      <w:r w:rsidRPr="00A44018">
        <w:rPr>
          <w:rFonts w:ascii="Calibri" w:eastAsia="Calibri" w:hAnsi="Calibri" w:cs="Arial"/>
          <w:sz w:val="24"/>
          <w:szCs w:val="24"/>
        </w:rPr>
        <w:t>Positive risk-taking – trying something new that extends young people’s current boundaries, and</w:t>
      </w:r>
    </w:p>
    <w:p w14:paraId="5D383BA3" w14:textId="77777777" w:rsidR="00A44018" w:rsidRPr="00A44018" w:rsidRDefault="00A44018" w:rsidP="00A44018">
      <w:pPr>
        <w:numPr>
          <w:ilvl w:val="0"/>
          <w:numId w:val="1"/>
        </w:numPr>
        <w:suppressLineNumbers/>
        <w:spacing w:before="120" w:after="120" w:afterAutospacing="1" w:line="480" w:lineRule="auto"/>
        <w:jc w:val="both"/>
        <w:rPr>
          <w:rFonts w:ascii="Calibri" w:eastAsia="Calibri" w:hAnsi="Calibri" w:cs="Arial"/>
          <w:sz w:val="24"/>
          <w:szCs w:val="24"/>
        </w:rPr>
      </w:pPr>
      <w:r w:rsidRPr="00A44018">
        <w:rPr>
          <w:rFonts w:ascii="Calibri" w:eastAsia="Calibri" w:hAnsi="Calibri" w:cs="Arial"/>
          <w:sz w:val="24"/>
          <w:szCs w:val="24"/>
        </w:rPr>
        <w:lastRenderedPageBreak/>
        <w:t xml:space="preserve">Peers – running activities with peer groups, exploring peer selection, using volunteering to create role models and to encourage positive yet passive peer influence.  </w:t>
      </w:r>
    </w:p>
    <w:p w14:paraId="5154BBAC" w14:textId="77777777" w:rsidR="00A44018" w:rsidRPr="00A44018" w:rsidRDefault="00A44018" w:rsidP="00A44018">
      <w:pPr>
        <w:spacing w:after="100" w:afterAutospacing="1" w:line="480" w:lineRule="auto"/>
        <w:jc w:val="both"/>
        <w:rPr>
          <w:rFonts w:ascii="Calibri" w:eastAsia="Calibri" w:hAnsi="Calibri"/>
          <w:sz w:val="24"/>
          <w:szCs w:val="24"/>
        </w:rPr>
      </w:pPr>
      <w:r w:rsidRPr="00A44018">
        <w:rPr>
          <w:rFonts w:ascii="Calibri" w:eastAsia="Calibri" w:hAnsi="Calibri"/>
          <w:color w:val="00000A"/>
          <w:sz w:val="24"/>
          <w:szCs w:val="24"/>
        </w:rPr>
        <w:t>Much of the research reviewed for this dissertation includes ideas and experiments with interventions and prevention programmes, and these can be found in both the referenced literature and via th</w:t>
      </w:r>
      <w:r w:rsidRPr="00A44018">
        <w:rPr>
          <w:rFonts w:ascii="Calibri" w:eastAsia="Calibri" w:hAnsi="Calibri"/>
          <w:sz w:val="24"/>
          <w:szCs w:val="24"/>
        </w:rPr>
        <w:t xml:space="preserve">e Bibliography.   </w:t>
      </w:r>
    </w:p>
    <w:p w14:paraId="3AB09F0F" w14:textId="77777777" w:rsidR="00A44018" w:rsidRPr="00A44018" w:rsidRDefault="00A44018" w:rsidP="00A44018">
      <w:pPr>
        <w:spacing w:after="100" w:afterAutospacing="1" w:line="480" w:lineRule="auto"/>
        <w:jc w:val="both"/>
        <w:rPr>
          <w:rFonts w:ascii="Calibri" w:eastAsia="Calibri" w:hAnsi="Calibri"/>
          <w:color w:val="00000A"/>
          <w:sz w:val="24"/>
          <w:szCs w:val="24"/>
        </w:rPr>
      </w:pPr>
      <w:r w:rsidRPr="00A44018">
        <w:rPr>
          <w:rFonts w:ascii="Calibri" w:eastAsia="Calibri" w:hAnsi="Calibri"/>
          <w:color w:val="00000A"/>
          <w:sz w:val="24"/>
          <w:szCs w:val="24"/>
        </w:rPr>
        <w:t xml:space="preserve">The author’s recommendations for youth work practice include: </w:t>
      </w:r>
    </w:p>
    <w:p w14:paraId="24D2D9AB" w14:textId="77777777" w:rsidR="00A44018" w:rsidRPr="00A44018" w:rsidRDefault="00A44018" w:rsidP="00A44018">
      <w:pPr>
        <w:numPr>
          <w:ilvl w:val="0"/>
          <w:numId w:val="2"/>
        </w:numPr>
        <w:suppressLineNumbers/>
        <w:spacing w:before="120" w:after="120" w:afterAutospacing="1" w:line="480" w:lineRule="auto"/>
        <w:jc w:val="both"/>
        <w:rPr>
          <w:rFonts w:ascii="Calibri" w:eastAsia="Calibri" w:hAnsi="Calibri" w:cs="Arial"/>
          <w:color w:val="00000A"/>
          <w:sz w:val="24"/>
          <w:szCs w:val="24"/>
        </w:rPr>
      </w:pPr>
      <w:proofErr w:type="gramStart"/>
      <w:r w:rsidRPr="00A44018">
        <w:rPr>
          <w:rFonts w:ascii="Calibri" w:eastAsia="Calibri" w:hAnsi="Calibri" w:cs="Arial"/>
          <w:color w:val="00000A"/>
          <w:sz w:val="24"/>
          <w:szCs w:val="24"/>
        </w:rPr>
        <w:t>Making a contribution</w:t>
      </w:r>
      <w:proofErr w:type="gramEnd"/>
      <w:r w:rsidRPr="00A44018">
        <w:rPr>
          <w:rFonts w:ascii="Calibri" w:eastAsia="Calibri" w:hAnsi="Calibri" w:cs="Arial"/>
          <w:color w:val="00000A"/>
          <w:sz w:val="24"/>
          <w:szCs w:val="24"/>
        </w:rPr>
        <w:t xml:space="preserve"> to work on early intervention and prevention in primary schools, should this be requested and funded.  Local authority youth services and the voluntary sector have an opportunity to form partnerships with primary schools in this regard and can provide complementary services.  Challenging youth work strategy and policy makers to enable youth work to be inclusive of children younger than age 11. </w:t>
      </w:r>
    </w:p>
    <w:p w14:paraId="47F53915" w14:textId="77777777" w:rsidR="00A44018" w:rsidRPr="00A44018" w:rsidRDefault="00A44018" w:rsidP="00A44018">
      <w:pPr>
        <w:numPr>
          <w:ilvl w:val="0"/>
          <w:numId w:val="2"/>
        </w:numPr>
        <w:suppressLineNumbers/>
        <w:spacing w:before="120" w:after="120" w:afterAutospacing="1" w:line="480" w:lineRule="auto"/>
        <w:jc w:val="both"/>
        <w:rPr>
          <w:rFonts w:ascii="Calibri" w:eastAsia="Calibri" w:hAnsi="Calibri" w:cs="Arial"/>
          <w:color w:val="00000A"/>
          <w:sz w:val="24"/>
          <w:szCs w:val="24"/>
        </w:rPr>
      </w:pPr>
      <w:r w:rsidRPr="00A44018">
        <w:rPr>
          <w:rFonts w:ascii="Calibri" w:eastAsia="Calibri" w:hAnsi="Calibri" w:cs="Arial"/>
          <w:color w:val="00000A"/>
          <w:sz w:val="24"/>
          <w:szCs w:val="24"/>
        </w:rPr>
        <w:t xml:space="preserve">Providing a wide range of enjoyable, interactive and autonomous learning opportunities for young people, especially younger adolescents, that do not focus on harmful behaviours but that build on and emphasise their personal strengths, encourage positive risk-taking, prosocial behaviour, positive peer selection and protective mechanisms.  </w:t>
      </w:r>
    </w:p>
    <w:p w14:paraId="259BAACE" w14:textId="77777777" w:rsidR="00A44018" w:rsidRPr="00A44018" w:rsidRDefault="00A44018" w:rsidP="00A44018">
      <w:pPr>
        <w:numPr>
          <w:ilvl w:val="0"/>
          <w:numId w:val="2"/>
        </w:numPr>
        <w:suppressLineNumbers/>
        <w:spacing w:before="120" w:after="120" w:afterAutospacing="1" w:line="480" w:lineRule="auto"/>
        <w:jc w:val="both"/>
        <w:rPr>
          <w:rFonts w:ascii="Calibri" w:eastAsia="Calibri" w:hAnsi="Calibri" w:cs="Arial"/>
          <w:color w:val="00000A"/>
          <w:sz w:val="24"/>
          <w:szCs w:val="24"/>
        </w:rPr>
      </w:pPr>
      <w:r w:rsidRPr="00A44018">
        <w:rPr>
          <w:rFonts w:ascii="Calibri" w:eastAsia="Calibri" w:hAnsi="Calibri" w:cs="Arial"/>
          <w:color w:val="00000A"/>
          <w:sz w:val="24"/>
          <w:szCs w:val="24"/>
        </w:rPr>
        <w:t>Providing mental health support throughout adolescence using a variety of methods and a range of platforms, tools and partners, as we have learned to do during the Covid-19 pandemic.</w:t>
      </w:r>
    </w:p>
    <w:p w14:paraId="5FF461F2" w14:textId="77777777" w:rsidR="00A44018" w:rsidRPr="00A44018" w:rsidRDefault="00A44018" w:rsidP="00A44018">
      <w:pPr>
        <w:numPr>
          <w:ilvl w:val="0"/>
          <w:numId w:val="2"/>
        </w:numPr>
        <w:suppressLineNumbers/>
        <w:spacing w:before="120" w:after="120" w:afterAutospacing="1" w:line="480" w:lineRule="auto"/>
        <w:jc w:val="both"/>
        <w:rPr>
          <w:rFonts w:ascii="Calibri" w:eastAsia="Calibri" w:hAnsi="Calibri" w:cs="Arial"/>
          <w:color w:val="00000A"/>
          <w:sz w:val="24"/>
          <w:szCs w:val="24"/>
        </w:rPr>
      </w:pPr>
      <w:r w:rsidRPr="00A44018">
        <w:rPr>
          <w:rFonts w:ascii="Calibri" w:eastAsia="Calibri" w:hAnsi="Calibri" w:cs="Arial"/>
          <w:color w:val="00000A"/>
          <w:sz w:val="24"/>
          <w:szCs w:val="24"/>
        </w:rPr>
        <w:t xml:space="preserve">Building strong relationships with young people.  Dedicating time to reflect on the youngest adolescents and how the predictors of risk-taking behaviour relate to them.  </w:t>
      </w:r>
      <w:r w:rsidRPr="00A44018">
        <w:rPr>
          <w:rFonts w:ascii="Calibri" w:eastAsia="Calibri" w:hAnsi="Calibri" w:cs="Arial"/>
          <w:color w:val="00000A"/>
          <w:sz w:val="24"/>
          <w:szCs w:val="24"/>
        </w:rPr>
        <w:lastRenderedPageBreak/>
        <w:t xml:space="preserve">Identifying Wally if he is present, but also his friends and his siblings, and reflecting on them too.  Remembering that every child and young person is unique.  </w:t>
      </w:r>
    </w:p>
    <w:p w14:paraId="3D5E7B33" w14:textId="77777777" w:rsidR="00A44018" w:rsidRPr="00A44018" w:rsidRDefault="00A44018" w:rsidP="00A44018">
      <w:pPr>
        <w:spacing w:after="100" w:afterAutospacing="1" w:line="480" w:lineRule="auto"/>
        <w:jc w:val="both"/>
        <w:rPr>
          <w:rFonts w:ascii="Calibri" w:eastAsia="Calibri" w:hAnsi="Calibri"/>
          <w:color w:val="00000A"/>
          <w:sz w:val="24"/>
          <w:szCs w:val="24"/>
        </w:rPr>
      </w:pPr>
      <w:r w:rsidRPr="00A44018">
        <w:rPr>
          <w:rFonts w:ascii="Calibri" w:eastAsia="Calibri" w:hAnsi="Calibri"/>
          <w:color w:val="00000A"/>
          <w:sz w:val="24"/>
          <w:szCs w:val="24"/>
        </w:rPr>
        <w:t xml:space="preserve">Finally, fresh research findings are emerging now regarding the effects of the global pandemic on children and young people and the way they think, feel and behave.  In a world where young people have lost confidence in adults’ ability to protect them from harms such as Covid-19, taking them out of school and isolating them from friends, where they are also faced with the global climate emergency, there are bound to be repercussions for young people’s wellbeing for years to come.  Risk-taking is an essential and inevitable part of growing up and whether on impulse or by intent, young people will continue to make decisions that lead to harmful risk-taking behaviours and youth work will still have an important role to play to keep young people safe and happy. </w:t>
      </w:r>
    </w:p>
    <w:p w14:paraId="3C44044C" w14:textId="77777777" w:rsidR="00DE3571" w:rsidRDefault="00DE3571"/>
    <w:sectPr w:rsidR="00DE357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6D38F3"/>
    <w:multiLevelType w:val="hybridMultilevel"/>
    <w:tmpl w:val="077EB7A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31302CDD"/>
    <w:multiLevelType w:val="hybridMultilevel"/>
    <w:tmpl w:val="AE7C3CA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4018"/>
    <w:rsid w:val="00A44018"/>
    <w:rsid w:val="00DE35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804D01"/>
  <w15:chartTrackingRefBased/>
  <w15:docId w15:val="{FB1D84CD-8D80-4D93-BFBA-8B4194E717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41</Pages>
  <Words>10880</Words>
  <Characters>62017</Characters>
  <Application>Microsoft Office Word</Application>
  <DocSecurity>0</DocSecurity>
  <Lines>516</Lines>
  <Paragraphs>145</Paragraphs>
  <ScaleCrop>false</ScaleCrop>
  <Company/>
  <LinksUpToDate>false</LinksUpToDate>
  <CharactersWithSpaces>72752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 Lines</dc:creator>
  <cp:keywords/>
  <dc:description/>
  <cp:lastModifiedBy>Sue Lines</cp:lastModifiedBy>
  <cp:revision>1</cp:revision>
  <dcterms:created xsi:type="dcterms:W3CDTF">2021-07-08T13:35:00Z</dcterms:created>
  <dcterms:modified xsi:type="dcterms:W3CDTF">2021-07-08T13:35:00Z</dcterms:modified>
</cp:coreProperties>
</file>