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D8D812"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Qualification: CIPD Diploma in Applied Human Resources</w:t>
      </w:r>
    </w:p>
    <w:p w14:paraId="0DE5EBBB" w14:textId="77777777" w:rsidR="00797063" w:rsidRPr="00797063" w:rsidRDefault="00797063" w:rsidP="00797063">
      <w:pPr>
        <w:rPr>
          <w:rFonts w:ascii="Arial" w:hAnsi="Arial" w:cs="Arial"/>
          <w:color w:val="000000" w:themeColor="text1"/>
          <w:sz w:val="28"/>
          <w:szCs w:val="28"/>
        </w:rPr>
      </w:pPr>
    </w:p>
    <w:p w14:paraId="48911975" w14:textId="0D1865B3" w:rsidR="00797063" w:rsidRDefault="00797063" w:rsidP="00797063">
      <w:pPr>
        <w:rPr>
          <w:rFonts w:ascii="Arial" w:hAnsi="Arial" w:cs="Arial"/>
          <w:sz w:val="28"/>
          <w:szCs w:val="28"/>
        </w:rPr>
      </w:pPr>
      <w:r w:rsidRPr="00797063">
        <w:rPr>
          <w:rFonts w:ascii="Arial" w:hAnsi="Arial" w:cs="Arial"/>
          <w:color w:val="000000" w:themeColor="text1"/>
          <w:sz w:val="28"/>
          <w:szCs w:val="28"/>
        </w:rPr>
        <w:t xml:space="preserve">Module Name: </w:t>
      </w:r>
      <w:r w:rsidRPr="00797063">
        <w:rPr>
          <w:rFonts w:ascii="Arial" w:hAnsi="Arial" w:cs="Arial"/>
          <w:sz w:val="28"/>
          <w:szCs w:val="28"/>
        </w:rPr>
        <w:t xml:space="preserve">Understanding </w:t>
      </w:r>
      <w:r>
        <w:rPr>
          <w:rFonts w:ascii="Arial" w:hAnsi="Arial" w:cs="Arial"/>
          <w:sz w:val="28"/>
          <w:szCs w:val="28"/>
        </w:rPr>
        <w:t>Employee Engagement</w:t>
      </w:r>
    </w:p>
    <w:p w14:paraId="7C024044" w14:textId="368174B1" w:rsidR="00797063" w:rsidRPr="00797063" w:rsidRDefault="00797063" w:rsidP="00797063">
      <w:pPr>
        <w:rPr>
          <w:rFonts w:ascii="Arial" w:hAnsi="Arial" w:cs="Arial"/>
          <w:b/>
          <w:bCs/>
          <w:sz w:val="28"/>
          <w:szCs w:val="28"/>
        </w:rPr>
      </w:pPr>
      <w:r>
        <w:rPr>
          <w:rFonts w:ascii="Arial" w:hAnsi="Arial" w:cs="Arial"/>
          <w:b/>
          <w:bCs/>
          <w:sz w:val="28"/>
          <w:szCs w:val="28"/>
        </w:rPr>
        <w:t>On the Job: Activity one, Activity two, Activity three</w:t>
      </w:r>
    </w:p>
    <w:p w14:paraId="018A8403" w14:textId="77777777" w:rsidR="00797063" w:rsidRPr="00797063" w:rsidRDefault="00797063" w:rsidP="00797063">
      <w:pPr>
        <w:rPr>
          <w:rFonts w:ascii="Arial" w:hAnsi="Arial" w:cs="Arial"/>
          <w:color w:val="000000" w:themeColor="text1"/>
          <w:sz w:val="28"/>
          <w:szCs w:val="28"/>
        </w:rPr>
      </w:pPr>
    </w:p>
    <w:p w14:paraId="39F706C9" w14:textId="77777777" w:rsidR="00797063" w:rsidRPr="00797063" w:rsidRDefault="00797063" w:rsidP="00797063">
      <w:pPr>
        <w:rPr>
          <w:rFonts w:ascii="Arial" w:hAnsi="Arial" w:cs="Arial"/>
          <w:color w:val="000000" w:themeColor="text1"/>
          <w:sz w:val="28"/>
          <w:szCs w:val="28"/>
        </w:rPr>
      </w:pPr>
    </w:p>
    <w:p w14:paraId="54CC207D" w14:textId="37225634" w:rsid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 xml:space="preserve">Word count: </w:t>
      </w:r>
    </w:p>
    <w:p w14:paraId="61529E52" w14:textId="79BC03C1" w:rsidR="00797063" w:rsidRDefault="00797063" w:rsidP="00797063">
      <w:pPr>
        <w:rPr>
          <w:rFonts w:ascii="Arial" w:hAnsi="Arial" w:cs="Arial"/>
          <w:b/>
          <w:bCs/>
          <w:color w:val="000000" w:themeColor="text1"/>
          <w:sz w:val="28"/>
          <w:szCs w:val="28"/>
        </w:rPr>
      </w:pPr>
      <w:r>
        <w:rPr>
          <w:rFonts w:ascii="Arial" w:hAnsi="Arial" w:cs="Arial"/>
          <w:b/>
          <w:bCs/>
          <w:color w:val="000000" w:themeColor="text1"/>
          <w:sz w:val="28"/>
          <w:szCs w:val="28"/>
        </w:rPr>
        <w:t>Activity one: 8</w:t>
      </w:r>
      <w:r w:rsidR="00B11102">
        <w:rPr>
          <w:rFonts w:ascii="Arial" w:hAnsi="Arial" w:cs="Arial"/>
          <w:b/>
          <w:bCs/>
          <w:color w:val="000000" w:themeColor="text1"/>
          <w:sz w:val="28"/>
          <w:szCs w:val="28"/>
        </w:rPr>
        <w:t>22</w:t>
      </w:r>
      <w:r>
        <w:rPr>
          <w:rFonts w:ascii="Arial" w:hAnsi="Arial" w:cs="Arial"/>
          <w:b/>
          <w:bCs/>
          <w:color w:val="000000" w:themeColor="text1"/>
          <w:sz w:val="28"/>
          <w:szCs w:val="28"/>
        </w:rPr>
        <w:t xml:space="preserve"> words</w:t>
      </w:r>
    </w:p>
    <w:p w14:paraId="4BC19833" w14:textId="49A22BE2" w:rsidR="00797063" w:rsidRDefault="00797063" w:rsidP="00797063">
      <w:pPr>
        <w:rPr>
          <w:rFonts w:ascii="Arial" w:hAnsi="Arial" w:cs="Arial"/>
          <w:b/>
          <w:bCs/>
          <w:color w:val="000000" w:themeColor="text1"/>
          <w:sz w:val="28"/>
          <w:szCs w:val="28"/>
        </w:rPr>
      </w:pPr>
      <w:r>
        <w:rPr>
          <w:rFonts w:ascii="Arial" w:hAnsi="Arial" w:cs="Arial"/>
          <w:b/>
          <w:bCs/>
          <w:color w:val="000000" w:themeColor="text1"/>
          <w:sz w:val="28"/>
          <w:szCs w:val="28"/>
        </w:rPr>
        <w:t xml:space="preserve">Activity two: </w:t>
      </w:r>
      <w:r w:rsidR="00B11102">
        <w:rPr>
          <w:rFonts w:ascii="Arial" w:hAnsi="Arial" w:cs="Arial"/>
          <w:b/>
          <w:bCs/>
          <w:color w:val="000000" w:themeColor="text1"/>
          <w:sz w:val="28"/>
          <w:szCs w:val="28"/>
        </w:rPr>
        <w:t>501</w:t>
      </w:r>
      <w:r>
        <w:rPr>
          <w:rFonts w:ascii="Arial" w:hAnsi="Arial" w:cs="Arial"/>
          <w:b/>
          <w:bCs/>
          <w:color w:val="000000" w:themeColor="text1"/>
          <w:sz w:val="28"/>
          <w:szCs w:val="28"/>
        </w:rPr>
        <w:t xml:space="preserve"> words</w:t>
      </w:r>
    </w:p>
    <w:p w14:paraId="76C1738A" w14:textId="3CD2F690" w:rsidR="00797063" w:rsidRPr="00797063" w:rsidRDefault="00797063" w:rsidP="00797063">
      <w:pPr>
        <w:rPr>
          <w:rFonts w:ascii="Arial" w:hAnsi="Arial" w:cs="Arial"/>
          <w:b/>
          <w:bCs/>
          <w:color w:val="000000" w:themeColor="text1"/>
          <w:sz w:val="28"/>
          <w:szCs w:val="28"/>
        </w:rPr>
      </w:pPr>
      <w:r>
        <w:rPr>
          <w:rFonts w:ascii="Arial" w:hAnsi="Arial" w:cs="Arial"/>
          <w:b/>
          <w:bCs/>
          <w:color w:val="000000" w:themeColor="text1"/>
          <w:sz w:val="28"/>
          <w:szCs w:val="28"/>
        </w:rPr>
        <w:t>Activity three: 2</w:t>
      </w:r>
      <w:r w:rsidR="00B11102">
        <w:rPr>
          <w:rFonts w:ascii="Arial" w:hAnsi="Arial" w:cs="Arial"/>
          <w:b/>
          <w:bCs/>
          <w:color w:val="000000" w:themeColor="text1"/>
          <w:sz w:val="28"/>
          <w:szCs w:val="28"/>
        </w:rPr>
        <w:t>94</w:t>
      </w:r>
      <w:r>
        <w:rPr>
          <w:rFonts w:ascii="Arial" w:hAnsi="Arial" w:cs="Arial"/>
          <w:b/>
          <w:bCs/>
          <w:color w:val="000000" w:themeColor="text1"/>
          <w:sz w:val="28"/>
          <w:szCs w:val="28"/>
        </w:rPr>
        <w:t xml:space="preserve"> words</w:t>
      </w:r>
    </w:p>
    <w:p w14:paraId="36074E0D" w14:textId="77777777" w:rsidR="00797063" w:rsidRPr="00797063" w:rsidRDefault="00797063" w:rsidP="00797063">
      <w:pPr>
        <w:rPr>
          <w:rFonts w:ascii="Arial" w:hAnsi="Arial" w:cs="Arial"/>
          <w:color w:val="000000" w:themeColor="text1"/>
          <w:sz w:val="28"/>
          <w:szCs w:val="28"/>
        </w:rPr>
      </w:pPr>
    </w:p>
    <w:p w14:paraId="514A1F1D" w14:textId="77777777" w:rsidR="00797063" w:rsidRPr="00797063" w:rsidRDefault="00797063" w:rsidP="00797063">
      <w:pPr>
        <w:rPr>
          <w:rFonts w:ascii="Arial" w:hAnsi="Arial" w:cs="Arial"/>
          <w:color w:val="000000" w:themeColor="text1"/>
          <w:sz w:val="28"/>
          <w:szCs w:val="28"/>
        </w:rPr>
      </w:pPr>
    </w:p>
    <w:p w14:paraId="239885EF"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 xml:space="preserve">Student Name: Joanne Thomas </w:t>
      </w:r>
    </w:p>
    <w:p w14:paraId="2D56F8F8"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Student Number: 1403229</w:t>
      </w:r>
    </w:p>
    <w:p w14:paraId="7C99FF15"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 xml:space="preserve">CIPD Membership Number: </w:t>
      </w:r>
      <w:r w:rsidRPr="00797063">
        <w:rPr>
          <w:rFonts w:ascii="Arial" w:hAnsi="Arial" w:cs="Arial"/>
          <w:bCs/>
          <w:color w:val="000000" w:themeColor="text1"/>
          <w:sz w:val="28"/>
          <w:szCs w:val="28"/>
          <w:shd w:val="clear" w:color="auto" w:fill="FFFFFF"/>
        </w:rPr>
        <w:t>53274130</w:t>
      </w:r>
    </w:p>
    <w:p w14:paraId="3ADBC34A" w14:textId="77777777" w:rsidR="00797063" w:rsidRPr="00797063" w:rsidRDefault="00797063" w:rsidP="00797063">
      <w:pPr>
        <w:rPr>
          <w:rFonts w:ascii="Arial" w:hAnsi="Arial" w:cs="Arial"/>
          <w:color w:val="000000" w:themeColor="text1"/>
          <w:sz w:val="28"/>
          <w:szCs w:val="28"/>
        </w:rPr>
      </w:pPr>
    </w:p>
    <w:p w14:paraId="1BDFAEB3"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6F3DC112" w14:textId="77777777" w:rsidR="00797063" w:rsidRPr="00797063" w:rsidRDefault="00797063" w:rsidP="00797063">
      <w:pPr>
        <w:rPr>
          <w:rFonts w:ascii="Arial" w:hAnsi="Arial" w:cs="Arial"/>
          <w:color w:val="000000" w:themeColor="text1"/>
          <w:sz w:val="28"/>
          <w:szCs w:val="28"/>
        </w:rPr>
      </w:pPr>
    </w:p>
    <w:p w14:paraId="2F24CAA6" w14:textId="77777777" w:rsidR="00797063" w:rsidRPr="00797063" w:rsidRDefault="00797063" w:rsidP="00797063">
      <w:pPr>
        <w:rPr>
          <w:rFonts w:ascii="Arial" w:hAnsi="Arial" w:cs="Arial"/>
          <w:color w:val="000000" w:themeColor="text1"/>
          <w:sz w:val="28"/>
          <w:szCs w:val="28"/>
        </w:rPr>
      </w:pPr>
      <w:r w:rsidRPr="00797063">
        <w:rPr>
          <w:rFonts w:ascii="Arial" w:hAnsi="Arial" w:cs="Arial"/>
          <w:color w:val="000000" w:themeColor="text1"/>
          <w:sz w:val="28"/>
          <w:szCs w:val="28"/>
        </w:rPr>
        <w:t xml:space="preserve">Signed: </w:t>
      </w:r>
      <w:r w:rsidRPr="00797063">
        <w:rPr>
          <w:noProof/>
          <w:sz w:val="28"/>
          <w:szCs w:val="28"/>
          <w:lang w:eastAsia="en-GB"/>
        </w:rPr>
        <w:drawing>
          <wp:inline distT="0" distB="0" distL="0" distR="0" wp14:anchorId="712BAE5B" wp14:editId="33CCD66A">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143000" cy="523875"/>
                    </a:xfrm>
                    <a:prstGeom prst="rect">
                      <a:avLst/>
                    </a:prstGeom>
                  </pic:spPr>
                </pic:pic>
              </a:graphicData>
            </a:graphic>
          </wp:inline>
        </w:drawing>
      </w:r>
      <w:r w:rsidRPr="00797063">
        <w:rPr>
          <w:rFonts w:ascii="Arial" w:hAnsi="Arial" w:cs="Arial"/>
          <w:color w:val="000000" w:themeColor="text1"/>
          <w:sz w:val="28"/>
          <w:szCs w:val="28"/>
        </w:rPr>
        <w:t xml:space="preserve"> J. Thomas</w:t>
      </w:r>
    </w:p>
    <w:p w14:paraId="04B52A28" w14:textId="25EBF6E1" w:rsidR="00797063" w:rsidRDefault="00797063" w:rsidP="00797063">
      <w:pPr>
        <w:rPr>
          <w:rFonts w:ascii="Arial" w:hAnsi="Arial" w:cs="Arial"/>
          <w:b/>
          <w:bCs/>
          <w:sz w:val="28"/>
          <w:szCs w:val="28"/>
          <w:u w:val="single"/>
        </w:rPr>
      </w:pPr>
      <w:r w:rsidRPr="00797063">
        <w:rPr>
          <w:rFonts w:ascii="Arial" w:hAnsi="Arial" w:cs="Arial"/>
          <w:color w:val="000000" w:themeColor="text1"/>
          <w:sz w:val="28"/>
          <w:szCs w:val="28"/>
        </w:rPr>
        <w:t xml:space="preserve">Date: </w:t>
      </w:r>
      <w:r>
        <w:rPr>
          <w:rFonts w:ascii="Arial" w:hAnsi="Arial" w:cs="Arial"/>
          <w:color w:val="000000" w:themeColor="text1"/>
          <w:sz w:val="28"/>
          <w:szCs w:val="28"/>
        </w:rPr>
        <w:t>26</w:t>
      </w:r>
      <w:r w:rsidRPr="00797063">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May 2020</w:t>
      </w:r>
      <w:r>
        <w:rPr>
          <w:rFonts w:ascii="Arial" w:hAnsi="Arial" w:cs="Arial"/>
          <w:b/>
          <w:bCs/>
          <w:sz w:val="28"/>
          <w:szCs w:val="28"/>
          <w:u w:val="single"/>
        </w:rPr>
        <w:br w:type="page"/>
      </w:r>
    </w:p>
    <w:p w14:paraId="11CA5902" w14:textId="6C07DCF9" w:rsidR="001C065B" w:rsidRPr="00AA5082" w:rsidRDefault="00AA5082" w:rsidP="00AA5082">
      <w:pPr>
        <w:jc w:val="center"/>
        <w:rPr>
          <w:rFonts w:ascii="Arial" w:hAnsi="Arial" w:cs="Arial"/>
          <w:b/>
          <w:bCs/>
          <w:sz w:val="28"/>
          <w:szCs w:val="28"/>
          <w:u w:val="single"/>
        </w:rPr>
      </w:pPr>
      <w:r w:rsidRPr="00AA5082">
        <w:rPr>
          <w:rFonts w:ascii="Arial" w:hAnsi="Arial" w:cs="Arial"/>
          <w:b/>
          <w:bCs/>
          <w:sz w:val="28"/>
          <w:szCs w:val="28"/>
          <w:u w:val="single"/>
        </w:rPr>
        <w:lastRenderedPageBreak/>
        <w:t>On the Job Training</w:t>
      </w:r>
    </w:p>
    <w:p w14:paraId="02908B38" w14:textId="65DFC552" w:rsidR="00AA5082" w:rsidRPr="00AA5082" w:rsidRDefault="00AA5082" w:rsidP="00AA5082">
      <w:pPr>
        <w:rPr>
          <w:rFonts w:ascii="Arial" w:hAnsi="Arial" w:cs="Arial"/>
          <w:b/>
          <w:bCs/>
          <w:sz w:val="28"/>
          <w:szCs w:val="28"/>
          <w:u w:val="single"/>
        </w:rPr>
      </w:pPr>
      <w:r w:rsidRPr="00AA5082">
        <w:rPr>
          <w:rFonts w:ascii="Arial" w:hAnsi="Arial" w:cs="Arial"/>
          <w:b/>
          <w:bCs/>
          <w:sz w:val="28"/>
          <w:szCs w:val="28"/>
          <w:u w:val="single"/>
        </w:rPr>
        <w:t>Activity one</w:t>
      </w:r>
    </w:p>
    <w:p w14:paraId="14F0E9B7" w14:textId="686AD7D3" w:rsidR="00AA5082" w:rsidRPr="00AA5082" w:rsidRDefault="00AA5082" w:rsidP="00AA5082">
      <w:pPr>
        <w:rPr>
          <w:rFonts w:ascii="Arial" w:hAnsi="Arial" w:cs="Arial"/>
          <w:sz w:val="24"/>
          <w:szCs w:val="24"/>
        </w:rPr>
      </w:pPr>
      <w:r w:rsidRPr="00AA5082">
        <w:rPr>
          <w:rFonts w:ascii="Arial" w:hAnsi="Arial" w:cs="Arial"/>
          <w:sz w:val="24"/>
          <w:szCs w:val="24"/>
        </w:rPr>
        <w:t xml:space="preserve">Bridger (2018) describes a transactional engagement approach as a reactive set of transactions, usually in response to an engagement survey, in order to improve engagement often through a project with an end date. Whereas, a transformational engagement approach is integrated into strategy and culture; improving engagement is part of the culture therefore, a survey is not always required to understand how employees feel. MacLeod and Clarke (2009) highlight the importance of using a measurement tool to measure engagement, in order to address identified issues and analyse what has contributed to their success. However, MacLeod and Clarke noted a number of respondents to their research recognise instinct and judgement is equally important when measuring engagement. </w:t>
      </w:r>
    </w:p>
    <w:p w14:paraId="7942C062" w14:textId="38FAB4C9" w:rsidR="00AA5082" w:rsidRPr="00AA5082" w:rsidRDefault="00AA5082" w:rsidP="00AA5082">
      <w:pPr>
        <w:rPr>
          <w:rFonts w:ascii="Arial" w:hAnsi="Arial" w:cs="Arial"/>
          <w:sz w:val="24"/>
          <w:szCs w:val="24"/>
        </w:rPr>
      </w:pPr>
      <w:r w:rsidRPr="00AA5082">
        <w:rPr>
          <w:rFonts w:ascii="Arial" w:hAnsi="Arial" w:cs="Arial"/>
          <w:sz w:val="24"/>
          <w:szCs w:val="24"/>
        </w:rPr>
        <w:t xml:space="preserve">Employee engagement at Ateb is not directly measured and employee views regarding engagement is generally not sought out </w:t>
      </w:r>
      <w:r w:rsidR="00797063">
        <w:rPr>
          <w:rFonts w:ascii="Arial" w:hAnsi="Arial" w:cs="Arial"/>
          <w:sz w:val="24"/>
          <w:szCs w:val="24"/>
        </w:rPr>
        <w:t>directly</w:t>
      </w:r>
      <w:r w:rsidRPr="00AA5082">
        <w:rPr>
          <w:rFonts w:ascii="Arial" w:hAnsi="Arial" w:cs="Arial"/>
          <w:sz w:val="24"/>
          <w:szCs w:val="24"/>
        </w:rPr>
        <w:t xml:space="preserve">, such as engagement surveys; furthermore, Ateb does not have an engagement strategy. However, striving for an engaged workforce is central to Ateb’s culture with many practices typical of engagement drivers. Therefore, Ateb’s approach to engagement is indirect and sits </w:t>
      </w:r>
      <w:r w:rsidR="00797063">
        <w:rPr>
          <w:rFonts w:ascii="Arial" w:hAnsi="Arial" w:cs="Arial"/>
          <w:sz w:val="24"/>
          <w:szCs w:val="24"/>
        </w:rPr>
        <w:t>between</w:t>
      </w:r>
      <w:r w:rsidRPr="00AA5082">
        <w:rPr>
          <w:rFonts w:ascii="Arial" w:hAnsi="Arial" w:cs="Arial"/>
          <w:sz w:val="24"/>
          <w:szCs w:val="24"/>
        </w:rPr>
        <w:t xml:space="preserve"> transactional and transformational. </w:t>
      </w:r>
    </w:p>
    <w:p w14:paraId="10DB6491" w14:textId="77777777" w:rsidR="00AA5082" w:rsidRPr="00AA5082" w:rsidRDefault="00AA5082" w:rsidP="00AA5082">
      <w:pPr>
        <w:rPr>
          <w:rFonts w:ascii="Arial" w:hAnsi="Arial" w:cs="Arial"/>
          <w:sz w:val="24"/>
          <w:szCs w:val="24"/>
        </w:rPr>
      </w:pPr>
      <w:r w:rsidRPr="00AA5082">
        <w:rPr>
          <w:rFonts w:ascii="Arial" w:hAnsi="Arial" w:cs="Arial"/>
          <w:sz w:val="24"/>
          <w:szCs w:val="24"/>
        </w:rPr>
        <w:t>MacLeod and Clarke (2009) identified four drivers of employee engagement in the Engaging for Success report namely; strategic narrative, employee voice, engaging managers and company integrity. Ateb’s working practices can align to each of these drivers to drive engagement:</w:t>
      </w:r>
    </w:p>
    <w:p w14:paraId="4BADD6FB" w14:textId="77777777" w:rsidR="00AA5082" w:rsidRPr="00AA5082" w:rsidRDefault="00AA5082" w:rsidP="00AA5082">
      <w:pPr>
        <w:rPr>
          <w:rFonts w:ascii="Arial" w:hAnsi="Arial" w:cs="Arial"/>
          <w:b/>
          <w:sz w:val="24"/>
          <w:szCs w:val="24"/>
        </w:rPr>
      </w:pPr>
      <w:r w:rsidRPr="00AA5082">
        <w:rPr>
          <w:rFonts w:ascii="Arial" w:hAnsi="Arial" w:cs="Arial"/>
          <w:b/>
          <w:sz w:val="24"/>
          <w:szCs w:val="24"/>
        </w:rPr>
        <w:t>Strategic Narrative</w:t>
      </w:r>
    </w:p>
    <w:p w14:paraId="671D3FE3"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Strategic narrative provides a clear and shared vision for employees to understand the purpose of the organisation and how they contribute. Ateb’s strategic narrative is clearly outlined in the Vision document alongside five supporting documents, which provides further detailed information of how we will achieve our vision. The Vision document was launched and delivered to all members of staff through a series of workshops presented by the Executive Management Team (EMT) to help staff understand what the vision is and how we are responsible for achieving the vision; staff were given opportunities to openly ask EMT questions in a safe environment to further help staff understand the vision. Further workshops have been held to deliver the supporting documents including interactive activities to gain deeper understanding. </w:t>
      </w:r>
    </w:p>
    <w:p w14:paraId="6828C619" w14:textId="77777777" w:rsidR="00AA5082" w:rsidRPr="00AA5082" w:rsidRDefault="00AA5082" w:rsidP="00AA5082">
      <w:pPr>
        <w:rPr>
          <w:rFonts w:ascii="Arial" w:hAnsi="Arial" w:cs="Arial"/>
          <w:b/>
          <w:sz w:val="24"/>
          <w:szCs w:val="24"/>
        </w:rPr>
      </w:pPr>
      <w:r w:rsidRPr="00AA5082">
        <w:rPr>
          <w:rFonts w:ascii="Arial" w:hAnsi="Arial" w:cs="Arial"/>
          <w:b/>
          <w:sz w:val="24"/>
          <w:szCs w:val="24"/>
        </w:rPr>
        <w:t>Employee Voice</w:t>
      </w:r>
    </w:p>
    <w:p w14:paraId="7F4496BA" w14:textId="24676AF3" w:rsidR="00AA5082" w:rsidRPr="00AA5082" w:rsidRDefault="00AA5082" w:rsidP="00AA5082">
      <w:pPr>
        <w:rPr>
          <w:rFonts w:ascii="Arial" w:hAnsi="Arial" w:cs="Arial"/>
          <w:sz w:val="24"/>
          <w:szCs w:val="24"/>
        </w:rPr>
      </w:pPr>
      <w:r w:rsidRPr="00AA5082">
        <w:rPr>
          <w:rFonts w:ascii="Arial" w:hAnsi="Arial" w:cs="Arial"/>
          <w:sz w:val="24"/>
          <w:szCs w:val="24"/>
        </w:rPr>
        <w:t xml:space="preserve">Involve to Improve (i2i) is Ateb’s employee representative group which is highly influential in decision making and has contributed to the ongoing ‘Our Future Workplace’ project (OFW), which will create an improved future workplace in terms </w:t>
      </w:r>
      <w:r w:rsidRPr="00AA5082">
        <w:rPr>
          <w:rFonts w:ascii="Arial" w:hAnsi="Arial" w:cs="Arial"/>
          <w:sz w:val="24"/>
          <w:szCs w:val="24"/>
        </w:rPr>
        <w:lastRenderedPageBreak/>
        <w:t>of benefits, working practices and agility, staff cohesion and environment. I2i facilitated a range of workshops and focus groups for the entire workforce to gain a</w:t>
      </w:r>
      <w:r w:rsidR="00797063">
        <w:rPr>
          <w:rFonts w:ascii="Arial" w:hAnsi="Arial" w:cs="Arial"/>
          <w:sz w:val="24"/>
          <w:szCs w:val="24"/>
        </w:rPr>
        <w:t>n</w:t>
      </w:r>
      <w:r w:rsidRPr="00AA5082">
        <w:rPr>
          <w:rFonts w:ascii="Arial" w:hAnsi="Arial" w:cs="Arial"/>
          <w:sz w:val="24"/>
          <w:szCs w:val="24"/>
        </w:rPr>
        <w:t xml:space="preserve"> understanding of what staff dislike about </w:t>
      </w:r>
      <w:r w:rsidR="00797063">
        <w:rPr>
          <w:rFonts w:ascii="Arial" w:hAnsi="Arial" w:cs="Arial"/>
          <w:sz w:val="24"/>
          <w:szCs w:val="24"/>
        </w:rPr>
        <w:t>A</w:t>
      </w:r>
      <w:r w:rsidRPr="00AA5082">
        <w:rPr>
          <w:rFonts w:ascii="Arial" w:hAnsi="Arial" w:cs="Arial"/>
          <w:sz w:val="24"/>
          <w:szCs w:val="24"/>
        </w:rPr>
        <w:t xml:space="preserve">teb’s culture and workplace and what their ‘good’ would look like. Thereafter, i2i developed working tasks groups of volunteering employees to specifically research a range of areas including benefits, adaptable working and staff events; the findings from these task groups informed the first OFW consultation to improve benefits and working practices which is currently ongoing. </w:t>
      </w:r>
    </w:p>
    <w:p w14:paraId="0557621F" w14:textId="77777777" w:rsidR="00AA5082" w:rsidRPr="00AA5082" w:rsidRDefault="00AA5082" w:rsidP="00AA5082">
      <w:pPr>
        <w:rPr>
          <w:rFonts w:ascii="Arial" w:hAnsi="Arial" w:cs="Arial"/>
          <w:b/>
          <w:sz w:val="24"/>
          <w:szCs w:val="24"/>
        </w:rPr>
      </w:pPr>
      <w:r w:rsidRPr="00AA5082">
        <w:rPr>
          <w:rFonts w:ascii="Arial" w:hAnsi="Arial" w:cs="Arial"/>
          <w:b/>
          <w:sz w:val="24"/>
          <w:szCs w:val="24"/>
        </w:rPr>
        <w:t>Engaging Managers</w:t>
      </w:r>
    </w:p>
    <w:p w14:paraId="045BFF2E" w14:textId="4DAEDF29" w:rsidR="00AA5082" w:rsidRPr="00AA5082" w:rsidRDefault="00AA5082" w:rsidP="00AA5082">
      <w:pPr>
        <w:rPr>
          <w:rFonts w:ascii="Arial" w:hAnsi="Arial" w:cs="Arial"/>
          <w:sz w:val="24"/>
          <w:szCs w:val="24"/>
        </w:rPr>
      </w:pPr>
      <w:r w:rsidRPr="00AA5082">
        <w:rPr>
          <w:rFonts w:ascii="Arial" w:hAnsi="Arial" w:cs="Arial"/>
          <w:sz w:val="24"/>
          <w:szCs w:val="24"/>
        </w:rPr>
        <w:t>MacLeod and Clarke (2009) note that engaging managers trust, coach, provide feedback and respect their staff. Historically, line managers were poorly skilled and lacked capability to carry out basic people management activities such as providing honest feedback about performance and would often lack trust in their staff. As such, a bespoke leadership and management programme has been developed for Ateb to align with our culture and practices which is delivered to executive, senior and wider management. The objective i</w:t>
      </w:r>
      <w:r w:rsidR="00797063">
        <w:rPr>
          <w:rFonts w:ascii="Arial" w:hAnsi="Arial" w:cs="Arial"/>
          <w:sz w:val="24"/>
          <w:szCs w:val="24"/>
        </w:rPr>
        <w:t>s</w:t>
      </w:r>
      <w:r w:rsidRPr="00AA5082">
        <w:rPr>
          <w:rFonts w:ascii="Arial" w:hAnsi="Arial" w:cs="Arial"/>
          <w:sz w:val="24"/>
          <w:szCs w:val="24"/>
        </w:rPr>
        <w:t xml:space="preserve"> to see managers lead in a manner aligning to the trusting and honest culture where feedback is central to all individuals to improve performance and capability. </w:t>
      </w:r>
    </w:p>
    <w:p w14:paraId="585938DD" w14:textId="77777777" w:rsidR="00AA5082" w:rsidRPr="00AA5082" w:rsidRDefault="00AA5082" w:rsidP="00AA5082">
      <w:pPr>
        <w:rPr>
          <w:rFonts w:ascii="Arial" w:hAnsi="Arial" w:cs="Arial"/>
          <w:b/>
          <w:sz w:val="24"/>
          <w:szCs w:val="24"/>
        </w:rPr>
      </w:pPr>
      <w:r w:rsidRPr="00AA5082">
        <w:rPr>
          <w:rFonts w:ascii="Arial" w:hAnsi="Arial" w:cs="Arial"/>
          <w:b/>
          <w:sz w:val="24"/>
          <w:szCs w:val="24"/>
        </w:rPr>
        <w:t xml:space="preserve">Integrity </w:t>
      </w:r>
    </w:p>
    <w:p w14:paraId="71E7561E"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Integrity is having consistent behaviour aligning with the promoted values throughout the organisation; a gap can result in distrust. Due to the ongoing cultural changes following the organisation rebranding in 2018, there is a gap between our promoted DNA and the behaviours exhibited by some management. This does see less trust across departments and less buy-in and commitment however, action is being taken by continually promoting the DNA and challenging behaviour when it does not align with Ateb’s DNA. </w:t>
      </w:r>
    </w:p>
    <w:p w14:paraId="52DFA2F3"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Employee engagement is now a significant area of focus for employers, demonstrated when employee engagement was included in the top 10 global trends noted by Deloitte in 2017 therefore, following this trend, I would recommend that Ateb draws a direct focus towards employee engagement as opposed to the indirect fashion they adopt now. During the turbulent times of change Ateb is experiencing, it is more crucial than ever to measure engagement regularly to get an accurate insight to how it is affecting the workplace and engagement levels. </w:t>
      </w:r>
    </w:p>
    <w:p w14:paraId="687B2D66"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Ateb can gauge the engagement levels based on how they align with MacLeod and Clarke’s engagement drivers however, directly measuring engagement and creating an engagement strategy will help identify key areas of disengagement and provide direction on the approach to take. Ateb can adopt engagement surveys, focus groups or pulse surveys to gain a direct response to engagement within teams. However, Ateb could also utilise organisational data such as sickness data, turnover statistics and exit interviews to measure engagement. </w:t>
      </w:r>
    </w:p>
    <w:p w14:paraId="54A1CFD3" w14:textId="1D4E2311" w:rsidR="00AA5082" w:rsidRPr="00AA5082" w:rsidRDefault="00AA5082" w:rsidP="00AA5082">
      <w:pPr>
        <w:rPr>
          <w:rFonts w:ascii="Arial" w:hAnsi="Arial" w:cs="Arial"/>
          <w:b/>
          <w:bCs/>
          <w:sz w:val="28"/>
          <w:szCs w:val="28"/>
          <w:u w:val="single"/>
        </w:rPr>
      </w:pPr>
      <w:r w:rsidRPr="00AA5082">
        <w:rPr>
          <w:rFonts w:ascii="Arial" w:hAnsi="Arial" w:cs="Arial"/>
          <w:b/>
          <w:bCs/>
          <w:sz w:val="28"/>
          <w:szCs w:val="28"/>
          <w:u w:val="single"/>
        </w:rPr>
        <w:lastRenderedPageBreak/>
        <w:t>Activity two</w:t>
      </w:r>
    </w:p>
    <w:p w14:paraId="1215C86A" w14:textId="77777777" w:rsidR="00AA5082" w:rsidRPr="00AA5082" w:rsidRDefault="00AA5082" w:rsidP="00AA5082">
      <w:pPr>
        <w:rPr>
          <w:rFonts w:ascii="Arial" w:hAnsi="Arial" w:cs="Arial"/>
          <w:sz w:val="24"/>
          <w:szCs w:val="24"/>
        </w:rPr>
      </w:pPr>
      <w:r w:rsidRPr="00AA5082">
        <w:rPr>
          <w:rFonts w:ascii="Arial" w:hAnsi="Arial" w:cs="Arial"/>
          <w:sz w:val="24"/>
          <w:szCs w:val="24"/>
        </w:rPr>
        <w:t>Recently a document was published at Ateb called “Working for Ateb”; it is in its infancy with more work to be done however, it will eventually form Ateb’s employee handbook. The previous handbook reflected the organisation before being rebranded and had a traditional hierarchical tone. The ‘Working at Ateb’ document is engaging as it is written in a fashion which aligns with Ateb’s culture, values and DNA. For example, the policies are an overview written in a flexible and empowering approach encouraging employees to have open discussions with their line managers therefore, empowering employees to seek their own answers and deliver their work in a way which suits the individual. CIPD (2019) note that an established influence on motivation is self-determination or autonomy, the job is more meaningful and enjoyable when shaped by the employee.</w:t>
      </w:r>
    </w:p>
    <w:p w14:paraId="68B64E51"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Furthermore, a large part of the document refers to ‘Trust Clock’ – Ateb’s new flexible and agile working approach – and improved benefits. This would likely engage the workforce as it has collective value and is a shared interest. Employee volunteers and representatives conducted independent research to propose new benefits which is how Trust Clock was formed and employees were part of every step of the process. Moreover, SHRM (2014) cite that workplace flexibility can results in increased engagement, motivation and commitment. </w:t>
      </w:r>
    </w:p>
    <w:p w14:paraId="34E76207" w14:textId="7D0F34A6" w:rsidR="00AA5082" w:rsidRPr="00AA5082" w:rsidRDefault="00AA5082" w:rsidP="00AA5082">
      <w:pPr>
        <w:rPr>
          <w:rFonts w:ascii="Arial" w:eastAsia="Times New Roman" w:hAnsi="Arial" w:cs="Arial"/>
          <w:b/>
          <w:bCs/>
          <w:i/>
          <w:iCs/>
          <w:sz w:val="24"/>
          <w:szCs w:val="24"/>
          <w:lang w:eastAsia="en-GB"/>
        </w:rPr>
      </w:pPr>
      <w:r w:rsidRPr="00AA5082">
        <w:rPr>
          <w:rFonts w:ascii="Arial" w:hAnsi="Arial" w:cs="Arial"/>
          <w:sz w:val="24"/>
          <w:szCs w:val="24"/>
        </w:rPr>
        <w:t>Supporting Ateb’s chosen ‘good cause’ organisation has been a regular communication topic on our internal and external platforms. The good cause is mental health which was decided by a majority employee vote and the organisation is a small local charity</w:t>
      </w:r>
      <w:r w:rsidR="00B11102">
        <w:rPr>
          <w:rFonts w:ascii="Arial" w:hAnsi="Arial" w:cs="Arial"/>
          <w:sz w:val="24"/>
          <w:szCs w:val="24"/>
        </w:rPr>
        <w:t xml:space="preserve"> supporting mental health locally</w:t>
      </w:r>
      <w:r w:rsidRPr="00AA5082">
        <w:rPr>
          <w:rFonts w:ascii="Arial" w:hAnsi="Arial" w:cs="Arial"/>
          <w:sz w:val="24"/>
          <w:szCs w:val="24"/>
        </w:rPr>
        <w:t xml:space="preserve">. The communication largely focuses on fundraising through employee events, such as cake trolleys or a bingo night. I think the content is engaging as again it is a shared interest where the majority voted, furthermore, creating a sense of community spirit, it is rewarding to see how the local charity is benefiting and building working relationships. However, Smith (2017) notes that employees may be disengaged if they didn’t vote or if they don’t emphasise with the charity; therefore, it is likely there could be a small pocket of employees who are not engaged with these communications. </w:t>
      </w:r>
    </w:p>
    <w:p w14:paraId="2BA86FE6" w14:textId="1C47C6BA" w:rsidR="00AA5082" w:rsidRPr="00AA5082" w:rsidRDefault="00AA5082" w:rsidP="00AA5082">
      <w:pPr>
        <w:rPr>
          <w:rFonts w:ascii="Arial" w:eastAsia="Times New Roman" w:hAnsi="Arial" w:cs="Arial"/>
          <w:sz w:val="24"/>
          <w:szCs w:val="24"/>
          <w:lang w:eastAsia="en-GB"/>
        </w:rPr>
      </w:pPr>
      <w:r w:rsidRPr="00AA5082">
        <w:rPr>
          <w:rFonts w:ascii="Arial" w:eastAsia="Times New Roman" w:hAnsi="Arial" w:cs="Arial"/>
          <w:sz w:val="24"/>
          <w:szCs w:val="24"/>
          <w:lang w:eastAsia="en-GB"/>
        </w:rPr>
        <w:t>Recently, ‘Meet the Team’ profiles have been communicated internally whereby, a new starter answers a handful of trivial questions. In the recent years, recruitment has rapidly increased and many existing employees commented they often see new faces who they do</w:t>
      </w:r>
      <w:r w:rsidR="00B11102">
        <w:rPr>
          <w:rFonts w:ascii="Arial" w:eastAsia="Times New Roman" w:hAnsi="Arial" w:cs="Arial"/>
          <w:sz w:val="24"/>
          <w:szCs w:val="24"/>
          <w:lang w:eastAsia="en-GB"/>
        </w:rPr>
        <w:t xml:space="preserve"> no</w:t>
      </w:r>
      <w:r w:rsidRPr="00AA5082">
        <w:rPr>
          <w:rFonts w:ascii="Arial" w:eastAsia="Times New Roman" w:hAnsi="Arial" w:cs="Arial"/>
          <w:sz w:val="24"/>
          <w:szCs w:val="24"/>
          <w:lang w:eastAsia="en-GB"/>
        </w:rPr>
        <w:t xml:space="preserve">t know therefore, this should ‘break the ice’ and start to build relationships. Mann (2018) cites that employees are twice as likely to be engaged if they have a best friend at work therefore, highlighting the important of positive workplace relationships. Visually it is engaging as it is bright and reflects Ateb’s branding. I think the concept is good and will initially engage employees out of curiosity, but I feel engagement will </w:t>
      </w:r>
      <w:r w:rsidR="00B11102">
        <w:rPr>
          <w:rFonts w:ascii="Arial" w:eastAsia="Times New Roman" w:hAnsi="Arial" w:cs="Arial"/>
          <w:sz w:val="24"/>
          <w:szCs w:val="24"/>
          <w:lang w:eastAsia="en-GB"/>
        </w:rPr>
        <w:t>gradually</w:t>
      </w:r>
      <w:r w:rsidRPr="00AA5082">
        <w:rPr>
          <w:rFonts w:ascii="Arial" w:eastAsia="Times New Roman" w:hAnsi="Arial" w:cs="Arial"/>
          <w:sz w:val="24"/>
          <w:szCs w:val="24"/>
          <w:lang w:eastAsia="en-GB"/>
        </w:rPr>
        <w:t xml:space="preserve"> </w:t>
      </w:r>
      <w:r w:rsidR="00B11102">
        <w:rPr>
          <w:rFonts w:ascii="Arial" w:eastAsia="Times New Roman" w:hAnsi="Arial" w:cs="Arial"/>
          <w:sz w:val="24"/>
          <w:szCs w:val="24"/>
          <w:lang w:eastAsia="en-GB"/>
        </w:rPr>
        <w:t>reduce</w:t>
      </w:r>
      <w:r w:rsidRPr="00AA5082">
        <w:rPr>
          <w:rFonts w:ascii="Arial" w:eastAsia="Times New Roman" w:hAnsi="Arial" w:cs="Arial"/>
          <w:sz w:val="24"/>
          <w:szCs w:val="24"/>
          <w:lang w:eastAsia="en-GB"/>
        </w:rPr>
        <w:t xml:space="preserve"> due to how short and trivial it is i.e. “What is your favourite food?”. A more in-depth interview will likely maintain interest and provide a better basis to strike-up conversation.  </w:t>
      </w:r>
    </w:p>
    <w:p w14:paraId="59A40616" w14:textId="5CC8E392" w:rsidR="00AA5082" w:rsidRPr="00AA5082" w:rsidRDefault="00AA5082" w:rsidP="00AA5082">
      <w:pPr>
        <w:rPr>
          <w:rFonts w:ascii="Arial" w:hAnsi="Arial" w:cs="Arial"/>
          <w:b/>
          <w:bCs/>
          <w:sz w:val="28"/>
          <w:szCs w:val="28"/>
          <w:u w:val="single"/>
        </w:rPr>
      </w:pPr>
      <w:r w:rsidRPr="00AA5082">
        <w:rPr>
          <w:rFonts w:ascii="Arial" w:hAnsi="Arial" w:cs="Arial"/>
          <w:b/>
          <w:bCs/>
          <w:sz w:val="28"/>
          <w:szCs w:val="28"/>
          <w:u w:val="single"/>
        </w:rPr>
        <w:lastRenderedPageBreak/>
        <w:t>Activity three</w:t>
      </w:r>
    </w:p>
    <w:p w14:paraId="612F2D2B" w14:textId="0C266D8B" w:rsidR="00AA5082" w:rsidRPr="00AA5082" w:rsidRDefault="00AA5082" w:rsidP="00AA5082">
      <w:pPr>
        <w:rPr>
          <w:rFonts w:ascii="Arial" w:hAnsi="Arial" w:cs="Arial"/>
          <w:sz w:val="24"/>
          <w:szCs w:val="24"/>
        </w:rPr>
      </w:pPr>
      <w:r w:rsidRPr="00AA5082">
        <w:rPr>
          <w:rFonts w:ascii="Arial" w:hAnsi="Arial" w:cs="Arial"/>
          <w:sz w:val="24"/>
          <w:szCs w:val="24"/>
        </w:rPr>
        <w:t>I have used the CIPD 201</w:t>
      </w:r>
      <w:r w:rsidR="00B11102">
        <w:rPr>
          <w:rFonts w:ascii="Arial" w:hAnsi="Arial" w:cs="Arial"/>
          <w:sz w:val="24"/>
          <w:szCs w:val="24"/>
        </w:rPr>
        <w:t>3</w:t>
      </w:r>
      <w:r w:rsidRPr="00AA5082">
        <w:rPr>
          <w:rFonts w:ascii="Arial" w:hAnsi="Arial" w:cs="Arial"/>
          <w:sz w:val="24"/>
          <w:szCs w:val="24"/>
        </w:rPr>
        <w:t xml:space="preserve"> Profession Map to identify my development needs. I discussed my development needs with my manager. </w:t>
      </w:r>
    </w:p>
    <w:p w14:paraId="69E4C101" w14:textId="77777777" w:rsidR="00AA5082" w:rsidRPr="00AA5082" w:rsidRDefault="00AA5082" w:rsidP="00AA5082">
      <w:pPr>
        <w:rPr>
          <w:rFonts w:ascii="Arial" w:hAnsi="Arial" w:cs="Arial"/>
          <w:sz w:val="24"/>
          <w:szCs w:val="24"/>
        </w:rPr>
      </w:pPr>
      <w:r w:rsidRPr="00AA5082">
        <w:rPr>
          <w:rFonts w:ascii="Arial" w:hAnsi="Arial" w:cs="Arial"/>
          <w:sz w:val="24"/>
          <w:szCs w:val="24"/>
        </w:rPr>
        <w:t xml:space="preserve">I need to improve the </w:t>
      </w:r>
      <w:r w:rsidRPr="00B11102">
        <w:rPr>
          <w:rFonts w:ascii="Arial" w:hAnsi="Arial" w:cs="Arial"/>
          <w:sz w:val="24"/>
          <w:szCs w:val="24"/>
        </w:rPr>
        <w:t>employee engagement</w:t>
      </w:r>
      <w:r w:rsidRPr="00AA5082">
        <w:rPr>
          <w:rFonts w:ascii="Arial" w:hAnsi="Arial" w:cs="Arial"/>
          <w:b/>
          <w:bCs/>
          <w:sz w:val="24"/>
          <w:szCs w:val="24"/>
        </w:rPr>
        <w:t xml:space="preserve"> </w:t>
      </w:r>
      <w:r w:rsidRPr="00AA5082">
        <w:rPr>
          <w:rFonts w:ascii="Arial" w:hAnsi="Arial" w:cs="Arial"/>
          <w:sz w:val="24"/>
          <w:szCs w:val="24"/>
        </w:rPr>
        <w:t xml:space="preserve">professional area; my skills analysis identified I am developing in this area and I have limited exposure. As Ateb currently does not directly measure employee engagement but will likely adopt a more formal measurement in the future as the internal environment stabilises, I need to research and develop my knowledge of different methods to collate employee engagement data instead of focussing solely on traditional techniques, such as an annual survey.  Different and multiple methods could be fostered to gain a broad and accurate picture of engagement at Ateb. I agreed with my manager that I would network with other companies to understand what they do and how effective they feel it is. </w:t>
      </w:r>
    </w:p>
    <w:p w14:paraId="07CD4345" w14:textId="0A62825C" w:rsidR="00AA5082" w:rsidRPr="00AA5082" w:rsidRDefault="00AA5082" w:rsidP="00AA5082">
      <w:pPr>
        <w:rPr>
          <w:rFonts w:ascii="Arial" w:hAnsi="Arial" w:cs="Arial"/>
          <w:sz w:val="24"/>
          <w:szCs w:val="24"/>
        </w:rPr>
      </w:pPr>
      <w:r w:rsidRPr="00AA5082">
        <w:rPr>
          <w:rFonts w:ascii="Arial" w:hAnsi="Arial" w:cs="Arial"/>
          <w:sz w:val="24"/>
          <w:szCs w:val="24"/>
        </w:rPr>
        <w:t>Engagement initiatives such as optional team building events, are often ‘hit and miss’ with the same people attending or not attending. My CIPD skills analysis noted I can jump to conclusions without investigating issues further to truly understand</w:t>
      </w:r>
      <w:r w:rsidR="00B11102">
        <w:rPr>
          <w:rFonts w:ascii="Arial" w:hAnsi="Arial" w:cs="Arial"/>
          <w:sz w:val="24"/>
          <w:szCs w:val="24"/>
        </w:rPr>
        <w:t xml:space="preserve"> the issue</w:t>
      </w:r>
      <w:r w:rsidRPr="00AA5082">
        <w:rPr>
          <w:rFonts w:ascii="Arial" w:hAnsi="Arial" w:cs="Arial"/>
          <w:sz w:val="24"/>
          <w:szCs w:val="24"/>
        </w:rPr>
        <w:t xml:space="preserve">. This is </w:t>
      </w:r>
      <w:r w:rsidR="00B11102">
        <w:rPr>
          <w:rFonts w:ascii="Arial" w:hAnsi="Arial" w:cs="Arial"/>
          <w:sz w:val="24"/>
          <w:szCs w:val="24"/>
        </w:rPr>
        <w:t xml:space="preserve">often </w:t>
      </w:r>
      <w:r w:rsidRPr="00AA5082">
        <w:rPr>
          <w:rFonts w:ascii="Arial" w:hAnsi="Arial" w:cs="Arial"/>
          <w:sz w:val="24"/>
          <w:szCs w:val="24"/>
        </w:rPr>
        <w:t xml:space="preserve">true; I am </w:t>
      </w:r>
      <w:r w:rsidR="00B11102">
        <w:rPr>
          <w:rFonts w:ascii="Arial" w:hAnsi="Arial" w:cs="Arial"/>
          <w:sz w:val="24"/>
          <w:szCs w:val="24"/>
        </w:rPr>
        <w:t>sometimes</w:t>
      </w:r>
      <w:r w:rsidRPr="00AA5082">
        <w:rPr>
          <w:rFonts w:ascii="Arial" w:hAnsi="Arial" w:cs="Arial"/>
          <w:sz w:val="24"/>
          <w:szCs w:val="24"/>
        </w:rPr>
        <w:t xml:space="preserve"> dismissive of those who do not get involved in initiatives presuming they are simply disengaged, and assuming it is a hopeless task to get them onboard without investigating further; </w:t>
      </w:r>
      <w:r w:rsidR="00B11102">
        <w:rPr>
          <w:rFonts w:ascii="Arial" w:hAnsi="Arial" w:cs="Arial"/>
          <w:sz w:val="24"/>
          <w:szCs w:val="24"/>
        </w:rPr>
        <w:t>in hindsight lack of involvement could be due to</w:t>
      </w:r>
      <w:r w:rsidRPr="00AA5082">
        <w:rPr>
          <w:rFonts w:ascii="Arial" w:hAnsi="Arial" w:cs="Arial"/>
          <w:sz w:val="24"/>
          <w:szCs w:val="24"/>
        </w:rPr>
        <w:t xml:space="preserve"> cost, time or ability. I discussed with my line manager that I would join the employee representative group (i2i) where I am best placed to work with employees to gain feedback, implement new initiatives reflective of feedback and encourage participation. It is an opportunity to change my presumptive and dismissive behaviour, fully understand the barriers to engagement initiatives at Ateb and increase working relationships with my colleagues.</w:t>
      </w:r>
    </w:p>
    <w:p w14:paraId="21CF37BA" w14:textId="77777777" w:rsidR="00AA5082" w:rsidRPr="00AA5082" w:rsidRDefault="00AA5082" w:rsidP="00AA5082">
      <w:pPr>
        <w:rPr>
          <w:rFonts w:ascii="Arial" w:hAnsi="Arial" w:cs="Arial"/>
          <w:b/>
          <w:bCs/>
          <w:sz w:val="24"/>
          <w:szCs w:val="24"/>
        </w:rPr>
      </w:pPr>
    </w:p>
    <w:p w14:paraId="3CDB30E4" w14:textId="26C64B66" w:rsidR="00AA5082" w:rsidRDefault="00AA5082" w:rsidP="00AA5082">
      <w:pPr>
        <w:jc w:val="center"/>
        <w:rPr>
          <w:rFonts w:ascii="Arial" w:hAnsi="Arial" w:cs="Arial"/>
          <w:b/>
          <w:bCs/>
          <w:sz w:val="24"/>
          <w:szCs w:val="24"/>
        </w:rPr>
      </w:pPr>
    </w:p>
    <w:p w14:paraId="20474A4B" w14:textId="69F9E899" w:rsidR="00AA5082" w:rsidRDefault="00AA5082" w:rsidP="00AA5082">
      <w:pPr>
        <w:jc w:val="center"/>
        <w:rPr>
          <w:rFonts w:ascii="Arial" w:hAnsi="Arial" w:cs="Arial"/>
          <w:b/>
          <w:bCs/>
          <w:sz w:val="24"/>
          <w:szCs w:val="24"/>
        </w:rPr>
      </w:pPr>
    </w:p>
    <w:p w14:paraId="335D2F1E" w14:textId="18E55D34" w:rsidR="00AA5082" w:rsidRDefault="00AA5082" w:rsidP="00AA5082">
      <w:pPr>
        <w:jc w:val="center"/>
        <w:rPr>
          <w:rFonts w:ascii="Arial" w:hAnsi="Arial" w:cs="Arial"/>
          <w:b/>
          <w:bCs/>
          <w:sz w:val="24"/>
          <w:szCs w:val="24"/>
        </w:rPr>
      </w:pPr>
    </w:p>
    <w:p w14:paraId="32355C6C" w14:textId="44276E7B" w:rsidR="00AA5082" w:rsidRDefault="00AA5082" w:rsidP="00AA5082">
      <w:pPr>
        <w:jc w:val="center"/>
        <w:rPr>
          <w:rFonts w:ascii="Arial" w:hAnsi="Arial" w:cs="Arial"/>
          <w:b/>
          <w:bCs/>
          <w:sz w:val="24"/>
          <w:szCs w:val="24"/>
        </w:rPr>
      </w:pPr>
    </w:p>
    <w:p w14:paraId="37C636F5" w14:textId="4A37196A" w:rsidR="00AA5082" w:rsidRDefault="00AA5082" w:rsidP="00AA5082">
      <w:pPr>
        <w:jc w:val="center"/>
        <w:rPr>
          <w:rFonts w:ascii="Arial" w:hAnsi="Arial" w:cs="Arial"/>
          <w:b/>
          <w:bCs/>
          <w:sz w:val="24"/>
          <w:szCs w:val="24"/>
        </w:rPr>
      </w:pPr>
    </w:p>
    <w:p w14:paraId="3ED6CB21" w14:textId="513B7FBD" w:rsidR="00AA5082" w:rsidRDefault="00AA5082" w:rsidP="00AA5082">
      <w:pPr>
        <w:jc w:val="center"/>
        <w:rPr>
          <w:rFonts w:ascii="Arial" w:hAnsi="Arial" w:cs="Arial"/>
          <w:b/>
          <w:bCs/>
          <w:sz w:val="24"/>
          <w:szCs w:val="24"/>
        </w:rPr>
      </w:pPr>
    </w:p>
    <w:p w14:paraId="72A04BD3" w14:textId="0A89D983" w:rsidR="00AA5082" w:rsidRDefault="00AA5082" w:rsidP="00AA5082">
      <w:pPr>
        <w:jc w:val="center"/>
        <w:rPr>
          <w:rFonts w:ascii="Arial" w:hAnsi="Arial" w:cs="Arial"/>
          <w:b/>
          <w:bCs/>
          <w:sz w:val="24"/>
          <w:szCs w:val="24"/>
        </w:rPr>
      </w:pPr>
    </w:p>
    <w:p w14:paraId="656A33CE" w14:textId="36524F09" w:rsidR="00AA5082" w:rsidRDefault="00AA5082" w:rsidP="00AA5082">
      <w:pPr>
        <w:jc w:val="center"/>
        <w:rPr>
          <w:rFonts w:ascii="Arial" w:hAnsi="Arial" w:cs="Arial"/>
          <w:b/>
          <w:bCs/>
          <w:sz w:val="24"/>
          <w:szCs w:val="24"/>
        </w:rPr>
      </w:pPr>
    </w:p>
    <w:p w14:paraId="0EAEE703" w14:textId="66E1104A" w:rsidR="00AA5082" w:rsidRDefault="00AA5082" w:rsidP="00AA5082">
      <w:pPr>
        <w:jc w:val="center"/>
        <w:rPr>
          <w:rFonts w:ascii="Arial" w:hAnsi="Arial" w:cs="Arial"/>
          <w:b/>
          <w:bCs/>
          <w:sz w:val="24"/>
          <w:szCs w:val="24"/>
        </w:rPr>
      </w:pPr>
    </w:p>
    <w:p w14:paraId="633ADB8B" w14:textId="64055C94" w:rsidR="00AA5082" w:rsidRDefault="00AA5082" w:rsidP="00AA5082">
      <w:pPr>
        <w:jc w:val="center"/>
        <w:rPr>
          <w:rFonts w:ascii="Arial" w:hAnsi="Arial" w:cs="Arial"/>
          <w:b/>
          <w:bCs/>
          <w:sz w:val="24"/>
          <w:szCs w:val="24"/>
        </w:rPr>
      </w:pPr>
    </w:p>
    <w:p w14:paraId="32AA6815" w14:textId="759AA962" w:rsidR="00AA5082" w:rsidRDefault="00AA5082" w:rsidP="00AA5082">
      <w:pPr>
        <w:rPr>
          <w:rFonts w:ascii="Arial" w:hAnsi="Arial" w:cs="Arial"/>
          <w:b/>
          <w:bCs/>
          <w:sz w:val="24"/>
          <w:szCs w:val="24"/>
        </w:rPr>
      </w:pPr>
      <w:r>
        <w:rPr>
          <w:rFonts w:ascii="Arial" w:hAnsi="Arial" w:cs="Arial"/>
          <w:b/>
          <w:bCs/>
          <w:sz w:val="24"/>
          <w:szCs w:val="24"/>
        </w:rPr>
        <w:lastRenderedPageBreak/>
        <w:t>Bibliography</w:t>
      </w:r>
    </w:p>
    <w:p w14:paraId="18AE2947" w14:textId="3C200BD6" w:rsidR="00AA5082" w:rsidRPr="00AA5082" w:rsidRDefault="00AA5082" w:rsidP="00AA5082">
      <w:pPr>
        <w:rPr>
          <w:rFonts w:ascii="Arial" w:hAnsi="Arial" w:cs="Arial"/>
          <w:sz w:val="24"/>
          <w:szCs w:val="24"/>
        </w:rPr>
      </w:pPr>
      <w:r w:rsidRPr="00AA5082">
        <w:rPr>
          <w:rFonts w:ascii="Arial" w:hAnsi="Arial" w:cs="Arial"/>
          <w:sz w:val="24"/>
          <w:szCs w:val="24"/>
        </w:rPr>
        <w:t xml:space="preserve">Bridger, E. (2018) </w:t>
      </w:r>
      <w:r w:rsidRPr="00AA5082">
        <w:rPr>
          <w:rFonts w:ascii="Arial" w:hAnsi="Arial" w:cs="Arial"/>
          <w:i/>
          <w:sz w:val="24"/>
          <w:szCs w:val="24"/>
        </w:rPr>
        <w:t xml:space="preserve">Employee Engagement </w:t>
      </w:r>
      <w:r w:rsidRPr="00AA5082">
        <w:rPr>
          <w:rFonts w:ascii="Arial" w:hAnsi="Arial" w:cs="Arial"/>
          <w:sz w:val="24"/>
          <w:szCs w:val="24"/>
        </w:rPr>
        <w:t>2</w:t>
      </w:r>
      <w:r w:rsidRPr="00AA5082">
        <w:rPr>
          <w:rFonts w:ascii="Arial" w:hAnsi="Arial" w:cs="Arial"/>
          <w:sz w:val="24"/>
          <w:szCs w:val="24"/>
          <w:vertAlign w:val="superscript"/>
        </w:rPr>
        <w:t>nd</w:t>
      </w:r>
      <w:r w:rsidRPr="00AA5082">
        <w:rPr>
          <w:rFonts w:ascii="Arial" w:hAnsi="Arial" w:cs="Arial"/>
          <w:sz w:val="24"/>
          <w:szCs w:val="24"/>
        </w:rPr>
        <w:t xml:space="preserve"> Ed. London: Kogan Page  </w:t>
      </w:r>
    </w:p>
    <w:p w14:paraId="35A16A28" w14:textId="6ED1AEF2" w:rsidR="00AA5082" w:rsidRPr="00AA5082" w:rsidRDefault="00AA5082" w:rsidP="00AA5082">
      <w:pPr>
        <w:rPr>
          <w:rFonts w:ascii="Arial" w:hAnsi="Arial" w:cs="Arial"/>
          <w:sz w:val="24"/>
          <w:szCs w:val="24"/>
        </w:rPr>
      </w:pPr>
      <w:r w:rsidRPr="00AA5082">
        <w:rPr>
          <w:rFonts w:ascii="Arial" w:eastAsia="Times New Roman" w:hAnsi="Arial" w:cs="Arial"/>
          <w:sz w:val="24"/>
          <w:szCs w:val="24"/>
          <w:lang w:eastAsia="en-GB"/>
        </w:rPr>
        <w:t xml:space="preserve">CIPD (2019) </w:t>
      </w:r>
      <w:r w:rsidRPr="00AA5082">
        <w:rPr>
          <w:rFonts w:ascii="Arial" w:eastAsia="Times New Roman" w:hAnsi="Arial" w:cs="Arial"/>
          <w:i/>
          <w:iCs/>
          <w:sz w:val="24"/>
          <w:szCs w:val="24"/>
          <w:lang w:eastAsia="en-GB"/>
        </w:rPr>
        <w:t xml:space="preserve">Employee engagement and motivation. </w:t>
      </w:r>
      <w:r w:rsidRPr="00AA5082">
        <w:rPr>
          <w:rFonts w:ascii="Arial" w:eastAsia="Times New Roman" w:hAnsi="Arial" w:cs="Arial"/>
          <w:sz w:val="24"/>
          <w:szCs w:val="24"/>
          <w:lang w:eastAsia="en-GB"/>
        </w:rPr>
        <w:t xml:space="preserve">Available at: </w:t>
      </w:r>
      <w:r w:rsidRPr="00AA5082">
        <w:rPr>
          <w:rFonts w:ascii="Arial" w:hAnsi="Arial" w:cs="Arial"/>
          <w:sz w:val="24"/>
          <w:szCs w:val="24"/>
        </w:rPr>
        <w:t>https://www.cipd.co.uk/knowledge/fundamentals/relations/engagement/factsheet (Accessed 26th May 2020).</w:t>
      </w:r>
    </w:p>
    <w:p w14:paraId="6C72487B" w14:textId="18D10DE5" w:rsidR="00AA5082" w:rsidRPr="00AA5082" w:rsidRDefault="00AA5082" w:rsidP="00AA5082">
      <w:pPr>
        <w:rPr>
          <w:rFonts w:ascii="Arial" w:hAnsi="Arial" w:cs="Arial"/>
          <w:sz w:val="24"/>
          <w:szCs w:val="24"/>
        </w:rPr>
      </w:pPr>
      <w:r w:rsidRPr="00AA5082">
        <w:rPr>
          <w:rFonts w:ascii="Arial" w:hAnsi="Arial" w:cs="Arial"/>
          <w:sz w:val="24"/>
          <w:szCs w:val="24"/>
        </w:rPr>
        <w:t xml:space="preserve">MacLeod, D. and Clarke, N. (2009) </w:t>
      </w:r>
      <w:r w:rsidRPr="00AA5082">
        <w:rPr>
          <w:rFonts w:ascii="Arial" w:hAnsi="Arial" w:cs="Arial"/>
          <w:i/>
          <w:sz w:val="24"/>
          <w:szCs w:val="24"/>
        </w:rPr>
        <w:t xml:space="preserve">Engaging for success: enhancing performance through employee engagement. </w:t>
      </w:r>
      <w:r w:rsidRPr="00AA5082">
        <w:rPr>
          <w:rFonts w:ascii="Arial" w:hAnsi="Arial" w:cs="Arial"/>
          <w:sz w:val="24"/>
          <w:szCs w:val="24"/>
        </w:rPr>
        <w:t>London: BIS</w:t>
      </w:r>
    </w:p>
    <w:p w14:paraId="7DB701F5" w14:textId="6980982F" w:rsidR="00AA5082" w:rsidRPr="00AA5082" w:rsidRDefault="00AA5082" w:rsidP="00AA5082">
      <w:pPr>
        <w:rPr>
          <w:rFonts w:ascii="Arial" w:eastAsia="Times New Roman" w:hAnsi="Arial" w:cs="Arial"/>
          <w:sz w:val="24"/>
          <w:szCs w:val="24"/>
          <w:lang w:eastAsia="en-GB"/>
        </w:rPr>
      </w:pPr>
      <w:r w:rsidRPr="00AA5082">
        <w:rPr>
          <w:rFonts w:ascii="Arial" w:hAnsi="Arial" w:cs="Arial"/>
          <w:sz w:val="24"/>
          <w:szCs w:val="24"/>
        </w:rPr>
        <w:t xml:space="preserve">Mann, A. (2018) </w:t>
      </w:r>
      <w:r w:rsidRPr="00AA5082">
        <w:rPr>
          <w:rFonts w:ascii="Arial" w:hAnsi="Arial" w:cs="Arial"/>
          <w:i/>
          <w:iCs/>
          <w:sz w:val="24"/>
          <w:szCs w:val="24"/>
        </w:rPr>
        <w:t xml:space="preserve">Why We Need Best Friends at Work. </w:t>
      </w:r>
      <w:r w:rsidRPr="00AA5082">
        <w:rPr>
          <w:rFonts w:ascii="Arial" w:hAnsi="Arial" w:cs="Arial"/>
          <w:sz w:val="24"/>
          <w:szCs w:val="24"/>
        </w:rPr>
        <w:t>Available at: https://www.gallup.com/workplace/236213/why-need-best-friends-work.aspx (Accessed 26</w:t>
      </w:r>
      <w:r w:rsidRPr="00AA5082">
        <w:rPr>
          <w:rFonts w:ascii="Arial" w:hAnsi="Arial" w:cs="Arial"/>
          <w:sz w:val="24"/>
          <w:szCs w:val="24"/>
          <w:vertAlign w:val="superscript"/>
        </w:rPr>
        <w:t>th</w:t>
      </w:r>
      <w:r w:rsidRPr="00AA5082">
        <w:rPr>
          <w:rFonts w:ascii="Arial" w:hAnsi="Arial" w:cs="Arial"/>
          <w:sz w:val="24"/>
          <w:szCs w:val="24"/>
        </w:rPr>
        <w:t xml:space="preserve"> May 2020). </w:t>
      </w:r>
    </w:p>
    <w:p w14:paraId="1A5B37EE" w14:textId="1725A401" w:rsidR="00AA5082" w:rsidRPr="00AA5082" w:rsidRDefault="00AA5082" w:rsidP="00AA5082">
      <w:pPr>
        <w:rPr>
          <w:rFonts w:ascii="Arial" w:hAnsi="Arial" w:cs="Arial"/>
          <w:sz w:val="24"/>
          <w:szCs w:val="24"/>
        </w:rPr>
      </w:pPr>
      <w:r w:rsidRPr="00AA5082">
        <w:rPr>
          <w:rFonts w:ascii="Arial" w:hAnsi="Arial" w:cs="Arial"/>
          <w:sz w:val="24"/>
          <w:szCs w:val="24"/>
        </w:rPr>
        <w:t xml:space="preserve">SHRM (2014) </w:t>
      </w:r>
      <w:r w:rsidRPr="00AA5082">
        <w:rPr>
          <w:rFonts w:ascii="Arial" w:hAnsi="Arial" w:cs="Arial"/>
          <w:i/>
          <w:iCs/>
          <w:sz w:val="24"/>
          <w:szCs w:val="24"/>
        </w:rPr>
        <w:t xml:space="preserve">Leveraging Workplace Flexibility for Engagement and Productivity. </w:t>
      </w:r>
      <w:r w:rsidRPr="00AA5082">
        <w:rPr>
          <w:rFonts w:ascii="Arial" w:hAnsi="Arial" w:cs="Arial"/>
          <w:sz w:val="24"/>
          <w:szCs w:val="24"/>
        </w:rPr>
        <w:t>Available at: https://www.shrm.org/hr-today/trends-and-forecasting/special-reports-and-expert-views/Documents/Leveraging-Workplace-Flexibility.pdf (Accessed 26</w:t>
      </w:r>
      <w:r w:rsidRPr="00AA5082">
        <w:rPr>
          <w:rFonts w:ascii="Arial" w:hAnsi="Arial" w:cs="Arial"/>
          <w:sz w:val="24"/>
          <w:szCs w:val="24"/>
          <w:vertAlign w:val="superscript"/>
        </w:rPr>
        <w:t>th</w:t>
      </w:r>
      <w:r w:rsidRPr="00AA5082">
        <w:rPr>
          <w:rFonts w:ascii="Arial" w:hAnsi="Arial" w:cs="Arial"/>
          <w:sz w:val="24"/>
          <w:szCs w:val="24"/>
        </w:rPr>
        <w:t xml:space="preserve"> May 2020). </w:t>
      </w:r>
    </w:p>
    <w:p w14:paraId="387D58F0" w14:textId="2CC8FF16" w:rsidR="00AA5082" w:rsidRPr="00AA5082" w:rsidRDefault="00AA5082" w:rsidP="00AA5082">
      <w:pPr>
        <w:rPr>
          <w:rFonts w:ascii="Arial" w:hAnsi="Arial" w:cs="Arial"/>
          <w:sz w:val="24"/>
          <w:szCs w:val="24"/>
        </w:rPr>
      </w:pPr>
      <w:r w:rsidRPr="00AA5082">
        <w:rPr>
          <w:rFonts w:ascii="Arial" w:hAnsi="Arial" w:cs="Arial"/>
          <w:sz w:val="24"/>
          <w:szCs w:val="24"/>
        </w:rPr>
        <w:t xml:space="preserve">Smith, P. (2017) </w:t>
      </w:r>
      <w:r w:rsidRPr="00AA5082">
        <w:rPr>
          <w:rFonts w:ascii="Arial" w:hAnsi="Arial" w:cs="Arial"/>
          <w:i/>
          <w:iCs/>
          <w:sz w:val="24"/>
          <w:szCs w:val="24"/>
        </w:rPr>
        <w:t xml:space="preserve">How to increase employee engagement through targeted charitable giving. </w:t>
      </w:r>
      <w:r w:rsidRPr="00AA5082">
        <w:rPr>
          <w:rFonts w:ascii="Arial" w:hAnsi="Arial" w:cs="Arial"/>
          <w:sz w:val="24"/>
          <w:szCs w:val="24"/>
        </w:rPr>
        <w:t>Available at: https://www.businesswest.co.uk/blog/how-increase-employee-engagement-through-targeted-charitable-giving (Accessed 26</w:t>
      </w:r>
      <w:r w:rsidRPr="00AA5082">
        <w:rPr>
          <w:rFonts w:ascii="Arial" w:hAnsi="Arial" w:cs="Arial"/>
          <w:sz w:val="24"/>
          <w:szCs w:val="24"/>
          <w:vertAlign w:val="superscript"/>
        </w:rPr>
        <w:t>th</w:t>
      </w:r>
      <w:r w:rsidRPr="00AA5082">
        <w:rPr>
          <w:rFonts w:ascii="Arial" w:hAnsi="Arial" w:cs="Arial"/>
          <w:sz w:val="24"/>
          <w:szCs w:val="24"/>
        </w:rPr>
        <w:t xml:space="preserve"> May 2020). </w:t>
      </w:r>
    </w:p>
    <w:p w14:paraId="49611926" w14:textId="77777777" w:rsidR="00AA5082" w:rsidRPr="00AA5082" w:rsidRDefault="00AA5082" w:rsidP="00AA5082">
      <w:pPr>
        <w:rPr>
          <w:rFonts w:ascii="Arial" w:hAnsi="Arial" w:cs="Arial"/>
          <w:b/>
          <w:bCs/>
          <w:sz w:val="24"/>
          <w:szCs w:val="24"/>
        </w:rPr>
      </w:pPr>
    </w:p>
    <w:sectPr w:rsidR="00AA5082" w:rsidRPr="00AA508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C2EC43" w14:textId="77777777" w:rsidR="00AA5082" w:rsidRDefault="00AA5082" w:rsidP="00AA5082">
      <w:pPr>
        <w:spacing w:after="0" w:line="240" w:lineRule="auto"/>
      </w:pPr>
      <w:r>
        <w:separator/>
      </w:r>
    </w:p>
  </w:endnote>
  <w:endnote w:type="continuationSeparator" w:id="0">
    <w:p w14:paraId="2D800BB1" w14:textId="77777777" w:rsidR="00AA5082" w:rsidRDefault="00AA5082" w:rsidP="00AA5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9B9EA6" w14:textId="77777777" w:rsidR="00AA5082" w:rsidRDefault="00AA5082" w:rsidP="00AA5082">
      <w:pPr>
        <w:spacing w:after="0" w:line="240" w:lineRule="auto"/>
      </w:pPr>
      <w:r>
        <w:separator/>
      </w:r>
    </w:p>
  </w:footnote>
  <w:footnote w:type="continuationSeparator" w:id="0">
    <w:p w14:paraId="33F15556" w14:textId="77777777" w:rsidR="00AA5082" w:rsidRDefault="00AA5082" w:rsidP="00AA5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A3328" w14:textId="5AFE834F" w:rsidR="00AA5082" w:rsidRDefault="00AA5082">
    <w:pPr>
      <w:pStyle w:val="Header"/>
    </w:pPr>
    <w:r>
      <w:t>Joanne Thomas - 1403229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A5082"/>
    <w:rsid w:val="001C065B"/>
    <w:rsid w:val="00797063"/>
    <w:rsid w:val="00AA5082"/>
    <w:rsid w:val="00B11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2F9F2"/>
  <w15:chartTrackingRefBased/>
  <w15:docId w15:val="{7E3D9FBA-0D67-4864-B7E7-9E520FD4A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082"/>
  </w:style>
  <w:style w:type="paragraph" w:styleId="Footer">
    <w:name w:val="footer"/>
    <w:basedOn w:val="Normal"/>
    <w:link w:val="FooterChar"/>
    <w:uiPriority w:val="99"/>
    <w:unhideWhenUsed/>
    <w:rsid w:val="00AA5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082"/>
  </w:style>
  <w:style w:type="character" w:styleId="Hyperlink">
    <w:name w:val="Hyperlink"/>
    <w:basedOn w:val="DefaultParagraphFont"/>
    <w:uiPriority w:val="99"/>
    <w:semiHidden/>
    <w:unhideWhenUsed/>
    <w:rsid w:val="00AA50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6</Pages>
  <Words>1815</Words>
  <Characters>10352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2</cp:revision>
  <dcterms:created xsi:type="dcterms:W3CDTF">2020-05-26T20:24:00Z</dcterms:created>
  <dcterms:modified xsi:type="dcterms:W3CDTF">2020-05-26T20:51:00Z</dcterms:modified>
</cp:coreProperties>
</file>