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DD2CC3D" w:rsidRDefault="7DD2CC3D" w14:paraId="1E71CAC4" w14:textId="45E66303">
      <w:r w:rsidR="7DD2CC3D">
        <w:rPr/>
        <w:t>Banister Primary School has recently</w:t>
      </w:r>
      <w:r w:rsidR="387FE903">
        <w:rPr/>
        <w:t xml:space="preserve"> experienced two unrelated events that raise concerns about </w:t>
      </w:r>
      <w:r w:rsidR="387FE903">
        <w:rPr/>
        <w:t>possible negligence</w:t>
      </w:r>
      <w:r w:rsidR="387FE903">
        <w:rPr/>
        <w:t xml:space="preserve">, breaches </w:t>
      </w:r>
      <w:r w:rsidR="4A93C6A2">
        <w:rPr/>
        <w:t xml:space="preserve">of the duty of care, and failures to meet statutory obligations under English tort law. In the first </w:t>
      </w:r>
      <w:r w:rsidR="2F67BA50">
        <w:rPr/>
        <w:t>event, Bohd</w:t>
      </w:r>
      <w:r w:rsidR="1F799279">
        <w:rPr/>
        <w:t>i</w:t>
      </w:r>
      <w:r w:rsidR="2F67BA50">
        <w:rPr/>
        <w:t>, a seven-year-old student, suffered burns after hot gravy was ac</w:t>
      </w:r>
      <w:r w:rsidR="5F185DC9">
        <w:rPr/>
        <w:t xml:space="preserve">cidentally spilled onto his hand in the school canteen. The second incident involves Elijah, a six-year-old </w:t>
      </w:r>
      <w:r w:rsidR="32C11BF9">
        <w:rPr/>
        <w:t xml:space="preserve">visitor </w:t>
      </w:r>
      <w:r w:rsidR="5F185DC9">
        <w:rPr/>
        <w:t xml:space="preserve">attending </w:t>
      </w:r>
      <w:r w:rsidR="22D8A8FD">
        <w:rPr/>
        <w:t xml:space="preserve">an open day, who fell </w:t>
      </w:r>
      <w:r w:rsidR="50C1B8DA">
        <w:rPr/>
        <w:t xml:space="preserve">into an untended Koi Pon, resulting in a concussion and damage to his </w:t>
      </w:r>
      <w:r w:rsidR="23A15524">
        <w:rPr/>
        <w:t xml:space="preserve">clothing. </w:t>
      </w:r>
      <w:r w:rsidR="3FDEF865">
        <w:rPr/>
        <w:t>(the university of law, 2025), t</w:t>
      </w:r>
      <w:r w:rsidR="1CE3BCDE">
        <w:rPr/>
        <w:t>ort law provides legal framework through which injured individuals can seek compensation for their losses and assign responsibility to the parties w</w:t>
      </w:r>
      <w:r w:rsidR="3CD053A5">
        <w:rPr/>
        <w:t xml:space="preserve">hose actions caused the harm.  </w:t>
      </w:r>
      <w:r w:rsidR="197AC821">
        <w:rPr/>
        <w:t xml:space="preserve">There </w:t>
      </w:r>
      <w:r w:rsidR="52DABC6D">
        <w:rPr/>
        <w:t>are</w:t>
      </w:r>
      <w:r w:rsidR="197AC821">
        <w:rPr/>
        <w:t xml:space="preserve"> torts that fall under strict liability. In these cases, a person can be hel</w:t>
      </w:r>
      <w:r w:rsidR="071E3EAC">
        <w:rPr/>
        <w:t xml:space="preserve">d responsible even if they were neither negligent nor acting intentionally risky nature of the activity involved, often one that </w:t>
      </w:r>
      <w:r w:rsidR="255C4D29">
        <w:rPr/>
        <w:t>is hazardous or tightly regulated. Examples include product liability, environmental harm caused by industria</w:t>
      </w:r>
      <w:r w:rsidR="1F60A0E6">
        <w:rPr/>
        <w:t>l operations, injuries from animals, and keeping dangerous species.</w:t>
      </w:r>
      <w:r>
        <w:br/>
      </w:r>
      <w:r>
        <w:br/>
      </w:r>
      <w:r w:rsidR="10161BAE">
        <w:rPr/>
        <w:t xml:space="preserve">In any tort claim, the claimant must </w:t>
      </w:r>
      <w:r w:rsidR="10161BAE">
        <w:rPr/>
        <w:t>demonstrate</w:t>
      </w:r>
      <w:r w:rsidR="10161BAE">
        <w:rPr/>
        <w:t xml:space="preserve"> and prove four key elements before they can obtain compensation for the defendant. </w:t>
      </w:r>
      <w:r w:rsidR="1A4F1102">
        <w:rPr/>
        <w:t xml:space="preserve">The defendant must owe the claimant a legal duty, meaning the law acknowledges a relationship in which the defendant </w:t>
      </w:r>
      <w:r w:rsidR="1A4F1102">
        <w:rPr/>
        <w:t>is required to</w:t>
      </w:r>
      <w:r w:rsidR="1A4F1102">
        <w:rPr/>
        <w:t xml:space="preserve"> exercise </w:t>
      </w:r>
      <w:r w:rsidR="3721E73E">
        <w:rPr/>
        <w:t>reasonable care. The defendant must have broken their duty by not upholding</w:t>
      </w:r>
      <w:r w:rsidR="6847050F">
        <w:rPr/>
        <w:t xml:space="preserve"> the expected standard of care, which is assessed buy considering what a reasonable person would have done in similar circumstances. </w:t>
      </w:r>
      <w:r w:rsidR="4BCA90D7">
        <w:rPr/>
        <w:t>There must be a clear causal connection between the defendant's breach of duty and the harm the claimant experienced</w:t>
      </w:r>
      <w:r w:rsidR="0517EEB7">
        <w:rPr/>
        <w:t xml:space="preserve">. The claimant must have experienced loss or injury </w:t>
      </w:r>
      <w:r w:rsidR="69114DA4">
        <w:rPr/>
        <w:t>because of</w:t>
      </w:r>
      <w:r w:rsidR="0517EEB7">
        <w:rPr/>
        <w:t xml:space="preserve"> the </w:t>
      </w:r>
      <w:r w:rsidR="55C635DC">
        <w:rPr/>
        <w:t>defendant's</w:t>
      </w:r>
      <w:r w:rsidR="0517EEB7">
        <w:rPr/>
        <w:t xml:space="preserve"> breach of duty</w:t>
      </w:r>
      <w:r w:rsidR="678B957B">
        <w:rPr/>
        <w:t xml:space="preserve"> (Longstaff, 2025).</w:t>
      </w:r>
      <w:r w:rsidR="66005BC6">
        <w:rPr/>
        <w:t xml:space="preserve"> </w:t>
      </w:r>
      <w:r w:rsidR="458F7372">
        <w:rPr/>
        <w:t xml:space="preserve">In tort law, schools owe a non-delegate duty of care to their pupils, and in some circumstances this responsibility can also extend to individuals </w:t>
      </w:r>
      <w:r w:rsidR="7E02E884">
        <w:rPr/>
        <w:t>visiting the school. Premises, (Woodland v Essex County Council, 2013).</w:t>
      </w:r>
      <w:r w:rsidR="15761FAE">
        <w:rPr/>
        <w:t xml:space="preserve"> This duty obliges schools to take reasonable measures to safeguard children from foreseeable dangers, </w:t>
      </w:r>
      <w:r w:rsidR="22FA3835">
        <w:rPr/>
        <w:t>considering</w:t>
      </w:r>
      <w:r w:rsidR="15761FAE">
        <w:rPr/>
        <w:t xml:space="preserve"> their</w:t>
      </w:r>
      <w:r w:rsidR="05230808">
        <w:rPr/>
        <w:t xml:space="preserve"> vulnerability and limited capacity to recognise and evaluate risks. </w:t>
      </w:r>
      <w:r w:rsidR="33BF9F8F">
        <w:rPr/>
        <w:t xml:space="preserve">In negligence cases, the first step is to show that the defendant owed a duty of care to the claimant. The “neighbour principle” </w:t>
      </w:r>
      <w:r w:rsidR="0D55AC1E">
        <w:rPr/>
        <w:t>from Donoughe v Stevenson (1932), a explained by Lord Atkin, holds that individuals must take reasonable care to avoid acts or omissions that could</w:t>
      </w:r>
      <w:r w:rsidR="2CFF1E18">
        <w:rPr/>
        <w:t xml:space="preserve"> foreseeably harm those who are closely and directly affected by their actions. </w:t>
      </w:r>
      <w:r>
        <w:br/>
      </w:r>
      <w:r>
        <w:br/>
      </w:r>
      <w:r w:rsidR="7FAA32E2">
        <w:rPr/>
        <w:t xml:space="preserve">Bhodi’s case: as a pupil in the school canteen, Bhodi was owed a duty of care. The school </w:t>
      </w:r>
      <w:r w:rsidR="7FAA32E2">
        <w:rPr/>
        <w:t xml:space="preserve">is responsible </w:t>
      </w:r>
      <w:r w:rsidR="5490DC51">
        <w:rPr/>
        <w:t>for</w:t>
      </w:r>
      <w:r w:rsidR="5490DC51">
        <w:rPr/>
        <w:t xml:space="preserve"> supervising pupils during mealtimes and ensuring that food is served safely. The du</w:t>
      </w:r>
      <w:r w:rsidR="7D791AFF">
        <w:rPr/>
        <w:t>ty encompasses all foreseeable risks, including burns from hot food or liquids (Phelps v Hillingd</w:t>
      </w:r>
      <w:r w:rsidR="4CCC98C9">
        <w:rPr/>
        <w:t>on Borough Council, 2000).</w:t>
      </w:r>
      <w:r>
        <w:br/>
      </w:r>
      <w:r w:rsidR="33E8F9DE">
        <w:rPr/>
        <w:t>Elijah’s case: Elijah, though not a pupil, was a visitor during an organised school event. Under English law, the school owed a d</w:t>
      </w:r>
      <w:r w:rsidR="2A79C67F">
        <w:rPr/>
        <w:t>uty of care to visitors to ensure that premises are safe and to protect against foreseea</w:t>
      </w:r>
      <w:r w:rsidR="2A8005D8">
        <w:rPr/>
        <w:t xml:space="preserve">ble hazards (Phipps v Rochester Corporation, 1955). </w:t>
      </w:r>
      <w:r w:rsidR="6237F3B6">
        <w:rPr/>
        <w:t>The Koi Pond</w:t>
      </w:r>
      <w:r w:rsidR="2A8005D8">
        <w:rPr/>
        <w:t xml:space="preserve">, which </w:t>
      </w:r>
      <w:r w:rsidR="2EE597B4">
        <w:rPr/>
        <w:t xml:space="preserve">was </w:t>
      </w:r>
      <w:r w:rsidR="2EE597B4">
        <w:rPr/>
        <w:t>in the process of being</w:t>
      </w:r>
      <w:r w:rsidR="2EE597B4">
        <w:rPr/>
        <w:t xml:space="preserve"> filled and lacked a protective barrier, </w:t>
      </w:r>
      <w:r w:rsidR="2EE597B4">
        <w:rPr/>
        <w:t>represented</w:t>
      </w:r>
      <w:r w:rsidR="2EE597B4">
        <w:rPr/>
        <w:t xml:space="preserve"> a foreseeable danger to a young child. The presence of the hand-</w:t>
      </w:r>
      <w:r w:rsidR="1840CE13">
        <w:rPr/>
        <w:t>painted” keep</w:t>
      </w:r>
      <w:r w:rsidR="2338FB0A">
        <w:rPr/>
        <w:t xml:space="preserve"> away” sign may not have been sufficient to discharge the duty. </w:t>
      </w:r>
      <w:r w:rsidR="5D397E04">
        <w:rPr/>
        <w:t>Elijahs head injury and the damage to his clothing are foreseeable consequences of falling into an unprotected pond</w:t>
      </w:r>
      <w:r w:rsidR="75DA582D">
        <w:rPr/>
        <w:t xml:space="preserve">. In (Jolley v Sutton London Borough Council, 2000) the </w:t>
      </w:r>
      <w:r w:rsidR="22A6E086">
        <w:rPr/>
        <w:t>court held that harm from children playing with a derelict boat was foreseeable, even if the exact manner or injury was not</w:t>
      </w:r>
      <w:r w:rsidR="26115E45">
        <w:rPr/>
        <w:t xml:space="preserve">. By analogy, Elijahs harm falls within the foreseeable scope of risk, so remoteness does not limit liability. </w:t>
      </w:r>
      <w:r w:rsidR="7F36A9F5">
        <w:rPr/>
        <w:t xml:space="preserve">To </w:t>
      </w:r>
      <w:r w:rsidR="7F36A9F5">
        <w:rPr/>
        <w:t>establish</w:t>
      </w:r>
      <w:r w:rsidR="7F36A9F5">
        <w:rPr/>
        <w:t xml:space="preserve"> a duty of care, it must be </w:t>
      </w:r>
      <w:r w:rsidR="7F36A9F5">
        <w:rPr/>
        <w:t>demonstrated</w:t>
      </w:r>
      <w:r w:rsidR="7F36A9F5">
        <w:rPr/>
        <w:t xml:space="preserve"> that the </w:t>
      </w:r>
      <w:r w:rsidR="1AE268B4">
        <w:rPr/>
        <w:t>defendants'</w:t>
      </w:r>
      <w:r w:rsidR="6C5E5C07">
        <w:rPr/>
        <w:t xml:space="preserve"> actions</w:t>
      </w:r>
      <w:r w:rsidR="7F36A9F5">
        <w:rPr/>
        <w:t xml:space="preserve"> fell short of the standard expected in the given circumstances</w:t>
      </w:r>
      <w:r w:rsidR="16B64BF5">
        <w:rPr/>
        <w:t xml:space="preserve">. The standard is bases on that of a reasonable person, </w:t>
      </w:r>
      <w:r w:rsidR="3B017572">
        <w:rPr/>
        <w:t xml:space="preserve">but when children are involved, it may be </w:t>
      </w:r>
      <w:r w:rsidR="3B017572">
        <w:rPr/>
        <w:t>modified</w:t>
      </w:r>
      <w:r w:rsidR="3B017572">
        <w:rPr/>
        <w:t xml:space="preserve"> to </w:t>
      </w:r>
      <w:r w:rsidR="4AC173A1">
        <w:rPr/>
        <w:t>consider</w:t>
      </w:r>
      <w:r w:rsidR="3B017572">
        <w:rPr/>
        <w:t xml:space="preserve"> their age and level of experience. </w:t>
      </w:r>
      <w:r>
        <w:br/>
      </w:r>
      <w:r w:rsidR="23A24CBC">
        <w:rPr/>
        <w:t xml:space="preserve">For example, in Mullin v Richard's (1998) the court held that a </w:t>
      </w:r>
      <w:r w:rsidR="3604AC15">
        <w:rPr/>
        <w:t>15-year-old</w:t>
      </w:r>
      <w:r w:rsidR="23A24CBC">
        <w:rPr/>
        <w:t xml:space="preserve"> girl was not liable for an injury caused during a play fight, as he</w:t>
      </w:r>
      <w:r w:rsidR="4025C98A">
        <w:rPr/>
        <w:t xml:space="preserve">r actions were consistent with those </w:t>
      </w:r>
      <w:r w:rsidR="4025C98A">
        <w:rPr/>
        <w:t>o</w:t>
      </w:r>
      <w:r w:rsidR="5FBFADBE">
        <w:rPr/>
        <w:t xml:space="preserve">f </w:t>
      </w:r>
      <w:r w:rsidR="4025C98A">
        <w:rPr/>
        <w:t>a reasonable person of her age.</w:t>
      </w:r>
      <w:r>
        <w:br/>
      </w:r>
      <w:r>
        <w:br/>
      </w:r>
      <w:r w:rsidR="18299A52">
        <w:rPr/>
        <w:t xml:space="preserve">A breach happens when the defendant does not meet the expected standard of care, which is judged against what a reasonable person </w:t>
      </w:r>
      <w:r w:rsidR="456BA4E9">
        <w:rPr/>
        <w:t>would</w:t>
      </w:r>
      <w:r w:rsidR="18299A52">
        <w:rPr/>
        <w:t xml:space="preserve"> </w:t>
      </w:r>
      <w:r w:rsidR="6708A26B">
        <w:rPr/>
        <w:t xml:space="preserve">do </w:t>
      </w:r>
      <w:r w:rsidR="18299A52">
        <w:rPr/>
        <w:t xml:space="preserve">in the </w:t>
      </w:r>
      <w:r w:rsidR="28B7F2CD">
        <w:rPr/>
        <w:t>situation</w:t>
      </w:r>
      <w:r w:rsidR="7F726AA5">
        <w:rPr/>
        <w:t xml:space="preserve">, with adjustments made for the </w:t>
      </w:r>
      <w:r w:rsidR="05E4EB04">
        <w:rPr/>
        <w:t>vulnerabilities</w:t>
      </w:r>
      <w:r w:rsidR="7F726AA5">
        <w:rPr/>
        <w:t xml:space="preserve"> of children</w:t>
      </w:r>
      <w:r w:rsidR="06FE98AD">
        <w:rPr/>
        <w:t xml:space="preserve"> (Bolam v Friern Hospital management Committee, 1957). (Mullin v Richard's</w:t>
      </w:r>
      <w:r w:rsidR="4A87A0D5">
        <w:rPr/>
        <w:t>, 1998).</w:t>
      </w:r>
      <w:r>
        <w:br/>
      </w:r>
      <w:r w:rsidR="5BAA8DA4">
        <w:rPr/>
        <w:t xml:space="preserve">Bodhi’s case: the dinner lady spilled boiling hot gravy onto Bodhi’s hand. The school has a duty </w:t>
      </w:r>
      <w:r w:rsidR="7B22403E">
        <w:rPr/>
        <w:t>to ensure that staff handled hot food safely and implemented measures to minimise the risk of injury, such as supervision, safe serving p</w:t>
      </w:r>
      <w:r w:rsidR="7ED71D48">
        <w:rPr/>
        <w:t xml:space="preserve">rocedures, and the use of trays (Phelps v Hillingdon Borough Council, 2000). The spill </w:t>
      </w:r>
      <w:r w:rsidR="7ED71D48">
        <w:rPr/>
        <w:t>demonstrates</w:t>
      </w:r>
      <w:r w:rsidR="7ED71D48">
        <w:rPr/>
        <w:t xml:space="preserve"> that the standard of care was not met</w:t>
      </w:r>
      <w:r w:rsidR="0E4B4296">
        <w:rPr/>
        <w:t xml:space="preserve">, constituting a breach. </w:t>
      </w:r>
      <w:r>
        <w:br/>
      </w:r>
      <w:r w:rsidR="3559C0E0">
        <w:rPr/>
        <w:t xml:space="preserve">Elijah’s case: the school </w:t>
      </w:r>
      <w:r w:rsidR="3559C0E0">
        <w:rPr/>
        <w:t>failed to</w:t>
      </w:r>
      <w:r w:rsidR="3559C0E0">
        <w:rPr/>
        <w:t xml:space="preserve"> provide barriers around the pond while it was being filled. Although a hand-painted sign</w:t>
      </w:r>
      <w:r w:rsidR="05503BAF">
        <w:rPr/>
        <w:t xml:space="preserve"> was present, young children may not </w:t>
      </w:r>
      <w:r w:rsidR="05503BAF">
        <w:rPr/>
        <w:t>comprehend</w:t>
      </w:r>
      <w:r w:rsidR="05503BAF">
        <w:rPr/>
        <w:t xml:space="preserve"> or adhere to such warnings. A reasonable school would have implemented </w:t>
      </w:r>
      <w:r w:rsidR="62CB1127">
        <w:rPr/>
        <w:t xml:space="preserve">physical barriers or close supervision during the open day. The failure to control </w:t>
      </w:r>
      <w:r w:rsidR="45F88EEA">
        <w:rPr/>
        <w:t>access</w:t>
      </w:r>
      <w:r w:rsidR="62CB1127">
        <w:rPr/>
        <w:t xml:space="preserve"> to a hazardous area </w:t>
      </w:r>
      <w:r w:rsidR="62CB1127">
        <w:rPr/>
        <w:t>demonstrates</w:t>
      </w:r>
      <w:r w:rsidR="62CB1127">
        <w:rPr/>
        <w:t xml:space="preserve"> a breach o</w:t>
      </w:r>
      <w:r w:rsidR="4296CFEE">
        <w:rPr/>
        <w:t xml:space="preserve">f duty </w:t>
      </w:r>
      <w:r w:rsidR="1CC7B927">
        <w:rPr/>
        <w:t xml:space="preserve">(Glasgow corporation v Taylor, 1992). </w:t>
      </w:r>
      <w:r>
        <w:br/>
      </w:r>
      <w:r w:rsidR="622227B3">
        <w:rPr/>
        <w:t xml:space="preserve">From a statutory standpoint, the absence of control measures violates </w:t>
      </w:r>
      <w:r w:rsidR="131920DA">
        <w:rPr/>
        <w:t>the</w:t>
      </w:r>
      <w:r w:rsidR="622227B3">
        <w:rPr/>
        <w:t xml:space="preserve"> requirements of the </w:t>
      </w:r>
      <w:r w:rsidR="4B117B57">
        <w:rPr/>
        <w:t>Health</w:t>
      </w:r>
      <w:r w:rsidR="622227B3">
        <w:rPr/>
        <w:t xml:space="preserve"> and Safety at Work Act 1974 and the </w:t>
      </w:r>
      <w:r w:rsidR="52150CB0">
        <w:rPr/>
        <w:t>management</w:t>
      </w:r>
      <w:r w:rsidR="44A4036B">
        <w:rPr/>
        <w:t xml:space="preserve"> of Health and </w:t>
      </w:r>
      <w:r w:rsidR="141B14BD">
        <w:rPr/>
        <w:t>Safety</w:t>
      </w:r>
      <w:r w:rsidR="44A4036B">
        <w:rPr/>
        <w:t xml:space="preserve"> at Work Regulations 1999. The school did not recognise the pond as a potential hazard or put ad</w:t>
      </w:r>
      <w:r w:rsidR="304DE770">
        <w:rPr/>
        <w:t xml:space="preserve">equate safety measures in place, which reinforces the claim of breach. </w:t>
      </w:r>
      <w:r>
        <w:br/>
      </w:r>
      <w:r>
        <w:br/>
      </w:r>
      <w:r w:rsidR="2A092529">
        <w:rPr/>
        <w:t xml:space="preserve">Causation requires </w:t>
      </w:r>
      <w:r w:rsidR="2A092529">
        <w:rPr/>
        <w:t>establishing</w:t>
      </w:r>
      <w:r w:rsidR="2A092529">
        <w:rPr/>
        <w:t xml:space="preserve"> that the defendants breach was both factual and legal cause of the harm (Barnett v Chelsea &amp; </w:t>
      </w:r>
      <w:r w:rsidR="701A81A1">
        <w:rPr/>
        <w:t xml:space="preserve">Kensington Hospital,1969) (Wisher v Essex Area Health Authority, 1988). </w:t>
      </w:r>
      <w:r>
        <w:br/>
      </w:r>
      <w:r w:rsidR="5ACC8E42">
        <w:rPr/>
        <w:t xml:space="preserve">Bodhi's case: the burn injury was directly caused by the spilling of hot gravy. The </w:t>
      </w:r>
      <w:r w:rsidR="7491EA51">
        <w:rPr/>
        <w:t>school's</w:t>
      </w:r>
      <w:r w:rsidR="5ACC8E42">
        <w:rPr/>
        <w:t xml:space="preserve"> failure to implement safe serving procedures was the factual cause. The injury w</w:t>
      </w:r>
      <w:r w:rsidR="2CB04A9B">
        <w:rPr/>
        <w:t>as also foreseeable, satisfying legal causation, as handling boiling liquids is known to pose a risk to children (Wagon m</w:t>
      </w:r>
      <w:r w:rsidR="78B082B0">
        <w:rPr/>
        <w:t xml:space="preserve">ound, 1961). </w:t>
      </w:r>
      <w:r>
        <w:br/>
      </w:r>
      <w:r w:rsidR="62243AFB">
        <w:rPr/>
        <w:t>Elijahs case: Elijahs concussion resulted from falling into the untended pond. The factual cause was the lack of barriers preventing access</w:t>
      </w:r>
      <w:r w:rsidR="5A244751">
        <w:rPr/>
        <w:t xml:space="preserve">. Legal causation is </w:t>
      </w:r>
      <w:r w:rsidR="5A244751">
        <w:rPr/>
        <w:t>established</w:t>
      </w:r>
      <w:r w:rsidR="5A244751">
        <w:rPr/>
        <w:t xml:space="preserve"> because it is foreseeable, that a child could approach the pond and fall, sustaining injury (Phipps v Rochester </w:t>
      </w:r>
      <w:r w:rsidR="36CC1A85">
        <w:rPr/>
        <w:t>corporation, 1955).</w:t>
      </w:r>
      <w:r>
        <w:br/>
      </w:r>
      <w:r w:rsidR="7BD15483">
        <w:rPr/>
        <w:t xml:space="preserve">The principle of remoteness restricts liability to damages that are a </w:t>
      </w:r>
      <w:r w:rsidR="7439DA2F">
        <w:rPr/>
        <w:t>foreseeable</w:t>
      </w:r>
      <w:r w:rsidR="7BD15483">
        <w:rPr/>
        <w:t xml:space="preserve"> consequence of the breach.</w:t>
      </w:r>
      <w:r>
        <w:br/>
      </w:r>
      <w:r w:rsidR="1C995592">
        <w:rPr/>
        <w:t xml:space="preserve">Bodhi’s case: </w:t>
      </w:r>
      <w:r w:rsidR="650A040E">
        <w:rPr/>
        <w:t>burns are a foreseeable result of a hot liquid spill. The injury is therefore not too remote.</w:t>
      </w:r>
      <w:r>
        <w:br/>
      </w:r>
      <w:r w:rsidR="00F0DBE4">
        <w:rPr/>
        <w:t xml:space="preserve">Elijah’s case: concussion and damage to clothing are </w:t>
      </w:r>
      <w:r w:rsidR="2F597B25">
        <w:rPr/>
        <w:t>foreseeable</w:t>
      </w:r>
      <w:r w:rsidR="00F0DBE4">
        <w:rPr/>
        <w:t xml:space="preserve"> results of falling into a pond. Therefore, the injures are not too remote for compensation. </w:t>
      </w:r>
      <w:r>
        <w:br/>
      </w:r>
      <w:r>
        <w:br/>
      </w:r>
      <w:r w:rsidR="1EF7F29A">
        <w:rPr/>
        <w:t>several defences may be considered:</w:t>
      </w:r>
      <w:r>
        <w:br/>
      </w:r>
      <w:r w:rsidR="7B719F21">
        <w:rPr/>
        <w:t>contributory negligence is a defence claiming that the injured party partly caused their own harm. However, given the young ages of Bo</w:t>
      </w:r>
      <w:r w:rsidR="6632EE52">
        <w:rPr/>
        <w:t xml:space="preserve">hdi and Elijah, this defence is unlikely to succeed, as children are judged by a lower standard of care. </w:t>
      </w:r>
      <w:r w:rsidR="0DAC49BF">
        <w:rPr/>
        <w:t>(Mullin v Richard, 1998).</w:t>
      </w:r>
      <w:r>
        <w:br/>
      </w:r>
      <w:r w:rsidR="06E7BF15">
        <w:rPr/>
        <w:t xml:space="preserve">voluntary assumption of risk is unlikely to succeed because Bohdi, as a pupil, cannot consent to negligent actions, and Elijah, being six years </w:t>
      </w:r>
      <w:r w:rsidR="3A49410D">
        <w:rPr/>
        <w:t>old, is not legally capable of voluntarily accepting risk.</w:t>
      </w:r>
      <w:r>
        <w:br/>
      </w:r>
      <w:r w:rsidR="66D56D53">
        <w:rPr/>
        <w:t>Obvious danger: the school may argue the risk was obvious. Courts have held that what is obvious to adults may not be obvious to children</w:t>
      </w:r>
      <w:r w:rsidR="11FDCE43">
        <w:rPr/>
        <w:t xml:space="preserve">, and schools must take additional precautions (Glasgow corporation v Taylor, 1922). </w:t>
      </w:r>
      <w:r>
        <w:br/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32A54"/>
    <w:rsid w:val="0097631F"/>
    <w:rsid w:val="00AF4415"/>
    <w:rsid w:val="00F0DBE4"/>
    <w:rsid w:val="02F72B4A"/>
    <w:rsid w:val="03016916"/>
    <w:rsid w:val="0517EEB7"/>
    <w:rsid w:val="05230808"/>
    <w:rsid w:val="05503BAF"/>
    <w:rsid w:val="05E4EB04"/>
    <w:rsid w:val="05F17F76"/>
    <w:rsid w:val="06687D4D"/>
    <w:rsid w:val="06E7BF15"/>
    <w:rsid w:val="06FE98AD"/>
    <w:rsid w:val="071E3EAC"/>
    <w:rsid w:val="07543439"/>
    <w:rsid w:val="07F0782E"/>
    <w:rsid w:val="0C00D21F"/>
    <w:rsid w:val="0C8BCDE1"/>
    <w:rsid w:val="0CC22CEF"/>
    <w:rsid w:val="0D55AC1E"/>
    <w:rsid w:val="0DAC49BF"/>
    <w:rsid w:val="0E4B4296"/>
    <w:rsid w:val="0E90DCF1"/>
    <w:rsid w:val="0EE0AEE0"/>
    <w:rsid w:val="0F249561"/>
    <w:rsid w:val="10161BAE"/>
    <w:rsid w:val="105E8472"/>
    <w:rsid w:val="10AF1E26"/>
    <w:rsid w:val="10C88E37"/>
    <w:rsid w:val="11FDCE43"/>
    <w:rsid w:val="1211D39F"/>
    <w:rsid w:val="12132A54"/>
    <w:rsid w:val="1234F6FA"/>
    <w:rsid w:val="12513A45"/>
    <w:rsid w:val="131920DA"/>
    <w:rsid w:val="141B14BD"/>
    <w:rsid w:val="15761FAE"/>
    <w:rsid w:val="15F703E2"/>
    <w:rsid w:val="16B64BF5"/>
    <w:rsid w:val="170C2968"/>
    <w:rsid w:val="173CF6E1"/>
    <w:rsid w:val="18299A52"/>
    <w:rsid w:val="1840CE13"/>
    <w:rsid w:val="1932E389"/>
    <w:rsid w:val="19618068"/>
    <w:rsid w:val="197AC821"/>
    <w:rsid w:val="19EAF43A"/>
    <w:rsid w:val="1A4F1102"/>
    <w:rsid w:val="1ACD9017"/>
    <w:rsid w:val="1AE268B4"/>
    <w:rsid w:val="1C0D732C"/>
    <w:rsid w:val="1C436274"/>
    <w:rsid w:val="1C995592"/>
    <w:rsid w:val="1CC7B927"/>
    <w:rsid w:val="1CE3BCDE"/>
    <w:rsid w:val="1E75E3A2"/>
    <w:rsid w:val="1E92CC81"/>
    <w:rsid w:val="1EEA5917"/>
    <w:rsid w:val="1EF7F29A"/>
    <w:rsid w:val="1F13E116"/>
    <w:rsid w:val="1F60A0E6"/>
    <w:rsid w:val="1F799279"/>
    <w:rsid w:val="20684E29"/>
    <w:rsid w:val="21B1EF2E"/>
    <w:rsid w:val="21BA19A0"/>
    <w:rsid w:val="22A6E086"/>
    <w:rsid w:val="22D8A8FD"/>
    <w:rsid w:val="22E6D66D"/>
    <w:rsid w:val="22FA3835"/>
    <w:rsid w:val="2338FB0A"/>
    <w:rsid w:val="23A15524"/>
    <w:rsid w:val="23A24CBC"/>
    <w:rsid w:val="245D77F5"/>
    <w:rsid w:val="24B90B98"/>
    <w:rsid w:val="24F97312"/>
    <w:rsid w:val="255C4D29"/>
    <w:rsid w:val="25C06F09"/>
    <w:rsid w:val="26115E45"/>
    <w:rsid w:val="282E493C"/>
    <w:rsid w:val="289A0DCE"/>
    <w:rsid w:val="28B7F2CD"/>
    <w:rsid w:val="2916208B"/>
    <w:rsid w:val="291B7904"/>
    <w:rsid w:val="291D97F7"/>
    <w:rsid w:val="29788452"/>
    <w:rsid w:val="2A092529"/>
    <w:rsid w:val="2A79C67F"/>
    <w:rsid w:val="2A8005D8"/>
    <w:rsid w:val="2B7D30EC"/>
    <w:rsid w:val="2BEE9735"/>
    <w:rsid w:val="2CB04A9B"/>
    <w:rsid w:val="2CFF1E18"/>
    <w:rsid w:val="2D45AA89"/>
    <w:rsid w:val="2E7EE265"/>
    <w:rsid w:val="2EB9C16F"/>
    <w:rsid w:val="2EE597B4"/>
    <w:rsid w:val="2F597B25"/>
    <w:rsid w:val="2F67BA50"/>
    <w:rsid w:val="2F911DF1"/>
    <w:rsid w:val="2FF78830"/>
    <w:rsid w:val="304DE770"/>
    <w:rsid w:val="3107118A"/>
    <w:rsid w:val="3154C3EB"/>
    <w:rsid w:val="3290C15E"/>
    <w:rsid w:val="32C11BF9"/>
    <w:rsid w:val="334D402F"/>
    <w:rsid w:val="33BF9F8F"/>
    <w:rsid w:val="33E8F9DE"/>
    <w:rsid w:val="3559C0E0"/>
    <w:rsid w:val="35A2F198"/>
    <w:rsid w:val="35E8AC78"/>
    <w:rsid w:val="3604AC15"/>
    <w:rsid w:val="36CC1A85"/>
    <w:rsid w:val="3721E73E"/>
    <w:rsid w:val="386DA0BB"/>
    <w:rsid w:val="3870618E"/>
    <w:rsid w:val="387FE903"/>
    <w:rsid w:val="393A7D98"/>
    <w:rsid w:val="39F98D0D"/>
    <w:rsid w:val="3A3AFCCD"/>
    <w:rsid w:val="3A49410D"/>
    <w:rsid w:val="3B017572"/>
    <w:rsid w:val="3BC91DF0"/>
    <w:rsid w:val="3CD053A5"/>
    <w:rsid w:val="3D7AC79B"/>
    <w:rsid w:val="3DB1EE47"/>
    <w:rsid w:val="3E4B35E5"/>
    <w:rsid w:val="3E6D0427"/>
    <w:rsid w:val="3EA05084"/>
    <w:rsid w:val="3FDC1DAF"/>
    <w:rsid w:val="3FDEF865"/>
    <w:rsid w:val="4025C98A"/>
    <w:rsid w:val="41FCEA98"/>
    <w:rsid w:val="42835AB5"/>
    <w:rsid w:val="4296CFEE"/>
    <w:rsid w:val="440812E7"/>
    <w:rsid w:val="44A4036B"/>
    <w:rsid w:val="45148BBB"/>
    <w:rsid w:val="456BA4E9"/>
    <w:rsid w:val="457B9F76"/>
    <w:rsid w:val="458F7372"/>
    <w:rsid w:val="45F88EEA"/>
    <w:rsid w:val="48295A5C"/>
    <w:rsid w:val="495C2A18"/>
    <w:rsid w:val="4A87A0D5"/>
    <w:rsid w:val="4A93C6A2"/>
    <w:rsid w:val="4AC173A1"/>
    <w:rsid w:val="4B117B57"/>
    <w:rsid w:val="4B5184DC"/>
    <w:rsid w:val="4BCA90D7"/>
    <w:rsid w:val="4CCC98C9"/>
    <w:rsid w:val="4DF0B17C"/>
    <w:rsid w:val="4E5273AE"/>
    <w:rsid w:val="4E6D463A"/>
    <w:rsid w:val="4E850AB7"/>
    <w:rsid w:val="50C1B8DA"/>
    <w:rsid w:val="514D1186"/>
    <w:rsid w:val="5206408D"/>
    <w:rsid w:val="52150CB0"/>
    <w:rsid w:val="52DABC6D"/>
    <w:rsid w:val="53CCF826"/>
    <w:rsid w:val="5490DC51"/>
    <w:rsid w:val="54EB2FA6"/>
    <w:rsid w:val="55C635DC"/>
    <w:rsid w:val="5609AC16"/>
    <w:rsid w:val="56890C5D"/>
    <w:rsid w:val="57766378"/>
    <w:rsid w:val="57C663F2"/>
    <w:rsid w:val="594C7629"/>
    <w:rsid w:val="59BD84CF"/>
    <w:rsid w:val="59CEDD9D"/>
    <w:rsid w:val="59EDD194"/>
    <w:rsid w:val="5A244751"/>
    <w:rsid w:val="5ACC8E42"/>
    <w:rsid w:val="5AD51614"/>
    <w:rsid w:val="5BA6DC57"/>
    <w:rsid w:val="5BAA8DA4"/>
    <w:rsid w:val="5BE21865"/>
    <w:rsid w:val="5C14784A"/>
    <w:rsid w:val="5D397E04"/>
    <w:rsid w:val="5F185DC9"/>
    <w:rsid w:val="5FA85BC1"/>
    <w:rsid w:val="5FBFADBE"/>
    <w:rsid w:val="5FDED14F"/>
    <w:rsid w:val="60BC0776"/>
    <w:rsid w:val="61B567FC"/>
    <w:rsid w:val="61FB9B24"/>
    <w:rsid w:val="622227B3"/>
    <w:rsid w:val="62243AFB"/>
    <w:rsid w:val="6237F3B6"/>
    <w:rsid w:val="62B3C14D"/>
    <w:rsid w:val="62CB1127"/>
    <w:rsid w:val="63292771"/>
    <w:rsid w:val="635AFE1B"/>
    <w:rsid w:val="650A040E"/>
    <w:rsid w:val="65995873"/>
    <w:rsid w:val="66005BC6"/>
    <w:rsid w:val="6632EE52"/>
    <w:rsid w:val="669932D6"/>
    <w:rsid w:val="66D56D53"/>
    <w:rsid w:val="6708A26B"/>
    <w:rsid w:val="678B957B"/>
    <w:rsid w:val="6847050F"/>
    <w:rsid w:val="688AA635"/>
    <w:rsid w:val="69114DA4"/>
    <w:rsid w:val="695DC337"/>
    <w:rsid w:val="6966B784"/>
    <w:rsid w:val="6A94E0CF"/>
    <w:rsid w:val="6ACD265D"/>
    <w:rsid w:val="6BC3BC5B"/>
    <w:rsid w:val="6C5E5C07"/>
    <w:rsid w:val="6C8872DC"/>
    <w:rsid w:val="6D6DB28B"/>
    <w:rsid w:val="6E50AAAE"/>
    <w:rsid w:val="6E5B35B3"/>
    <w:rsid w:val="6E9D1506"/>
    <w:rsid w:val="6FC84833"/>
    <w:rsid w:val="701A81A1"/>
    <w:rsid w:val="7278AE44"/>
    <w:rsid w:val="72F8D3E8"/>
    <w:rsid w:val="7439DA2F"/>
    <w:rsid w:val="7491EA51"/>
    <w:rsid w:val="74DC903A"/>
    <w:rsid w:val="757F8B2F"/>
    <w:rsid w:val="75DA582D"/>
    <w:rsid w:val="784F682B"/>
    <w:rsid w:val="78B082B0"/>
    <w:rsid w:val="7B22403E"/>
    <w:rsid w:val="7B719F21"/>
    <w:rsid w:val="7BD15483"/>
    <w:rsid w:val="7C24D4BA"/>
    <w:rsid w:val="7C31E2B2"/>
    <w:rsid w:val="7D0ABC84"/>
    <w:rsid w:val="7D791AFF"/>
    <w:rsid w:val="7DB37345"/>
    <w:rsid w:val="7DD2CC3D"/>
    <w:rsid w:val="7E02E884"/>
    <w:rsid w:val="7E11AAE8"/>
    <w:rsid w:val="7ED71D48"/>
    <w:rsid w:val="7F36A9F5"/>
    <w:rsid w:val="7F5DBAF0"/>
    <w:rsid w:val="7F726AA5"/>
    <w:rsid w:val="7FAA32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32A54"/>
  <w15:chartTrackingRefBased/>
  <w15:docId w15:val="{6F447051-62B0-4F1E-B086-4B7FDBC8C1C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Harlee Campbell (2411343)</dc:creator>
  <keywords/>
  <dc:description/>
  <lastModifiedBy>Harlee Campbell (2411343)</lastModifiedBy>
  <revision>2</revision>
  <dcterms:created xsi:type="dcterms:W3CDTF">2025-11-17T20:23:45.9524072Z</dcterms:created>
  <dcterms:modified xsi:type="dcterms:W3CDTF">2025-11-18T11:14:01.2780444Z</dcterms:modified>
</coreProperties>
</file>