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C70F5D" w:rsidRDefault="00C70F5D" w14:paraId="4FA67C95" w14:textId="77777777"/>
    <w:p w:rsidR="00C70F5D" w:rsidRDefault="00C70F5D" w14:paraId="410631F3" w14:textId="77777777"/>
    <w:p w:rsidR="00C70F5D" w:rsidRDefault="00C70F5D" w14:paraId="25B71E9B" w14:textId="77777777"/>
    <w:p w:rsidR="00C70F5D" w:rsidRDefault="00C70F5D" w14:paraId="7D1DE64A" w14:textId="77777777"/>
    <w:p w:rsidR="00C70F5D" w:rsidRDefault="00C70F5D" w14:paraId="7F1897BF" w14:textId="77777777"/>
    <w:p w:rsidR="00C70F5D" w:rsidRDefault="00C70F5D" w14:paraId="6D8265C2" w14:textId="77777777"/>
    <w:p w:rsidR="00C70F5D" w:rsidRDefault="00C70F5D" w14:paraId="3E86A88E" w14:textId="77777777"/>
    <w:p w:rsidR="00C70F5D" w:rsidRDefault="004703E3" w14:paraId="4EFD2AC6" w14:textId="77777777">
      <w:pPr>
        <w:spacing w:line="480" w:lineRule="auto"/>
        <w:rPr>
          <w:rFonts w:ascii="Times New Roman" w:hAnsi="Times New Roman" w:eastAsia="Times New Roman" w:cs="Times New Roman"/>
          <w:sz w:val="28"/>
          <w:szCs w:val="28"/>
        </w:rPr>
      </w:pPr>
      <w:r>
        <w:rPr>
          <w:rFonts w:ascii="Times New Roman" w:hAnsi="Times New Roman" w:eastAsia="Times New Roman" w:cs="Times New Roman"/>
          <w:sz w:val="28"/>
          <w:szCs w:val="28"/>
        </w:rPr>
        <w:t>Student name: Nasreen Akhtar Ahmed</w:t>
      </w:r>
    </w:p>
    <w:p w:rsidR="00C70F5D" w:rsidRDefault="004703E3" w14:paraId="615EC9F1" w14:textId="77777777">
      <w:pPr>
        <w:spacing w:line="480" w:lineRule="auto"/>
        <w:rPr>
          <w:rFonts w:ascii="Times New Roman" w:hAnsi="Times New Roman" w:eastAsia="Times New Roman" w:cs="Times New Roman"/>
          <w:sz w:val="28"/>
          <w:szCs w:val="28"/>
        </w:rPr>
      </w:pPr>
      <w:r>
        <w:rPr>
          <w:rFonts w:ascii="Times New Roman" w:hAnsi="Times New Roman" w:eastAsia="Times New Roman" w:cs="Times New Roman"/>
          <w:sz w:val="28"/>
          <w:szCs w:val="28"/>
        </w:rPr>
        <w:t>Student ID: 2428725</w:t>
      </w:r>
    </w:p>
    <w:p w:rsidR="00C70F5D" w:rsidRDefault="004703E3" w14:paraId="0C75FE7E" w14:textId="77777777">
      <w:pPr>
        <w:spacing w:line="480" w:lineRule="auto"/>
        <w:rPr>
          <w:rFonts w:ascii="Times New Roman" w:hAnsi="Times New Roman" w:eastAsia="Times New Roman" w:cs="Times New Roman"/>
          <w:sz w:val="28"/>
          <w:szCs w:val="28"/>
        </w:rPr>
      </w:pPr>
      <w:r>
        <w:rPr>
          <w:rFonts w:ascii="Times New Roman" w:hAnsi="Times New Roman" w:eastAsia="Times New Roman" w:cs="Times New Roman"/>
          <w:sz w:val="28"/>
          <w:szCs w:val="28"/>
        </w:rPr>
        <w:t>Module Code: LCHS4008</w:t>
      </w:r>
    </w:p>
    <w:p w:rsidR="00C70F5D" w:rsidP="29A3640D" w:rsidRDefault="004703E3" w14:paraId="25B0D661" w14:textId="77777777">
      <w:pPr>
        <w:spacing w:line="480" w:lineRule="auto"/>
        <w:rPr>
          <w:rFonts w:ascii="Times New Roman" w:hAnsi="Times New Roman" w:eastAsia="Times New Roman" w:cs="Times New Roman"/>
          <w:color w:val="FF0000"/>
          <w:sz w:val="28"/>
          <w:szCs w:val="28"/>
        </w:rPr>
      </w:pPr>
      <w:r w:rsidRPr="29A3640D" w:rsidR="004703E3">
        <w:rPr>
          <w:rFonts w:ascii="Times New Roman" w:hAnsi="Times New Roman" w:eastAsia="Times New Roman" w:cs="Times New Roman"/>
          <w:sz w:val="28"/>
          <w:szCs w:val="28"/>
        </w:rPr>
        <w:t xml:space="preserve">Module: Introduction to Public Health </w:t>
      </w:r>
    </w:p>
    <w:p w:rsidR="00C70F5D" w:rsidRDefault="004703E3" w14:paraId="0C1D2055" w14:textId="77777777">
      <w:pPr>
        <w:spacing w:line="480" w:lineRule="auto"/>
        <w:rPr>
          <w:rFonts w:ascii="Times New Roman" w:hAnsi="Times New Roman" w:eastAsia="Times New Roman" w:cs="Times New Roman"/>
          <w:sz w:val="28"/>
          <w:szCs w:val="28"/>
        </w:rPr>
      </w:pPr>
      <w:r>
        <w:rPr>
          <w:rFonts w:ascii="Times New Roman" w:hAnsi="Times New Roman" w:eastAsia="Times New Roman" w:cs="Times New Roman"/>
          <w:sz w:val="28"/>
          <w:szCs w:val="28"/>
        </w:rPr>
        <w:t>Lecturer's Name: Mumtaz Goolam</w:t>
      </w:r>
    </w:p>
    <w:p w:rsidR="00C70F5D" w:rsidRDefault="004703E3" w14:paraId="546E0F3B" w14:textId="77777777">
      <w:pPr>
        <w:spacing w:line="480" w:lineRule="auto"/>
        <w:rPr>
          <w:rFonts w:ascii="Times New Roman" w:hAnsi="Times New Roman" w:eastAsia="Times New Roman" w:cs="Times New Roman"/>
          <w:sz w:val="28"/>
          <w:szCs w:val="28"/>
        </w:rPr>
      </w:pPr>
      <w:r>
        <w:rPr>
          <w:rFonts w:ascii="Times New Roman" w:hAnsi="Times New Roman" w:eastAsia="Times New Roman" w:cs="Times New Roman"/>
          <w:sz w:val="28"/>
          <w:szCs w:val="28"/>
        </w:rPr>
        <w:t xml:space="preserve">Assessment Title: Report on a Health Issue </w:t>
      </w:r>
    </w:p>
    <w:p w:rsidR="00C70F5D" w:rsidP="29A3640D" w:rsidRDefault="004703E3" w14:paraId="1D4B26AC" w14:textId="779A227E">
      <w:pPr>
        <w:rPr>
          <w:rFonts w:ascii="Arial" w:hAnsi="Arial" w:eastAsia="Arial" w:cs="Arial"/>
          <w:lang w:val="en-US"/>
        </w:rPr>
      </w:pPr>
      <w:r w:rsidRPr="29A3640D" w:rsidR="004703E3">
        <w:rPr>
          <w:rFonts w:ascii="Times New Roman" w:hAnsi="Times New Roman" w:eastAsia="Times New Roman" w:cs="Times New Roman"/>
          <w:sz w:val="28"/>
          <w:szCs w:val="28"/>
          <w:lang w:val="en-US"/>
        </w:rPr>
        <w:t xml:space="preserve">Date: </w:t>
      </w:r>
      <w:r w:rsidRPr="29A3640D" w:rsidR="0F9B1D99">
        <w:rPr>
          <w:rFonts w:ascii="Times New Roman" w:hAnsi="Times New Roman" w:eastAsia="Times New Roman" w:cs="Times New Roman"/>
          <w:sz w:val="28"/>
          <w:szCs w:val="28"/>
          <w:lang w:val="en-US"/>
        </w:rPr>
        <w:t>01/11/2025</w:t>
      </w:r>
      <w:r w:rsidRPr="29A3640D">
        <w:rPr>
          <w:lang w:val="en-US"/>
        </w:rPr>
        <w:br w:type="page"/>
      </w:r>
    </w:p>
    <w:p w:rsidR="00C70F5D" w:rsidRDefault="004703E3" w14:paraId="67175EF6" w14:textId="77777777">
      <w:pPr>
        <w:keepNext/>
        <w:keepLines/>
        <w:pBdr>
          <w:top w:val="nil"/>
          <w:left w:val="nil"/>
          <w:bottom w:val="nil"/>
          <w:right w:val="nil"/>
          <w:between w:val="nil"/>
        </w:pBdr>
        <w:spacing w:before="240" w:after="0" w:line="360" w:lineRule="auto"/>
        <w:rPr>
          <w:rFonts w:ascii="Arial" w:hAnsi="Arial" w:eastAsia="Arial" w:cs="Arial"/>
          <w:b/>
          <w:color w:val="000000"/>
        </w:rPr>
      </w:pPr>
      <w:bookmarkStart w:name="_wnv36su208u6" w:colFirst="0" w:colLast="0" w:id="0"/>
      <w:bookmarkEnd w:id="0"/>
      <w:r>
        <w:rPr>
          <w:rFonts w:ascii="Arial" w:hAnsi="Arial" w:eastAsia="Arial" w:cs="Arial"/>
          <w:b/>
          <w:color w:val="000000"/>
        </w:rPr>
        <w:t>Contents</w:t>
      </w:r>
    </w:p>
    <w:sdt>
      <w:sdtPr>
        <w:id w:val="331967245"/>
        <w:docPartObj>
          <w:docPartGallery w:val="Table of Contents"/>
          <w:docPartUnique/>
        </w:docPartObj>
      </w:sdtPr>
      <w:sdtEndPr/>
      <w:sdtContent>
        <w:p w:rsidR="00C70F5D" w:rsidRDefault="004703E3" w14:paraId="06A2F257" w14:textId="77777777">
          <w:pPr>
            <w:pBdr>
              <w:top w:val="nil"/>
              <w:left w:val="nil"/>
              <w:bottom w:val="nil"/>
              <w:right w:val="nil"/>
              <w:between w:val="nil"/>
            </w:pBdr>
            <w:tabs>
              <w:tab w:val="right" w:pos="9350"/>
            </w:tabs>
            <w:spacing w:after="100" w:line="360" w:lineRule="auto"/>
            <w:rPr>
              <w:rFonts w:ascii="Arial" w:hAnsi="Arial" w:eastAsia="Arial" w:cs="Arial"/>
              <w:color w:val="000000"/>
            </w:rPr>
          </w:pPr>
          <w:r>
            <w:fldChar w:fldCharType="begin"/>
          </w:r>
          <w:r>
            <w:instrText xml:space="preserve"> TOC \h \u \z \t "Heading 1,1,Heading 2,2,Heading 3,3,"</w:instrText>
          </w:r>
          <w:r>
            <w:fldChar w:fldCharType="separate"/>
          </w:r>
          <w:hyperlink w:anchor="_b0eqsth85ogg">
            <w:r>
              <w:rPr>
                <w:rFonts w:ascii="Arial" w:hAnsi="Arial" w:eastAsia="Arial" w:cs="Arial"/>
                <w:color w:val="000000"/>
              </w:rPr>
              <w:t>Introduction</w:t>
            </w:r>
            <w:r>
              <w:rPr>
                <w:rFonts w:ascii="Arial" w:hAnsi="Arial" w:eastAsia="Arial" w:cs="Arial"/>
                <w:color w:val="000000"/>
              </w:rPr>
              <w:tab/>
            </w:r>
            <w:r>
              <w:rPr>
                <w:rFonts w:ascii="Arial" w:hAnsi="Arial" w:eastAsia="Arial" w:cs="Arial"/>
                <w:color w:val="000000"/>
              </w:rPr>
              <w:t>1</w:t>
            </w:r>
          </w:hyperlink>
        </w:p>
        <w:p w:rsidR="00C70F5D" w:rsidRDefault="004703E3" w14:paraId="3437A775" w14:textId="77777777">
          <w:pPr>
            <w:pBdr>
              <w:top w:val="nil"/>
              <w:left w:val="nil"/>
              <w:bottom w:val="nil"/>
              <w:right w:val="nil"/>
              <w:between w:val="nil"/>
            </w:pBdr>
            <w:tabs>
              <w:tab w:val="right" w:pos="9350"/>
            </w:tabs>
            <w:spacing w:after="100" w:line="360" w:lineRule="auto"/>
            <w:ind w:left="220"/>
            <w:rPr>
              <w:rFonts w:ascii="Arial" w:hAnsi="Arial" w:eastAsia="Arial" w:cs="Arial"/>
              <w:color w:val="000000"/>
            </w:rPr>
          </w:pPr>
          <w:hyperlink w:anchor="_26s7ob3skarc">
            <w:r>
              <w:rPr>
                <w:rFonts w:ascii="Arial" w:hAnsi="Arial" w:eastAsia="Arial" w:cs="Arial"/>
                <w:color w:val="000000"/>
              </w:rPr>
              <w:t>Definition, symptoms, and incidence (global and UK)</w:t>
            </w:r>
            <w:r>
              <w:rPr>
                <w:rFonts w:ascii="Arial" w:hAnsi="Arial" w:eastAsia="Arial" w:cs="Arial"/>
                <w:color w:val="000000"/>
              </w:rPr>
              <w:tab/>
            </w:r>
            <w:r>
              <w:rPr>
                <w:rFonts w:ascii="Arial" w:hAnsi="Arial" w:eastAsia="Arial" w:cs="Arial"/>
                <w:color w:val="000000"/>
              </w:rPr>
              <w:t>1</w:t>
            </w:r>
          </w:hyperlink>
        </w:p>
        <w:p w:rsidR="00C70F5D" w:rsidRDefault="004703E3" w14:paraId="562001A7" w14:textId="77777777">
          <w:pPr>
            <w:pBdr>
              <w:top w:val="nil"/>
              <w:left w:val="nil"/>
              <w:bottom w:val="nil"/>
              <w:right w:val="nil"/>
              <w:between w:val="nil"/>
            </w:pBdr>
            <w:tabs>
              <w:tab w:val="right" w:pos="9350"/>
            </w:tabs>
            <w:spacing w:after="100" w:line="360" w:lineRule="auto"/>
            <w:rPr>
              <w:rFonts w:ascii="Arial" w:hAnsi="Arial" w:eastAsia="Arial" w:cs="Arial"/>
              <w:color w:val="000000"/>
            </w:rPr>
          </w:pPr>
          <w:hyperlink w:anchor="_7k7527nehhz6">
            <w:r>
              <w:rPr>
                <w:rFonts w:ascii="Arial" w:hAnsi="Arial" w:eastAsia="Arial" w:cs="Arial"/>
                <w:color w:val="000000"/>
              </w:rPr>
              <w:t>Consequences for the community and for the NHS</w:t>
            </w:r>
            <w:r>
              <w:rPr>
                <w:rFonts w:ascii="Arial" w:hAnsi="Arial" w:eastAsia="Arial" w:cs="Arial"/>
                <w:color w:val="000000"/>
              </w:rPr>
              <w:tab/>
            </w:r>
            <w:r>
              <w:rPr>
                <w:rFonts w:ascii="Arial" w:hAnsi="Arial" w:eastAsia="Arial" w:cs="Arial"/>
                <w:color w:val="000000"/>
              </w:rPr>
              <w:t>2</w:t>
            </w:r>
          </w:hyperlink>
        </w:p>
        <w:p w:rsidR="00C70F5D" w:rsidRDefault="004703E3" w14:paraId="24EC4ED1" w14:textId="77777777">
          <w:pPr>
            <w:pBdr>
              <w:top w:val="nil"/>
              <w:left w:val="nil"/>
              <w:bottom w:val="nil"/>
              <w:right w:val="nil"/>
              <w:between w:val="nil"/>
            </w:pBdr>
            <w:tabs>
              <w:tab w:val="right" w:pos="9350"/>
            </w:tabs>
            <w:spacing w:after="100" w:line="360" w:lineRule="auto"/>
            <w:ind w:left="220"/>
            <w:rPr>
              <w:rFonts w:ascii="Arial" w:hAnsi="Arial" w:eastAsia="Arial" w:cs="Arial"/>
              <w:color w:val="000000"/>
            </w:rPr>
          </w:pPr>
          <w:hyperlink w:anchor="_7v6r4repfrfm">
            <w:r>
              <w:rPr>
                <w:rFonts w:ascii="Arial" w:hAnsi="Arial" w:eastAsia="Arial" w:cs="Arial"/>
                <w:color w:val="000000"/>
              </w:rPr>
              <w:t>Community impact and inequalities</w:t>
            </w:r>
            <w:r>
              <w:rPr>
                <w:rFonts w:ascii="Arial" w:hAnsi="Arial" w:eastAsia="Arial" w:cs="Arial"/>
                <w:color w:val="000000"/>
              </w:rPr>
              <w:tab/>
            </w:r>
            <w:r>
              <w:rPr>
                <w:rFonts w:ascii="Arial" w:hAnsi="Arial" w:eastAsia="Arial" w:cs="Arial"/>
                <w:color w:val="000000"/>
              </w:rPr>
              <w:t>2</w:t>
            </w:r>
          </w:hyperlink>
        </w:p>
        <w:p w:rsidR="00C70F5D" w:rsidRDefault="004703E3" w14:paraId="18987807" w14:textId="77777777">
          <w:pPr>
            <w:pBdr>
              <w:top w:val="nil"/>
              <w:left w:val="nil"/>
              <w:bottom w:val="nil"/>
              <w:right w:val="nil"/>
              <w:between w:val="nil"/>
            </w:pBdr>
            <w:tabs>
              <w:tab w:val="right" w:pos="9350"/>
            </w:tabs>
            <w:spacing w:after="100" w:line="360" w:lineRule="auto"/>
            <w:ind w:left="220"/>
            <w:rPr>
              <w:rFonts w:ascii="Arial" w:hAnsi="Arial" w:eastAsia="Arial" w:cs="Arial"/>
              <w:color w:val="000000"/>
            </w:rPr>
          </w:pPr>
          <w:hyperlink w:anchor="_97aato575k1c">
            <w:r>
              <w:rPr>
                <w:rFonts w:ascii="Arial" w:hAnsi="Arial" w:eastAsia="Arial" w:cs="Arial"/>
                <w:color w:val="000000"/>
              </w:rPr>
              <w:t>NHS demand, costs, and capacity</w:t>
            </w:r>
            <w:r>
              <w:rPr>
                <w:rFonts w:ascii="Arial" w:hAnsi="Arial" w:eastAsia="Arial" w:cs="Arial"/>
                <w:color w:val="000000"/>
              </w:rPr>
              <w:tab/>
            </w:r>
            <w:r>
              <w:rPr>
                <w:rFonts w:ascii="Arial" w:hAnsi="Arial" w:eastAsia="Arial" w:cs="Arial"/>
                <w:color w:val="000000"/>
              </w:rPr>
              <w:t>2</w:t>
            </w:r>
          </w:hyperlink>
        </w:p>
        <w:p w:rsidR="00C70F5D" w:rsidRDefault="004703E3" w14:paraId="2C415EB0" w14:textId="77777777">
          <w:pPr>
            <w:pBdr>
              <w:top w:val="nil"/>
              <w:left w:val="nil"/>
              <w:bottom w:val="nil"/>
              <w:right w:val="nil"/>
              <w:between w:val="nil"/>
            </w:pBdr>
            <w:tabs>
              <w:tab w:val="right" w:pos="9350"/>
            </w:tabs>
            <w:spacing w:after="100" w:line="360" w:lineRule="auto"/>
            <w:rPr>
              <w:rFonts w:ascii="Arial" w:hAnsi="Arial" w:eastAsia="Arial" w:cs="Arial"/>
              <w:color w:val="000000"/>
            </w:rPr>
          </w:pPr>
          <w:hyperlink w:anchor="_wtgsc5id99lc">
            <w:r>
              <w:rPr>
                <w:rFonts w:ascii="Arial" w:hAnsi="Arial" w:eastAsia="Arial" w:cs="Arial"/>
                <w:color w:val="000000"/>
              </w:rPr>
              <w:t>How this disease is controlled</w:t>
            </w:r>
            <w:r>
              <w:rPr>
                <w:rFonts w:ascii="Arial" w:hAnsi="Arial" w:eastAsia="Arial" w:cs="Arial"/>
                <w:color w:val="000000"/>
              </w:rPr>
              <w:tab/>
            </w:r>
            <w:r>
              <w:rPr>
                <w:rFonts w:ascii="Arial" w:hAnsi="Arial" w:eastAsia="Arial" w:cs="Arial"/>
                <w:color w:val="000000"/>
              </w:rPr>
              <w:t>3</w:t>
            </w:r>
          </w:hyperlink>
        </w:p>
        <w:p w:rsidR="00C70F5D" w:rsidRDefault="004703E3" w14:paraId="62DA5DFA" w14:textId="77777777">
          <w:pPr>
            <w:pBdr>
              <w:top w:val="nil"/>
              <w:left w:val="nil"/>
              <w:bottom w:val="nil"/>
              <w:right w:val="nil"/>
              <w:between w:val="nil"/>
            </w:pBdr>
            <w:tabs>
              <w:tab w:val="right" w:pos="9350"/>
            </w:tabs>
            <w:spacing w:after="100" w:line="360" w:lineRule="auto"/>
            <w:ind w:left="220"/>
            <w:rPr>
              <w:rFonts w:ascii="Arial" w:hAnsi="Arial" w:eastAsia="Arial" w:cs="Arial"/>
              <w:color w:val="000000"/>
            </w:rPr>
          </w:pPr>
          <w:hyperlink w:anchor="_2td1l3id7vtc">
            <w:r>
              <w:rPr>
                <w:rFonts w:ascii="Arial" w:hAnsi="Arial" w:eastAsia="Arial" w:cs="Arial"/>
                <w:color w:val="000000"/>
              </w:rPr>
              <w:t>Population and primary prevention</w:t>
            </w:r>
            <w:r>
              <w:rPr>
                <w:rFonts w:ascii="Arial" w:hAnsi="Arial" w:eastAsia="Arial" w:cs="Arial"/>
                <w:color w:val="000000"/>
              </w:rPr>
              <w:tab/>
            </w:r>
            <w:r>
              <w:rPr>
                <w:rFonts w:ascii="Arial" w:hAnsi="Arial" w:eastAsia="Arial" w:cs="Arial"/>
                <w:color w:val="000000"/>
              </w:rPr>
              <w:t>3</w:t>
            </w:r>
          </w:hyperlink>
        </w:p>
        <w:p w:rsidR="00C70F5D" w:rsidRDefault="004703E3" w14:paraId="6E542A11" w14:textId="77777777">
          <w:pPr>
            <w:pBdr>
              <w:top w:val="nil"/>
              <w:left w:val="nil"/>
              <w:bottom w:val="nil"/>
              <w:right w:val="nil"/>
              <w:between w:val="nil"/>
            </w:pBdr>
            <w:tabs>
              <w:tab w:val="right" w:pos="9350"/>
            </w:tabs>
            <w:spacing w:after="100" w:line="360" w:lineRule="auto"/>
            <w:ind w:left="220"/>
            <w:rPr>
              <w:rFonts w:ascii="Arial" w:hAnsi="Arial" w:eastAsia="Arial" w:cs="Arial"/>
              <w:color w:val="000000"/>
            </w:rPr>
          </w:pPr>
          <w:hyperlink w:anchor="_e42cuse5jneh">
            <w:r>
              <w:rPr>
                <w:rFonts w:ascii="Arial" w:hAnsi="Arial" w:eastAsia="Arial" w:cs="Arial"/>
                <w:color w:val="000000"/>
              </w:rPr>
              <w:t>Secondary prevention and chronic care</w:t>
            </w:r>
            <w:r>
              <w:rPr>
                <w:rFonts w:ascii="Arial" w:hAnsi="Arial" w:eastAsia="Arial" w:cs="Arial"/>
                <w:color w:val="000000"/>
              </w:rPr>
              <w:tab/>
            </w:r>
            <w:r>
              <w:rPr>
                <w:rFonts w:ascii="Arial" w:hAnsi="Arial" w:eastAsia="Arial" w:cs="Arial"/>
                <w:color w:val="000000"/>
              </w:rPr>
              <w:t>4</w:t>
            </w:r>
          </w:hyperlink>
        </w:p>
        <w:p w:rsidR="00C70F5D" w:rsidRDefault="004703E3" w14:paraId="2DDEBDBF" w14:textId="77777777">
          <w:pPr>
            <w:pBdr>
              <w:top w:val="nil"/>
              <w:left w:val="nil"/>
              <w:bottom w:val="nil"/>
              <w:right w:val="nil"/>
              <w:between w:val="nil"/>
            </w:pBdr>
            <w:tabs>
              <w:tab w:val="right" w:pos="9350"/>
            </w:tabs>
            <w:spacing w:after="100" w:line="360" w:lineRule="auto"/>
            <w:ind w:left="220"/>
            <w:rPr>
              <w:rFonts w:ascii="Arial" w:hAnsi="Arial" w:eastAsia="Arial" w:cs="Arial"/>
              <w:color w:val="000000"/>
            </w:rPr>
          </w:pPr>
          <w:hyperlink w:anchor="_d3twmamxoj1a">
            <w:r>
              <w:rPr>
                <w:rFonts w:ascii="Arial" w:hAnsi="Arial" w:eastAsia="Arial" w:cs="Arial"/>
                <w:color w:val="000000"/>
              </w:rPr>
              <w:t>Pathways, digital support, and common barriers</w:t>
            </w:r>
            <w:r>
              <w:rPr>
                <w:rFonts w:ascii="Arial" w:hAnsi="Arial" w:eastAsia="Arial" w:cs="Arial"/>
                <w:color w:val="000000"/>
              </w:rPr>
              <w:tab/>
            </w:r>
            <w:r>
              <w:rPr>
                <w:rFonts w:ascii="Arial" w:hAnsi="Arial" w:eastAsia="Arial" w:cs="Arial"/>
                <w:color w:val="000000"/>
              </w:rPr>
              <w:t>4</w:t>
            </w:r>
          </w:hyperlink>
        </w:p>
        <w:p w:rsidR="00C70F5D" w:rsidRDefault="004703E3" w14:paraId="55220DB2" w14:textId="77777777">
          <w:pPr>
            <w:pBdr>
              <w:top w:val="nil"/>
              <w:left w:val="nil"/>
              <w:bottom w:val="nil"/>
              <w:right w:val="nil"/>
              <w:between w:val="nil"/>
            </w:pBdr>
            <w:tabs>
              <w:tab w:val="right" w:pos="9350"/>
            </w:tabs>
            <w:spacing w:after="100" w:line="360" w:lineRule="auto"/>
            <w:rPr>
              <w:rFonts w:ascii="Arial" w:hAnsi="Arial" w:eastAsia="Arial" w:cs="Arial"/>
              <w:color w:val="000000"/>
            </w:rPr>
          </w:pPr>
          <w:hyperlink w:anchor="_8qj11mdoq1xg">
            <w:r>
              <w:rPr>
                <w:rFonts w:ascii="Arial" w:hAnsi="Arial" w:eastAsia="Arial" w:cs="Arial"/>
                <w:color w:val="000000"/>
              </w:rPr>
              <w:t>Factors influencing the health and well-being of people affected and the people around them</w:t>
            </w:r>
            <w:r>
              <w:rPr>
                <w:rFonts w:ascii="Arial" w:hAnsi="Arial" w:eastAsia="Arial" w:cs="Arial"/>
                <w:color w:val="000000"/>
              </w:rPr>
              <w:tab/>
            </w:r>
            <w:r>
              <w:rPr>
                <w:rFonts w:ascii="Arial" w:hAnsi="Arial" w:eastAsia="Arial" w:cs="Arial"/>
                <w:color w:val="000000"/>
              </w:rPr>
              <w:t>5</w:t>
            </w:r>
          </w:hyperlink>
        </w:p>
        <w:p w:rsidR="00C70F5D" w:rsidRDefault="004703E3" w14:paraId="1674402E" w14:textId="77777777">
          <w:pPr>
            <w:pBdr>
              <w:top w:val="nil"/>
              <w:left w:val="nil"/>
              <w:bottom w:val="nil"/>
              <w:right w:val="nil"/>
              <w:between w:val="nil"/>
            </w:pBdr>
            <w:tabs>
              <w:tab w:val="right" w:pos="9350"/>
            </w:tabs>
            <w:spacing w:after="100" w:line="360" w:lineRule="auto"/>
            <w:ind w:left="220"/>
            <w:rPr>
              <w:rFonts w:ascii="Arial" w:hAnsi="Arial" w:eastAsia="Arial" w:cs="Arial"/>
              <w:color w:val="000000"/>
            </w:rPr>
          </w:pPr>
          <w:hyperlink w:anchor="_gfofkamhec2n">
            <w:r>
              <w:rPr>
                <w:rFonts w:ascii="Arial" w:hAnsi="Arial" w:eastAsia="Arial" w:cs="Arial"/>
                <w:color w:val="000000"/>
              </w:rPr>
              <w:t>Individual clinical factors</w:t>
            </w:r>
            <w:r>
              <w:rPr>
                <w:rFonts w:ascii="Arial" w:hAnsi="Arial" w:eastAsia="Arial" w:cs="Arial"/>
                <w:color w:val="000000"/>
              </w:rPr>
              <w:tab/>
            </w:r>
            <w:r>
              <w:rPr>
                <w:rFonts w:ascii="Arial" w:hAnsi="Arial" w:eastAsia="Arial" w:cs="Arial"/>
                <w:color w:val="000000"/>
              </w:rPr>
              <w:t>5</w:t>
            </w:r>
          </w:hyperlink>
        </w:p>
        <w:p w:rsidR="00C70F5D" w:rsidRDefault="004703E3" w14:paraId="04CEE860" w14:textId="77777777">
          <w:pPr>
            <w:pBdr>
              <w:top w:val="nil"/>
              <w:left w:val="nil"/>
              <w:bottom w:val="nil"/>
              <w:right w:val="nil"/>
              <w:between w:val="nil"/>
            </w:pBdr>
            <w:tabs>
              <w:tab w:val="right" w:pos="9350"/>
            </w:tabs>
            <w:spacing w:after="100" w:line="360" w:lineRule="auto"/>
            <w:ind w:left="220"/>
            <w:rPr>
              <w:rFonts w:ascii="Arial" w:hAnsi="Arial" w:eastAsia="Arial" w:cs="Arial"/>
              <w:color w:val="000000"/>
            </w:rPr>
          </w:pPr>
          <w:hyperlink w:anchor="_5krshd2yaldc">
            <w:r>
              <w:rPr>
                <w:rFonts w:ascii="Arial" w:hAnsi="Arial" w:eastAsia="Arial" w:cs="Arial"/>
                <w:color w:val="000000"/>
              </w:rPr>
              <w:t>Social, environmental, and carer factors</w:t>
            </w:r>
            <w:r>
              <w:rPr>
                <w:rFonts w:ascii="Arial" w:hAnsi="Arial" w:eastAsia="Arial" w:cs="Arial"/>
                <w:color w:val="000000"/>
              </w:rPr>
              <w:tab/>
            </w:r>
            <w:r>
              <w:rPr>
                <w:rFonts w:ascii="Arial" w:hAnsi="Arial" w:eastAsia="Arial" w:cs="Arial"/>
                <w:color w:val="000000"/>
              </w:rPr>
              <w:t>5</w:t>
            </w:r>
          </w:hyperlink>
        </w:p>
        <w:p w:rsidR="00C70F5D" w:rsidRDefault="004703E3" w14:paraId="10B55F2E" w14:textId="77777777">
          <w:pPr>
            <w:pBdr>
              <w:top w:val="nil"/>
              <w:left w:val="nil"/>
              <w:bottom w:val="nil"/>
              <w:right w:val="nil"/>
              <w:between w:val="nil"/>
            </w:pBdr>
            <w:tabs>
              <w:tab w:val="right" w:pos="9350"/>
            </w:tabs>
            <w:spacing w:after="100" w:line="360" w:lineRule="auto"/>
            <w:rPr>
              <w:rFonts w:ascii="Arial" w:hAnsi="Arial" w:eastAsia="Arial" w:cs="Arial"/>
              <w:color w:val="000000"/>
            </w:rPr>
          </w:pPr>
          <w:hyperlink w:anchor="_7ivtu7mhp18u">
            <w:r>
              <w:rPr>
                <w:rFonts w:ascii="Arial" w:hAnsi="Arial" w:eastAsia="Arial" w:cs="Arial"/>
                <w:color w:val="000000"/>
              </w:rPr>
              <w:t>Conclusion</w:t>
            </w:r>
            <w:r>
              <w:rPr>
                <w:rFonts w:ascii="Arial" w:hAnsi="Arial" w:eastAsia="Arial" w:cs="Arial"/>
                <w:color w:val="000000"/>
              </w:rPr>
              <w:tab/>
            </w:r>
            <w:r>
              <w:rPr>
                <w:rFonts w:ascii="Arial" w:hAnsi="Arial" w:eastAsia="Arial" w:cs="Arial"/>
                <w:color w:val="000000"/>
              </w:rPr>
              <w:t>5</w:t>
            </w:r>
          </w:hyperlink>
        </w:p>
        <w:p w:rsidR="00C70F5D" w:rsidRDefault="004703E3" w14:paraId="191112F3" w14:textId="77777777">
          <w:pPr>
            <w:pBdr>
              <w:top w:val="nil"/>
              <w:left w:val="nil"/>
              <w:bottom w:val="nil"/>
              <w:right w:val="nil"/>
              <w:between w:val="nil"/>
            </w:pBdr>
            <w:tabs>
              <w:tab w:val="right" w:pos="9350"/>
            </w:tabs>
            <w:spacing w:after="100" w:line="360" w:lineRule="auto"/>
            <w:ind w:left="220"/>
            <w:rPr>
              <w:rFonts w:ascii="Arial" w:hAnsi="Arial" w:eastAsia="Arial" w:cs="Arial"/>
              <w:color w:val="000000"/>
            </w:rPr>
          </w:pPr>
          <w:hyperlink w:anchor="_t9pxkj2oz18b">
            <w:r>
              <w:rPr>
                <w:rFonts w:ascii="Arial" w:hAnsi="Arial" w:eastAsia="Arial" w:cs="Arial"/>
                <w:color w:val="000000"/>
              </w:rPr>
              <w:t>Key messages and priorities</w:t>
            </w:r>
            <w:r>
              <w:rPr>
                <w:rFonts w:ascii="Arial" w:hAnsi="Arial" w:eastAsia="Arial" w:cs="Arial"/>
                <w:color w:val="000000"/>
              </w:rPr>
              <w:tab/>
            </w:r>
            <w:r>
              <w:rPr>
                <w:rFonts w:ascii="Arial" w:hAnsi="Arial" w:eastAsia="Arial" w:cs="Arial"/>
                <w:color w:val="000000"/>
              </w:rPr>
              <w:t>5</w:t>
            </w:r>
          </w:hyperlink>
        </w:p>
        <w:p w:rsidR="00C70F5D" w:rsidRDefault="004703E3" w14:paraId="3F10A056" w14:textId="77777777">
          <w:pPr>
            <w:spacing w:line="360" w:lineRule="auto"/>
            <w:rPr>
              <w:rFonts w:ascii="Arial" w:hAnsi="Arial" w:eastAsia="Arial" w:cs="Arial"/>
            </w:rPr>
          </w:pPr>
          <w:r>
            <w:fldChar w:fldCharType="end"/>
          </w:r>
        </w:p>
      </w:sdtContent>
    </w:sdt>
    <w:p w:rsidR="00C70F5D" w:rsidRDefault="00C70F5D" w14:paraId="7BE3D596" w14:textId="77777777">
      <w:pPr>
        <w:pStyle w:val="Heading1"/>
      </w:pPr>
    </w:p>
    <w:p w:rsidR="00C70F5D" w:rsidRDefault="00C70F5D" w14:paraId="6E85CD3B" w14:textId="77777777">
      <w:pPr>
        <w:spacing w:line="360" w:lineRule="auto"/>
        <w:rPr>
          <w:rFonts w:ascii="Arial" w:hAnsi="Arial" w:eastAsia="Arial" w:cs="Arial"/>
        </w:rPr>
      </w:pPr>
    </w:p>
    <w:p w:rsidR="00C70F5D" w:rsidRDefault="00C70F5D" w14:paraId="1E1F464C" w14:textId="77777777">
      <w:pPr>
        <w:spacing w:line="360" w:lineRule="auto"/>
        <w:rPr>
          <w:rFonts w:ascii="Arial" w:hAnsi="Arial" w:eastAsia="Arial" w:cs="Arial"/>
        </w:rPr>
      </w:pPr>
    </w:p>
    <w:p w:rsidR="00C70F5D" w:rsidRDefault="00C70F5D" w14:paraId="30D8A0CF" w14:textId="77777777">
      <w:pPr>
        <w:spacing w:line="360" w:lineRule="auto"/>
        <w:rPr>
          <w:rFonts w:ascii="Arial" w:hAnsi="Arial" w:eastAsia="Arial" w:cs="Arial"/>
        </w:rPr>
      </w:pPr>
    </w:p>
    <w:p w:rsidR="00C70F5D" w:rsidRDefault="00C70F5D" w14:paraId="019DFED1" w14:textId="77777777">
      <w:pPr>
        <w:spacing w:line="360" w:lineRule="auto"/>
        <w:rPr>
          <w:rFonts w:ascii="Arial" w:hAnsi="Arial" w:eastAsia="Arial" w:cs="Arial"/>
        </w:rPr>
      </w:pPr>
    </w:p>
    <w:p w:rsidR="00C70F5D" w:rsidRDefault="00C70F5D" w14:paraId="254554B2" w14:textId="77777777">
      <w:pPr>
        <w:spacing w:line="360" w:lineRule="auto"/>
        <w:rPr>
          <w:rFonts w:ascii="Arial" w:hAnsi="Arial" w:eastAsia="Arial" w:cs="Arial"/>
        </w:rPr>
      </w:pPr>
    </w:p>
    <w:p w:rsidR="00C70F5D" w:rsidRDefault="00C70F5D" w14:paraId="6FCEF00D" w14:textId="77777777">
      <w:pPr>
        <w:spacing w:line="360" w:lineRule="auto"/>
        <w:rPr>
          <w:rFonts w:ascii="Arial" w:hAnsi="Arial" w:eastAsia="Arial" w:cs="Arial"/>
        </w:rPr>
      </w:pPr>
    </w:p>
    <w:p w:rsidR="00C70F5D" w:rsidRDefault="00C70F5D" w14:paraId="70DC21B0" w14:textId="77777777">
      <w:pPr>
        <w:spacing w:line="360" w:lineRule="auto"/>
        <w:rPr>
          <w:rFonts w:ascii="Arial" w:hAnsi="Arial" w:eastAsia="Arial" w:cs="Arial"/>
        </w:rPr>
      </w:pPr>
    </w:p>
    <w:p w:rsidR="00C70F5D" w:rsidRDefault="00C70F5D" w14:paraId="480541DE" w14:textId="77777777">
      <w:pPr>
        <w:spacing w:line="360" w:lineRule="auto"/>
        <w:rPr>
          <w:rFonts w:ascii="Arial" w:hAnsi="Arial" w:eastAsia="Arial" w:cs="Arial"/>
        </w:rPr>
      </w:pPr>
    </w:p>
    <w:p w:rsidR="00C70F5D" w:rsidRDefault="004703E3" w14:paraId="0CBCAEE7" w14:textId="77777777">
      <w:pPr>
        <w:pStyle w:val="Heading1"/>
      </w:pPr>
      <w:bookmarkStart w:name="_b0eqsth85ogg" w:colFirst="0" w:colLast="0" w:id="1"/>
      <w:bookmarkEnd w:id="1"/>
      <w:r>
        <w:t>Introduction</w:t>
      </w:r>
    </w:p>
    <w:p w:rsidR="00C70F5D" w:rsidRDefault="004703E3" w14:paraId="3D8E91CF" w14:textId="77777777">
      <w:pPr>
        <w:pStyle w:val="Heading2"/>
      </w:pPr>
      <w:bookmarkStart w:name="_26s7ob3skarc" w:colFirst="0" w:colLast="0" w:id="2"/>
      <w:bookmarkEnd w:id="2"/>
      <w:r>
        <w:t>Definition, symptoms, and incidence (global and UK)</w:t>
      </w:r>
    </w:p>
    <w:p w:rsidR="00C70F5D" w:rsidP="29A3640D" w:rsidRDefault="004703E3" w14:paraId="217C8D64"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This report discusses heart disease and specifically coronary heart disease and heart failure, among adults </w:t>
      </w:r>
      <w:r w:rsidRPr="29A3640D" w:rsidR="004703E3">
        <w:rPr>
          <w:rFonts w:ascii="Arial" w:hAnsi="Arial" w:eastAsia="Arial" w:cs="Arial"/>
          <w:lang w:val="en-US"/>
        </w:rPr>
        <w:t>of</w:t>
      </w:r>
      <w:r w:rsidRPr="29A3640D" w:rsidR="004703E3">
        <w:rPr>
          <w:rFonts w:ascii="Arial" w:hAnsi="Arial" w:eastAsia="Arial" w:cs="Arial"/>
          <w:lang w:val="en-US"/>
        </w:rPr>
        <w:t xml:space="preserve"> the UK. Out-of-heart congenital disease is not included. Coronary heart disease is the constriction of the coronary arteries </w:t>
      </w:r>
      <w:r w:rsidRPr="29A3640D" w:rsidR="004703E3">
        <w:rPr>
          <w:rFonts w:ascii="Arial" w:hAnsi="Arial" w:eastAsia="Arial" w:cs="Arial"/>
          <w:lang w:val="en-US"/>
        </w:rPr>
        <w:t>as a result of</w:t>
      </w:r>
      <w:r w:rsidRPr="29A3640D" w:rsidR="004703E3">
        <w:rPr>
          <w:rFonts w:ascii="Arial" w:hAnsi="Arial" w:eastAsia="Arial" w:cs="Arial"/>
          <w:lang w:val="en-US"/>
        </w:rPr>
        <w:t xml:space="preserve"> atherosclerosis, which curtails the blood supply to the heart muscle. When the heart </w:t>
      </w:r>
      <w:r w:rsidRPr="29A3640D" w:rsidR="004703E3">
        <w:rPr>
          <w:rFonts w:ascii="Arial" w:hAnsi="Arial" w:eastAsia="Arial" w:cs="Arial"/>
          <w:lang w:val="en-US"/>
        </w:rPr>
        <w:t>is not able to</w:t>
      </w:r>
      <w:r w:rsidRPr="29A3640D" w:rsidR="004703E3">
        <w:rPr>
          <w:rFonts w:ascii="Arial" w:hAnsi="Arial" w:eastAsia="Arial" w:cs="Arial"/>
          <w:lang w:val="en-US"/>
        </w:rPr>
        <w:t xml:space="preserve"> pump adequate amounts of blood to satisfy the body, it is called heart failure. Some of the common symptoms </w:t>
      </w:r>
      <w:r w:rsidRPr="29A3640D" w:rsidR="004703E3">
        <w:rPr>
          <w:rFonts w:ascii="Arial" w:hAnsi="Arial" w:eastAsia="Arial" w:cs="Arial"/>
          <w:lang w:val="en-US"/>
        </w:rPr>
        <w:t>include:</w:t>
      </w:r>
      <w:r w:rsidRPr="29A3640D" w:rsidR="004703E3">
        <w:rPr>
          <w:rFonts w:ascii="Arial" w:hAnsi="Arial" w:eastAsia="Arial" w:cs="Arial"/>
          <w:lang w:val="en-US"/>
        </w:rPr>
        <w:t xml:space="preserve"> Central chest pain or pressure, pain in the </w:t>
      </w:r>
      <w:r w:rsidRPr="29A3640D" w:rsidR="004703E3">
        <w:rPr>
          <w:rFonts w:ascii="Arial" w:hAnsi="Arial" w:eastAsia="Arial" w:cs="Arial"/>
          <w:lang w:val="en-US"/>
        </w:rPr>
        <w:t>arm or jaw, shortness of breath, palpitations, feeling dizzy, swollen ankle, and fatigue. Females and diabetic individuals can complain of such unusual symptoms as pain in the digestive system or unusual fatigue (Cheema et al., 2022).</w:t>
      </w:r>
    </w:p>
    <w:p w:rsidR="00C70F5D" w:rsidRDefault="004703E3" w14:paraId="4248EAFA" w14:textId="77777777">
      <w:pPr>
        <w:spacing w:line="360" w:lineRule="auto"/>
        <w:jc w:val="center"/>
        <w:rPr>
          <w:rFonts w:ascii="Arial" w:hAnsi="Arial" w:eastAsia="Arial" w:cs="Arial"/>
        </w:rPr>
      </w:pPr>
      <w:r>
        <w:rPr>
          <w:rFonts w:ascii="Arial" w:hAnsi="Arial" w:eastAsia="Arial" w:cs="Arial"/>
          <w:noProof/>
        </w:rPr>
        <w:drawing>
          <wp:inline distT="114300" distB="114300" distL="114300" distR="114300" wp14:anchorId="0FF2E5D2" wp14:editId="74676395">
            <wp:extent cx="5257800" cy="2752725"/>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6"/>
                    <a:srcRect/>
                    <a:stretch>
                      <a:fillRect/>
                    </a:stretch>
                  </pic:blipFill>
                  <pic:spPr>
                    <a:xfrm>
                      <a:off x="0" y="0"/>
                      <a:ext cx="5257800" cy="2752725"/>
                    </a:xfrm>
                    <a:prstGeom prst="rect">
                      <a:avLst/>
                    </a:prstGeom>
                    <a:ln/>
                  </pic:spPr>
                </pic:pic>
              </a:graphicData>
            </a:graphic>
          </wp:inline>
        </w:drawing>
      </w:r>
    </w:p>
    <w:p w:rsidR="00C70F5D" w:rsidP="29A3640D" w:rsidRDefault="004703E3" w14:paraId="026B54C3"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The burden of heart diseases in the world is extremely high, with an annual death rate of </w:t>
      </w:r>
      <w:r w:rsidRPr="29A3640D" w:rsidR="004703E3">
        <w:rPr>
          <w:rFonts w:ascii="Arial" w:hAnsi="Arial" w:eastAsia="Arial" w:cs="Arial"/>
          <w:lang w:val="en-US"/>
        </w:rPr>
        <w:t>approximately 17</w:t>
      </w:r>
      <w:r w:rsidRPr="29A3640D" w:rsidR="004703E3">
        <w:rPr>
          <w:rFonts w:ascii="Arial" w:hAnsi="Arial" w:eastAsia="Arial" w:cs="Arial"/>
          <w:lang w:val="en-US"/>
        </w:rPr>
        <w:t xml:space="preserve"> to 18 million. In the United Kingdom, there are </w:t>
      </w:r>
      <w:r w:rsidRPr="29A3640D" w:rsidR="004703E3">
        <w:rPr>
          <w:rFonts w:ascii="Arial" w:hAnsi="Arial" w:eastAsia="Arial" w:cs="Arial"/>
          <w:lang w:val="en-US"/>
        </w:rPr>
        <w:t>approximately 7</w:t>
      </w:r>
      <w:r w:rsidRPr="29A3640D" w:rsidR="004703E3">
        <w:rPr>
          <w:rFonts w:ascii="Arial" w:hAnsi="Arial" w:eastAsia="Arial" w:cs="Arial"/>
          <w:lang w:val="en-US"/>
        </w:rPr>
        <w:t xml:space="preserve"> to 8 million heart and circulatory disease sufferers. Over 100,000 individuals are </w:t>
      </w:r>
      <w:r w:rsidRPr="29A3640D" w:rsidR="004703E3">
        <w:rPr>
          <w:rFonts w:ascii="Arial" w:hAnsi="Arial" w:eastAsia="Arial" w:cs="Arial"/>
          <w:lang w:val="en-US"/>
        </w:rPr>
        <w:t>hospitalised</w:t>
      </w:r>
      <w:r w:rsidRPr="29A3640D" w:rsidR="004703E3">
        <w:rPr>
          <w:rFonts w:ascii="Arial" w:hAnsi="Arial" w:eastAsia="Arial" w:cs="Arial"/>
          <w:lang w:val="en-US"/>
        </w:rPr>
        <w:t xml:space="preserve"> annually with a heart attack and </w:t>
      </w:r>
      <w:r w:rsidRPr="29A3640D" w:rsidR="004703E3">
        <w:rPr>
          <w:rFonts w:ascii="Arial" w:hAnsi="Arial" w:eastAsia="Arial" w:cs="Arial"/>
          <w:lang w:val="en-US"/>
        </w:rPr>
        <w:t>nearly one</w:t>
      </w:r>
      <w:r w:rsidRPr="29A3640D" w:rsidR="004703E3">
        <w:rPr>
          <w:rFonts w:ascii="Arial" w:hAnsi="Arial" w:eastAsia="Arial" w:cs="Arial"/>
          <w:lang w:val="en-US"/>
        </w:rPr>
        <w:t xml:space="preserve"> million individuals are living with heart failure (Cheema et al., 2022). </w:t>
      </w:r>
    </w:p>
    <w:p w:rsidR="00C70F5D" w:rsidRDefault="004703E3" w14:paraId="6A9F6B71" w14:textId="77777777">
      <w:pPr>
        <w:pStyle w:val="Heading1"/>
      </w:pPr>
      <w:bookmarkStart w:name="_7k7527nehhz6" w:colFirst="0" w:colLast="0" w:id="3"/>
      <w:bookmarkEnd w:id="3"/>
      <w:r>
        <w:t>Consequences for the community and for the NHS</w:t>
      </w:r>
    </w:p>
    <w:p w:rsidR="00C70F5D" w:rsidRDefault="004703E3" w14:paraId="00E9CD83" w14:textId="77777777">
      <w:pPr>
        <w:pStyle w:val="Heading2"/>
      </w:pPr>
      <w:bookmarkStart w:name="_7v6r4repfrfm" w:colFirst="0" w:colLast="0" w:id="4"/>
      <w:bookmarkEnd w:id="4"/>
      <w:r>
        <w:t>Community impact and inequalities</w:t>
      </w:r>
    </w:p>
    <w:p w:rsidR="00C70F5D" w:rsidP="29A3640D" w:rsidRDefault="004703E3" w14:paraId="247DBD95"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The disease of the heart alters every day. Individuals complain of diminished exercise power, rapid breathlessness, breathlessness up flights, </w:t>
      </w:r>
      <w:r w:rsidRPr="29A3640D" w:rsidR="004703E3">
        <w:rPr>
          <w:rFonts w:ascii="Arial" w:hAnsi="Arial" w:eastAsia="Arial" w:cs="Arial"/>
          <w:lang w:val="en-US"/>
        </w:rPr>
        <w:t>work</w:t>
      </w:r>
      <w:r w:rsidRPr="29A3640D" w:rsidR="004703E3">
        <w:rPr>
          <w:rFonts w:ascii="Arial" w:hAnsi="Arial" w:eastAsia="Arial" w:cs="Arial"/>
          <w:lang w:val="en-US"/>
        </w:rPr>
        <w:t xml:space="preserve"> and interpersonal restrictions. The immediate effect that follows a heart attack or a novel diagnosis of heart failure is anxiety and low mood. Carers will </w:t>
      </w:r>
      <w:r w:rsidRPr="29A3640D" w:rsidR="004703E3">
        <w:rPr>
          <w:rFonts w:ascii="Arial" w:hAnsi="Arial" w:eastAsia="Arial" w:cs="Arial"/>
          <w:lang w:val="en-US"/>
        </w:rPr>
        <w:t>assist</w:t>
      </w:r>
      <w:r w:rsidRPr="29A3640D" w:rsidR="004703E3">
        <w:rPr>
          <w:rFonts w:ascii="Arial" w:hAnsi="Arial" w:eastAsia="Arial" w:cs="Arial"/>
          <w:lang w:val="en-US"/>
        </w:rPr>
        <w:t xml:space="preserve"> </w:t>
      </w:r>
      <w:r w:rsidRPr="29A3640D" w:rsidR="004703E3">
        <w:rPr>
          <w:rFonts w:ascii="Arial" w:hAnsi="Arial" w:eastAsia="Arial" w:cs="Arial"/>
          <w:lang w:val="en-US"/>
        </w:rPr>
        <w:t>in</w:t>
      </w:r>
      <w:r w:rsidRPr="29A3640D" w:rsidR="004703E3">
        <w:rPr>
          <w:rFonts w:ascii="Arial" w:hAnsi="Arial" w:eastAsia="Arial" w:cs="Arial"/>
          <w:lang w:val="en-US"/>
        </w:rPr>
        <w:t xml:space="preserve"> transport, medicines, </w:t>
      </w:r>
      <w:r w:rsidRPr="29A3640D" w:rsidR="004703E3">
        <w:rPr>
          <w:rFonts w:ascii="Arial" w:hAnsi="Arial" w:eastAsia="Arial" w:cs="Arial"/>
          <w:lang w:val="en-US"/>
        </w:rPr>
        <w:t>shopping</w:t>
      </w:r>
      <w:r w:rsidRPr="29A3640D" w:rsidR="004703E3">
        <w:rPr>
          <w:rFonts w:ascii="Arial" w:hAnsi="Arial" w:eastAsia="Arial" w:cs="Arial"/>
          <w:lang w:val="en-US"/>
        </w:rPr>
        <w:t xml:space="preserve"> and making meals. This unpaid </w:t>
      </w:r>
      <w:r w:rsidRPr="29A3640D" w:rsidR="004703E3">
        <w:rPr>
          <w:rFonts w:ascii="Arial" w:hAnsi="Arial" w:eastAsia="Arial" w:cs="Arial"/>
          <w:lang w:val="en-US"/>
        </w:rPr>
        <w:t>assistance</w:t>
      </w:r>
      <w:r w:rsidRPr="29A3640D" w:rsidR="004703E3">
        <w:rPr>
          <w:rFonts w:ascii="Arial" w:hAnsi="Arial" w:eastAsia="Arial" w:cs="Arial"/>
          <w:lang w:val="en-US"/>
        </w:rPr>
        <w:t xml:space="preserve"> has an impact on their health and working capacity.</w:t>
      </w:r>
    </w:p>
    <w:p w:rsidR="00C70F5D" w:rsidP="29A3640D" w:rsidRDefault="004703E3" w14:paraId="06DED04E"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The burden is not equal. The disease is prevalent in the elderly. Men are more likely to develop coronary </w:t>
      </w:r>
      <w:r w:rsidRPr="29A3640D" w:rsidR="004703E3">
        <w:rPr>
          <w:rFonts w:ascii="Arial" w:hAnsi="Arial" w:eastAsia="Arial" w:cs="Arial"/>
          <w:lang w:val="en-US"/>
        </w:rPr>
        <w:t>events</w:t>
      </w:r>
      <w:r w:rsidRPr="29A3640D" w:rsidR="004703E3">
        <w:rPr>
          <w:rFonts w:ascii="Arial" w:hAnsi="Arial" w:eastAsia="Arial" w:cs="Arial"/>
          <w:lang w:val="en-US"/>
        </w:rPr>
        <w:t xml:space="preserve"> but women might develop them later in life and may be misdiagnosed. In the UK, the communities of South Asia are at a higher risk of coronary disease and diabetes. Hypertension and stroke are common among the Black communities. Individuals in </w:t>
      </w:r>
      <w:r w:rsidRPr="29A3640D" w:rsidR="004703E3">
        <w:rPr>
          <w:rFonts w:ascii="Arial" w:hAnsi="Arial" w:eastAsia="Arial" w:cs="Arial"/>
          <w:lang w:val="en-US"/>
        </w:rPr>
        <w:t>the deprived</w:t>
      </w:r>
      <w:r w:rsidRPr="29A3640D" w:rsidR="004703E3">
        <w:rPr>
          <w:rFonts w:ascii="Arial" w:hAnsi="Arial" w:eastAsia="Arial" w:cs="Arial"/>
          <w:lang w:val="en-US"/>
        </w:rPr>
        <w:t xml:space="preserve"> communities are exposed to a higher risk, late in life, and with poor outcomes. Areas in the North of England tend to </w:t>
      </w:r>
      <w:r w:rsidRPr="29A3640D" w:rsidR="004703E3">
        <w:rPr>
          <w:rFonts w:ascii="Arial" w:hAnsi="Arial" w:eastAsia="Arial" w:cs="Arial"/>
          <w:lang w:val="en-US"/>
        </w:rPr>
        <w:t>exhibit</w:t>
      </w:r>
      <w:r w:rsidRPr="29A3640D" w:rsidR="004703E3">
        <w:rPr>
          <w:rFonts w:ascii="Arial" w:hAnsi="Arial" w:eastAsia="Arial" w:cs="Arial"/>
          <w:lang w:val="en-US"/>
        </w:rPr>
        <w:t xml:space="preserve"> greater cardiovas</w:t>
      </w:r>
      <w:r w:rsidRPr="29A3640D" w:rsidR="004703E3">
        <w:rPr>
          <w:rFonts w:ascii="Arial" w:hAnsi="Arial" w:eastAsia="Arial" w:cs="Arial"/>
          <w:lang w:val="en-US"/>
        </w:rPr>
        <w:t>cular admission and deaths rates than most of the South (</w:t>
      </w:r>
      <w:r w:rsidRPr="29A3640D" w:rsidR="004703E3">
        <w:rPr>
          <w:rFonts w:ascii="Arial" w:hAnsi="Arial" w:eastAsia="Arial" w:cs="Arial"/>
          <w:lang w:val="en-US"/>
        </w:rPr>
        <w:t>Dafaalla</w:t>
      </w:r>
      <w:r w:rsidRPr="29A3640D" w:rsidR="004703E3">
        <w:rPr>
          <w:rFonts w:ascii="Arial" w:hAnsi="Arial" w:eastAsia="Arial" w:cs="Arial"/>
          <w:lang w:val="en-US"/>
        </w:rPr>
        <w:t xml:space="preserve"> et al., 2024).</w:t>
      </w:r>
    </w:p>
    <w:p w:rsidR="00C70F5D" w:rsidP="29A3640D" w:rsidRDefault="004703E3" w14:paraId="2CE9F0C7"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There are also economic costs that are borne in the wider community. Leaves are usually taken to recuperate, to undergo heart rehabilitation, and visits to the clinic. There is the result of some people coming </w:t>
      </w:r>
      <w:r w:rsidRPr="29A3640D" w:rsidR="004703E3">
        <w:rPr>
          <w:rFonts w:ascii="Arial" w:hAnsi="Arial" w:eastAsia="Arial" w:cs="Arial"/>
          <w:lang w:val="en-US"/>
        </w:rPr>
        <w:t>early out of work</w:t>
      </w:r>
      <w:r w:rsidRPr="29A3640D" w:rsidR="004703E3">
        <w:rPr>
          <w:rFonts w:ascii="Arial" w:hAnsi="Arial" w:eastAsia="Arial" w:cs="Arial"/>
          <w:lang w:val="en-US"/>
        </w:rPr>
        <w:t xml:space="preserve"> or switching movements because of the symptoms or driving regulations after an incident. Sickness absence is counterproductive to employers (</w:t>
      </w:r>
      <w:r w:rsidRPr="29A3640D" w:rsidR="004703E3">
        <w:rPr>
          <w:rFonts w:ascii="Arial" w:hAnsi="Arial" w:eastAsia="Arial" w:cs="Arial"/>
          <w:lang w:val="en-US"/>
        </w:rPr>
        <w:t>Dafaalla</w:t>
      </w:r>
      <w:r w:rsidRPr="29A3640D" w:rsidR="004703E3">
        <w:rPr>
          <w:rFonts w:ascii="Arial" w:hAnsi="Arial" w:eastAsia="Arial" w:cs="Arial"/>
          <w:lang w:val="en-US"/>
        </w:rPr>
        <w:t xml:space="preserve"> et al., 2024).</w:t>
      </w:r>
    </w:p>
    <w:p w:rsidR="00C70F5D" w:rsidRDefault="004703E3" w14:paraId="25C6D979" w14:textId="77777777">
      <w:pPr>
        <w:pStyle w:val="Heading2"/>
      </w:pPr>
      <w:bookmarkStart w:name="_97aato575k1c" w:colFirst="0" w:colLast="0" w:id="5"/>
      <w:bookmarkEnd w:id="5"/>
      <w:r>
        <w:t>NHS demand, costs, and capacity</w:t>
      </w:r>
    </w:p>
    <w:p w:rsidR="00C70F5D" w:rsidP="29A3640D" w:rsidRDefault="004703E3" w14:paraId="5891CA9D"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The front line is </w:t>
      </w:r>
      <w:r w:rsidRPr="29A3640D" w:rsidR="004703E3">
        <w:rPr>
          <w:rFonts w:ascii="Arial" w:hAnsi="Arial" w:eastAsia="Arial" w:cs="Arial"/>
          <w:lang w:val="en-US"/>
        </w:rPr>
        <w:t>manned</w:t>
      </w:r>
      <w:r w:rsidRPr="29A3640D" w:rsidR="004703E3">
        <w:rPr>
          <w:rFonts w:ascii="Arial" w:hAnsi="Arial" w:eastAsia="Arial" w:cs="Arial"/>
          <w:lang w:val="en-US"/>
        </w:rPr>
        <w:t xml:space="preserve"> by primary care. Practices provide risk evaluation, blood pressure, </w:t>
      </w:r>
      <w:r w:rsidRPr="29A3640D" w:rsidR="004703E3">
        <w:rPr>
          <w:rFonts w:ascii="Arial" w:hAnsi="Arial" w:eastAsia="Arial" w:cs="Arial"/>
          <w:lang w:val="en-US"/>
        </w:rPr>
        <w:t>lipid</w:t>
      </w:r>
      <w:r w:rsidRPr="29A3640D" w:rsidR="004703E3">
        <w:rPr>
          <w:rFonts w:ascii="Arial" w:hAnsi="Arial" w:eastAsia="Arial" w:cs="Arial"/>
          <w:lang w:val="en-US"/>
        </w:rPr>
        <w:t xml:space="preserve"> and diabetes management. The NHS Health Check also encourages adults between the ages of 40-74 to take part in the QRISK3 assessment and follow-up. Pharmacists aid in blood pressure monitoring and drug </w:t>
      </w:r>
      <w:r w:rsidRPr="29A3640D" w:rsidR="004703E3">
        <w:rPr>
          <w:rFonts w:ascii="Arial" w:hAnsi="Arial" w:eastAsia="Arial" w:cs="Arial"/>
          <w:lang w:val="en-US"/>
        </w:rPr>
        <w:t>reviews</w:t>
      </w:r>
      <w:r w:rsidRPr="29A3640D" w:rsidR="004703E3">
        <w:rPr>
          <w:rFonts w:ascii="Arial" w:hAnsi="Arial" w:eastAsia="Arial" w:cs="Arial"/>
          <w:lang w:val="en-US"/>
        </w:rPr>
        <w:t xml:space="preserve"> and compliance. There is also the stop-smoking support and weight management offered in community services. Such measures reduce the risk and rely on frequent recall (Powell-Wiley et al., 2022).</w:t>
      </w:r>
    </w:p>
    <w:p w:rsidR="00C70F5D" w:rsidP="29A3640D" w:rsidRDefault="004703E3" w14:paraId="6C16CE73"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There is also a high demand </w:t>
      </w:r>
      <w:r w:rsidRPr="29A3640D" w:rsidR="004703E3">
        <w:rPr>
          <w:rFonts w:ascii="Arial" w:hAnsi="Arial" w:eastAsia="Arial" w:cs="Arial"/>
          <w:lang w:val="en-US"/>
        </w:rPr>
        <w:t>in</w:t>
      </w:r>
      <w:r w:rsidRPr="29A3640D" w:rsidR="004703E3">
        <w:rPr>
          <w:rFonts w:ascii="Arial" w:hAnsi="Arial" w:eastAsia="Arial" w:cs="Arial"/>
          <w:lang w:val="en-US"/>
        </w:rPr>
        <w:t xml:space="preserve"> urgent and acute care. Ambulance services are called in case of chest pain, where pre-hospital ECGs are taken. In ST-elevation myocardial infarction, immediate transference to a percutaneous coronary intervention department and brief door-to-balloon time are associated with better survival. Early risk stratification and prompt invasive evaluation are </w:t>
      </w:r>
      <w:r w:rsidRPr="29A3640D" w:rsidR="004703E3">
        <w:rPr>
          <w:rFonts w:ascii="Arial" w:hAnsi="Arial" w:eastAsia="Arial" w:cs="Arial"/>
          <w:lang w:val="en-US"/>
        </w:rPr>
        <w:t>required</w:t>
      </w:r>
      <w:r w:rsidRPr="29A3640D" w:rsidR="004703E3">
        <w:rPr>
          <w:rFonts w:ascii="Arial" w:hAnsi="Arial" w:eastAsia="Arial" w:cs="Arial"/>
          <w:lang w:val="en-US"/>
        </w:rPr>
        <w:t xml:space="preserve"> in non-ST elevation myocardial infarction. The ability to test troponin rapidly, have the capacity to run an echo, and </w:t>
      </w:r>
      <w:r w:rsidRPr="29A3640D" w:rsidR="004703E3">
        <w:rPr>
          <w:rFonts w:ascii="Arial" w:hAnsi="Arial" w:eastAsia="Arial" w:cs="Arial"/>
          <w:lang w:val="en-US"/>
        </w:rPr>
        <w:t xml:space="preserve">gain access to coronary imaging is relied upon by hospitals. Heart failure is a major cause of emergency hospitalization and readmission, particularly during winter seasons, </w:t>
      </w:r>
      <w:r w:rsidRPr="29A3640D" w:rsidR="004703E3">
        <w:rPr>
          <w:rFonts w:ascii="Arial" w:hAnsi="Arial" w:eastAsia="Arial" w:cs="Arial"/>
          <w:lang w:val="en-US"/>
        </w:rPr>
        <w:t>and also</w:t>
      </w:r>
      <w:r w:rsidRPr="29A3640D" w:rsidR="004703E3">
        <w:rPr>
          <w:rFonts w:ascii="Arial" w:hAnsi="Arial" w:eastAsia="Arial" w:cs="Arial"/>
          <w:lang w:val="en-US"/>
        </w:rPr>
        <w:t xml:space="preserve"> consumes a lot of bed days (Powell-Wiley et al., 2022).</w:t>
      </w:r>
    </w:p>
    <w:p w:rsidR="00C70F5D" w:rsidP="29A3640D" w:rsidRDefault="004703E3" w14:paraId="41FAF91B"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This is further pressure on specialist services. Catheter labs deliver PCI. Surgeons of the heart carry out coronary arterial bypass surgeries. </w:t>
      </w:r>
      <w:r w:rsidRPr="29A3640D" w:rsidR="004703E3">
        <w:rPr>
          <w:rFonts w:ascii="Arial" w:hAnsi="Arial" w:eastAsia="Arial" w:cs="Arial"/>
          <w:lang w:val="en-US"/>
        </w:rPr>
        <w:t>Teams of electrophysiology</w:t>
      </w:r>
      <w:r w:rsidRPr="29A3640D" w:rsidR="004703E3">
        <w:rPr>
          <w:rFonts w:ascii="Arial" w:hAnsi="Arial" w:eastAsia="Arial" w:cs="Arial"/>
          <w:lang w:val="en-US"/>
        </w:rPr>
        <w:t xml:space="preserve"> also implant cardiac </w:t>
      </w:r>
      <w:r w:rsidRPr="29A3640D" w:rsidR="004703E3">
        <w:rPr>
          <w:rFonts w:ascii="Arial" w:hAnsi="Arial" w:eastAsia="Arial" w:cs="Arial"/>
          <w:lang w:val="en-US"/>
        </w:rPr>
        <w:t>resynchronisation</w:t>
      </w:r>
      <w:r w:rsidRPr="29A3640D" w:rsidR="004703E3">
        <w:rPr>
          <w:rFonts w:ascii="Arial" w:hAnsi="Arial" w:eastAsia="Arial" w:cs="Arial"/>
          <w:lang w:val="en-US"/>
        </w:rPr>
        <w:t xml:space="preserve"> devices and defibrillators in the chosen patients. They are efficient but costly services that require well-trained staff and good theatres and laboratories. Cardiac rehabilitation can elevate physical functioning, decrease </w:t>
      </w:r>
      <w:r w:rsidRPr="29A3640D" w:rsidR="004703E3">
        <w:rPr>
          <w:rFonts w:ascii="Arial" w:hAnsi="Arial" w:eastAsia="Arial" w:cs="Arial"/>
          <w:lang w:val="en-US"/>
        </w:rPr>
        <w:t>depression</w:t>
      </w:r>
      <w:r w:rsidRPr="29A3640D" w:rsidR="004703E3">
        <w:rPr>
          <w:rFonts w:ascii="Arial" w:hAnsi="Arial" w:eastAsia="Arial" w:cs="Arial"/>
          <w:lang w:val="en-US"/>
        </w:rPr>
        <w:t xml:space="preserve"> and decrease readmission, yet is not referred to, </w:t>
      </w:r>
      <w:r w:rsidRPr="29A3640D" w:rsidR="004703E3">
        <w:rPr>
          <w:rFonts w:ascii="Arial" w:hAnsi="Arial" w:eastAsia="Arial" w:cs="Arial"/>
          <w:lang w:val="en-US"/>
        </w:rPr>
        <w:t>uptaken</w:t>
      </w:r>
      <w:r w:rsidRPr="29A3640D" w:rsidR="004703E3">
        <w:rPr>
          <w:rFonts w:ascii="Arial" w:hAnsi="Arial" w:eastAsia="Arial" w:cs="Arial"/>
          <w:lang w:val="en-US"/>
        </w:rPr>
        <w:t xml:space="preserve"> or comple</w:t>
      </w:r>
      <w:r w:rsidRPr="29A3640D" w:rsidR="004703E3">
        <w:rPr>
          <w:rFonts w:ascii="Arial" w:hAnsi="Arial" w:eastAsia="Arial" w:cs="Arial"/>
          <w:lang w:val="en-US"/>
        </w:rPr>
        <w:t xml:space="preserve">ted in most areas because of transport, </w:t>
      </w:r>
      <w:r w:rsidRPr="29A3640D" w:rsidR="004703E3">
        <w:rPr>
          <w:rFonts w:ascii="Arial" w:hAnsi="Arial" w:eastAsia="Arial" w:cs="Arial"/>
          <w:lang w:val="en-US"/>
        </w:rPr>
        <w:t>timing</w:t>
      </w:r>
      <w:r w:rsidRPr="29A3640D" w:rsidR="004703E3">
        <w:rPr>
          <w:rFonts w:ascii="Arial" w:hAnsi="Arial" w:eastAsia="Arial" w:cs="Arial"/>
          <w:lang w:val="en-US"/>
        </w:rPr>
        <w:t xml:space="preserve"> and work barriers (Powell-Wiley et al., 2022).</w:t>
      </w:r>
    </w:p>
    <w:p w:rsidR="00C70F5D" w:rsidP="29A3640D" w:rsidRDefault="004703E3" w14:paraId="543346DE" w14:textId="77777777">
      <w:pPr>
        <w:spacing w:line="360" w:lineRule="auto"/>
        <w:jc w:val="both"/>
        <w:rPr>
          <w:rFonts w:ascii="Arial" w:hAnsi="Arial" w:eastAsia="Arial" w:cs="Arial"/>
          <w:lang w:val="en-US"/>
        </w:rPr>
      </w:pPr>
      <w:r w:rsidRPr="29A3640D" w:rsidR="004703E3">
        <w:rPr>
          <w:rFonts w:ascii="Arial" w:hAnsi="Arial" w:eastAsia="Arial" w:cs="Arial"/>
          <w:b w:val="1"/>
          <w:bCs w:val="1"/>
          <w:lang w:val="en-US"/>
        </w:rPr>
        <w:t>Short case vignette:</w:t>
      </w:r>
      <w:r w:rsidRPr="29A3640D" w:rsidR="004703E3">
        <w:rPr>
          <w:rFonts w:ascii="Arial" w:hAnsi="Arial" w:eastAsia="Arial" w:cs="Arial"/>
          <w:lang w:val="en-US"/>
        </w:rPr>
        <w:t xml:space="preserve"> The second floor has a 68-year-old male with heart failure and who does not have a lift and lives by himself. He has a low income and lacks a car. He also misses clinic visits during </w:t>
      </w:r>
      <w:r w:rsidRPr="29A3640D" w:rsidR="004703E3">
        <w:rPr>
          <w:rFonts w:ascii="Arial" w:hAnsi="Arial" w:eastAsia="Arial" w:cs="Arial"/>
          <w:lang w:val="en-US"/>
        </w:rPr>
        <w:t>bad weather</w:t>
      </w:r>
      <w:r w:rsidRPr="29A3640D" w:rsidR="004703E3">
        <w:rPr>
          <w:rFonts w:ascii="Arial" w:hAnsi="Arial" w:eastAsia="Arial" w:cs="Arial"/>
          <w:lang w:val="en-US"/>
        </w:rPr>
        <w:t xml:space="preserve"> and even reduces his diuretic dose by half at the workplace. He </w:t>
      </w:r>
      <w:r w:rsidRPr="29A3640D" w:rsidR="004703E3">
        <w:rPr>
          <w:rFonts w:ascii="Arial" w:hAnsi="Arial" w:eastAsia="Arial" w:cs="Arial"/>
          <w:lang w:val="en-US"/>
        </w:rPr>
        <w:t>is not able to</w:t>
      </w:r>
      <w:r w:rsidRPr="29A3640D" w:rsidR="004703E3">
        <w:rPr>
          <w:rFonts w:ascii="Arial" w:hAnsi="Arial" w:eastAsia="Arial" w:cs="Arial"/>
          <w:lang w:val="en-US"/>
        </w:rPr>
        <w:t xml:space="preserve"> </w:t>
      </w:r>
      <w:r w:rsidRPr="29A3640D" w:rsidR="004703E3">
        <w:rPr>
          <w:rFonts w:ascii="Arial" w:hAnsi="Arial" w:eastAsia="Arial" w:cs="Arial"/>
          <w:lang w:val="en-US"/>
        </w:rPr>
        <w:t>participate</w:t>
      </w:r>
      <w:r w:rsidRPr="29A3640D" w:rsidR="004703E3">
        <w:rPr>
          <w:rFonts w:ascii="Arial" w:hAnsi="Arial" w:eastAsia="Arial" w:cs="Arial"/>
          <w:lang w:val="en-US"/>
        </w:rPr>
        <w:t xml:space="preserve"> in the </w:t>
      </w:r>
      <w:r w:rsidRPr="29A3640D" w:rsidR="004703E3">
        <w:rPr>
          <w:rFonts w:ascii="Arial" w:hAnsi="Arial" w:eastAsia="Arial" w:cs="Arial"/>
          <w:lang w:val="en-US"/>
        </w:rPr>
        <w:t>centre</w:t>
      </w:r>
      <w:r w:rsidRPr="29A3640D" w:rsidR="004703E3">
        <w:rPr>
          <w:rFonts w:ascii="Arial" w:hAnsi="Arial" w:eastAsia="Arial" w:cs="Arial"/>
          <w:lang w:val="en-US"/>
        </w:rPr>
        <w:t xml:space="preserve">-based rehabilitation because of transport. These mere obstacles result in fluid overload, emergency admission, and missed working days. This cycle could be avoided through transport </w:t>
      </w:r>
      <w:r w:rsidRPr="29A3640D" w:rsidR="004703E3">
        <w:rPr>
          <w:rFonts w:ascii="Arial" w:hAnsi="Arial" w:eastAsia="Arial" w:cs="Arial"/>
          <w:lang w:val="en-US"/>
        </w:rPr>
        <w:t>assistance</w:t>
      </w:r>
      <w:r w:rsidRPr="29A3640D" w:rsidR="004703E3">
        <w:rPr>
          <w:rFonts w:ascii="Arial" w:hAnsi="Arial" w:eastAsia="Arial" w:cs="Arial"/>
          <w:lang w:val="en-US"/>
        </w:rPr>
        <w:t>, flexible rehabili</w:t>
      </w:r>
      <w:r w:rsidRPr="29A3640D" w:rsidR="004703E3">
        <w:rPr>
          <w:rFonts w:ascii="Arial" w:hAnsi="Arial" w:eastAsia="Arial" w:cs="Arial"/>
          <w:lang w:val="en-US"/>
        </w:rPr>
        <w:t>tation, and a simple program involving medicines.</w:t>
      </w:r>
    </w:p>
    <w:p w:rsidR="00C70F5D" w:rsidP="29A3640D" w:rsidRDefault="004703E3" w14:paraId="4E32861E"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The most important measures in the case of the NHS are ambulance call volumes due to chest pain, volume of PCI, median reperfusion, myocardial </w:t>
      </w:r>
      <w:r w:rsidRPr="29A3640D" w:rsidR="004703E3">
        <w:rPr>
          <w:rFonts w:ascii="Arial" w:hAnsi="Arial" w:eastAsia="Arial" w:cs="Arial"/>
          <w:lang w:val="en-US"/>
        </w:rPr>
        <w:t>infarction</w:t>
      </w:r>
      <w:r w:rsidRPr="29A3640D" w:rsidR="004703E3">
        <w:rPr>
          <w:rFonts w:ascii="Arial" w:hAnsi="Arial" w:eastAsia="Arial" w:cs="Arial"/>
          <w:lang w:val="en-US"/>
        </w:rPr>
        <w:t xml:space="preserve"> and heart failure admission, 30-day hospital readmission, and uptake of rehab (Shields et al., 2023).</w:t>
      </w:r>
    </w:p>
    <w:p w:rsidR="00C70F5D" w:rsidRDefault="004703E3" w14:paraId="03501414" w14:textId="77777777">
      <w:pPr>
        <w:pStyle w:val="Heading1"/>
      </w:pPr>
      <w:bookmarkStart w:name="_wtgsc5id99lc" w:colFirst="0" w:colLast="0" w:id="6"/>
      <w:bookmarkEnd w:id="6"/>
      <w:r>
        <w:t>How is this disease controlled?</w:t>
      </w:r>
    </w:p>
    <w:p w:rsidR="00C70F5D" w:rsidRDefault="004703E3" w14:paraId="321EFB50" w14:textId="77777777">
      <w:pPr>
        <w:pStyle w:val="Heading2"/>
      </w:pPr>
      <w:bookmarkStart w:name="_2td1l3id7vtc" w:colFirst="0" w:colLast="0" w:id="7"/>
      <w:bookmarkEnd w:id="7"/>
      <w:r>
        <w:t>Population and primary prevention</w:t>
      </w:r>
    </w:p>
    <w:p w:rsidR="00C70F5D" w:rsidP="29A3640D" w:rsidRDefault="004703E3" w14:paraId="699C00CE"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The control starts with measures that mitigate the risk </w:t>
      </w:r>
      <w:r w:rsidRPr="29A3640D" w:rsidR="004703E3">
        <w:rPr>
          <w:rFonts w:ascii="Arial" w:hAnsi="Arial" w:eastAsia="Arial" w:cs="Arial"/>
          <w:lang w:val="en-US"/>
        </w:rPr>
        <w:t>over</w:t>
      </w:r>
      <w:r w:rsidRPr="29A3640D" w:rsidR="004703E3">
        <w:rPr>
          <w:rFonts w:ascii="Arial" w:hAnsi="Arial" w:eastAsia="Arial" w:cs="Arial"/>
          <w:lang w:val="en-US"/>
        </w:rPr>
        <w:t xml:space="preserve"> an entire population. Good tobacco control will limit smoking and indirect smoking. Reduction of foods by salt reduces the blood pressure of the population. Safe-street plans and </w:t>
      </w:r>
      <w:r w:rsidRPr="29A3640D" w:rsidR="004703E3">
        <w:rPr>
          <w:rFonts w:ascii="Arial" w:hAnsi="Arial" w:eastAsia="Arial" w:cs="Arial"/>
          <w:lang w:val="en-US"/>
        </w:rPr>
        <w:t>active-travel</w:t>
      </w:r>
      <w:r w:rsidRPr="29A3640D" w:rsidR="004703E3">
        <w:rPr>
          <w:rFonts w:ascii="Arial" w:hAnsi="Arial" w:eastAsia="Arial" w:cs="Arial"/>
          <w:lang w:val="en-US"/>
        </w:rPr>
        <w:t xml:space="preserve"> plans can help people be physically active in their day-to-day activities. The air quality policies </w:t>
      </w:r>
      <w:r w:rsidRPr="29A3640D" w:rsidR="004703E3">
        <w:rPr>
          <w:rFonts w:ascii="Arial" w:hAnsi="Arial" w:eastAsia="Arial" w:cs="Arial"/>
          <w:lang w:val="en-US"/>
        </w:rPr>
        <w:t>minimise</w:t>
      </w:r>
      <w:r w:rsidRPr="29A3640D" w:rsidR="004703E3">
        <w:rPr>
          <w:rFonts w:ascii="Arial" w:hAnsi="Arial" w:eastAsia="Arial" w:cs="Arial"/>
          <w:lang w:val="en-US"/>
        </w:rPr>
        <w:t xml:space="preserve"> the exposure to fine particles that cause events. The policy on food that enhances access to healthy foods </w:t>
      </w:r>
      <w:r w:rsidRPr="29A3640D" w:rsidR="004703E3">
        <w:rPr>
          <w:rFonts w:ascii="Arial" w:hAnsi="Arial" w:eastAsia="Arial" w:cs="Arial"/>
          <w:lang w:val="en-US"/>
        </w:rPr>
        <w:t>favours</w:t>
      </w:r>
      <w:r w:rsidRPr="29A3640D" w:rsidR="004703E3">
        <w:rPr>
          <w:rFonts w:ascii="Arial" w:hAnsi="Arial" w:eastAsia="Arial" w:cs="Arial"/>
          <w:lang w:val="en-US"/>
        </w:rPr>
        <w:t xml:space="preserve"> low-income people (Shields et al.,</w:t>
      </w:r>
      <w:r w:rsidRPr="29A3640D" w:rsidR="004703E3">
        <w:rPr>
          <w:rFonts w:ascii="Arial" w:hAnsi="Arial" w:eastAsia="Arial" w:cs="Arial"/>
          <w:lang w:val="en-US"/>
        </w:rPr>
        <w:t xml:space="preserve"> 2023).</w:t>
      </w:r>
    </w:p>
    <w:p w:rsidR="00C70F5D" w:rsidP="29A3640D" w:rsidRDefault="004703E3" w14:paraId="20D7E064"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The NHS is working on primary prevention, which aims at </w:t>
      </w:r>
      <w:r w:rsidRPr="29A3640D" w:rsidR="004703E3">
        <w:rPr>
          <w:rFonts w:ascii="Arial" w:hAnsi="Arial" w:eastAsia="Arial" w:cs="Arial"/>
          <w:lang w:val="en-US"/>
        </w:rPr>
        <w:t>identifying</w:t>
      </w:r>
      <w:r w:rsidRPr="29A3640D" w:rsidR="004703E3">
        <w:rPr>
          <w:rFonts w:ascii="Arial" w:hAnsi="Arial" w:eastAsia="Arial" w:cs="Arial"/>
          <w:lang w:val="en-US"/>
        </w:rPr>
        <w:t xml:space="preserve"> risk avenues and mitigating </w:t>
      </w:r>
      <w:r w:rsidRPr="29A3640D" w:rsidR="004703E3">
        <w:rPr>
          <w:rFonts w:ascii="Arial" w:hAnsi="Arial" w:eastAsia="Arial" w:cs="Arial"/>
          <w:lang w:val="en-US"/>
        </w:rPr>
        <w:t>it</w:t>
      </w:r>
      <w:r w:rsidRPr="29A3640D" w:rsidR="004703E3">
        <w:rPr>
          <w:rFonts w:ascii="Arial" w:hAnsi="Arial" w:eastAsia="Arial" w:cs="Arial"/>
          <w:lang w:val="en-US"/>
        </w:rPr>
        <w:t xml:space="preserve">. QRISK3 is used in practice to estimate the risk of cardiovascular disease in 10 years. Citizens with treatment levels exceeding the treatment levels are supposed to be given statins and blood pressure management as recommended by the nation. Stop-smoking services involve pharmacological and </w:t>
      </w:r>
      <w:r w:rsidRPr="29A3640D" w:rsidR="004703E3">
        <w:rPr>
          <w:rFonts w:ascii="Arial" w:hAnsi="Arial" w:eastAsia="Arial" w:cs="Arial"/>
          <w:lang w:val="en-US"/>
        </w:rPr>
        <w:t>behavioural</w:t>
      </w:r>
      <w:r w:rsidRPr="29A3640D" w:rsidR="004703E3">
        <w:rPr>
          <w:rFonts w:ascii="Arial" w:hAnsi="Arial" w:eastAsia="Arial" w:cs="Arial"/>
          <w:lang w:val="en-US"/>
        </w:rPr>
        <w:t xml:space="preserve"> interventions. Diet and activity are dealt with in weight-management services (Sundaram et al., 2021). </w:t>
      </w:r>
    </w:p>
    <w:p w:rsidR="00C70F5D" w:rsidRDefault="004703E3" w14:paraId="14C811FB" w14:textId="77777777">
      <w:pPr>
        <w:pStyle w:val="Heading2"/>
      </w:pPr>
      <w:bookmarkStart w:name="_e42cuse5jneh" w:colFirst="0" w:colLast="0" w:id="8"/>
      <w:bookmarkEnd w:id="8"/>
      <w:r>
        <w:t>Secondary prevention and chronic care</w:t>
      </w:r>
    </w:p>
    <w:p w:rsidR="00C70F5D" w:rsidP="29A3640D" w:rsidRDefault="004703E3" w14:paraId="5A667FC2"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The initiation of secondary prevention occurs following an acute coronary tragedy. Best practice involves the use of dual antiplatelet therapy over a specified time, high-intensity statin, beta-blocker, where </w:t>
      </w:r>
      <w:r w:rsidRPr="29A3640D" w:rsidR="004703E3">
        <w:rPr>
          <w:rFonts w:ascii="Arial" w:hAnsi="Arial" w:eastAsia="Arial" w:cs="Arial"/>
          <w:lang w:val="en-US"/>
        </w:rPr>
        <w:t>appropriate</w:t>
      </w:r>
      <w:r w:rsidRPr="29A3640D" w:rsidR="004703E3">
        <w:rPr>
          <w:rFonts w:ascii="Arial" w:hAnsi="Arial" w:eastAsia="Arial" w:cs="Arial"/>
          <w:lang w:val="en-US"/>
        </w:rPr>
        <w:t>, an ACE inhibitor or ARB, and lifestyle modification. A clear written plan must be presented to every patient, and it must clearly explain medicines, targets, and warning signs. Cardiac rehabilitation should be referred to automatically. Home-based and hybrid solutions enhance accessibility</w:t>
      </w:r>
      <w:r w:rsidRPr="29A3640D" w:rsidR="004703E3">
        <w:rPr>
          <w:rFonts w:ascii="Arial" w:hAnsi="Arial" w:eastAsia="Arial" w:cs="Arial"/>
          <w:lang w:val="en-US"/>
        </w:rPr>
        <w:t xml:space="preserve"> to individuals who are employed, have dependents or who lack transportation. Turn-around work, sexual and driving instructions should be given to the patient. Moral </w:t>
      </w:r>
      <w:r w:rsidRPr="29A3640D" w:rsidR="004703E3">
        <w:rPr>
          <w:rFonts w:ascii="Arial" w:hAnsi="Arial" w:eastAsia="Arial" w:cs="Arial"/>
          <w:lang w:val="en-US"/>
        </w:rPr>
        <w:t>assistance</w:t>
      </w:r>
      <w:r w:rsidRPr="29A3640D" w:rsidR="004703E3">
        <w:rPr>
          <w:rFonts w:ascii="Arial" w:hAnsi="Arial" w:eastAsia="Arial" w:cs="Arial"/>
          <w:lang w:val="en-US"/>
        </w:rPr>
        <w:t xml:space="preserve"> is a thing, as anxiety and depression reduce compliance (Sundaram et al., 2021).</w:t>
      </w:r>
    </w:p>
    <w:p w:rsidR="00C70F5D" w:rsidP="29A3640D" w:rsidRDefault="004703E3" w14:paraId="29400A72"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Treatment of chronic heart failure depends on early diagnosis and the exhaustive employment of established medication. The diagnosis and type are confirmed by an Echo. An ACE inhibitor or </w:t>
      </w:r>
      <w:r w:rsidRPr="29A3640D" w:rsidR="004703E3">
        <w:rPr>
          <w:rFonts w:ascii="Arial" w:hAnsi="Arial" w:eastAsia="Arial" w:cs="Arial"/>
          <w:lang w:val="en-US"/>
        </w:rPr>
        <w:t>sacubitrol</w:t>
      </w:r>
      <w:r w:rsidRPr="29A3640D" w:rsidR="004703E3">
        <w:rPr>
          <w:rFonts w:ascii="Arial" w:hAnsi="Arial" w:eastAsia="Arial" w:cs="Arial"/>
          <w:lang w:val="en-US"/>
        </w:rPr>
        <w:t xml:space="preserve">-valsartan, a beta-blocker, a mineralocorticoid receptor antagonist, and an SGLT2 inhibitor form part of the guideline therapy (Sundaram et al., 2021). </w:t>
      </w:r>
    </w:p>
    <w:p w:rsidR="00C70F5D" w:rsidRDefault="004703E3" w14:paraId="18DD9082" w14:textId="77777777">
      <w:pPr>
        <w:pStyle w:val="Heading2"/>
      </w:pPr>
      <w:bookmarkStart w:name="_d3twmamxoj1a" w:colFirst="0" w:colLast="0" w:id="9"/>
      <w:bookmarkEnd w:id="9"/>
      <w:r>
        <w:t>Pathways, digital support, and common barriers</w:t>
      </w:r>
    </w:p>
    <w:p w:rsidR="00C70F5D" w:rsidP="29A3640D" w:rsidRDefault="004703E3" w14:paraId="06FD7D95"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The acute pathways </w:t>
      </w:r>
      <w:r w:rsidRPr="29A3640D" w:rsidR="004703E3">
        <w:rPr>
          <w:rFonts w:ascii="Arial" w:hAnsi="Arial" w:eastAsia="Arial" w:cs="Arial"/>
          <w:lang w:val="en-US"/>
        </w:rPr>
        <w:t>have to</w:t>
      </w:r>
      <w:r w:rsidRPr="29A3640D" w:rsidR="004703E3">
        <w:rPr>
          <w:rFonts w:ascii="Arial" w:hAnsi="Arial" w:eastAsia="Arial" w:cs="Arial"/>
          <w:lang w:val="en-US"/>
        </w:rPr>
        <w:t xml:space="preserve"> be rapid and easy. When a person is suspected of having a heart attack</w:t>
      </w:r>
      <w:r w:rsidRPr="29A3640D" w:rsidR="004703E3">
        <w:rPr>
          <w:rFonts w:ascii="Arial" w:hAnsi="Arial" w:eastAsia="Arial" w:cs="Arial"/>
          <w:lang w:val="en-US"/>
        </w:rPr>
        <w:t>, he or</w:t>
      </w:r>
      <w:r w:rsidRPr="29A3640D" w:rsidR="004703E3">
        <w:rPr>
          <w:rFonts w:ascii="Arial" w:hAnsi="Arial" w:eastAsia="Arial" w:cs="Arial"/>
          <w:lang w:val="en-US"/>
        </w:rPr>
        <w:t xml:space="preserve"> </w:t>
      </w:r>
      <w:r w:rsidRPr="29A3640D" w:rsidR="004703E3">
        <w:rPr>
          <w:rFonts w:ascii="Arial" w:hAnsi="Arial" w:eastAsia="Arial" w:cs="Arial"/>
          <w:lang w:val="en-US"/>
        </w:rPr>
        <w:t>she</w:t>
      </w:r>
      <w:r w:rsidRPr="29A3640D" w:rsidR="004703E3">
        <w:rPr>
          <w:rFonts w:ascii="Arial" w:hAnsi="Arial" w:eastAsia="Arial" w:cs="Arial"/>
          <w:lang w:val="en-US"/>
        </w:rPr>
        <w:t xml:space="preserve"> must call 999. Crews take the patient to the right </w:t>
      </w:r>
      <w:r w:rsidRPr="29A3640D" w:rsidR="004703E3">
        <w:rPr>
          <w:rFonts w:ascii="Arial" w:hAnsi="Arial" w:eastAsia="Arial" w:cs="Arial"/>
          <w:lang w:val="en-US"/>
        </w:rPr>
        <w:t>centre</w:t>
      </w:r>
      <w:r w:rsidRPr="29A3640D" w:rsidR="004703E3">
        <w:rPr>
          <w:rFonts w:ascii="Arial" w:hAnsi="Arial" w:eastAsia="Arial" w:cs="Arial"/>
          <w:lang w:val="en-US"/>
        </w:rPr>
        <w:t xml:space="preserve"> and record an ECG. Hospitals also look towards a short stay time between arrival and reperfusion. At the time of discharge, harm can be minimized by early clinic review. Nurse teams that handle heart failure aid in the titration of drugs and fluid overload. The rationale, criteria and </w:t>
      </w:r>
      <w:r w:rsidRPr="29A3640D" w:rsidR="004703E3">
        <w:rPr>
          <w:rFonts w:ascii="Arial" w:hAnsi="Arial" w:eastAsia="Arial" w:cs="Arial"/>
          <w:lang w:val="en-US"/>
        </w:rPr>
        <w:t>timeframe</w:t>
      </w:r>
      <w:r w:rsidRPr="29A3640D" w:rsidR="004703E3">
        <w:rPr>
          <w:rFonts w:ascii="Arial" w:hAnsi="Arial" w:eastAsia="Arial" w:cs="Arial"/>
          <w:lang w:val="en-US"/>
        </w:rPr>
        <w:t xml:space="preserve"> of echo, cardiology examination, and rehab are to</w:t>
      </w:r>
      <w:r w:rsidRPr="29A3640D" w:rsidR="004703E3">
        <w:rPr>
          <w:rFonts w:ascii="Arial" w:hAnsi="Arial" w:eastAsia="Arial" w:cs="Arial"/>
          <w:lang w:val="en-US"/>
        </w:rPr>
        <w:t xml:space="preserve"> be </w:t>
      </w:r>
      <w:r w:rsidRPr="29A3640D" w:rsidR="004703E3">
        <w:rPr>
          <w:rFonts w:ascii="Arial" w:hAnsi="Arial" w:eastAsia="Arial" w:cs="Arial"/>
          <w:lang w:val="en-US"/>
        </w:rPr>
        <w:t>established</w:t>
      </w:r>
      <w:r w:rsidRPr="29A3640D" w:rsidR="004703E3">
        <w:rPr>
          <w:rFonts w:ascii="Arial" w:hAnsi="Arial" w:eastAsia="Arial" w:cs="Arial"/>
          <w:lang w:val="en-US"/>
        </w:rPr>
        <w:t xml:space="preserve"> by local services (Taylor, </w:t>
      </w:r>
      <w:r w:rsidRPr="29A3640D" w:rsidR="004703E3">
        <w:rPr>
          <w:rFonts w:ascii="Arial" w:hAnsi="Arial" w:eastAsia="Arial" w:cs="Arial"/>
          <w:lang w:val="en-US"/>
        </w:rPr>
        <w:t>Dalal</w:t>
      </w:r>
      <w:r w:rsidRPr="29A3640D" w:rsidR="004703E3">
        <w:rPr>
          <w:rFonts w:ascii="Arial" w:hAnsi="Arial" w:eastAsia="Arial" w:cs="Arial"/>
          <w:lang w:val="en-US"/>
        </w:rPr>
        <w:t xml:space="preserve"> and McDonagh, 2021).</w:t>
      </w:r>
    </w:p>
    <w:p w:rsidR="00C70F5D" w:rsidP="29A3640D" w:rsidRDefault="004703E3" w14:paraId="45C77301"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Online resources are useful where there is still the </w:t>
      </w:r>
      <w:r w:rsidRPr="29A3640D" w:rsidR="004703E3">
        <w:rPr>
          <w:rFonts w:ascii="Arial" w:hAnsi="Arial" w:eastAsia="Arial" w:cs="Arial"/>
          <w:lang w:val="en-US"/>
        </w:rPr>
        <w:t>option</w:t>
      </w:r>
      <w:r w:rsidRPr="29A3640D" w:rsidR="004703E3">
        <w:rPr>
          <w:rFonts w:ascii="Arial" w:hAnsi="Arial" w:eastAsia="Arial" w:cs="Arial"/>
          <w:lang w:val="en-US"/>
        </w:rPr>
        <w:t xml:space="preserve">. Electronic repeats and text reminders aid in conformity. Problems can be detected early </w:t>
      </w:r>
      <w:r w:rsidRPr="29A3640D" w:rsidR="004703E3">
        <w:rPr>
          <w:rFonts w:ascii="Arial" w:hAnsi="Arial" w:eastAsia="Arial" w:cs="Arial"/>
          <w:lang w:val="en-US"/>
        </w:rPr>
        <w:t>in light of</w:t>
      </w:r>
      <w:r w:rsidRPr="29A3640D" w:rsidR="004703E3">
        <w:rPr>
          <w:rFonts w:ascii="Arial" w:hAnsi="Arial" w:eastAsia="Arial" w:cs="Arial"/>
          <w:lang w:val="en-US"/>
        </w:rPr>
        <w:t xml:space="preserve"> remote blood pressure or weight monitoring with explicit rules of escalation. Through telephone and video review, saving on travel is achieved (Taylor, </w:t>
      </w:r>
      <w:r w:rsidRPr="29A3640D" w:rsidR="004703E3">
        <w:rPr>
          <w:rFonts w:ascii="Arial" w:hAnsi="Arial" w:eastAsia="Arial" w:cs="Arial"/>
          <w:lang w:val="en-US"/>
        </w:rPr>
        <w:t>Dalal</w:t>
      </w:r>
      <w:r w:rsidRPr="29A3640D" w:rsidR="004703E3">
        <w:rPr>
          <w:rFonts w:ascii="Arial" w:hAnsi="Arial" w:eastAsia="Arial" w:cs="Arial"/>
          <w:lang w:val="en-US"/>
        </w:rPr>
        <w:t xml:space="preserve"> and McDonagh, 2021).</w:t>
      </w:r>
    </w:p>
    <w:p w:rsidR="00C70F5D" w:rsidRDefault="004703E3" w14:paraId="0F93B7D8" w14:textId="77777777">
      <w:pPr>
        <w:pStyle w:val="Heading1"/>
      </w:pPr>
      <w:bookmarkStart w:name="_8qj11mdoq1xg" w:colFirst="0" w:colLast="0" w:id="10"/>
      <w:bookmarkEnd w:id="10"/>
      <w:r>
        <w:t>Factors influencing the health and well-being of people affected and the people around them</w:t>
      </w:r>
    </w:p>
    <w:p w:rsidR="00C70F5D" w:rsidRDefault="004703E3" w14:paraId="3100A213" w14:textId="77777777">
      <w:pPr>
        <w:pStyle w:val="Heading2"/>
      </w:pPr>
      <w:bookmarkStart w:name="_gfofkamhec2n" w:colFirst="0" w:colLast="0" w:id="11"/>
      <w:bookmarkEnd w:id="11"/>
      <w:r>
        <w:t>Individual clinical factors</w:t>
      </w:r>
    </w:p>
    <w:p w:rsidR="00C70F5D" w:rsidP="29A3640D" w:rsidRDefault="004703E3" w14:paraId="00568D1F"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The outcomes are </w:t>
      </w:r>
      <w:r w:rsidRPr="29A3640D" w:rsidR="004703E3">
        <w:rPr>
          <w:rFonts w:ascii="Arial" w:hAnsi="Arial" w:eastAsia="Arial" w:cs="Arial"/>
          <w:lang w:val="en-US"/>
        </w:rPr>
        <w:t>determined</w:t>
      </w:r>
      <w:r w:rsidRPr="29A3640D" w:rsidR="004703E3">
        <w:rPr>
          <w:rFonts w:ascii="Arial" w:hAnsi="Arial" w:eastAsia="Arial" w:cs="Arial"/>
          <w:lang w:val="en-US"/>
        </w:rPr>
        <w:t xml:space="preserve"> by age, sex, genetics, diabetes, kidney disease, obesity, smoking status, and mental health. The </w:t>
      </w:r>
      <w:r w:rsidRPr="29A3640D" w:rsidR="004703E3">
        <w:rPr>
          <w:rFonts w:ascii="Arial" w:hAnsi="Arial" w:eastAsia="Arial" w:cs="Arial"/>
          <w:lang w:val="en-US"/>
        </w:rPr>
        <w:t>behaviour</w:t>
      </w:r>
      <w:r w:rsidRPr="29A3640D" w:rsidR="004703E3">
        <w:rPr>
          <w:rFonts w:ascii="Arial" w:hAnsi="Arial" w:eastAsia="Arial" w:cs="Arial"/>
          <w:lang w:val="en-US"/>
        </w:rPr>
        <w:t xml:space="preserve"> is influenced by health literacy, confidence, </w:t>
      </w:r>
      <w:r w:rsidRPr="29A3640D" w:rsidR="004703E3">
        <w:rPr>
          <w:rFonts w:ascii="Arial" w:hAnsi="Arial" w:eastAsia="Arial" w:cs="Arial"/>
          <w:lang w:val="en-US"/>
        </w:rPr>
        <w:t>regarding</w:t>
      </w:r>
      <w:r w:rsidRPr="29A3640D" w:rsidR="004703E3">
        <w:rPr>
          <w:rFonts w:ascii="Arial" w:hAnsi="Arial" w:eastAsia="Arial" w:cs="Arial"/>
          <w:lang w:val="en-US"/>
        </w:rPr>
        <w:t xml:space="preserve"> medicines, and other factors. Post-acute depression and anxiety may decrease adherence and should be treated (Weir</w:t>
      </w:r>
      <w:r w:rsidRPr="29A3640D" w:rsidR="004703E3">
        <w:rPr>
          <w:rFonts w:ascii="Cambria Math" w:hAnsi="Cambria Math" w:eastAsia="Cambria Math" w:cs="Cambria Math"/>
          <w:lang w:val="en-US"/>
        </w:rPr>
        <w:t>‐</w:t>
      </w:r>
      <w:r w:rsidRPr="29A3640D" w:rsidR="004703E3">
        <w:rPr>
          <w:rFonts w:ascii="Arial" w:hAnsi="Arial" w:eastAsia="Arial" w:cs="Arial"/>
          <w:lang w:val="en-US"/>
        </w:rPr>
        <w:t>McCall et al., 2023).</w:t>
      </w:r>
    </w:p>
    <w:p w:rsidR="00C70F5D" w:rsidRDefault="004703E3" w14:paraId="1370860D" w14:textId="77777777">
      <w:pPr>
        <w:pStyle w:val="Heading2"/>
      </w:pPr>
      <w:bookmarkStart w:name="_5krshd2yaldc" w:colFirst="0" w:colLast="0" w:id="12"/>
      <w:bookmarkEnd w:id="12"/>
      <w:r>
        <w:t>Social, environmental, and carer factors</w:t>
      </w:r>
    </w:p>
    <w:p w:rsidR="00C70F5D" w:rsidP="29A3640D" w:rsidRDefault="004703E3" w14:paraId="5ED36582"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Healthy choices are </w:t>
      </w:r>
      <w:r w:rsidRPr="29A3640D" w:rsidR="004703E3">
        <w:rPr>
          <w:rFonts w:ascii="Arial" w:hAnsi="Arial" w:eastAsia="Arial" w:cs="Arial"/>
          <w:lang w:val="en-US"/>
        </w:rPr>
        <w:t>facilitated</w:t>
      </w:r>
      <w:r w:rsidRPr="29A3640D" w:rsidR="004703E3">
        <w:rPr>
          <w:rFonts w:ascii="Arial" w:hAnsi="Arial" w:eastAsia="Arial" w:cs="Arial"/>
          <w:lang w:val="en-US"/>
        </w:rPr>
        <w:t xml:space="preserve"> by a stable income, good </w:t>
      </w:r>
      <w:r w:rsidRPr="29A3640D" w:rsidR="004703E3">
        <w:rPr>
          <w:rFonts w:ascii="Arial" w:hAnsi="Arial" w:eastAsia="Arial" w:cs="Arial"/>
          <w:lang w:val="en-US"/>
        </w:rPr>
        <w:t>housing</w:t>
      </w:r>
      <w:r w:rsidRPr="29A3640D" w:rsidR="004703E3">
        <w:rPr>
          <w:rFonts w:ascii="Arial" w:hAnsi="Arial" w:eastAsia="Arial" w:cs="Arial"/>
          <w:lang w:val="en-US"/>
        </w:rPr>
        <w:t xml:space="preserve"> and secure work. </w:t>
      </w:r>
      <w:r w:rsidRPr="29A3640D" w:rsidR="004703E3">
        <w:rPr>
          <w:rFonts w:ascii="Arial" w:hAnsi="Arial" w:eastAsia="Arial" w:cs="Arial"/>
          <w:lang w:val="en-US"/>
        </w:rPr>
        <w:t>Diet is</w:t>
      </w:r>
      <w:r w:rsidRPr="29A3640D" w:rsidR="004703E3">
        <w:rPr>
          <w:rFonts w:ascii="Arial" w:hAnsi="Arial" w:eastAsia="Arial" w:cs="Arial"/>
          <w:lang w:val="en-US"/>
        </w:rPr>
        <w:t xml:space="preserve"> affected by food prices and </w:t>
      </w:r>
      <w:r w:rsidRPr="29A3640D" w:rsidR="004703E3">
        <w:rPr>
          <w:rFonts w:ascii="Arial" w:hAnsi="Arial" w:eastAsia="Arial" w:cs="Arial"/>
          <w:lang w:val="en-US"/>
        </w:rPr>
        <w:t>local</w:t>
      </w:r>
      <w:r w:rsidRPr="29A3640D" w:rsidR="004703E3">
        <w:rPr>
          <w:rFonts w:ascii="Arial" w:hAnsi="Arial" w:eastAsia="Arial" w:cs="Arial"/>
          <w:lang w:val="en-US"/>
        </w:rPr>
        <w:t xml:space="preserve"> food environment. During winter, the symptoms of </w:t>
      </w:r>
      <w:r w:rsidRPr="29A3640D" w:rsidR="004703E3">
        <w:rPr>
          <w:rFonts w:ascii="Arial" w:hAnsi="Arial" w:eastAsia="Arial" w:cs="Arial"/>
          <w:lang w:val="en-US"/>
        </w:rPr>
        <w:t>heart-failure</w:t>
      </w:r>
      <w:r w:rsidRPr="29A3640D" w:rsidR="004703E3">
        <w:rPr>
          <w:rFonts w:ascii="Arial" w:hAnsi="Arial" w:eastAsia="Arial" w:cs="Arial"/>
          <w:lang w:val="en-US"/>
        </w:rPr>
        <w:t xml:space="preserve"> are influenced by heating costs. Using a car or good public transport influences attendance at the clinic. Flexible shifts and phased returns are employed by employers that are encouraging recovery (Weir</w:t>
      </w:r>
      <w:r w:rsidRPr="29A3640D" w:rsidR="004703E3">
        <w:rPr>
          <w:rFonts w:ascii="Cambria Math" w:hAnsi="Cambria Math" w:eastAsia="Cambria Math" w:cs="Cambria Math"/>
          <w:lang w:val="en-US"/>
        </w:rPr>
        <w:t>‐</w:t>
      </w:r>
      <w:r w:rsidRPr="29A3640D" w:rsidR="004703E3">
        <w:rPr>
          <w:rFonts w:ascii="Arial" w:hAnsi="Arial" w:eastAsia="Arial" w:cs="Arial"/>
          <w:lang w:val="en-US"/>
        </w:rPr>
        <w:t>McCall et al., 2023).</w:t>
      </w:r>
    </w:p>
    <w:p w:rsidR="00C70F5D" w:rsidP="29A3640D" w:rsidRDefault="004703E3" w14:paraId="6EEA0AB1"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There </w:t>
      </w:r>
      <w:r w:rsidRPr="29A3640D" w:rsidR="004703E3">
        <w:rPr>
          <w:rFonts w:ascii="Arial" w:hAnsi="Arial" w:eastAsia="Arial" w:cs="Arial"/>
          <w:lang w:val="en-US"/>
        </w:rPr>
        <w:t>is</w:t>
      </w:r>
      <w:r w:rsidRPr="29A3640D" w:rsidR="004703E3">
        <w:rPr>
          <w:rFonts w:ascii="Arial" w:hAnsi="Arial" w:eastAsia="Arial" w:cs="Arial"/>
          <w:lang w:val="en-US"/>
        </w:rPr>
        <w:t xml:space="preserve"> culture and </w:t>
      </w:r>
      <w:r w:rsidRPr="29A3640D" w:rsidR="004703E3">
        <w:rPr>
          <w:rFonts w:ascii="Arial" w:hAnsi="Arial" w:eastAsia="Arial" w:cs="Arial"/>
          <w:lang w:val="en-US"/>
        </w:rPr>
        <w:t>behaviour</w:t>
      </w:r>
      <w:r w:rsidRPr="29A3640D" w:rsidR="004703E3">
        <w:rPr>
          <w:rFonts w:ascii="Arial" w:hAnsi="Arial" w:eastAsia="Arial" w:cs="Arial"/>
          <w:lang w:val="en-US"/>
        </w:rPr>
        <w:t xml:space="preserve"> as well. Eating habits, salt consumption, traditional food consumption, physical exercise behaviors, alcohol consumption, and smoking are group-specific (Weir</w:t>
      </w:r>
      <w:r w:rsidRPr="29A3640D" w:rsidR="004703E3">
        <w:rPr>
          <w:rFonts w:ascii="Cambria Math" w:hAnsi="Cambria Math" w:eastAsia="Cambria Math" w:cs="Cambria Math"/>
          <w:lang w:val="en-US"/>
        </w:rPr>
        <w:t>‐</w:t>
      </w:r>
      <w:r w:rsidRPr="29A3640D" w:rsidR="004703E3">
        <w:rPr>
          <w:rFonts w:ascii="Arial" w:hAnsi="Arial" w:eastAsia="Arial" w:cs="Arial"/>
          <w:lang w:val="en-US"/>
        </w:rPr>
        <w:t xml:space="preserve">McCall et al., 2023). </w:t>
      </w:r>
    </w:p>
    <w:p w:rsidR="00C70F5D" w:rsidRDefault="004703E3" w14:paraId="23A90BE2" w14:textId="77777777">
      <w:pPr>
        <w:pStyle w:val="Heading1"/>
      </w:pPr>
      <w:bookmarkStart w:name="_7ivtu7mhp18u" w:colFirst="0" w:colLast="0" w:id="13"/>
      <w:bookmarkEnd w:id="13"/>
      <w:r>
        <w:t>Conclusion</w:t>
      </w:r>
    </w:p>
    <w:p w:rsidR="00C70F5D" w:rsidRDefault="004703E3" w14:paraId="2739A004" w14:textId="77777777">
      <w:pPr>
        <w:pStyle w:val="Heading2"/>
      </w:pPr>
      <w:bookmarkStart w:name="_t9pxkj2oz18b" w:colFirst="0" w:colLast="0" w:id="14"/>
      <w:bookmarkEnd w:id="14"/>
      <w:r>
        <w:t>Key messages and priorities</w:t>
      </w:r>
    </w:p>
    <w:p w:rsidR="00C70F5D" w:rsidP="29A3640D" w:rsidRDefault="004703E3" w14:paraId="68BC74CB"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Heart disease is a major cause of death and disability all over the world and a significant burden in the UK. This is most greatly affected among the elderly, in the most underprivileged regions, and in certain ethnic groups. Families and carers will offer </w:t>
      </w:r>
      <w:r w:rsidRPr="29A3640D" w:rsidR="004703E3">
        <w:rPr>
          <w:rFonts w:ascii="Arial" w:hAnsi="Arial" w:eastAsia="Arial" w:cs="Arial"/>
          <w:lang w:val="en-US"/>
        </w:rPr>
        <w:t>huge amounts</w:t>
      </w:r>
      <w:r w:rsidRPr="29A3640D" w:rsidR="004703E3">
        <w:rPr>
          <w:rFonts w:ascii="Arial" w:hAnsi="Arial" w:eastAsia="Arial" w:cs="Arial"/>
          <w:lang w:val="en-US"/>
        </w:rPr>
        <w:t xml:space="preserve"> of unpaid care. </w:t>
      </w:r>
      <w:r w:rsidRPr="29A3640D" w:rsidR="004703E3">
        <w:rPr>
          <w:rFonts w:ascii="Arial" w:hAnsi="Arial" w:eastAsia="Arial" w:cs="Arial"/>
          <w:lang w:val="en-US"/>
        </w:rPr>
        <w:t>NHS</w:t>
      </w:r>
      <w:r w:rsidRPr="29A3640D" w:rsidR="004703E3">
        <w:rPr>
          <w:rFonts w:ascii="Arial" w:hAnsi="Arial" w:eastAsia="Arial" w:cs="Arial"/>
          <w:lang w:val="en-US"/>
        </w:rPr>
        <w:t xml:space="preserve"> is under a lot of stress in respect to primary care, urgent care, specialist procedures, and rehabilitation.</w:t>
      </w:r>
    </w:p>
    <w:p w:rsidR="00C70F5D" w:rsidP="29A3640D" w:rsidRDefault="004703E3" w14:paraId="20D98A8E" w14:textId="77777777">
      <w:pPr>
        <w:spacing w:line="360" w:lineRule="auto"/>
        <w:jc w:val="both"/>
        <w:rPr>
          <w:rFonts w:ascii="Arial" w:hAnsi="Arial" w:eastAsia="Arial" w:cs="Arial"/>
          <w:lang w:val="en-US"/>
        </w:rPr>
      </w:pPr>
      <w:r w:rsidRPr="29A3640D" w:rsidR="004703E3">
        <w:rPr>
          <w:rFonts w:ascii="Arial" w:hAnsi="Arial" w:eastAsia="Arial" w:cs="Arial"/>
          <w:lang w:val="en-US"/>
        </w:rPr>
        <w:t xml:space="preserve">It is controllable and </w:t>
      </w:r>
      <w:r w:rsidRPr="29A3640D" w:rsidR="004703E3">
        <w:rPr>
          <w:rFonts w:ascii="Arial" w:hAnsi="Arial" w:eastAsia="Arial" w:cs="Arial"/>
          <w:lang w:val="en-US"/>
        </w:rPr>
        <w:t>is cost</w:t>
      </w:r>
      <w:r w:rsidRPr="29A3640D" w:rsidR="004703E3">
        <w:rPr>
          <w:rFonts w:ascii="Arial" w:hAnsi="Arial" w:eastAsia="Arial" w:cs="Arial"/>
          <w:lang w:val="en-US"/>
        </w:rPr>
        <w:t xml:space="preserve">-effective. Population measures bring risk to all. Primary care is to be active with case-finding, </w:t>
      </w:r>
      <w:r w:rsidRPr="29A3640D" w:rsidR="004703E3">
        <w:rPr>
          <w:rFonts w:ascii="Arial" w:hAnsi="Arial" w:eastAsia="Arial" w:cs="Arial"/>
          <w:lang w:val="en-US"/>
        </w:rPr>
        <w:t>QRISK3, and</w:t>
      </w:r>
      <w:r w:rsidRPr="29A3640D" w:rsidR="004703E3">
        <w:rPr>
          <w:rFonts w:ascii="Arial" w:hAnsi="Arial" w:eastAsia="Arial" w:cs="Arial"/>
          <w:lang w:val="en-US"/>
        </w:rPr>
        <w:t xml:space="preserve"> blood pressure and lipids </w:t>
      </w:r>
      <w:r w:rsidRPr="29A3640D" w:rsidR="004703E3">
        <w:rPr>
          <w:rFonts w:ascii="Arial" w:hAnsi="Arial" w:eastAsia="Arial" w:cs="Arial"/>
          <w:lang w:val="en-US"/>
        </w:rPr>
        <w:t>optimisation</w:t>
      </w:r>
      <w:r w:rsidRPr="29A3640D" w:rsidR="004703E3">
        <w:rPr>
          <w:rFonts w:ascii="Arial" w:hAnsi="Arial" w:eastAsia="Arial" w:cs="Arial"/>
          <w:lang w:val="en-US"/>
        </w:rPr>
        <w:t xml:space="preserve">. Following acute events, secondary prevention is reliably provided </w:t>
      </w:r>
      <w:r w:rsidRPr="29A3640D" w:rsidR="004703E3">
        <w:rPr>
          <w:rFonts w:ascii="Arial" w:hAnsi="Arial" w:eastAsia="Arial" w:cs="Arial"/>
          <w:lang w:val="en-US"/>
        </w:rPr>
        <w:t>through the use of</w:t>
      </w:r>
      <w:r w:rsidRPr="29A3640D" w:rsidR="004703E3">
        <w:rPr>
          <w:rFonts w:ascii="Arial" w:hAnsi="Arial" w:eastAsia="Arial" w:cs="Arial"/>
          <w:lang w:val="en-US"/>
        </w:rPr>
        <w:t xml:space="preserve"> convenient cardiac rehabilitation and reduces readmissions and enhances quality of life. The management of heart failures demands rapid diagnosis, maximum administration of established medications, device therapy where applicable and close monito</w:t>
      </w:r>
      <w:r w:rsidRPr="29A3640D" w:rsidR="004703E3">
        <w:rPr>
          <w:rFonts w:ascii="Arial" w:hAnsi="Arial" w:eastAsia="Arial" w:cs="Arial"/>
          <w:lang w:val="en-US"/>
        </w:rPr>
        <w:t>ring with titration by the nurse. The aid of digital technology can be handy when non-digital paths are accessible.</w:t>
      </w:r>
    </w:p>
    <w:p w:rsidR="00C70F5D" w:rsidRDefault="00C70F5D" w14:paraId="54A53842" w14:textId="77777777">
      <w:pPr>
        <w:spacing w:line="360" w:lineRule="auto"/>
        <w:jc w:val="both"/>
        <w:rPr>
          <w:rFonts w:ascii="Arial" w:hAnsi="Arial" w:eastAsia="Arial" w:cs="Arial"/>
        </w:rPr>
      </w:pPr>
    </w:p>
    <w:p w:rsidR="00C70F5D" w:rsidRDefault="00C70F5D" w14:paraId="616C318A" w14:textId="77777777">
      <w:pPr>
        <w:spacing w:line="360" w:lineRule="auto"/>
        <w:jc w:val="both"/>
        <w:rPr>
          <w:rFonts w:ascii="Arial" w:hAnsi="Arial" w:eastAsia="Arial" w:cs="Arial"/>
        </w:rPr>
      </w:pPr>
    </w:p>
    <w:p w:rsidR="00C70F5D" w:rsidRDefault="00C70F5D" w14:paraId="0EB554C0" w14:textId="77777777">
      <w:pPr>
        <w:spacing w:line="360" w:lineRule="auto"/>
        <w:jc w:val="both"/>
        <w:rPr>
          <w:rFonts w:ascii="Arial" w:hAnsi="Arial" w:eastAsia="Arial" w:cs="Arial"/>
        </w:rPr>
      </w:pPr>
    </w:p>
    <w:p w:rsidR="00C70F5D" w:rsidRDefault="00C70F5D" w14:paraId="5D810684" w14:textId="77777777">
      <w:pPr>
        <w:rPr>
          <w:rFonts w:ascii="Arial" w:hAnsi="Arial" w:eastAsia="Arial" w:cs="Arial"/>
        </w:rPr>
      </w:pPr>
    </w:p>
    <w:p w:rsidR="00C70F5D" w:rsidRDefault="00C70F5D" w14:paraId="39E3DBB5" w14:textId="77777777">
      <w:pPr>
        <w:rPr>
          <w:rFonts w:ascii="Arial" w:hAnsi="Arial" w:eastAsia="Arial" w:cs="Arial"/>
        </w:rPr>
      </w:pPr>
    </w:p>
    <w:p w:rsidR="00C70F5D" w:rsidRDefault="00C70F5D" w14:paraId="75707BDA" w14:textId="77777777">
      <w:pPr>
        <w:rPr>
          <w:rFonts w:ascii="Arial" w:hAnsi="Arial" w:eastAsia="Arial" w:cs="Arial"/>
        </w:rPr>
      </w:pPr>
    </w:p>
    <w:p w:rsidR="00C70F5D" w:rsidRDefault="00C70F5D" w14:paraId="774C56DF" w14:textId="77777777">
      <w:pPr>
        <w:rPr>
          <w:rFonts w:ascii="Arial" w:hAnsi="Arial" w:eastAsia="Arial" w:cs="Arial"/>
        </w:rPr>
      </w:pPr>
    </w:p>
    <w:p w:rsidR="00C70F5D" w:rsidRDefault="004703E3" w14:paraId="46ADB2CE" w14:textId="77777777">
      <w:pPr>
        <w:spacing w:line="360" w:lineRule="auto"/>
        <w:ind w:left="720" w:hanging="720"/>
        <w:rPr>
          <w:rFonts w:ascii="Arial" w:hAnsi="Arial" w:eastAsia="Arial" w:cs="Arial"/>
          <w:b/>
        </w:rPr>
      </w:pPr>
      <w:r>
        <w:rPr>
          <w:rFonts w:ascii="Arial" w:hAnsi="Arial" w:eastAsia="Arial" w:cs="Arial"/>
          <w:b/>
        </w:rPr>
        <w:t>Reference list</w:t>
      </w:r>
    </w:p>
    <w:p w:rsidR="00C70F5D" w:rsidP="29A3640D" w:rsidRDefault="004703E3" w14:paraId="10B1642D" w14:textId="77777777">
      <w:pPr>
        <w:spacing w:line="360" w:lineRule="auto"/>
        <w:ind w:left="720" w:hanging="720"/>
        <w:rPr>
          <w:rFonts w:ascii="Arial" w:hAnsi="Arial" w:eastAsia="Arial" w:cs="Arial"/>
          <w:lang w:val="en-US"/>
        </w:rPr>
      </w:pPr>
      <w:r w:rsidRPr="29A3640D" w:rsidR="004703E3">
        <w:rPr>
          <w:rFonts w:ascii="Arial" w:hAnsi="Arial" w:eastAsia="Arial" w:cs="Arial"/>
          <w:lang w:val="en-US"/>
        </w:rPr>
        <w:t xml:space="preserve">Cheema, K.M., Dicks, E., Pearson, J. and Samani, N.J. (2022). Long-term Trends in the Epidemiology of Cardiovascular Diseases in the UK: Insights from the British Heart Foundation Statistical Compendium. </w:t>
      </w:r>
      <w:r w:rsidRPr="29A3640D" w:rsidR="004703E3">
        <w:rPr>
          <w:rFonts w:ascii="Arial" w:hAnsi="Arial" w:eastAsia="Arial" w:cs="Arial"/>
          <w:i w:val="1"/>
          <w:iCs w:val="1"/>
          <w:lang w:val="en-US"/>
        </w:rPr>
        <w:t>Cardiovascular Research</w:t>
      </w:r>
      <w:r w:rsidRPr="29A3640D" w:rsidR="004703E3">
        <w:rPr>
          <w:rFonts w:ascii="Arial" w:hAnsi="Arial" w:eastAsia="Arial" w:cs="Arial"/>
          <w:lang w:val="en-US"/>
        </w:rPr>
        <w:t xml:space="preserve">, [online] 118(10). </w:t>
      </w:r>
      <w:r w:rsidRPr="29A3640D" w:rsidR="004703E3">
        <w:rPr>
          <w:rFonts w:ascii="Arial" w:hAnsi="Arial" w:eastAsia="Arial" w:cs="Arial"/>
          <w:lang w:val="en-US"/>
        </w:rPr>
        <w:t>doi:https</w:t>
      </w:r>
      <w:r w:rsidRPr="29A3640D" w:rsidR="004703E3">
        <w:rPr>
          <w:rFonts w:ascii="Arial" w:hAnsi="Arial" w:eastAsia="Arial" w:cs="Arial"/>
          <w:lang w:val="en-US"/>
        </w:rPr>
        <w:t>://doi.org/10.1093/</w:t>
      </w:r>
      <w:r w:rsidRPr="29A3640D" w:rsidR="004703E3">
        <w:rPr>
          <w:rFonts w:ascii="Arial" w:hAnsi="Arial" w:eastAsia="Arial" w:cs="Arial"/>
          <w:lang w:val="en-US"/>
        </w:rPr>
        <w:t>cvr</w:t>
      </w:r>
      <w:r w:rsidRPr="29A3640D" w:rsidR="004703E3">
        <w:rPr>
          <w:rFonts w:ascii="Arial" w:hAnsi="Arial" w:eastAsia="Arial" w:cs="Arial"/>
          <w:lang w:val="en-US"/>
        </w:rPr>
        <w:t>/cvac053.</w:t>
      </w:r>
    </w:p>
    <w:p w:rsidR="00C70F5D" w:rsidP="29A3640D" w:rsidRDefault="004703E3" w14:paraId="005CD5F0" w14:textId="77777777">
      <w:pPr>
        <w:spacing w:line="360" w:lineRule="auto"/>
        <w:ind w:left="720" w:hanging="720"/>
        <w:rPr>
          <w:rFonts w:ascii="Arial" w:hAnsi="Arial" w:eastAsia="Arial" w:cs="Arial"/>
          <w:lang w:val="en-US"/>
        </w:rPr>
      </w:pPr>
      <w:r w:rsidRPr="29A3640D" w:rsidR="004703E3">
        <w:rPr>
          <w:rFonts w:ascii="Arial" w:hAnsi="Arial" w:eastAsia="Arial" w:cs="Arial"/>
          <w:lang w:val="en-US"/>
        </w:rPr>
        <w:t>Dafaalla</w:t>
      </w:r>
      <w:r w:rsidRPr="29A3640D" w:rsidR="004703E3">
        <w:rPr>
          <w:rFonts w:ascii="Arial" w:hAnsi="Arial" w:eastAsia="Arial" w:cs="Arial"/>
          <w:lang w:val="en-US"/>
        </w:rPr>
        <w:t xml:space="preserve">, M., Abramov, D., G.C, H., Ghosh, A.K., Gale, C.P., Zaman, S., Rashid, M. and Mamas, M.A. (2024). Heart Failure Readmission in Patients With ST-Segment Elevation Myocardial Infarction and Active Cancer. </w:t>
      </w:r>
      <w:r w:rsidRPr="29A3640D" w:rsidR="004703E3">
        <w:rPr>
          <w:rFonts w:ascii="Arial" w:hAnsi="Arial" w:eastAsia="Arial" w:cs="Arial"/>
          <w:i w:val="1"/>
          <w:iCs w:val="1"/>
          <w:lang w:val="en-US"/>
        </w:rPr>
        <w:t xml:space="preserve">JACC. </w:t>
      </w:r>
      <w:r w:rsidRPr="29A3640D" w:rsidR="004703E3">
        <w:rPr>
          <w:rFonts w:ascii="Arial" w:hAnsi="Arial" w:eastAsia="Arial" w:cs="Arial"/>
          <w:i w:val="1"/>
          <w:iCs w:val="1"/>
          <w:lang w:val="en-US"/>
        </w:rPr>
        <w:t>CardioOncology</w:t>
      </w:r>
      <w:r w:rsidRPr="29A3640D" w:rsidR="004703E3">
        <w:rPr>
          <w:rFonts w:ascii="Arial" w:hAnsi="Arial" w:eastAsia="Arial" w:cs="Arial"/>
          <w:lang w:val="en-US"/>
        </w:rPr>
        <w:t xml:space="preserve">. </w:t>
      </w:r>
      <w:r w:rsidRPr="29A3640D" w:rsidR="004703E3">
        <w:rPr>
          <w:rFonts w:ascii="Arial" w:hAnsi="Arial" w:eastAsia="Arial" w:cs="Arial"/>
          <w:lang w:val="en-US"/>
        </w:rPr>
        <w:t>doi:https</w:t>
      </w:r>
      <w:r w:rsidRPr="29A3640D" w:rsidR="004703E3">
        <w:rPr>
          <w:rFonts w:ascii="Arial" w:hAnsi="Arial" w:eastAsia="Arial" w:cs="Arial"/>
          <w:lang w:val="en-US"/>
        </w:rPr>
        <w:t>://doi.org/10.1016/j.jaccao.2023.10.011.</w:t>
      </w:r>
    </w:p>
    <w:p w:rsidR="00C70F5D" w:rsidP="29A3640D" w:rsidRDefault="004703E3" w14:paraId="04880586" w14:textId="77777777">
      <w:pPr>
        <w:spacing w:line="360" w:lineRule="auto"/>
        <w:ind w:left="720" w:hanging="720"/>
        <w:rPr>
          <w:rFonts w:ascii="Arial" w:hAnsi="Arial" w:eastAsia="Arial" w:cs="Arial"/>
          <w:lang w:val="en-US"/>
        </w:rPr>
      </w:pPr>
      <w:r w:rsidRPr="29A3640D" w:rsidR="004703E3">
        <w:rPr>
          <w:rFonts w:ascii="Arial" w:hAnsi="Arial" w:eastAsia="Arial" w:cs="Arial"/>
          <w:lang w:val="en-US"/>
        </w:rPr>
        <w:t xml:space="preserve">Powell-Wiley, T.M., </w:t>
      </w:r>
      <w:r w:rsidRPr="29A3640D" w:rsidR="004703E3">
        <w:rPr>
          <w:rFonts w:ascii="Arial" w:hAnsi="Arial" w:eastAsia="Arial" w:cs="Arial"/>
          <w:lang w:val="en-US"/>
        </w:rPr>
        <w:t>Baumer</w:t>
      </w:r>
      <w:r w:rsidRPr="29A3640D" w:rsidR="004703E3">
        <w:rPr>
          <w:rFonts w:ascii="Arial" w:hAnsi="Arial" w:eastAsia="Arial" w:cs="Arial"/>
          <w:lang w:val="en-US"/>
        </w:rPr>
        <w:t xml:space="preserve">, Y., Baah, F.O., Baez, A.S., Farmer, N., Mahlobo, C.T., Pita, M.A., </w:t>
      </w:r>
      <w:r w:rsidRPr="29A3640D" w:rsidR="004703E3">
        <w:rPr>
          <w:rFonts w:ascii="Arial" w:hAnsi="Arial" w:eastAsia="Arial" w:cs="Arial"/>
          <w:lang w:val="en-US"/>
        </w:rPr>
        <w:t>Potharaju</w:t>
      </w:r>
      <w:r w:rsidRPr="29A3640D" w:rsidR="004703E3">
        <w:rPr>
          <w:rFonts w:ascii="Arial" w:hAnsi="Arial" w:eastAsia="Arial" w:cs="Arial"/>
          <w:lang w:val="en-US"/>
        </w:rPr>
        <w:t xml:space="preserve">, K.A., Tamura, </w:t>
      </w:r>
      <w:r w:rsidRPr="29A3640D" w:rsidR="004703E3">
        <w:rPr>
          <w:rFonts w:ascii="Arial" w:hAnsi="Arial" w:eastAsia="Arial" w:cs="Arial"/>
          <w:lang w:val="en-US"/>
        </w:rPr>
        <w:t>K.</w:t>
      </w:r>
      <w:r w:rsidRPr="29A3640D" w:rsidR="004703E3">
        <w:rPr>
          <w:rFonts w:ascii="Arial" w:hAnsi="Arial" w:eastAsia="Arial" w:cs="Arial"/>
          <w:lang w:val="en-US"/>
        </w:rPr>
        <w:t xml:space="preserve"> and Wallen, G.R. (2022). Social Determinants of Cardiovascular Disease. </w:t>
      </w:r>
      <w:r w:rsidRPr="29A3640D" w:rsidR="004703E3">
        <w:rPr>
          <w:rFonts w:ascii="Arial" w:hAnsi="Arial" w:eastAsia="Arial" w:cs="Arial"/>
          <w:i w:val="1"/>
          <w:iCs w:val="1"/>
          <w:lang w:val="en-US"/>
        </w:rPr>
        <w:t>Circulation Research</w:t>
      </w:r>
      <w:r w:rsidRPr="29A3640D" w:rsidR="004703E3">
        <w:rPr>
          <w:rFonts w:ascii="Arial" w:hAnsi="Arial" w:eastAsia="Arial" w:cs="Arial"/>
          <w:lang w:val="en-US"/>
        </w:rPr>
        <w:t xml:space="preserve">, [online] 130(5), pp.782–799. </w:t>
      </w:r>
      <w:r w:rsidRPr="29A3640D" w:rsidR="004703E3">
        <w:rPr>
          <w:rFonts w:ascii="Arial" w:hAnsi="Arial" w:eastAsia="Arial" w:cs="Arial"/>
          <w:lang w:val="en-US"/>
        </w:rPr>
        <w:t>doi:https</w:t>
      </w:r>
      <w:r w:rsidRPr="29A3640D" w:rsidR="004703E3">
        <w:rPr>
          <w:rFonts w:ascii="Arial" w:hAnsi="Arial" w:eastAsia="Arial" w:cs="Arial"/>
          <w:lang w:val="en-US"/>
        </w:rPr>
        <w:t>://doi.org/10.1161/circresaha.121.319811.</w:t>
      </w:r>
    </w:p>
    <w:p w:rsidR="00C70F5D" w:rsidP="29A3640D" w:rsidRDefault="004703E3" w14:paraId="71489508" w14:textId="77777777">
      <w:pPr>
        <w:spacing w:line="360" w:lineRule="auto"/>
        <w:ind w:left="720" w:hanging="720"/>
        <w:rPr>
          <w:rFonts w:ascii="Arial" w:hAnsi="Arial" w:eastAsia="Arial" w:cs="Arial"/>
          <w:lang w:val="en-US"/>
        </w:rPr>
      </w:pPr>
      <w:r w:rsidRPr="29A3640D" w:rsidR="004703E3">
        <w:rPr>
          <w:rFonts w:ascii="Arial" w:hAnsi="Arial" w:eastAsia="Arial" w:cs="Arial"/>
          <w:lang w:val="en-US"/>
        </w:rPr>
        <w:t xml:space="preserve">Shields, G.E., Rowlandson, A., Dalal, G., Nickerson, S., Cranmer, H., Capobianco, </w:t>
      </w:r>
      <w:r w:rsidRPr="29A3640D" w:rsidR="004703E3">
        <w:rPr>
          <w:rFonts w:ascii="Arial" w:hAnsi="Arial" w:eastAsia="Arial" w:cs="Arial"/>
          <w:lang w:val="en-US"/>
        </w:rPr>
        <w:t>L.</w:t>
      </w:r>
      <w:r w:rsidRPr="29A3640D" w:rsidR="004703E3">
        <w:rPr>
          <w:rFonts w:ascii="Arial" w:hAnsi="Arial" w:eastAsia="Arial" w:cs="Arial"/>
          <w:lang w:val="en-US"/>
        </w:rPr>
        <w:t xml:space="preserve"> and Doherty, P. (2023). Cost-effectiveness of home-based cardiac rehabilitation: a systematic review. </w:t>
      </w:r>
      <w:r w:rsidRPr="29A3640D" w:rsidR="004703E3">
        <w:rPr>
          <w:rFonts w:ascii="Arial" w:hAnsi="Arial" w:eastAsia="Arial" w:cs="Arial"/>
          <w:i w:val="1"/>
          <w:iCs w:val="1"/>
          <w:lang w:val="en-US"/>
        </w:rPr>
        <w:t>Heart</w:t>
      </w:r>
      <w:r w:rsidRPr="29A3640D" w:rsidR="004703E3">
        <w:rPr>
          <w:rFonts w:ascii="Arial" w:hAnsi="Arial" w:eastAsia="Arial" w:cs="Arial"/>
          <w:lang w:val="en-US"/>
        </w:rPr>
        <w:t xml:space="preserve">, 109(12), </w:t>
      </w:r>
      <w:r w:rsidRPr="29A3640D" w:rsidR="004703E3">
        <w:rPr>
          <w:rFonts w:ascii="Arial" w:hAnsi="Arial" w:eastAsia="Arial" w:cs="Arial"/>
          <w:lang w:val="en-US"/>
        </w:rPr>
        <w:t>p.heartjnl</w:t>
      </w:r>
      <w:r w:rsidRPr="29A3640D" w:rsidR="004703E3">
        <w:rPr>
          <w:rFonts w:ascii="Arial" w:hAnsi="Arial" w:eastAsia="Arial" w:cs="Arial"/>
          <w:lang w:val="en-US"/>
        </w:rPr>
        <w:t xml:space="preserve">-2021-320459. </w:t>
      </w:r>
      <w:r w:rsidRPr="29A3640D" w:rsidR="004703E3">
        <w:rPr>
          <w:rFonts w:ascii="Arial" w:hAnsi="Arial" w:eastAsia="Arial" w:cs="Arial"/>
          <w:lang w:val="en-US"/>
        </w:rPr>
        <w:t>doi:https</w:t>
      </w:r>
      <w:r w:rsidRPr="29A3640D" w:rsidR="004703E3">
        <w:rPr>
          <w:rFonts w:ascii="Arial" w:hAnsi="Arial" w:eastAsia="Arial" w:cs="Arial"/>
          <w:lang w:val="en-US"/>
        </w:rPr>
        <w:t>://doi.org/10.1136/heartjnl-2021-320459.</w:t>
      </w:r>
    </w:p>
    <w:p w:rsidR="00C70F5D" w:rsidP="29A3640D" w:rsidRDefault="004703E3" w14:paraId="088A5AB1" w14:textId="77777777">
      <w:pPr>
        <w:spacing w:line="360" w:lineRule="auto"/>
        <w:ind w:left="720" w:hanging="720"/>
        <w:rPr>
          <w:rFonts w:ascii="Arial" w:hAnsi="Arial" w:eastAsia="Arial" w:cs="Arial"/>
          <w:lang w:val="en-US"/>
        </w:rPr>
      </w:pPr>
      <w:r w:rsidRPr="29A3640D" w:rsidR="004703E3">
        <w:rPr>
          <w:rFonts w:ascii="Arial" w:hAnsi="Arial" w:eastAsia="Arial" w:cs="Arial"/>
          <w:lang w:val="en-US"/>
        </w:rPr>
        <w:t xml:space="preserve">Sundaram, V., NAGAI, T., CHIANG, C.-E., REDDY, Y.N.V., CHAO, T.-F., ZAKERI, R., BLOOM, C., NAKAI, M., NISHIMURA, K., HUNG, C.-L., MIYAMOTO, Y., YASUDA, S., BANERJEE, A., ANZAI, T., SIMON, D.I., RAJAGOPALAN, S., CLELAND, J.G.F., JAYAKUMAR SAHADEVAN and QUINT, J.K. (2021). Hospitalization for Heart Failure in the United States, UK, Taiwan, and Japan: An International Comparison of Administrative Health Records on 413,385 Individual Patients. </w:t>
      </w:r>
      <w:r w:rsidRPr="29A3640D" w:rsidR="004703E3">
        <w:rPr>
          <w:rFonts w:ascii="Arial" w:hAnsi="Arial" w:eastAsia="Arial" w:cs="Arial"/>
          <w:i w:val="1"/>
          <w:iCs w:val="1"/>
          <w:lang w:val="en-US"/>
        </w:rPr>
        <w:t>Journal of Cardiac Failure</w:t>
      </w:r>
      <w:r w:rsidRPr="29A3640D" w:rsidR="004703E3">
        <w:rPr>
          <w:rFonts w:ascii="Arial" w:hAnsi="Arial" w:eastAsia="Arial" w:cs="Arial"/>
          <w:lang w:val="en-US"/>
        </w:rPr>
        <w:t>, 28(3), pp</w:t>
      </w:r>
      <w:r w:rsidRPr="29A3640D" w:rsidR="004703E3">
        <w:rPr>
          <w:rFonts w:ascii="Arial" w:hAnsi="Arial" w:eastAsia="Arial" w:cs="Arial"/>
          <w:lang w:val="en-US"/>
        </w:rPr>
        <w:t>.353</w:t>
      </w:r>
      <w:r w:rsidRPr="29A3640D" w:rsidR="004703E3">
        <w:rPr>
          <w:rFonts w:ascii="Arial" w:hAnsi="Arial" w:eastAsia="Arial" w:cs="Arial"/>
          <w:lang w:val="en-US"/>
        </w:rPr>
        <w:t xml:space="preserve">–366. </w:t>
      </w:r>
      <w:r w:rsidRPr="29A3640D" w:rsidR="004703E3">
        <w:rPr>
          <w:rFonts w:ascii="Arial" w:hAnsi="Arial" w:eastAsia="Arial" w:cs="Arial"/>
          <w:lang w:val="en-US"/>
        </w:rPr>
        <w:t>doi:https</w:t>
      </w:r>
      <w:r w:rsidRPr="29A3640D" w:rsidR="004703E3">
        <w:rPr>
          <w:rFonts w:ascii="Arial" w:hAnsi="Arial" w:eastAsia="Arial" w:cs="Arial"/>
          <w:lang w:val="en-US"/>
        </w:rPr>
        <w:t>://doi.org/10.1016/j.cardfail.2021.08.024.</w:t>
      </w:r>
    </w:p>
    <w:p w:rsidR="00C70F5D" w:rsidP="29A3640D" w:rsidRDefault="004703E3" w14:paraId="3EC5F285" w14:textId="77777777">
      <w:pPr>
        <w:spacing w:line="360" w:lineRule="auto"/>
        <w:ind w:left="720" w:hanging="720"/>
        <w:rPr>
          <w:rFonts w:ascii="Arial" w:hAnsi="Arial" w:eastAsia="Arial" w:cs="Arial"/>
          <w:lang w:val="en-US"/>
        </w:rPr>
      </w:pPr>
      <w:r w:rsidRPr="29A3640D" w:rsidR="004703E3">
        <w:rPr>
          <w:rFonts w:ascii="Arial" w:hAnsi="Arial" w:eastAsia="Arial" w:cs="Arial"/>
          <w:lang w:val="en-US"/>
        </w:rPr>
        <w:t>Taylor, R.S., Dalal, H.M.</w:t>
      </w:r>
      <w:r w:rsidRPr="29A3640D" w:rsidR="004703E3">
        <w:rPr>
          <w:rFonts w:ascii="Arial" w:hAnsi="Arial" w:eastAsia="Arial" w:cs="Arial"/>
          <w:lang w:val="en-US"/>
        </w:rPr>
        <w:t xml:space="preserve"> and</w:t>
      </w:r>
      <w:r w:rsidRPr="29A3640D" w:rsidR="004703E3">
        <w:rPr>
          <w:rFonts w:ascii="Arial" w:hAnsi="Arial" w:eastAsia="Arial" w:cs="Arial"/>
          <w:lang w:val="en-US"/>
        </w:rPr>
        <w:t xml:space="preserve"> McDonagh, S.T.J. (2021). The role of cardiac rehabilitation in improving cardiovascular outcomes</w:t>
      </w:r>
      <w:r w:rsidRPr="29A3640D" w:rsidR="004703E3">
        <w:rPr>
          <w:rFonts w:ascii="Arial" w:hAnsi="Arial" w:eastAsia="Arial" w:cs="Arial"/>
          <w:lang w:val="en-US"/>
        </w:rPr>
        <w:t>.</w:t>
      </w:r>
      <w:r w:rsidRPr="29A3640D" w:rsidR="004703E3">
        <w:rPr>
          <w:rFonts w:ascii="Arial" w:hAnsi="Arial" w:eastAsia="Arial" w:cs="Arial"/>
          <w:lang w:val="en-US"/>
        </w:rPr>
        <w:t xml:space="preserve"> </w:t>
      </w:r>
      <w:r w:rsidRPr="29A3640D" w:rsidR="004703E3">
        <w:rPr>
          <w:rFonts w:ascii="Arial" w:hAnsi="Arial" w:eastAsia="Arial" w:cs="Arial"/>
          <w:i w:val="1"/>
          <w:iCs w:val="1"/>
          <w:lang w:val="en-US"/>
        </w:rPr>
        <w:t>Nature Reviews Cardiology</w:t>
      </w:r>
      <w:r w:rsidRPr="29A3640D" w:rsidR="004703E3">
        <w:rPr>
          <w:rFonts w:ascii="Arial" w:hAnsi="Arial" w:eastAsia="Arial" w:cs="Arial"/>
          <w:lang w:val="en-US"/>
        </w:rPr>
        <w:t>, 19(3), pp</w:t>
      </w:r>
      <w:r w:rsidRPr="29A3640D" w:rsidR="004703E3">
        <w:rPr>
          <w:rFonts w:ascii="Arial" w:hAnsi="Arial" w:eastAsia="Arial" w:cs="Arial"/>
          <w:lang w:val="en-US"/>
        </w:rPr>
        <w:t>.1</w:t>
      </w:r>
      <w:r w:rsidRPr="29A3640D" w:rsidR="004703E3">
        <w:rPr>
          <w:rFonts w:ascii="Arial" w:hAnsi="Arial" w:eastAsia="Arial" w:cs="Arial"/>
          <w:lang w:val="en-US"/>
        </w:rPr>
        <w:t>–15.</w:t>
      </w:r>
    </w:p>
    <w:p w:rsidR="00C70F5D" w:rsidP="29A3640D" w:rsidRDefault="004703E3" w14:paraId="4AF5B753" w14:textId="77777777">
      <w:pPr>
        <w:spacing w:line="360" w:lineRule="auto"/>
        <w:ind w:left="720" w:hanging="720"/>
        <w:rPr>
          <w:rFonts w:ascii="Arial" w:hAnsi="Arial" w:eastAsia="Arial" w:cs="Arial"/>
          <w:lang w:val="en-US"/>
        </w:rPr>
      </w:pPr>
      <w:r w:rsidRPr="29A3640D" w:rsidR="004703E3">
        <w:rPr>
          <w:rFonts w:ascii="Arial" w:hAnsi="Arial" w:eastAsia="Arial" w:cs="Arial"/>
          <w:lang w:val="en-US"/>
        </w:rPr>
        <w:t>Weir</w:t>
      </w:r>
      <w:r w:rsidRPr="29A3640D" w:rsidR="004703E3">
        <w:rPr>
          <w:rFonts w:ascii="Cambria Math" w:hAnsi="Cambria Math" w:eastAsia="Cambria Math" w:cs="Cambria Math"/>
          <w:lang w:val="en-US"/>
        </w:rPr>
        <w:t>‐</w:t>
      </w:r>
      <w:r w:rsidRPr="29A3640D" w:rsidR="004703E3">
        <w:rPr>
          <w:rFonts w:ascii="Arial" w:hAnsi="Arial" w:eastAsia="Arial" w:cs="Arial"/>
          <w:lang w:val="en-US"/>
        </w:rPr>
        <w:t xml:space="preserve">McCall, J.R., Williams, M.C., Shah, A., Giles </w:t>
      </w:r>
      <w:r w:rsidRPr="29A3640D" w:rsidR="004703E3">
        <w:rPr>
          <w:rFonts w:ascii="Arial" w:hAnsi="Arial" w:eastAsia="Arial" w:cs="Arial"/>
          <w:lang w:val="en-US"/>
        </w:rPr>
        <w:t>Roditi</w:t>
      </w:r>
      <w:r w:rsidRPr="29A3640D" w:rsidR="004703E3">
        <w:rPr>
          <w:rFonts w:ascii="Arial" w:hAnsi="Arial" w:eastAsia="Arial" w:cs="Arial"/>
          <w:lang w:val="en-US"/>
        </w:rPr>
        <w:t xml:space="preserve">, James H.F. Rudd, Newby, D.E. and Nicol, E. (2023). National Trends in Coronary Artery Disease Imaging. </w:t>
      </w:r>
      <w:r w:rsidRPr="29A3640D" w:rsidR="004703E3">
        <w:rPr>
          <w:rFonts w:ascii="Arial" w:hAnsi="Arial" w:eastAsia="Arial" w:cs="Arial"/>
          <w:i w:val="1"/>
          <w:iCs w:val="1"/>
          <w:lang w:val="en-US"/>
        </w:rPr>
        <w:t>JACC: Cardiovascular Imaging</w:t>
      </w:r>
      <w:r w:rsidRPr="29A3640D" w:rsidR="004703E3">
        <w:rPr>
          <w:rFonts w:ascii="Arial" w:hAnsi="Arial" w:eastAsia="Arial" w:cs="Arial"/>
          <w:lang w:val="en-US"/>
        </w:rPr>
        <w:t>, 16(5), pp</w:t>
      </w:r>
      <w:r w:rsidRPr="29A3640D" w:rsidR="004703E3">
        <w:rPr>
          <w:rFonts w:ascii="Arial" w:hAnsi="Arial" w:eastAsia="Arial" w:cs="Arial"/>
          <w:lang w:val="en-US"/>
        </w:rPr>
        <w:t>.659</w:t>
      </w:r>
      <w:r w:rsidRPr="29A3640D" w:rsidR="004703E3">
        <w:rPr>
          <w:rFonts w:ascii="Arial" w:hAnsi="Arial" w:eastAsia="Arial" w:cs="Arial"/>
          <w:lang w:val="en-US"/>
        </w:rPr>
        <w:t xml:space="preserve">–671. </w:t>
      </w:r>
      <w:r w:rsidRPr="29A3640D" w:rsidR="004703E3">
        <w:rPr>
          <w:rFonts w:ascii="Arial" w:hAnsi="Arial" w:eastAsia="Arial" w:cs="Arial"/>
          <w:lang w:val="en-US"/>
        </w:rPr>
        <w:t>doi:https</w:t>
      </w:r>
      <w:r w:rsidRPr="29A3640D" w:rsidR="004703E3">
        <w:rPr>
          <w:rFonts w:ascii="Arial" w:hAnsi="Arial" w:eastAsia="Arial" w:cs="Arial"/>
          <w:lang w:val="en-US"/>
        </w:rPr>
        <w:t>://doi.org/10.1016/j.jcmg.2022.10.022.</w:t>
      </w:r>
    </w:p>
    <w:p w:rsidR="00C70F5D" w:rsidRDefault="00C70F5D" w14:paraId="4F86D147" w14:textId="77777777">
      <w:pPr>
        <w:spacing w:line="360" w:lineRule="auto"/>
        <w:ind w:left="720" w:hanging="720"/>
        <w:rPr>
          <w:rFonts w:ascii="Arial" w:hAnsi="Arial" w:eastAsia="Arial" w:cs="Arial"/>
        </w:rPr>
      </w:pPr>
    </w:p>
    <w:sectPr w:rsidR="00C70F5D">
      <w:footerReference w:type="default" r:id="rId7"/>
      <w:pgSz w:w="12240" w:h="15840" w:orient="portrait"/>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703E3" w:rsidRDefault="004703E3" w14:paraId="09040065" w14:textId="77777777">
      <w:pPr>
        <w:spacing w:after="0" w:line="240" w:lineRule="auto"/>
      </w:pPr>
      <w:r>
        <w:separator/>
      </w:r>
    </w:p>
  </w:endnote>
  <w:endnote w:type="continuationSeparator" w:id="0">
    <w:p w:rsidR="004703E3" w:rsidRDefault="004703E3" w14:paraId="21485C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Math">
    <w:panose1 w:val="02040503050406030204"/>
    <w:charset w:val="00"/>
    <w:family w:val="roman"/>
    <w:pitch w:val="variable"/>
    <w:sig w:usb0="E00006FF" w:usb1="420024FF" w:usb2="02000000" w:usb3="00000000" w:csb0="0000019F" w:csb1="00000000"/>
    <w:embedRegular w:fontKey="{E085FF18-74A3-7441-943F-0C2BBA06A7AA}" r:id="rId1"/>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70F5D" w:rsidRDefault="004703E3" w14:paraId="4767FC07" w14:textId="77777777">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rsidR="00C70F5D" w:rsidRDefault="00C70F5D" w14:paraId="7B3C6198" w14:textId="7777777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703E3" w:rsidRDefault="004703E3" w14:paraId="2E5A8DC1" w14:textId="77777777">
      <w:pPr>
        <w:spacing w:after="0" w:line="240" w:lineRule="auto"/>
      </w:pPr>
      <w:r>
        <w:separator/>
      </w:r>
    </w:p>
  </w:footnote>
  <w:footnote w:type="continuationSeparator" w:id="0">
    <w:p w:rsidR="004703E3" w:rsidRDefault="004703E3" w14:paraId="1A0ADF26"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embedTrueTypeFonts/>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0F5D"/>
    <w:rsid w:val="003F5E42"/>
    <w:rsid w:val="004703E3"/>
    <w:rsid w:val="00C70F5D"/>
    <w:rsid w:val="05D06971"/>
    <w:rsid w:val="0F9B1D99"/>
    <w:rsid w:val="11F2AF1A"/>
    <w:rsid w:val="2693AD98"/>
    <w:rsid w:val="29A3640D"/>
    <w:rsid w:val="4DD31F8D"/>
    <w:rsid w:val="55B024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3F90999"/>
  <w15:docId w15:val="{CCF6C7A9-6B8B-1643-BCF2-86F86A9CB2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line="360" w:lineRule="auto"/>
      <w:outlineLvl w:val="0"/>
    </w:pPr>
    <w:rPr>
      <w:rFonts w:ascii="Arial" w:hAnsi="Arial" w:eastAsia="Arial" w:cs="Arial"/>
      <w:b/>
    </w:rPr>
  </w:style>
  <w:style w:type="paragraph" w:styleId="Heading2">
    <w:name w:val="heading 2"/>
    <w:basedOn w:val="Normal"/>
    <w:next w:val="Normal"/>
    <w:uiPriority w:val="9"/>
    <w:unhideWhenUsed/>
    <w:qFormat/>
    <w:pPr>
      <w:keepNext/>
      <w:keepLines/>
      <w:spacing w:before="40" w:after="0" w:line="360" w:lineRule="auto"/>
      <w:outlineLvl w:val="1"/>
    </w:pPr>
    <w:rPr>
      <w:rFonts w:ascii="Arial" w:hAnsi="Arial" w:eastAsia="Arial" w:cs="Arial"/>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jpg"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s>
</file>

<file path=word/_rels/fontTable.xml.rels><?xml version="1.0" encoding="UTF-8" standalone="yes"?>
<Relationships xmlns="http://schemas.openxmlformats.org/package/2006/relationships"><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nasreen akhtar ahmed</dc:creator>
  <lastModifiedBy>Nasreen Ahmed (2428725)</lastModifiedBy>
  <revision>3</revision>
  <dcterms:created xsi:type="dcterms:W3CDTF">2025-10-06T05:59:00.0000000Z</dcterms:created>
  <dcterms:modified xsi:type="dcterms:W3CDTF">2025-11-06T09:36:45.5792315Z</dcterms:modified>
</coreProperties>
</file>