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30344892"/>
        <w:docPartObj>
          <w:docPartGallery w:val="Cover Pages"/>
          <w:docPartUnique/>
        </w:docPartObj>
      </w:sdtPr>
      <w:sdtContent>
        <w:p w14:paraId="40B186AC" w14:textId="07FD0496" w:rsidR="0008687D" w:rsidRDefault="0008687D">
          <w:r>
            <w:rPr>
              <w:noProof/>
            </w:rPr>
            <mc:AlternateContent>
              <mc:Choice Requires="wpg">
                <w:drawing>
                  <wp:anchor distT="0" distB="0" distL="114300" distR="114300" simplePos="0" relativeHeight="251659264" behindDoc="1" locked="0" layoutInCell="1" allowOverlap="1" wp14:anchorId="077F8B5B" wp14:editId="51577DF8">
                    <wp:simplePos x="0" y="0"/>
                    <wp:positionH relativeFrom="margin">
                      <wp:posOffset>-412376</wp:posOffset>
                    </wp:positionH>
                    <wp:positionV relativeFrom="page">
                      <wp:posOffset>770964</wp:posOffset>
                    </wp:positionV>
                    <wp:extent cx="6853302" cy="9484360"/>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3302" cy="9484360"/>
                              <a:chOff x="29079" y="219349"/>
                              <a:chExt cx="5557520" cy="7252042"/>
                            </a:xfrm>
                          </wpg:grpSpPr>
                          <wps:wsp>
                            <wps:cNvPr id="126" name="Freeform 10"/>
                            <wps:cNvSpPr>
                              <a:spLocks/>
                            </wps:cNvSpPr>
                            <wps:spPr bwMode="auto">
                              <a:xfrm>
                                <a:off x="29079" y="219349"/>
                                <a:ext cx="5557520" cy="7252042"/>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9A5F68E" w14:textId="179AE183" w:rsidR="0008687D" w:rsidRPr="0008687D" w:rsidRDefault="00000000" w:rsidP="0008687D">
                                  <w:pPr>
                                    <w:jc w:val="center"/>
                                    <w:rPr>
                                      <w:rFonts w:ascii="Arial Black" w:hAnsi="Arial Black"/>
                                      <w:b/>
                                      <w:bCs/>
                                      <w:sz w:val="96"/>
                                      <w:szCs w:val="96"/>
                                      <w:u w:val="single"/>
                                    </w:rPr>
                                  </w:pPr>
                                  <w:sdt>
                                    <w:sdtPr>
                                      <w:rPr>
                                        <w:rFonts w:ascii="Arial Black" w:hAnsi="Arial Black"/>
                                        <w:b/>
                                        <w:bCs/>
                                        <w:sz w:val="96"/>
                                        <w:szCs w:val="96"/>
                                        <w:u w:val="single"/>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08687D">
                                        <w:rPr>
                                          <w:rFonts w:ascii="Arial Black" w:hAnsi="Arial Black"/>
                                          <w:b/>
                                          <w:bCs/>
                                          <w:sz w:val="96"/>
                                          <w:szCs w:val="96"/>
                                          <w:u w:val="single"/>
                                        </w:rPr>
                                        <w:t xml:space="preserve">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077F8B5B" id="Group 125" o:spid="_x0000_s1026" style="position:absolute;margin-left:-32.45pt;margin-top:60.7pt;width:539.65pt;height:746.8pt;z-index:-251657216;mso-width-percent:1154;mso-position-horizontal-relative:margin;mso-position-vertical-relative:page;mso-width-percent:1154;mso-width-relative:margin" coordorigin="290,2193" coordsize="55575,7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">
                    <o:lock v:ext="edit" aspectratio="t"/>
                    <v:shape id="Freeform 10" o:spid="_x0000_s1027" style="position:absolute;left:290;top:2193;width:55575;height:72520;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" adj="-11796480,,5400" path="m,c,644,,644,,644v23,6,62,14,113,21c250,685,476,700,720,644v,-27,,-27,,-27c720,,720,,720,,,,,,,e" stroked="f">
                      <v:fill r:id="rId7" o:title="" recolor="t" rotate="t" type="frame"/>
                      <v:stroke joinstyle="miter"/>
                      <v:imagedata recolortarget="#2b2341 [2370]"/>
                      <v:formulas/>
                      <v:path arrowok="t" o:connecttype="custom" o:connectlocs="0,0;0,6671879;872222,6889440;5557520,6671879;5557520,6392157;5557520,0;0,0" o:connectangles="0,0,0,0,0,0,0" textboxrect="0,0,720,700"/>
                      <v:textbox inset="1in,86.4pt,86.4pt,86.4pt">
                        <w:txbxContent>
                          <w:p w14:paraId="69A5F68E" w14:textId="179AE183" w:rsidR="0008687D" w:rsidRPr="0008687D" w:rsidRDefault="00000000" w:rsidP="0008687D">
                            <w:pPr>
                              <w:jc w:val="center"/>
                              <w:rPr>
                                <w:rFonts w:ascii="Arial Black" w:hAnsi="Arial Black"/>
                                <w:b/>
                                <w:bCs/>
                                <w:sz w:val="96"/>
                                <w:szCs w:val="96"/>
                                <w:u w:val="single"/>
                              </w:rPr>
                            </w:pPr>
                            <w:sdt>
                              <w:sdtPr>
                                <w:rPr>
                                  <w:rFonts w:ascii="Arial Black" w:hAnsi="Arial Black"/>
                                  <w:b/>
                                  <w:bCs/>
                                  <w:sz w:val="96"/>
                                  <w:szCs w:val="96"/>
                                  <w:u w:val="single"/>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0008687D">
                                  <w:rPr>
                                    <w:rFonts w:ascii="Arial Black" w:hAnsi="Arial Black"/>
                                    <w:b/>
                                    <w:bCs/>
                                    <w:sz w:val="96"/>
                                    <w:szCs w:val="96"/>
                                    <w:u w:val="single"/>
                                  </w:rPr>
                                  <w:t xml:space="preserve">     </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5205CDF4" w14:textId="673711B6" w:rsidR="0008687D" w:rsidRDefault="0045159A">
          <w:r>
            <w:rPr>
              <w:noProof/>
            </w:rPr>
            <mc:AlternateContent>
              <mc:Choice Requires="wps">
                <w:drawing>
                  <wp:anchor distT="0" distB="0" distL="114300" distR="114300" simplePos="0" relativeHeight="251661312" behindDoc="0" locked="0" layoutInCell="1" allowOverlap="1" wp14:anchorId="41B96195" wp14:editId="44A56114">
                    <wp:simplePos x="0" y="0"/>
                    <wp:positionH relativeFrom="column">
                      <wp:posOffset>-130175</wp:posOffset>
                    </wp:positionH>
                    <wp:positionV relativeFrom="paragraph">
                      <wp:posOffset>5523790</wp:posOffset>
                    </wp:positionV>
                    <wp:extent cx="4500283" cy="2207172"/>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4500283" cy="2207172"/>
                            </a:xfrm>
                            <a:prstGeom prst="rect">
                              <a:avLst/>
                            </a:prstGeom>
                            <a:noFill/>
                            <a:ln w="6350">
                              <a:noFill/>
                            </a:ln>
                          </wps:spPr>
                          <wps:txbx>
                            <w:txbxContent>
                              <w:p w14:paraId="5211DE14" w14:textId="09851AD5" w:rsidR="0008687D" w:rsidRPr="0045159A" w:rsidRDefault="0008687D">
                                <w:pPr>
                                  <w:rPr>
                                    <w:rFonts w:ascii="Arial Black" w:hAnsi="Arial Black"/>
                                    <w:sz w:val="52"/>
                                    <w:szCs w:val="52"/>
                                  </w:rPr>
                                </w:pPr>
                                <w:r w:rsidRPr="0045159A">
                                  <w:rPr>
                                    <w:rFonts w:ascii="Arial Black" w:hAnsi="Arial Black"/>
                                    <w:sz w:val="52"/>
                                    <w:szCs w:val="52"/>
                                  </w:rPr>
                                  <w:t>Lara Davies</w:t>
                                </w:r>
                              </w:p>
                              <w:p w14:paraId="52630AC9" w14:textId="5A68D2BE" w:rsidR="0008687D" w:rsidRPr="0045159A" w:rsidRDefault="0008687D">
                                <w:pPr>
                                  <w:rPr>
                                    <w:rFonts w:ascii="Arial Black" w:hAnsi="Arial Black"/>
                                    <w:sz w:val="52"/>
                                    <w:szCs w:val="52"/>
                                  </w:rPr>
                                </w:pPr>
                                <w:r w:rsidRPr="0045159A">
                                  <w:rPr>
                                    <w:rFonts w:ascii="Arial Black" w:hAnsi="Arial Black"/>
                                    <w:sz w:val="52"/>
                                    <w:szCs w:val="52"/>
                                  </w:rPr>
                                  <w:t>Student ID- 2204824</w:t>
                                </w:r>
                              </w:p>
                              <w:p w14:paraId="0269B9CA" w14:textId="625BA6AA" w:rsidR="0008687D" w:rsidRPr="0045159A" w:rsidRDefault="0008687D">
                                <w:pPr>
                                  <w:rPr>
                                    <w:rFonts w:ascii="Arial Black" w:hAnsi="Arial Black"/>
                                    <w:sz w:val="52"/>
                                    <w:szCs w:val="52"/>
                                  </w:rPr>
                                </w:pPr>
                                <w:r w:rsidRPr="0045159A">
                                  <w:rPr>
                                    <w:rFonts w:ascii="Arial Black" w:hAnsi="Arial Black"/>
                                    <w:sz w:val="52"/>
                                    <w:szCs w:val="52"/>
                                  </w:rPr>
                                  <w:t>BMPL4009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1B96195" id="_x0000_t202" coordsize="21600,21600" o:spt="202" path="m,l,21600r21600,l21600,xe">
                    <v:stroke joinstyle="miter"/>
                    <v:path gradientshapeok="t" o:connecttype="rect"/>
                  </v:shapetype>
                  <v:shape id="Text Box 1" o:spid="_x0000_s1029" type="#_x0000_t202" style="position:absolute;margin-left:-10.25pt;margin-top:434.95pt;width:354.35pt;height:173.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" filled="f" stroked="f" strokeweight=".5pt">
                    <v:textbox>
                      <w:txbxContent>
                        <w:p w14:paraId="5211DE14" w14:textId="09851AD5" w:rsidR="0008687D" w:rsidRPr="0045159A" w:rsidRDefault="0008687D">
                          <w:pPr>
                            <w:rPr>
                              <w:rFonts w:ascii="Arial Black" w:hAnsi="Arial Black"/>
                              <w:sz w:val="52"/>
                              <w:szCs w:val="52"/>
                            </w:rPr>
                          </w:pPr>
                          <w:r w:rsidRPr="0045159A">
                            <w:rPr>
                              <w:rFonts w:ascii="Arial Black" w:hAnsi="Arial Black"/>
                              <w:sz w:val="52"/>
                              <w:szCs w:val="52"/>
                            </w:rPr>
                            <w:t>Lara Davies</w:t>
                          </w:r>
                        </w:p>
                        <w:p w14:paraId="52630AC9" w14:textId="5A68D2BE" w:rsidR="0008687D" w:rsidRPr="0045159A" w:rsidRDefault="0008687D">
                          <w:pPr>
                            <w:rPr>
                              <w:rFonts w:ascii="Arial Black" w:hAnsi="Arial Black"/>
                              <w:sz w:val="52"/>
                              <w:szCs w:val="52"/>
                            </w:rPr>
                          </w:pPr>
                          <w:r w:rsidRPr="0045159A">
                            <w:rPr>
                              <w:rFonts w:ascii="Arial Black" w:hAnsi="Arial Black"/>
                              <w:sz w:val="52"/>
                              <w:szCs w:val="52"/>
                            </w:rPr>
                            <w:t>Student ID- 2204824</w:t>
                          </w:r>
                        </w:p>
                        <w:p w14:paraId="0269B9CA" w14:textId="625BA6AA" w:rsidR="0008687D" w:rsidRPr="0045159A" w:rsidRDefault="0008687D">
                          <w:pPr>
                            <w:rPr>
                              <w:rFonts w:ascii="Arial Black" w:hAnsi="Arial Black"/>
                              <w:sz w:val="52"/>
                              <w:szCs w:val="52"/>
                            </w:rPr>
                          </w:pPr>
                          <w:r w:rsidRPr="0045159A">
                            <w:rPr>
                              <w:rFonts w:ascii="Arial Black" w:hAnsi="Arial Black"/>
                              <w:sz w:val="52"/>
                              <w:szCs w:val="52"/>
                            </w:rPr>
                            <w:t>BMPL4009</w:t>
                          </w:r>
                        </w:p>
                      </w:txbxContent>
                    </v:textbox>
                  </v:shape>
                </w:pict>
              </mc:Fallback>
            </mc:AlternateContent>
          </w:r>
          <w:r w:rsidR="0008687D">
            <w:rPr>
              <w:noProof/>
            </w:rPr>
            <mc:AlternateContent>
              <mc:Choice Requires="wps">
                <w:drawing>
                  <wp:anchor distT="0" distB="0" distL="114300" distR="114300" simplePos="0" relativeHeight="251662336" behindDoc="0" locked="0" layoutInCell="1" allowOverlap="1" wp14:anchorId="5F685247" wp14:editId="35294AF2">
                    <wp:simplePos x="0" y="0"/>
                    <wp:positionH relativeFrom="margin">
                      <wp:posOffset>228600</wp:posOffset>
                    </wp:positionH>
                    <wp:positionV relativeFrom="paragraph">
                      <wp:posOffset>2014855</wp:posOffset>
                    </wp:positionV>
                    <wp:extent cx="5288691" cy="271272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88691" cy="2712720"/>
                            </a:xfrm>
                            <a:prstGeom prst="rect">
                              <a:avLst/>
                            </a:prstGeom>
                            <a:noFill/>
                            <a:ln w="6350">
                              <a:noFill/>
                            </a:ln>
                          </wps:spPr>
                          <wps:txbx>
                            <w:txbxContent>
                              <w:p w14:paraId="28D16C98" w14:textId="77777777" w:rsidR="0008687D" w:rsidRPr="0045159A" w:rsidRDefault="0008687D" w:rsidP="0008687D">
                                <w:pPr>
                                  <w:jc w:val="center"/>
                                  <w:rPr>
                                    <w:rFonts w:ascii="Arial Black" w:hAnsi="Arial Black"/>
                                    <w:sz w:val="72"/>
                                    <w:szCs w:val="72"/>
                                    <w:u w:val="single"/>
                                  </w:rPr>
                                </w:pPr>
                                <w:r w:rsidRPr="0045159A">
                                  <w:rPr>
                                    <w:rFonts w:ascii="Arial Black" w:hAnsi="Arial Black"/>
                                    <w:sz w:val="72"/>
                                    <w:szCs w:val="72"/>
                                    <w:u w:val="single"/>
                                  </w:rPr>
                                  <w:t>Criminal Law</w:t>
                                </w:r>
                              </w:p>
                              <w:p w14:paraId="0C5D1021" w14:textId="01374A6D" w:rsidR="0008687D" w:rsidRPr="0045159A" w:rsidRDefault="0008687D" w:rsidP="0008687D">
                                <w:pPr>
                                  <w:jc w:val="center"/>
                                  <w:rPr>
                                    <w:rFonts w:ascii="Arial Black" w:hAnsi="Arial Black"/>
                                    <w:sz w:val="72"/>
                                    <w:szCs w:val="72"/>
                                    <w:u w:val="single"/>
                                  </w:rPr>
                                </w:pPr>
                                <w:r w:rsidRPr="0045159A">
                                  <w:rPr>
                                    <w:rFonts w:ascii="Arial Black" w:hAnsi="Arial Black"/>
                                    <w:sz w:val="72"/>
                                    <w:szCs w:val="72"/>
                                    <w:u w:val="single"/>
                                  </w:rPr>
                                  <w:t>Assignment 1</w:t>
                                </w:r>
                                <w:r w:rsidR="0045159A">
                                  <w:rPr>
                                    <w:rFonts w:ascii="Arial Black" w:hAnsi="Arial Black"/>
                                    <w:sz w:val="72"/>
                                    <w:szCs w:val="72"/>
                                    <w:u w:val="single"/>
                                  </w:rPr>
                                  <w:t>- 1,500 Essay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85247" id="Text Box 3" o:spid="_x0000_s1030" type="#_x0000_t202" style="position:absolute;margin-left:18pt;margin-top:158.65pt;width:416.45pt;height:213.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" filled="f" stroked="f" strokeweight=".5pt">
                    <v:textbox>
                      <w:txbxContent>
                        <w:p w14:paraId="28D16C98" w14:textId="77777777" w:rsidR="0008687D" w:rsidRPr="0045159A" w:rsidRDefault="0008687D" w:rsidP="0008687D">
                          <w:pPr>
                            <w:jc w:val="center"/>
                            <w:rPr>
                              <w:rFonts w:ascii="Arial Black" w:hAnsi="Arial Black"/>
                              <w:sz w:val="72"/>
                              <w:szCs w:val="72"/>
                              <w:u w:val="single"/>
                            </w:rPr>
                          </w:pPr>
                          <w:r w:rsidRPr="0045159A">
                            <w:rPr>
                              <w:rFonts w:ascii="Arial Black" w:hAnsi="Arial Black"/>
                              <w:sz w:val="72"/>
                              <w:szCs w:val="72"/>
                              <w:u w:val="single"/>
                            </w:rPr>
                            <w:t>Criminal Law</w:t>
                          </w:r>
                        </w:p>
                        <w:p w14:paraId="0C5D1021" w14:textId="01374A6D" w:rsidR="0008687D" w:rsidRPr="0045159A" w:rsidRDefault="0008687D" w:rsidP="0008687D">
                          <w:pPr>
                            <w:jc w:val="center"/>
                            <w:rPr>
                              <w:rFonts w:ascii="Arial Black" w:hAnsi="Arial Black"/>
                              <w:sz w:val="72"/>
                              <w:szCs w:val="72"/>
                              <w:u w:val="single"/>
                            </w:rPr>
                          </w:pPr>
                          <w:r w:rsidRPr="0045159A">
                            <w:rPr>
                              <w:rFonts w:ascii="Arial Black" w:hAnsi="Arial Black"/>
                              <w:sz w:val="72"/>
                              <w:szCs w:val="72"/>
                              <w:u w:val="single"/>
                            </w:rPr>
                            <w:t>Assignment 1</w:t>
                          </w:r>
                          <w:r w:rsidR="0045159A">
                            <w:rPr>
                              <w:rFonts w:ascii="Arial Black" w:hAnsi="Arial Black"/>
                              <w:sz w:val="72"/>
                              <w:szCs w:val="72"/>
                              <w:u w:val="single"/>
                            </w:rPr>
                            <w:t>- 1,500 Essay</w:t>
                          </w:r>
                        </w:p>
                      </w:txbxContent>
                    </v:textbox>
                    <w10:wrap anchorx="margin"/>
                  </v:shape>
                </w:pict>
              </mc:Fallback>
            </mc:AlternateContent>
          </w:r>
          <w:r w:rsidR="0008687D">
            <w:rPr>
              <w:noProof/>
            </w:rPr>
            <mc:AlternateContent>
              <mc:Choice Requires="wps">
                <w:drawing>
                  <wp:anchor distT="0" distB="0" distL="114300" distR="114300" simplePos="0" relativeHeight="251660288" behindDoc="0" locked="0" layoutInCell="1" allowOverlap="1" wp14:anchorId="04F17ABC" wp14:editId="1CC407A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0D005746" w14:textId="3B62B646" w:rsidR="0008687D" w:rsidRDefault="0008687D">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4F17ABC"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" fillcolor="#b31166 [3204]" stroked="f" strokeweight="1.5pt">
                    <v:stroke endcap="round"/>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0D005746" w14:textId="3B62B646" w:rsidR="0008687D" w:rsidRDefault="0008687D">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08687D">
            <w:br w:type="page"/>
          </w:r>
        </w:p>
      </w:sdtContent>
    </w:sdt>
    <w:p w14:paraId="3766BF4D" w14:textId="2F8A5B36" w:rsidR="00BA769D" w:rsidRDefault="0008687D" w:rsidP="0008687D">
      <w:pPr>
        <w:spacing w:line="360" w:lineRule="auto"/>
        <w:jc w:val="center"/>
        <w:rPr>
          <w:rFonts w:ascii="Arial" w:hAnsi="Arial" w:cs="Arial"/>
          <w:b/>
          <w:bCs/>
          <w:sz w:val="24"/>
          <w:szCs w:val="24"/>
          <w:u w:val="single"/>
        </w:rPr>
      </w:pPr>
      <w:r w:rsidRPr="0008687D">
        <w:rPr>
          <w:rFonts w:ascii="Arial" w:hAnsi="Arial" w:cs="Arial"/>
          <w:b/>
          <w:bCs/>
          <w:sz w:val="24"/>
          <w:szCs w:val="24"/>
          <w:u w:val="single"/>
        </w:rPr>
        <w:lastRenderedPageBreak/>
        <w:t>What changes did the Coroners and Justice Act (2009) make to the defence of diminished responsibility? Did these amendments change the law in this area for the better?</w:t>
      </w:r>
    </w:p>
    <w:p w14:paraId="42D91F80" w14:textId="2B1FF256" w:rsidR="003E6BD3" w:rsidRPr="003E6BD3" w:rsidRDefault="00BF6AC2" w:rsidP="00350BD8">
      <w:pPr>
        <w:spacing w:line="360" w:lineRule="auto"/>
        <w:jc w:val="both"/>
        <w:rPr>
          <w:rFonts w:ascii="Arial" w:hAnsi="Arial" w:cs="Arial"/>
          <w:sz w:val="24"/>
          <w:szCs w:val="24"/>
        </w:rPr>
      </w:pPr>
      <w:r>
        <w:rPr>
          <w:rFonts w:ascii="Arial" w:hAnsi="Arial" w:cs="Arial"/>
          <w:sz w:val="24"/>
          <w:szCs w:val="24"/>
        </w:rPr>
        <w:t>Before the C</w:t>
      </w:r>
      <w:r w:rsidR="008248D4">
        <w:rPr>
          <w:rFonts w:ascii="Arial" w:hAnsi="Arial" w:cs="Arial"/>
          <w:sz w:val="24"/>
          <w:szCs w:val="24"/>
        </w:rPr>
        <w:t xml:space="preserve">oroners and Justice Act </w:t>
      </w:r>
      <w:r w:rsidR="00350BD8">
        <w:rPr>
          <w:rFonts w:ascii="Arial" w:hAnsi="Arial" w:cs="Arial"/>
          <w:sz w:val="24"/>
          <w:szCs w:val="24"/>
        </w:rPr>
        <w:t xml:space="preserve">(CJA) </w:t>
      </w:r>
      <w:r w:rsidR="008248D4">
        <w:rPr>
          <w:rFonts w:ascii="Arial" w:hAnsi="Arial" w:cs="Arial"/>
          <w:sz w:val="24"/>
          <w:szCs w:val="24"/>
        </w:rPr>
        <w:t>(</w:t>
      </w:r>
      <w:r>
        <w:rPr>
          <w:rFonts w:ascii="Arial" w:hAnsi="Arial" w:cs="Arial"/>
          <w:sz w:val="24"/>
          <w:szCs w:val="24"/>
        </w:rPr>
        <w:t>2009</w:t>
      </w:r>
      <w:r w:rsidR="008248D4">
        <w:rPr>
          <w:rFonts w:ascii="Arial" w:hAnsi="Arial" w:cs="Arial"/>
          <w:sz w:val="24"/>
          <w:szCs w:val="24"/>
        </w:rPr>
        <w:t>),</w:t>
      </w:r>
      <w:r>
        <w:rPr>
          <w:rFonts w:ascii="Arial" w:hAnsi="Arial" w:cs="Arial"/>
          <w:sz w:val="24"/>
          <w:szCs w:val="24"/>
        </w:rPr>
        <w:t xml:space="preserve"> </w:t>
      </w:r>
      <w:r w:rsidR="00F97AA0" w:rsidRPr="00F97AA0">
        <w:rPr>
          <w:rFonts w:ascii="Arial" w:hAnsi="Arial" w:cs="Arial"/>
          <w:sz w:val="24"/>
          <w:szCs w:val="24"/>
        </w:rPr>
        <w:t xml:space="preserve">Section 2 of the Homicide Act </w:t>
      </w:r>
      <w:r w:rsidR="00350BD8">
        <w:rPr>
          <w:rFonts w:ascii="Arial" w:hAnsi="Arial" w:cs="Arial"/>
          <w:sz w:val="24"/>
          <w:szCs w:val="24"/>
        </w:rPr>
        <w:t xml:space="preserve">(HA) </w:t>
      </w:r>
      <w:r w:rsidR="008248D4">
        <w:rPr>
          <w:rFonts w:ascii="Arial" w:hAnsi="Arial" w:cs="Arial"/>
          <w:sz w:val="24"/>
          <w:szCs w:val="24"/>
        </w:rPr>
        <w:t>(</w:t>
      </w:r>
      <w:r w:rsidR="00F97AA0" w:rsidRPr="00F97AA0">
        <w:rPr>
          <w:rFonts w:ascii="Arial" w:hAnsi="Arial" w:cs="Arial"/>
          <w:sz w:val="24"/>
          <w:szCs w:val="24"/>
        </w:rPr>
        <w:t>1957</w:t>
      </w:r>
      <w:r w:rsidR="008248D4">
        <w:rPr>
          <w:rFonts w:ascii="Arial" w:hAnsi="Arial" w:cs="Arial"/>
          <w:sz w:val="24"/>
          <w:szCs w:val="24"/>
        </w:rPr>
        <w:t>)</w:t>
      </w:r>
      <w:r w:rsidR="00F97AA0" w:rsidRPr="00F97AA0">
        <w:rPr>
          <w:rFonts w:ascii="Arial" w:hAnsi="Arial" w:cs="Arial"/>
          <w:sz w:val="24"/>
          <w:szCs w:val="24"/>
        </w:rPr>
        <w:t xml:space="preserve"> </w:t>
      </w:r>
      <w:r w:rsidR="00F97AA0">
        <w:rPr>
          <w:rFonts w:ascii="Arial" w:hAnsi="Arial" w:cs="Arial"/>
          <w:sz w:val="24"/>
          <w:szCs w:val="24"/>
        </w:rPr>
        <w:t>set out a partial defence to murder which was diminished responsibility.</w:t>
      </w:r>
      <w:r w:rsidR="00463A88">
        <w:rPr>
          <w:rFonts w:ascii="Arial" w:hAnsi="Arial" w:cs="Arial"/>
          <w:sz w:val="24"/>
          <w:szCs w:val="24"/>
        </w:rPr>
        <w:t xml:space="preserve"> It is the </w:t>
      </w:r>
      <w:r w:rsidR="00DB4803">
        <w:rPr>
          <w:rFonts w:ascii="Arial" w:hAnsi="Arial" w:cs="Arial"/>
          <w:sz w:val="24"/>
          <w:szCs w:val="24"/>
        </w:rPr>
        <w:t>defendant’s</w:t>
      </w:r>
      <w:r w:rsidR="00463A88">
        <w:rPr>
          <w:rFonts w:ascii="Arial" w:hAnsi="Arial" w:cs="Arial"/>
          <w:sz w:val="24"/>
          <w:szCs w:val="24"/>
        </w:rPr>
        <w:t xml:space="preserve"> responsibility t</w:t>
      </w:r>
      <w:r w:rsidR="00DB4803">
        <w:rPr>
          <w:rFonts w:ascii="Arial" w:hAnsi="Arial" w:cs="Arial"/>
          <w:sz w:val="24"/>
          <w:szCs w:val="24"/>
        </w:rPr>
        <w:t>o show they can rely on this defence and</w:t>
      </w:r>
      <w:r w:rsidR="00463A88">
        <w:rPr>
          <w:rFonts w:ascii="Arial" w:hAnsi="Arial" w:cs="Arial"/>
          <w:sz w:val="24"/>
          <w:szCs w:val="24"/>
        </w:rPr>
        <w:t xml:space="preserve"> if successful the c</w:t>
      </w:r>
      <w:r w:rsidR="008248D4">
        <w:rPr>
          <w:rFonts w:ascii="Arial" w:hAnsi="Arial" w:cs="Arial"/>
          <w:sz w:val="24"/>
          <w:szCs w:val="24"/>
        </w:rPr>
        <w:t>onviction</w:t>
      </w:r>
      <w:r w:rsidR="00463A88">
        <w:rPr>
          <w:rFonts w:ascii="Arial" w:hAnsi="Arial" w:cs="Arial"/>
          <w:sz w:val="24"/>
          <w:szCs w:val="24"/>
        </w:rPr>
        <w:t xml:space="preserve"> could change from murder to manslaughter (Mackay, 2010).</w:t>
      </w:r>
      <w:r w:rsidR="00F97AA0">
        <w:rPr>
          <w:rFonts w:ascii="Arial" w:hAnsi="Arial" w:cs="Arial"/>
          <w:sz w:val="24"/>
          <w:szCs w:val="24"/>
        </w:rPr>
        <w:t xml:space="preserve"> </w:t>
      </w:r>
      <w:r w:rsidR="008248D4">
        <w:rPr>
          <w:rFonts w:ascii="Arial" w:hAnsi="Arial" w:cs="Arial"/>
          <w:sz w:val="24"/>
          <w:szCs w:val="24"/>
        </w:rPr>
        <w:t>S</w:t>
      </w:r>
      <w:r w:rsidR="004843D4">
        <w:rPr>
          <w:rFonts w:ascii="Arial" w:hAnsi="Arial" w:cs="Arial"/>
          <w:sz w:val="24"/>
          <w:szCs w:val="24"/>
        </w:rPr>
        <w:t xml:space="preserve">ection 2 of the </w:t>
      </w:r>
      <w:r w:rsidR="008248D4">
        <w:rPr>
          <w:rFonts w:ascii="Arial" w:hAnsi="Arial" w:cs="Arial"/>
          <w:sz w:val="24"/>
          <w:szCs w:val="24"/>
        </w:rPr>
        <w:t xml:space="preserve">Homicide Act (1957) </w:t>
      </w:r>
      <w:r w:rsidR="00F97AA0">
        <w:rPr>
          <w:rFonts w:ascii="Arial" w:hAnsi="Arial" w:cs="Arial"/>
          <w:sz w:val="24"/>
          <w:szCs w:val="24"/>
        </w:rPr>
        <w:t xml:space="preserve">defined diminished responsibility as </w:t>
      </w:r>
      <w:r w:rsidR="0041694E">
        <w:rPr>
          <w:rFonts w:ascii="Arial" w:hAnsi="Arial" w:cs="Arial"/>
          <w:sz w:val="24"/>
          <w:szCs w:val="24"/>
        </w:rPr>
        <w:t>‘</w:t>
      </w:r>
      <w:r w:rsidR="00F97AA0">
        <w:rPr>
          <w:rFonts w:ascii="Arial" w:hAnsi="Arial" w:cs="Arial"/>
          <w:sz w:val="24"/>
          <w:szCs w:val="24"/>
        </w:rPr>
        <w:t xml:space="preserve">a person who kills or is party to a killing of another is not convicted of murder is suffering from abnormality of </w:t>
      </w:r>
      <w:r w:rsidR="002A6912" w:rsidRPr="002A6912">
        <w:rPr>
          <w:rFonts w:ascii="Arial" w:hAnsi="Arial" w:cs="Arial"/>
          <w:sz w:val="24"/>
          <w:szCs w:val="24"/>
        </w:rPr>
        <w:t xml:space="preserve">mind or substantially </w:t>
      </w:r>
      <w:r w:rsidR="00DB4803" w:rsidRPr="002A6912">
        <w:rPr>
          <w:rFonts w:ascii="Arial" w:hAnsi="Arial" w:cs="Arial"/>
          <w:sz w:val="24"/>
          <w:szCs w:val="24"/>
        </w:rPr>
        <w:t>impaired</w:t>
      </w:r>
      <w:r w:rsidR="00943DC2">
        <w:rPr>
          <w:rFonts w:ascii="Arial" w:hAnsi="Arial" w:cs="Arial"/>
          <w:sz w:val="24"/>
          <w:szCs w:val="24"/>
        </w:rPr>
        <w:t>’</w:t>
      </w:r>
      <w:r w:rsidR="00DB4803">
        <w:rPr>
          <w:rFonts w:ascii="Arial" w:hAnsi="Arial" w:cs="Arial"/>
          <w:sz w:val="24"/>
          <w:szCs w:val="24"/>
        </w:rPr>
        <w:t xml:space="preserve">. </w:t>
      </w:r>
      <w:r w:rsidR="0041694E">
        <w:rPr>
          <w:rFonts w:ascii="Arial" w:hAnsi="Arial" w:cs="Arial"/>
          <w:sz w:val="24"/>
          <w:szCs w:val="24"/>
        </w:rPr>
        <w:t>The defendant must be substantially impaired due to a mental condition</w:t>
      </w:r>
      <w:r w:rsidR="0041694E" w:rsidRPr="0041694E">
        <w:rPr>
          <w:rFonts w:ascii="Arial" w:hAnsi="Arial" w:cs="Arial"/>
          <w:sz w:val="24"/>
          <w:szCs w:val="24"/>
        </w:rPr>
        <w:t xml:space="preserve"> </w:t>
      </w:r>
      <w:r w:rsidR="0041694E">
        <w:rPr>
          <w:rFonts w:ascii="Arial" w:hAnsi="Arial" w:cs="Arial"/>
          <w:sz w:val="24"/>
          <w:szCs w:val="24"/>
        </w:rPr>
        <w:t>‘</w:t>
      </w:r>
      <w:r w:rsidR="0041694E" w:rsidRPr="0041694E">
        <w:rPr>
          <w:rFonts w:ascii="Arial" w:hAnsi="Arial" w:cs="Arial"/>
          <w:sz w:val="24"/>
          <w:szCs w:val="24"/>
        </w:rPr>
        <w:t>arising from a condition of arrested or retarded development of mind or any inherent causes or induced by disease or injur</w:t>
      </w:r>
      <w:r w:rsidR="0041694E">
        <w:rPr>
          <w:rFonts w:ascii="Arial" w:hAnsi="Arial" w:cs="Arial"/>
          <w:sz w:val="24"/>
          <w:szCs w:val="24"/>
        </w:rPr>
        <w:t>y</w:t>
      </w:r>
      <w:r w:rsidR="00627C24">
        <w:rPr>
          <w:rFonts w:ascii="Arial" w:hAnsi="Arial" w:cs="Arial"/>
          <w:sz w:val="24"/>
          <w:szCs w:val="24"/>
        </w:rPr>
        <w:t>.’</w:t>
      </w:r>
      <w:r w:rsidR="0041694E">
        <w:rPr>
          <w:rFonts w:ascii="Arial" w:hAnsi="Arial" w:cs="Arial"/>
          <w:sz w:val="24"/>
          <w:szCs w:val="24"/>
        </w:rPr>
        <w:t xml:space="preserve"> </w:t>
      </w:r>
      <w:r w:rsidR="00DB4803">
        <w:rPr>
          <w:rFonts w:ascii="Arial" w:hAnsi="Arial" w:cs="Arial"/>
          <w:sz w:val="24"/>
          <w:szCs w:val="24"/>
        </w:rPr>
        <w:t>This</w:t>
      </w:r>
      <w:r>
        <w:rPr>
          <w:rFonts w:ascii="Arial" w:hAnsi="Arial" w:cs="Arial"/>
          <w:sz w:val="24"/>
          <w:szCs w:val="24"/>
        </w:rPr>
        <w:t xml:space="preserve"> was then changed by Section 52 of the C</w:t>
      </w:r>
      <w:r w:rsidR="004843D4">
        <w:rPr>
          <w:rFonts w:ascii="Arial" w:hAnsi="Arial" w:cs="Arial"/>
          <w:sz w:val="24"/>
          <w:szCs w:val="24"/>
        </w:rPr>
        <w:t>oroners and Justice Act</w:t>
      </w:r>
      <w:r>
        <w:rPr>
          <w:rFonts w:ascii="Arial" w:hAnsi="Arial" w:cs="Arial"/>
          <w:sz w:val="24"/>
          <w:szCs w:val="24"/>
        </w:rPr>
        <w:t xml:space="preserve"> </w:t>
      </w:r>
      <w:r w:rsidR="00107E28">
        <w:rPr>
          <w:rFonts w:ascii="Arial" w:hAnsi="Arial" w:cs="Arial"/>
          <w:sz w:val="24"/>
          <w:szCs w:val="24"/>
        </w:rPr>
        <w:t>(</w:t>
      </w:r>
      <w:r>
        <w:rPr>
          <w:rFonts w:ascii="Arial" w:hAnsi="Arial" w:cs="Arial"/>
          <w:sz w:val="24"/>
          <w:szCs w:val="24"/>
        </w:rPr>
        <w:t>2009</w:t>
      </w:r>
      <w:r w:rsidR="00107E28">
        <w:rPr>
          <w:rFonts w:ascii="Arial" w:hAnsi="Arial" w:cs="Arial"/>
          <w:sz w:val="24"/>
          <w:szCs w:val="24"/>
        </w:rPr>
        <w:t>)</w:t>
      </w:r>
      <w:r w:rsidR="007148C5">
        <w:rPr>
          <w:rFonts w:ascii="Arial" w:hAnsi="Arial" w:cs="Arial"/>
          <w:sz w:val="24"/>
          <w:szCs w:val="24"/>
        </w:rPr>
        <w:t xml:space="preserve">. The requirement for the defendant to be suffering from an abnormality of mind was changed to an </w:t>
      </w:r>
      <w:r>
        <w:rPr>
          <w:rFonts w:ascii="Arial" w:hAnsi="Arial" w:cs="Arial"/>
          <w:sz w:val="24"/>
          <w:szCs w:val="24"/>
        </w:rPr>
        <w:t>abnormality of mental functioning</w:t>
      </w:r>
      <w:r w:rsidR="007148C5">
        <w:rPr>
          <w:rFonts w:ascii="Arial" w:hAnsi="Arial" w:cs="Arial"/>
          <w:sz w:val="24"/>
          <w:szCs w:val="24"/>
        </w:rPr>
        <w:t xml:space="preserve"> which</w:t>
      </w:r>
      <w:r>
        <w:rPr>
          <w:rFonts w:ascii="Arial" w:hAnsi="Arial" w:cs="Arial"/>
          <w:sz w:val="24"/>
          <w:szCs w:val="24"/>
        </w:rPr>
        <w:t xml:space="preserve"> arose from a recognised medical condition (Padfield, 2016). </w:t>
      </w:r>
      <w:r w:rsidR="00DC17D1">
        <w:rPr>
          <w:rFonts w:ascii="Arial" w:hAnsi="Arial" w:cs="Arial"/>
          <w:sz w:val="24"/>
          <w:szCs w:val="24"/>
        </w:rPr>
        <w:t>The</w:t>
      </w:r>
      <w:r w:rsidR="00DB4803">
        <w:rPr>
          <w:rFonts w:ascii="Arial" w:hAnsi="Arial" w:cs="Arial"/>
          <w:sz w:val="24"/>
          <w:szCs w:val="24"/>
        </w:rPr>
        <w:t xml:space="preserve"> defence under Section 2 of HA </w:t>
      </w:r>
      <w:r w:rsidR="00107E28">
        <w:rPr>
          <w:rFonts w:ascii="Arial" w:hAnsi="Arial" w:cs="Arial"/>
          <w:sz w:val="24"/>
          <w:szCs w:val="24"/>
        </w:rPr>
        <w:t>(</w:t>
      </w:r>
      <w:r w:rsidR="00DB4803">
        <w:rPr>
          <w:rFonts w:ascii="Arial" w:hAnsi="Arial" w:cs="Arial"/>
          <w:sz w:val="24"/>
          <w:szCs w:val="24"/>
        </w:rPr>
        <w:t>1957</w:t>
      </w:r>
      <w:r w:rsidR="00107E28">
        <w:rPr>
          <w:rFonts w:ascii="Arial" w:hAnsi="Arial" w:cs="Arial"/>
          <w:sz w:val="24"/>
          <w:szCs w:val="24"/>
        </w:rPr>
        <w:t>)</w:t>
      </w:r>
      <w:r w:rsidR="00DB4803">
        <w:rPr>
          <w:rFonts w:ascii="Arial" w:hAnsi="Arial" w:cs="Arial"/>
          <w:sz w:val="24"/>
          <w:szCs w:val="24"/>
        </w:rPr>
        <w:t xml:space="preserve"> has been used for over 50 years it has faced constant criticism and changes were made to improve the defence under section 52 of CJA </w:t>
      </w:r>
      <w:r w:rsidR="00107E28">
        <w:rPr>
          <w:rFonts w:ascii="Arial" w:hAnsi="Arial" w:cs="Arial"/>
          <w:sz w:val="24"/>
          <w:szCs w:val="24"/>
        </w:rPr>
        <w:t>(</w:t>
      </w:r>
      <w:r w:rsidR="00DB4803">
        <w:rPr>
          <w:rFonts w:ascii="Arial" w:hAnsi="Arial" w:cs="Arial"/>
          <w:sz w:val="24"/>
          <w:szCs w:val="24"/>
        </w:rPr>
        <w:t>2009</w:t>
      </w:r>
      <w:r w:rsidR="00107E28">
        <w:rPr>
          <w:rFonts w:ascii="Arial" w:hAnsi="Arial" w:cs="Arial"/>
          <w:sz w:val="24"/>
          <w:szCs w:val="24"/>
        </w:rPr>
        <w:t>)</w:t>
      </w:r>
      <w:r w:rsidR="00DB4803">
        <w:rPr>
          <w:rFonts w:ascii="Arial" w:hAnsi="Arial" w:cs="Arial"/>
          <w:sz w:val="24"/>
          <w:szCs w:val="24"/>
        </w:rPr>
        <w:t xml:space="preserve"> (</w:t>
      </w:r>
      <w:r w:rsidR="00DC17D1">
        <w:rPr>
          <w:rFonts w:ascii="Arial" w:hAnsi="Arial" w:cs="Arial"/>
          <w:sz w:val="24"/>
          <w:szCs w:val="24"/>
        </w:rPr>
        <w:t>Crof</w:t>
      </w:r>
      <w:r w:rsidR="00F266A1">
        <w:rPr>
          <w:rFonts w:ascii="Arial" w:hAnsi="Arial" w:cs="Arial"/>
          <w:sz w:val="24"/>
          <w:szCs w:val="24"/>
        </w:rPr>
        <w:t xml:space="preserve">ts and </w:t>
      </w:r>
      <w:r w:rsidR="00DC17D1">
        <w:rPr>
          <w:rFonts w:ascii="Arial" w:hAnsi="Arial" w:cs="Arial"/>
          <w:sz w:val="24"/>
          <w:szCs w:val="24"/>
        </w:rPr>
        <w:t>Wake, 2021).</w:t>
      </w:r>
    </w:p>
    <w:p w14:paraId="5C00E40D" w14:textId="411AC0D4" w:rsidR="00BD2858" w:rsidRDefault="000E5D31" w:rsidP="000E5D31">
      <w:pPr>
        <w:spacing w:line="360" w:lineRule="auto"/>
        <w:jc w:val="both"/>
        <w:rPr>
          <w:rFonts w:ascii="Arial" w:hAnsi="Arial" w:cs="Arial"/>
          <w:sz w:val="24"/>
          <w:szCs w:val="24"/>
        </w:rPr>
      </w:pPr>
      <w:r w:rsidRPr="0041694E">
        <w:rPr>
          <w:rFonts w:ascii="Arial" w:hAnsi="Arial" w:cs="Arial"/>
          <w:sz w:val="24"/>
          <w:szCs w:val="24"/>
        </w:rPr>
        <w:t xml:space="preserve">One of the main reasons for the </w:t>
      </w:r>
      <w:r w:rsidR="004843D4">
        <w:rPr>
          <w:rFonts w:ascii="Arial" w:hAnsi="Arial" w:cs="Arial"/>
          <w:sz w:val="24"/>
          <w:szCs w:val="24"/>
        </w:rPr>
        <w:t xml:space="preserve">section </w:t>
      </w:r>
      <w:r w:rsidRPr="0041694E">
        <w:rPr>
          <w:rFonts w:ascii="Arial" w:hAnsi="Arial" w:cs="Arial"/>
          <w:sz w:val="24"/>
          <w:szCs w:val="24"/>
        </w:rPr>
        <w:t xml:space="preserve">2 of the </w:t>
      </w:r>
      <w:r w:rsidR="00107E28" w:rsidRPr="0041694E">
        <w:rPr>
          <w:rFonts w:ascii="Arial" w:hAnsi="Arial" w:cs="Arial"/>
          <w:sz w:val="24"/>
          <w:szCs w:val="24"/>
        </w:rPr>
        <w:t>H</w:t>
      </w:r>
      <w:r w:rsidR="004843D4">
        <w:rPr>
          <w:rFonts w:ascii="Arial" w:hAnsi="Arial" w:cs="Arial"/>
          <w:sz w:val="24"/>
          <w:szCs w:val="24"/>
        </w:rPr>
        <w:t>omicide Act</w:t>
      </w:r>
      <w:r w:rsidR="00107E28" w:rsidRPr="0041694E">
        <w:rPr>
          <w:rFonts w:ascii="Arial" w:hAnsi="Arial" w:cs="Arial"/>
          <w:sz w:val="24"/>
          <w:szCs w:val="24"/>
        </w:rPr>
        <w:t xml:space="preserve"> (1957) </w:t>
      </w:r>
      <w:r w:rsidRPr="0041694E">
        <w:rPr>
          <w:rFonts w:ascii="Arial" w:hAnsi="Arial" w:cs="Arial"/>
          <w:sz w:val="24"/>
          <w:szCs w:val="24"/>
        </w:rPr>
        <w:t>to be changed was due to the scrutiny of the lack of clarity and wording of the act.</w:t>
      </w:r>
      <w:r w:rsidR="007148C5" w:rsidRPr="0041694E">
        <w:rPr>
          <w:rFonts w:ascii="Arial" w:hAnsi="Arial" w:cs="Arial"/>
          <w:sz w:val="24"/>
          <w:szCs w:val="24"/>
        </w:rPr>
        <w:t xml:space="preserve"> Section 52 CJA (2009) replaced subsection (1) to (1B) of S2 HA (1957). Originally a person would have to have suffered ‘abnormality of mind’ ‘arising from a condition of arrested or retarded development of mind’. This had no agreed psychiatric meaning</w:t>
      </w:r>
      <w:r w:rsidR="004843D4">
        <w:rPr>
          <w:rFonts w:ascii="Arial" w:hAnsi="Arial" w:cs="Arial"/>
          <w:sz w:val="24"/>
          <w:szCs w:val="24"/>
        </w:rPr>
        <w:t xml:space="preserve"> which allowed it to be </w:t>
      </w:r>
      <w:r w:rsidR="007148C5" w:rsidRPr="0041694E">
        <w:rPr>
          <w:rFonts w:ascii="Arial" w:hAnsi="Arial" w:cs="Arial"/>
          <w:sz w:val="24"/>
          <w:szCs w:val="24"/>
        </w:rPr>
        <w:t xml:space="preserve">interpreted differently by different people. This </w:t>
      </w:r>
      <w:r w:rsidR="00CA6FD6" w:rsidRPr="0041694E">
        <w:rPr>
          <w:rFonts w:ascii="Arial" w:hAnsi="Arial" w:cs="Arial"/>
          <w:sz w:val="24"/>
          <w:szCs w:val="24"/>
        </w:rPr>
        <w:t xml:space="preserve">was then amended </w:t>
      </w:r>
      <w:r w:rsidR="007148C5" w:rsidRPr="0041694E">
        <w:rPr>
          <w:rFonts w:ascii="Arial" w:hAnsi="Arial" w:cs="Arial"/>
          <w:sz w:val="24"/>
          <w:szCs w:val="24"/>
        </w:rPr>
        <w:t>in S52 of CJA (2009) to arise from a ‘recognised medical condition’ (Ministry of Justice, 2010).</w:t>
      </w:r>
      <w:r w:rsidRPr="0041694E">
        <w:rPr>
          <w:rFonts w:ascii="Arial" w:hAnsi="Arial" w:cs="Arial"/>
          <w:sz w:val="24"/>
          <w:szCs w:val="24"/>
        </w:rPr>
        <w:t xml:space="preserve"> The term ‘abnormality of mind’ </w:t>
      </w:r>
      <w:r w:rsidR="00F266A1" w:rsidRPr="0041694E">
        <w:rPr>
          <w:rFonts w:ascii="Arial" w:hAnsi="Arial" w:cs="Arial"/>
          <w:sz w:val="24"/>
          <w:szCs w:val="24"/>
        </w:rPr>
        <w:t>was</w:t>
      </w:r>
      <w:r w:rsidRPr="0041694E">
        <w:rPr>
          <w:rFonts w:ascii="Arial" w:hAnsi="Arial" w:cs="Arial"/>
          <w:sz w:val="24"/>
          <w:szCs w:val="24"/>
        </w:rPr>
        <w:t xml:space="preserve"> said to have been not psychiatric terms and the meaning was created by </w:t>
      </w:r>
      <w:r w:rsidR="007148C5" w:rsidRPr="0041694E">
        <w:rPr>
          <w:rFonts w:ascii="Arial" w:hAnsi="Arial" w:cs="Arial"/>
          <w:sz w:val="24"/>
          <w:szCs w:val="24"/>
        </w:rPr>
        <w:t xml:space="preserve">the </w:t>
      </w:r>
      <w:r w:rsidRPr="0041694E">
        <w:rPr>
          <w:rFonts w:ascii="Arial" w:hAnsi="Arial" w:cs="Arial"/>
          <w:sz w:val="24"/>
          <w:szCs w:val="24"/>
        </w:rPr>
        <w:t>courts on case-to-case bas</w:t>
      </w:r>
      <w:r w:rsidR="007148C5" w:rsidRPr="0041694E">
        <w:rPr>
          <w:rFonts w:ascii="Arial" w:hAnsi="Arial" w:cs="Arial"/>
          <w:sz w:val="24"/>
          <w:szCs w:val="24"/>
        </w:rPr>
        <w:t>i</w:t>
      </w:r>
      <w:r w:rsidRPr="0041694E">
        <w:rPr>
          <w:rFonts w:ascii="Arial" w:hAnsi="Arial" w:cs="Arial"/>
          <w:sz w:val="24"/>
          <w:szCs w:val="24"/>
        </w:rPr>
        <w:t>s</w:t>
      </w:r>
      <w:r w:rsidR="007148C5" w:rsidRPr="0041694E">
        <w:rPr>
          <w:rFonts w:ascii="Arial" w:hAnsi="Arial" w:cs="Arial"/>
          <w:sz w:val="24"/>
          <w:szCs w:val="24"/>
        </w:rPr>
        <w:t>, rather than through the use of medical expert opinion</w:t>
      </w:r>
      <w:r w:rsidRPr="0041694E">
        <w:rPr>
          <w:rFonts w:ascii="Arial" w:hAnsi="Arial" w:cs="Arial"/>
          <w:sz w:val="24"/>
          <w:szCs w:val="24"/>
        </w:rPr>
        <w:t xml:space="preserve"> (Kennefick, 2011). This allowed for the courts to interpretate the meaning themselves meaning there was lack of consistency throughout law.</w:t>
      </w:r>
      <w:r w:rsidR="00E93E02">
        <w:rPr>
          <w:rFonts w:ascii="Arial" w:hAnsi="Arial" w:cs="Arial"/>
          <w:sz w:val="24"/>
          <w:szCs w:val="24"/>
        </w:rPr>
        <w:t xml:space="preserve"> </w:t>
      </w:r>
    </w:p>
    <w:p w14:paraId="70898987" w14:textId="713B4780" w:rsidR="00711CEE" w:rsidRPr="00672BAC" w:rsidRDefault="000E1E7F" w:rsidP="000E5D31">
      <w:pPr>
        <w:spacing w:line="360" w:lineRule="auto"/>
        <w:jc w:val="both"/>
        <w:rPr>
          <w:rFonts w:ascii="Arial" w:hAnsi="Arial" w:cs="Arial"/>
          <w:sz w:val="24"/>
          <w:szCs w:val="24"/>
        </w:rPr>
      </w:pPr>
      <w:r>
        <w:rPr>
          <w:rFonts w:ascii="Arial" w:hAnsi="Arial" w:cs="Arial"/>
          <w:sz w:val="24"/>
          <w:szCs w:val="24"/>
        </w:rPr>
        <w:t xml:space="preserve">In the case of R v Byrne (1960) </w:t>
      </w:r>
      <w:r w:rsidR="00C94442">
        <w:rPr>
          <w:rFonts w:ascii="Arial" w:hAnsi="Arial" w:cs="Arial"/>
          <w:sz w:val="24"/>
          <w:szCs w:val="24"/>
        </w:rPr>
        <w:t xml:space="preserve">Lord Parker CJ </w:t>
      </w:r>
      <w:r>
        <w:rPr>
          <w:rFonts w:ascii="Arial" w:hAnsi="Arial" w:cs="Arial"/>
          <w:sz w:val="24"/>
          <w:szCs w:val="24"/>
        </w:rPr>
        <w:t>‘</w:t>
      </w:r>
      <w:r w:rsidR="00C94442">
        <w:rPr>
          <w:rFonts w:ascii="Arial" w:hAnsi="Arial" w:cs="Arial"/>
          <w:sz w:val="24"/>
          <w:szCs w:val="24"/>
        </w:rPr>
        <w:t>abnormality</w:t>
      </w:r>
      <w:r>
        <w:rPr>
          <w:rFonts w:ascii="Arial" w:hAnsi="Arial" w:cs="Arial"/>
          <w:sz w:val="24"/>
          <w:szCs w:val="24"/>
        </w:rPr>
        <w:t xml:space="preserve"> of mind’ was said to be ‘a state of mind so different from that of ordinary human begins that the reasonable man would term it abnormal</w:t>
      </w:r>
      <w:r w:rsidR="00C94442">
        <w:rPr>
          <w:rFonts w:ascii="Arial" w:hAnsi="Arial" w:cs="Arial"/>
          <w:sz w:val="24"/>
          <w:szCs w:val="24"/>
        </w:rPr>
        <w:t>’</w:t>
      </w:r>
      <w:r>
        <w:rPr>
          <w:rFonts w:ascii="Arial" w:hAnsi="Arial" w:cs="Arial"/>
          <w:sz w:val="24"/>
          <w:szCs w:val="24"/>
        </w:rPr>
        <w:t xml:space="preserve">. </w:t>
      </w:r>
      <w:r w:rsidR="00C94442">
        <w:rPr>
          <w:rFonts w:ascii="Arial" w:hAnsi="Arial" w:cs="Arial"/>
          <w:sz w:val="24"/>
          <w:szCs w:val="24"/>
        </w:rPr>
        <w:t xml:space="preserve">According </w:t>
      </w:r>
      <w:r w:rsidR="00627C24">
        <w:rPr>
          <w:rFonts w:ascii="Arial" w:hAnsi="Arial" w:cs="Arial"/>
          <w:sz w:val="24"/>
          <w:szCs w:val="24"/>
        </w:rPr>
        <w:t xml:space="preserve">to </w:t>
      </w:r>
      <w:r w:rsidR="00C94442">
        <w:rPr>
          <w:rFonts w:ascii="Arial" w:hAnsi="Arial" w:cs="Arial"/>
          <w:sz w:val="24"/>
          <w:szCs w:val="24"/>
        </w:rPr>
        <w:t>Finch</w:t>
      </w:r>
      <w:r w:rsidR="0062571F">
        <w:rPr>
          <w:rFonts w:ascii="Arial" w:hAnsi="Arial" w:cs="Arial"/>
          <w:sz w:val="24"/>
          <w:szCs w:val="24"/>
        </w:rPr>
        <w:t xml:space="preserve"> and Fafinski</w:t>
      </w:r>
      <w:r w:rsidR="00C94442">
        <w:rPr>
          <w:rFonts w:ascii="Arial" w:hAnsi="Arial" w:cs="Arial"/>
          <w:sz w:val="24"/>
          <w:szCs w:val="24"/>
        </w:rPr>
        <w:t xml:space="preserve"> (2021) this statement is </w:t>
      </w:r>
      <w:r w:rsidR="00C94442">
        <w:rPr>
          <w:rFonts w:ascii="Arial" w:hAnsi="Arial" w:cs="Arial"/>
          <w:sz w:val="24"/>
          <w:szCs w:val="24"/>
        </w:rPr>
        <w:lastRenderedPageBreak/>
        <w:t xml:space="preserve">still valid to define the term ‘abnormal’ in terms of </w:t>
      </w:r>
      <w:r w:rsidR="008C231D">
        <w:rPr>
          <w:rFonts w:ascii="Arial" w:hAnsi="Arial" w:cs="Arial"/>
          <w:sz w:val="24"/>
          <w:szCs w:val="24"/>
        </w:rPr>
        <w:t>section 52</w:t>
      </w:r>
      <w:r w:rsidR="00C94442">
        <w:rPr>
          <w:rFonts w:ascii="Arial" w:hAnsi="Arial" w:cs="Arial"/>
          <w:sz w:val="24"/>
          <w:szCs w:val="24"/>
        </w:rPr>
        <w:t xml:space="preserve"> C</w:t>
      </w:r>
      <w:r w:rsidR="008C231D">
        <w:rPr>
          <w:rFonts w:ascii="Arial" w:hAnsi="Arial" w:cs="Arial"/>
          <w:sz w:val="24"/>
          <w:szCs w:val="24"/>
        </w:rPr>
        <w:t>oroners and Justice Act</w:t>
      </w:r>
      <w:r w:rsidR="00C94442">
        <w:rPr>
          <w:rFonts w:ascii="Arial" w:hAnsi="Arial" w:cs="Arial"/>
          <w:sz w:val="24"/>
          <w:szCs w:val="24"/>
        </w:rPr>
        <w:t xml:space="preserve"> </w:t>
      </w:r>
      <w:r w:rsidR="0062571F">
        <w:rPr>
          <w:rFonts w:ascii="Arial" w:hAnsi="Arial" w:cs="Arial"/>
          <w:sz w:val="24"/>
          <w:szCs w:val="24"/>
        </w:rPr>
        <w:t xml:space="preserve">(2009) </w:t>
      </w:r>
      <w:r w:rsidR="00C94442">
        <w:rPr>
          <w:rFonts w:ascii="Arial" w:hAnsi="Arial" w:cs="Arial"/>
          <w:sz w:val="24"/>
          <w:szCs w:val="24"/>
        </w:rPr>
        <w:t xml:space="preserve">‘abnormal mental </w:t>
      </w:r>
      <w:r w:rsidR="00C94442" w:rsidRPr="00672BAC">
        <w:rPr>
          <w:rFonts w:ascii="Arial" w:hAnsi="Arial" w:cs="Arial"/>
          <w:sz w:val="24"/>
          <w:szCs w:val="24"/>
        </w:rPr>
        <w:t>functioning’</w:t>
      </w:r>
      <w:r w:rsidR="0062571F" w:rsidRPr="00672BAC">
        <w:rPr>
          <w:rFonts w:ascii="Arial" w:hAnsi="Arial" w:cs="Arial"/>
          <w:sz w:val="24"/>
          <w:szCs w:val="24"/>
        </w:rPr>
        <w:t xml:space="preserve">. </w:t>
      </w:r>
      <w:r w:rsidR="009719AB">
        <w:rPr>
          <w:rFonts w:ascii="Arial" w:hAnsi="Arial" w:cs="Arial"/>
          <w:sz w:val="24"/>
          <w:szCs w:val="24"/>
        </w:rPr>
        <w:t xml:space="preserve">In subsection (1b) of CJA (2009) it states that the ‘abnormality of mental functioning’ can either </w:t>
      </w:r>
      <w:r w:rsidR="00580D41">
        <w:rPr>
          <w:rFonts w:ascii="Arial" w:hAnsi="Arial" w:cs="Arial"/>
          <w:sz w:val="24"/>
          <w:szCs w:val="24"/>
        </w:rPr>
        <w:t>ca</w:t>
      </w:r>
      <w:r w:rsidR="00580D41" w:rsidRPr="009719AB">
        <w:rPr>
          <w:rFonts w:ascii="Arial" w:hAnsi="Arial" w:cs="Arial"/>
          <w:sz w:val="24"/>
          <w:szCs w:val="24"/>
        </w:rPr>
        <w:t>use</w:t>
      </w:r>
      <w:r w:rsidR="00DA6DCA">
        <w:rPr>
          <w:rFonts w:ascii="Arial" w:hAnsi="Arial" w:cs="Arial"/>
          <w:sz w:val="24"/>
          <w:szCs w:val="24"/>
        </w:rPr>
        <w:t xml:space="preserve"> </w:t>
      </w:r>
      <w:r w:rsidR="009719AB" w:rsidRPr="009719AB">
        <w:rPr>
          <w:rFonts w:ascii="Arial" w:hAnsi="Arial" w:cs="Arial"/>
          <w:sz w:val="24"/>
          <w:szCs w:val="24"/>
        </w:rPr>
        <w:t>or is a signiﬁcant contributory facto</w:t>
      </w:r>
      <w:r w:rsidR="009719AB">
        <w:rPr>
          <w:rFonts w:ascii="Arial" w:hAnsi="Arial" w:cs="Arial"/>
          <w:sz w:val="24"/>
          <w:szCs w:val="24"/>
        </w:rPr>
        <w:t>r</w:t>
      </w:r>
      <w:r w:rsidR="009719AB" w:rsidRPr="009719AB">
        <w:rPr>
          <w:rFonts w:ascii="Arial" w:hAnsi="Arial" w:cs="Arial"/>
          <w:sz w:val="24"/>
          <w:szCs w:val="24"/>
        </w:rPr>
        <w:t xml:space="preserve"> in causing, D to carry out that conduct.’</w:t>
      </w:r>
      <w:r w:rsidR="009719AB">
        <w:rPr>
          <w:rFonts w:ascii="Arial" w:hAnsi="Arial" w:cs="Arial"/>
          <w:sz w:val="24"/>
          <w:szCs w:val="24"/>
        </w:rPr>
        <w:t xml:space="preserve"> This meaning that the ‘abnormality of mental functioning’ does not need to be the main cause of the </w:t>
      </w:r>
      <w:r w:rsidR="007112F9">
        <w:rPr>
          <w:rFonts w:ascii="Arial" w:hAnsi="Arial" w:cs="Arial"/>
          <w:sz w:val="24"/>
          <w:szCs w:val="24"/>
        </w:rPr>
        <w:t>defendant’s</w:t>
      </w:r>
      <w:r w:rsidR="009719AB">
        <w:rPr>
          <w:rFonts w:ascii="Arial" w:hAnsi="Arial" w:cs="Arial"/>
          <w:sz w:val="24"/>
          <w:szCs w:val="24"/>
        </w:rPr>
        <w:t xml:space="preserve"> actions. </w:t>
      </w:r>
    </w:p>
    <w:p w14:paraId="12850235" w14:textId="6C868E58" w:rsidR="000D5238" w:rsidRDefault="00CA6FD6" w:rsidP="000E5D31">
      <w:pPr>
        <w:spacing w:line="360" w:lineRule="auto"/>
        <w:jc w:val="both"/>
        <w:rPr>
          <w:rFonts w:ascii="Arial" w:hAnsi="Arial" w:cs="Arial"/>
          <w:sz w:val="24"/>
          <w:szCs w:val="24"/>
        </w:rPr>
      </w:pPr>
      <w:r w:rsidRPr="00672BAC">
        <w:rPr>
          <w:rFonts w:ascii="Arial" w:hAnsi="Arial" w:cs="Arial"/>
          <w:sz w:val="24"/>
          <w:szCs w:val="24"/>
        </w:rPr>
        <w:t xml:space="preserve">In S2 of HA (1957) it focused on a person being ‘substantially impaired mentally’. Then S52 of CJA (2009) changed it to medical conditions rather than just a mental condition meaning it can now be a </w:t>
      </w:r>
      <w:r w:rsidR="00FB1021" w:rsidRPr="00672BAC">
        <w:rPr>
          <w:rFonts w:ascii="Arial" w:hAnsi="Arial" w:cs="Arial"/>
          <w:sz w:val="24"/>
          <w:szCs w:val="24"/>
        </w:rPr>
        <w:t>psychological, psychiatric or physical condition</w:t>
      </w:r>
      <w:r w:rsidRPr="00672BAC">
        <w:rPr>
          <w:rFonts w:ascii="Arial" w:hAnsi="Arial" w:cs="Arial"/>
          <w:sz w:val="24"/>
          <w:szCs w:val="24"/>
        </w:rPr>
        <w:t xml:space="preserve"> such as diabetes, </w:t>
      </w:r>
      <w:r w:rsidR="00E3025D" w:rsidRPr="00672BAC">
        <w:rPr>
          <w:rFonts w:ascii="Arial" w:hAnsi="Arial" w:cs="Arial"/>
          <w:sz w:val="24"/>
          <w:szCs w:val="24"/>
        </w:rPr>
        <w:t xml:space="preserve">schizophrenia </w:t>
      </w:r>
      <w:r w:rsidRPr="00672BAC">
        <w:rPr>
          <w:rFonts w:ascii="Arial" w:hAnsi="Arial" w:cs="Arial"/>
          <w:sz w:val="24"/>
          <w:szCs w:val="24"/>
        </w:rPr>
        <w:t>and any condition recognised by science as diagnosable (Law Commission, 2005). Medical professions have more flexibility to influence a jury’s verdict with this new definition and also keep updated with medical change</w:t>
      </w:r>
      <w:r w:rsidR="008C231D">
        <w:rPr>
          <w:rFonts w:ascii="Arial" w:hAnsi="Arial" w:cs="Arial"/>
          <w:sz w:val="24"/>
          <w:szCs w:val="24"/>
        </w:rPr>
        <w:t>s</w:t>
      </w:r>
      <w:r w:rsidRPr="00672BAC">
        <w:rPr>
          <w:rFonts w:ascii="Arial" w:hAnsi="Arial" w:cs="Arial"/>
          <w:sz w:val="24"/>
          <w:szCs w:val="24"/>
        </w:rPr>
        <w:t xml:space="preserve"> (Taylor, 2018).</w:t>
      </w:r>
      <w:r w:rsidR="00E3025D" w:rsidRPr="00E3025D">
        <w:t xml:space="preserve"> </w:t>
      </w:r>
      <w:r w:rsidR="00627C24">
        <w:rPr>
          <w:rFonts w:ascii="Arial" w:hAnsi="Arial" w:cs="Arial"/>
          <w:sz w:val="24"/>
          <w:szCs w:val="24"/>
        </w:rPr>
        <w:t>When diagnosing medical conditions medical professionals will use the World Health Organisation International Classification of Diseases or the American Psychiatric Association</w:t>
      </w:r>
      <w:r w:rsidR="000D5238">
        <w:rPr>
          <w:rFonts w:ascii="Arial" w:hAnsi="Arial" w:cs="Arial"/>
          <w:sz w:val="24"/>
          <w:szCs w:val="24"/>
        </w:rPr>
        <w:t xml:space="preserve"> Diagnostic and Statistical</w:t>
      </w:r>
      <w:r w:rsidR="00627C24">
        <w:rPr>
          <w:rFonts w:ascii="Arial" w:hAnsi="Arial" w:cs="Arial"/>
          <w:sz w:val="24"/>
          <w:szCs w:val="24"/>
        </w:rPr>
        <w:t xml:space="preserve"> </w:t>
      </w:r>
      <w:r w:rsidR="000D5238">
        <w:rPr>
          <w:rFonts w:ascii="Arial" w:hAnsi="Arial" w:cs="Arial"/>
          <w:sz w:val="24"/>
          <w:szCs w:val="24"/>
        </w:rPr>
        <w:t>M</w:t>
      </w:r>
      <w:r w:rsidR="00627C24">
        <w:rPr>
          <w:rFonts w:ascii="Arial" w:hAnsi="Arial" w:cs="Arial"/>
          <w:sz w:val="24"/>
          <w:szCs w:val="24"/>
        </w:rPr>
        <w:t xml:space="preserve">anual on </w:t>
      </w:r>
      <w:r w:rsidR="000D5238">
        <w:rPr>
          <w:rFonts w:ascii="Arial" w:hAnsi="Arial" w:cs="Arial"/>
          <w:sz w:val="24"/>
          <w:szCs w:val="24"/>
        </w:rPr>
        <w:t>M</w:t>
      </w:r>
      <w:r w:rsidR="00627C24">
        <w:rPr>
          <w:rFonts w:ascii="Arial" w:hAnsi="Arial" w:cs="Arial"/>
          <w:sz w:val="24"/>
          <w:szCs w:val="24"/>
        </w:rPr>
        <w:t xml:space="preserve">ental </w:t>
      </w:r>
      <w:r w:rsidR="000D5238">
        <w:rPr>
          <w:rFonts w:ascii="Arial" w:hAnsi="Arial" w:cs="Arial"/>
          <w:sz w:val="24"/>
          <w:szCs w:val="24"/>
        </w:rPr>
        <w:t>D</w:t>
      </w:r>
      <w:r w:rsidR="00627C24">
        <w:rPr>
          <w:rFonts w:ascii="Arial" w:hAnsi="Arial" w:cs="Arial"/>
          <w:sz w:val="24"/>
          <w:szCs w:val="24"/>
        </w:rPr>
        <w:t xml:space="preserve">isorders </w:t>
      </w:r>
      <w:r w:rsidR="00672BAC">
        <w:rPr>
          <w:rFonts w:ascii="Arial" w:hAnsi="Arial" w:cs="Arial"/>
          <w:sz w:val="24"/>
          <w:szCs w:val="24"/>
        </w:rPr>
        <w:t>(Allen and Edwards, 2021</w:t>
      </w:r>
      <w:r w:rsidR="000D5238">
        <w:rPr>
          <w:rFonts w:ascii="Arial" w:hAnsi="Arial" w:cs="Arial"/>
          <w:sz w:val="24"/>
          <w:szCs w:val="24"/>
        </w:rPr>
        <w:t>). As said by</w:t>
      </w:r>
      <w:r w:rsidR="00EF3D4C">
        <w:rPr>
          <w:rFonts w:ascii="Arial" w:hAnsi="Arial" w:cs="Arial"/>
          <w:sz w:val="24"/>
          <w:szCs w:val="24"/>
        </w:rPr>
        <w:t xml:space="preserve"> the Law </w:t>
      </w:r>
      <w:r w:rsidR="00FB1021">
        <w:rPr>
          <w:rFonts w:ascii="Arial" w:hAnsi="Arial" w:cs="Arial"/>
          <w:sz w:val="24"/>
          <w:szCs w:val="24"/>
        </w:rPr>
        <w:t>Commission (</w:t>
      </w:r>
      <w:r w:rsidR="005104E0">
        <w:rPr>
          <w:rFonts w:ascii="Arial" w:hAnsi="Arial" w:cs="Arial"/>
          <w:sz w:val="24"/>
          <w:szCs w:val="24"/>
        </w:rPr>
        <w:t>20</w:t>
      </w:r>
      <w:r w:rsidR="00EF3D4C">
        <w:rPr>
          <w:rFonts w:ascii="Arial" w:hAnsi="Arial" w:cs="Arial"/>
          <w:sz w:val="24"/>
          <w:szCs w:val="24"/>
        </w:rPr>
        <w:t>06</w:t>
      </w:r>
      <w:r w:rsidR="005104E0">
        <w:rPr>
          <w:rFonts w:ascii="Arial" w:hAnsi="Arial" w:cs="Arial"/>
          <w:sz w:val="24"/>
          <w:szCs w:val="24"/>
        </w:rPr>
        <w:t>)</w:t>
      </w:r>
      <w:r w:rsidR="00D91680">
        <w:rPr>
          <w:rFonts w:ascii="Arial" w:hAnsi="Arial" w:cs="Arial"/>
          <w:sz w:val="24"/>
          <w:szCs w:val="24"/>
        </w:rPr>
        <w:t xml:space="preserve"> using classificatory system will help prevent medical diagnoses from doctors offering “idiosyncratic diagnosis”.</w:t>
      </w:r>
      <w:r w:rsidR="00E472F2">
        <w:rPr>
          <w:rFonts w:ascii="Arial" w:hAnsi="Arial" w:cs="Arial"/>
          <w:sz w:val="24"/>
          <w:szCs w:val="24"/>
        </w:rPr>
        <w:t xml:space="preserve"> </w:t>
      </w:r>
    </w:p>
    <w:p w14:paraId="7F6294A2" w14:textId="5B53B275" w:rsidR="000D5238" w:rsidRDefault="00627C24" w:rsidP="000E5D31">
      <w:pPr>
        <w:spacing w:line="360" w:lineRule="auto"/>
        <w:jc w:val="both"/>
        <w:rPr>
          <w:rFonts w:ascii="Arial" w:hAnsi="Arial" w:cs="Arial"/>
          <w:sz w:val="24"/>
          <w:szCs w:val="24"/>
        </w:rPr>
      </w:pPr>
      <w:r>
        <w:rPr>
          <w:rFonts w:ascii="Arial" w:hAnsi="Arial" w:cs="Arial"/>
          <w:sz w:val="24"/>
          <w:szCs w:val="24"/>
        </w:rPr>
        <w:t>A defendant can still claim the defence of diminished responsibility even if they are suffering from a medical condition not yet recognised under this system however it would be difficult to do so</w:t>
      </w:r>
      <w:r w:rsidR="00672BAC">
        <w:rPr>
          <w:rFonts w:ascii="Arial" w:hAnsi="Arial" w:cs="Arial"/>
          <w:sz w:val="24"/>
          <w:szCs w:val="24"/>
        </w:rPr>
        <w:t xml:space="preserve"> (Allen and Edwards, 2021)</w:t>
      </w:r>
      <w:r w:rsidR="004843D4">
        <w:rPr>
          <w:rFonts w:ascii="Arial" w:hAnsi="Arial" w:cs="Arial"/>
          <w:sz w:val="24"/>
          <w:szCs w:val="24"/>
        </w:rPr>
        <w:t xml:space="preserve">. </w:t>
      </w:r>
      <w:r w:rsidR="000D5238" w:rsidRPr="00C84102">
        <w:rPr>
          <w:rFonts w:ascii="Arial" w:hAnsi="Arial" w:cs="Arial"/>
          <w:sz w:val="24"/>
          <w:szCs w:val="24"/>
        </w:rPr>
        <w:t>A</w:t>
      </w:r>
      <w:r w:rsidR="004843D4">
        <w:rPr>
          <w:rFonts w:ascii="Arial" w:hAnsi="Arial" w:cs="Arial"/>
          <w:sz w:val="24"/>
          <w:szCs w:val="24"/>
        </w:rPr>
        <w:t>n</w:t>
      </w:r>
      <w:r w:rsidR="000D5238" w:rsidRPr="00C84102">
        <w:rPr>
          <w:rFonts w:ascii="Arial" w:hAnsi="Arial" w:cs="Arial"/>
          <w:sz w:val="24"/>
          <w:szCs w:val="24"/>
        </w:rPr>
        <w:t xml:space="preserve"> example </w:t>
      </w:r>
      <w:r w:rsidR="003A59B9" w:rsidRPr="00C84102">
        <w:rPr>
          <w:rFonts w:ascii="Arial" w:hAnsi="Arial" w:cs="Arial"/>
          <w:sz w:val="24"/>
          <w:szCs w:val="24"/>
        </w:rPr>
        <w:t>is</w:t>
      </w:r>
      <w:r w:rsidR="004615FD" w:rsidRPr="00C84102">
        <w:rPr>
          <w:rFonts w:ascii="Arial" w:hAnsi="Arial" w:cs="Arial"/>
          <w:sz w:val="24"/>
          <w:szCs w:val="24"/>
        </w:rPr>
        <w:t xml:space="preserve"> voluntary</w:t>
      </w:r>
      <w:r w:rsidR="004615FD">
        <w:rPr>
          <w:rFonts w:ascii="Arial" w:hAnsi="Arial" w:cs="Arial"/>
          <w:sz w:val="24"/>
          <w:szCs w:val="24"/>
        </w:rPr>
        <w:t xml:space="preserve"> drunkenness is not a recognised medical condition however voluntary acute intoxication is a recognised medical condition under the two classification systems previously discussed</w:t>
      </w:r>
      <w:r w:rsidR="00F012BF">
        <w:rPr>
          <w:rFonts w:ascii="Arial" w:hAnsi="Arial" w:cs="Arial"/>
          <w:sz w:val="24"/>
          <w:szCs w:val="24"/>
        </w:rPr>
        <w:t xml:space="preserve"> (</w:t>
      </w:r>
      <w:r w:rsidR="00F012BF" w:rsidRPr="00F012BF">
        <w:rPr>
          <w:rFonts w:ascii="Arial" w:hAnsi="Arial" w:cs="Arial"/>
          <w:sz w:val="24"/>
          <w:szCs w:val="24"/>
        </w:rPr>
        <w:t>Reed et al, 2018)</w:t>
      </w:r>
      <w:r w:rsidR="00F012BF">
        <w:rPr>
          <w:rFonts w:ascii="Arial" w:hAnsi="Arial" w:cs="Arial"/>
          <w:sz w:val="24"/>
          <w:szCs w:val="24"/>
        </w:rPr>
        <w:t xml:space="preserve"> </w:t>
      </w:r>
      <w:r w:rsidR="003A59B9">
        <w:rPr>
          <w:rFonts w:ascii="Arial" w:hAnsi="Arial" w:cs="Arial"/>
          <w:sz w:val="24"/>
          <w:szCs w:val="24"/>
        </w:rPr>
        <w:t xml:space="preserve">. </w:t>
      </w:r>
      <w:r w:rsidR="00F012BF">
        <w:rPr>
          <w:rFonts w:ascii="Arial" w:hAnsi="Arial" w:cs="Arial"/>
          <w:sz w:val="24"/>
          <w:szCs w:val="24"/>
        </w:rPr>
        <w:t xml:space="preserve">As said in the </w:t>
      </w:r>
      <w:r w:rsidR="004615FD">
        <w:rPr>
          <w:rFonts w:ascii="Arial" w:hAnsi="Arial" w:cs="Arial"/>
          <w:sz w:val="24"/>
          <w:szCs w:val="24"/>
        </w:rPr>
        <w:t xml:space="preserve">case of R v Joyce and Kay </w:t>
      </w:r>
      <w:r w:rsidR="00F012BF">
        <w:rPr>
          <w:rFonts w:ascii="Arial" w:hAnsi="Arial" w:cs="Arial"/>
          <w:sz w:val="24"/>
          <w:szCs w:val="24"/>
        </w:rPr>
        <w:t>(2017</w:t>
      </w:r>
      <w:r w:rsidR="00C84102">
        <w:rPr>
          <w:rFonts w:ascii="Arial" w:hAnsi="Arial" w:cs="Arial"/>
          <w:sz w:val="24"/>
          <w:szCs w:val="24"/>
        </w:rPr>
        <w:t>) where</w:t>
      </w:r>
      <w:r w:rsidR="00F012BF">
        <w:rPr>
          <w:rFonts w:ascii="Arial" w:hAnsi="Arial" w:cs="Arial"/>
          <w:sz w:val="24"/>
          <w:szCs w:val="24"/>
        </w:rPr>
        <w:t xml:space="preserve"> the defendant suffered from schizophrenia and dependency of drink and </w:t>
      </w:r>
      <w:r w:rsidR="00B805DF">
        <w:rPr>
          <w:rFonts w:ascii="Arial" w:hAnsi="Arial" w:cs="Arial"/>
          <w:sz w:val="24"/>
          <w:szCs w:val="24"/>
        </w:rPr>
        <w:t>drugs,</w:t>
      </w:r>
      <w:r w:rsidR="00F012BF">
        <w:rPr>
          <w:rFonts w:ascii="Arial" w:hAnsi="Arial" w:cs="Arial"/>
          <w:sz w:val="24"/>
          <w:szCs w:val="24"/>
        </w:rPr>
        <w:t xml:space="preserve"> he could claim </w:t>
      </w:r>
      <w:r w:rsidR="00B805DF">
        <w:rPr>
          <w:rFonts w:ascii="Arial" w:hAnsi="Arial" w:cs="Arial"/>
          <w:sz w:val="24"/>
          <w:szCs w:val="24"/>
        </w:rPr>
        <w:t xml:space="preserve">the </w:t>
      </w:r>
      <w:r w:rsidR="00F012BF">
        <w:rPr>
          <w:rFonts w:ascii="Arial" w:hAnsi="Arial" w:cs="Arial"/>
          <w:sz w:val="24"/>
          <w:szCs w:val="24"/>
        </w:rPr>
        <w:t>defence of diminished responsibility due to</w:t>
      </w:r>
      <w:r w:rsidR="00C84102">
        <w:rPr>
          <w:rFonts w:ascii="Arial" w:hAnsi="Arial" w:cs="Arial"/>
          <w:sz w:val="24"/>
          <w:szCs w:val="24"/>
        </w:rPr>
        <w:t xml:space="preserve"> his ‘abnormality of mental functioning’</w:t>
      </w:r>
      <w:r w:rsidR="00F012BF">
        <w:rPr>
          <w:rFonts w:ascii="Arial" w:hAnsi="Arial" w:cs="Arial"/>
          <w:sz w:val="24"/>
          <w:szCs w:val="24"/>
        </w:rPr>
        <w:t xml:space="preserve"> </w:t>
      </w:r>
      <w:r w:rsidR="00C84102">
        <w:rPr>
          <w:rFonts w:ascii="Arial" w:hAnsi="Arial" w:cs="Arial"/>
          <w:sz w:val="24"/>
          <w:szCs w:val="24"/>
        </w:rPr>
        <w:t xml:space="preserve">being </w:t>
      </w:r>
      <w:r w:rsidR="00F012BF">
        <w:rPr>
          <w:rFonts w:ascii="Arial" w:hAnsi="Arial" w:cs="Arial"/>
          <w:sz w:val="24"/>
          <w:szCs w:val="24"/>
        </w:rPr>
        <w:t>‘substantially impaired</w:t>
      </w:r>
      <w:r w:rsidR="00C84102">
        <w:rPr>
          <w:rFonts w:ascii="Arial" w:hAnsi="Arial" w:cs="Arial"/>
          <w:sz w:val="24"/>
          <w:szCs w:val="24"/>
        </w:rPr>
        <w:t>’ by</w:t>
      </w:r>
      <w:r w:rsidR="00F012BF">
        <w:rPr>
          <w:rFonts w:ascii="Arial" w:hAnsi="Arial" w:cs="Arial"/>
          <w:sz w:val="24"/>
          <w:szCs w:val="24"/>
        </w:rPr>
        <w:t xml:space="preserve"> a recognised medical condition</w:t>
      </w:r>
      <w:r w:rsidR="00B805DF">
        <w:rPr>
          <w:rFonts w:ascii="Arial" w:hAnsi="Arial" w:cs="Arial"/>
          <w:sz w:val="24"/>
          <w:szCs w:val="24"/>
        </w:rPr>
        <w:t xml:space="preserve"> which was schizophrenia</w:t>
      </w:r>
      <w:r w:rsidR="00F012BF">
        <w:rPr>
          <w:rFonts w:ascii="Arial" w:hAnsi="Arial" w:cs="Arial"/>
          <w:sz w:val="24"/>
          <w:szCs w:val="24"/>
        </w:rPr>
        <w:t xml:space="preserve">. </w:t>
      </w:r>
      <w:r w:rsidR="00FB1021">
        <w:rPr>
          <w:rFonts w:ascii="Arial" w:hAnsi="Arial" w:cs="Arial"/>
          <w:sz w:val="24"/>
          <w:szCs w:val="24"/>
        </w:rPr>
        <w:t>However,</w:t>
      </w:r>
      <w:r w:rsidR="00F012BF">
        <w:rPr>
          <w:rFonts w:ascii="Arial" w:hAnsi="Arial" w:cs="Arial"/>
          <w:sz w:val="24"/>
          <w:szCs w:val="24"/>
        </w:rPr>
        <w:t xml:space="preserve"> you cannot claim this defence if your ‘abnormality of mental functioning’ was impaired from voluntary intoxication alone. </w:t>
      </w:r>
    </w:p>
    <w:p w14:paraId="4C2490E8" w14:textId="58AF275D" w:rsidR="00E3025D" w:rsidRDefault="007148C5" w:rsidP="000E5D31">
      <w:pPr>
        <w:spacing w:line="360" w:lineRule="auto"/>
        <w:jc w:val="both"/>
        <w:rPr>
          <w:rFonts w:ascii="Arial" w:hAnsi="Arial" w:cs="Arial"/>
          <w:sz w:val="24"/>
          <w:szCs w:val="24"/>
        </w:rPr>
      </w:pPr>
      <w:r w:rsidRPr="00C97166">
        <w:rPr>
          <w:rFonts w:ascii="Arial" w:hAnsi="Arial" w:cs="Arial"/>
          <w:sz w:val="24"/>
          <w:szCs w:val="24"/>
        </w:rPr>
        <w:t xml:space="preserve">Under </w:t>
      </w:r>
      <w:r w:rsidR="00842F15">
        <w:rPr>
          <w:rFonts w:ascii="Arial" w:hAnsi="Arial" w:cs="Arial"/>
          <w:sz w:val="24"/>
          <w:szCs w:val="24"/>
        </w:rPr>
        <w:t xml:space="preserve">section </w:t>
      </w:r>
      <w:r w:rsidR="00593606" w:rsidRPr="00C97166">
        <w:rPr>
          <w:rFonts w:ascii="Arial" w:hAnsi="Arial" w:cs="Arial"/>
          <w:sz w:val="24"/>
          <w:szCs w:val="24"/>
        </w:rPr>
        <w:t xml:space="preserve">2 of </w:t>
      </w:r>
      <w:r w:rsidR="00842F15">
        <w:rPr>
          <w:rFonts w:ascii="Arial" w:hAnsi="Arial" w:cs="Arial"/>
          <w:sz w:val="24"/>
          <w:szCs w:val="24"/>
        </w:rPr>
        <w:t>the Homicide Act</w:t>
      </w:r>
      <w:r w:rsidR="00593606" w:rsidRPr="00C97166">
        <w:rPr>
          <w:rFonts w:ascii="Arial" w:hAnsi="Arial" w:cs="Arial"/>
          <w:sz w:val="24"/>
          <w:szCs w:val="24"/>
        </w:rPr>
        <w:t xml:space="preserve"> (1957) it said how a </w:t>
      </w:r>
      <w:r w:rsidR="00F266A1" w:rsidRPr="00C97166">
        <w:rPr>
          <w:rFonts w:ascii="Arial" w:hAnsi="Arial" w:cs="Arial"/>
          <w:sz w:val="24"/>
          <w:szCs w:val="24"/>
        </w:rPr>
        <w:t>person’s</w:t>
      </w:r>
      <w:r w:rsidR="00593606" w:rsidRPr="00C97166">
        <w:rPr>
          <w:rFonts w:ascii="Arial" w:hAnsi="Arial" w:cs="Arial"/>
          <w:sz w:val="24"/>
          <w:szCs w:val="24"/>
        </w:rPr>
        <w:t xml:space="preserve"> ‘mental responsibility’ must be ‘substantially impaired’ however this is very vague as it does</w:t>
      </w:r>
      <w:r w:rsidRPr="00C97166">
        <w:rPr>
          <w:rFonts w:ascii="Arial" w:hAnsi="Arial" w:cs="Arial"/>
          <w:sz w:val="24"/>
          <w:szCs w:val="24"/>
        </w:rPr>
        <w:t xml:space="preserve"> not</w:t>
      </w:r>
      <w:r w:rsidR="00593606" w:rsidRPr="00C97166">
        <w:rPr>
          <w:rFonts w:ascii="Arial" w:hAnsi="Arial" w:cs="Arial"/>
          <w:sz w:val="24"/>
          <w:szCs w:val="24"/>
        </w:rPr>
        <w:t xml:space="preserve"> state how it must be 'substantially impaired’</w:t>
      </w:r>
      <w:r w:rsidR="00F37DFD" w:rsidRPr="00C97166">
        <w:rPr>
          <w:rFonts w:ascii="Arial" w:hAnsi="Arial" w:cs="Arial"/>
          <w:sz w:val="24"/>
          <w:szCs w:val="24"/>
        </w:rPr>
        <w:t xml:space="preserve"> (</w:t>
      </w:r>
      <w:r w:rsidR="00A67652" w:rsidRPr="00C97166">
        <w:rPr>
          <w:rFonts w:ascii="Arial" w:hAnsi="Arial" w:cs="Arial"/>
          <w:sz w:val="24"/>
          <w:szCs w:val="24"/>
        </w:rPr>
        <w:t>Macdonald, 2018</w:t>
      </w:r>
      <w:r w:rsidR="00F266A1" w:rsidRPr="00C97166">
        <w:rPr>
          <w:rFonts w:ascii="Arial" w:hAnsi="Arial" w:cs="Arial"/>
          <w:sz w:val="24"/>
          <w:szCs w:val="24"/>
        </w:rPr>
        <w:t xml:space="preserve">). </w:t>
      </w:r>
      <w:r w:rsidR="008752E0" w:rsidRPr="00C97166">
        <w:rPr>
          <w:rFonts w:ascii="Arial" w:hAnsi="Arial" w:cs="Arial"/>
          <w:sz w:val="24"/>
          <w:szCs w:val="24"/>
        </w:rPr>
        <w:t>Therefore,</w:t>
      </w:r>
      <w:r w:rsidR="00F37DFD" w:rsidRPr="00C97166">
        <w:rPr>
          <w:rFonts w:ascii="Arial" w:hAnsi="Arial" w:cs="Arial"/>
          <w:sz w:val="24"/>
          <w:szCs w:val="24"/>
        </w:rPr>
        <w:t xml:space="preserve"> </w:t>
      </w:r>
      <w:r w:rsidR="00593606" w:rsidRPr="00C97166">
        <w:rPr>
          <w:rFonts w:ascii="Arial" w:hAnsi="Arial" w:cs="Arial"/>
          <w:sz w:val="24"/>
          <w:szCs w:val="24"/>
        </w:rPr>
        <w:t xml:space="preserve">in </w:t>
      </w:r>
      <w:r w:rsidR="00842F15">
        <w:rPr>
          <w:rFonts w:ascii="Arial" w:hAnsi="Arial" w:cs="Arial"/>
          <w:sz w:val="24"/>
          <w:szCs w:val="24"/>
        </w:rPr>
        <w:t>section 52</w:t>
      </w:r>
      <w:r w:rsidR="00593606" w:rsidRPr="00C97166">
        <w:rPr>
          <w:rFonts w:ascii="Arial" w:hAnsi="Arial" w:cs="Arial"/>
          <w:sz w:val="24"/>
          <w:szCs w:val="24"/>
        </w:rPr>
        <w:t xml:space="preserve"> of </w:t>
      </w:r>
      <w:r w:rsidR="00842F15">
        <w:rPr>
          <w:rFonts w:ascii="Arial" w:hAnsi="Arial" w:cs="Arial"/>
          <w:sz w:val="24"/>
          <w:szCs w:val="24"/>
        </w:rPr>
        <w:t>the Coroners and Justice Act</w:t>
      </w:r>
      <w:r w:rsidR="00593606" w:rsidRPr="00C97166">
        <w:rPr>
          <w:rFonts w:ascii="Arial" w:hAnsi="Arial" w:cs="Arial"/>
          <w:sz w:val="24"/>
          <w:szCs w:val="24"/>
        </w:rPr>
        <w:t xml:space="preserve"> (2009) they made it </w:t>
      </w:r>
      <w:r w:rsidR="006E02CF" w:rsidRPr="00C97166">
        <w:rPr>
          <w:rFonts w:ascii="Arial" w:hAnsi="Arial" w:cs="Arial"/>
          <w:sz w:val="24"/>
          <w:szCs w:val="24"/>
        </w:rPr>
        <w:t>somewhat</w:t>
      </w:r>
      <w:r w:rsidR="00593606" w:rsidRPr="00C97166">
        <w:rPr>
          <w:rFonts w:ascii="Arial" w:hAnsi="Arial" w:cs="Arial"/>
          <w:sz w:val="24"/>
          <w:szCs w:val="24"/>
        </w:rPr>
        <w:t xml:space="preserve"> </w:t>
      </w:r>
      <w:r w:rsidR="006E02CF" w:rsidRPr="00C97166">
        <w:rPr>
          <w:rFonts w:ascii="Arial" w:hAnsi="Arial" w:cs="Arial"/>
          <w:sz w:val="24"/>
          <w:szCs w:val="24"/>
        </w:rPr>
        <w:t xml:space="preserve">more clear </w:t>
      </w:r>
      <w:r w:rsidR="006E02CF" w:rsidRPr="00C97166">
        <w:rPr>
          <w:rFonts w:ascii="Arial" w:hAnsi="Arial" w:cs="Arial"/>
          <w:sz w:val="24"/>
          <w:szCs w:val="24"/>
        </w:rPr>
        <w:lastRenderedPageBreak/>
        <w:t xml:space="preserve">of the meaning of </w:t>
      </w:r>
      <w:r w:rsidR="00227D52" w:rsidRPr="00C97166">
        <w:rPr>
          <w:rFonts w:ascii="Arial" w:hAnsi="Arial" w:cs="Arial"/>
          <w:sz w:val="24"/>
          <w:szCs w:val="24"/>
        </w:rPr>
        <w:t>substantially</w:t>
      </w:r>
      <w:r w:rsidR="00593606" w:rsidRPr="00C97166">
        <w:rPr>
          <w:rFonts w:ascii="Arial" w:hAnsi="Arial" w:cs="Arial"/>
          <w:sz w:val="24"/>
          <w:szCs w:val="24"/>
        </w:rPr>
        <w:t xml:space="preserve"> </w:t>
      </w:r>
      <w:r w:rsidR="00227D52" w:rsidRPr="00C97166">
        <w:rPr>
          <w:rFonts w:ascii="Arial" w:hAnsi="Arial" w:cs="Arial"/>
          <w:sz w:val="24"/>
          <w:szCs w:val="24"/>
        </w:rPr>
        <w:t>impaired</w:t>
      </w:r>
      <w:r w:rsidR="00593606" w:rsidRPr="00C97166">
        <w:rPr>
          <w:rFonts w:ascii="Arial" w:hAnsi="Arial" w:cs="Arial"/>
          <w:sz w:val="24"/>
          <w:szCs w:val="24"/>
        </w:rPr>
        <w:t>’</w:t>
      </w:r>
      <w:r w:rsidR="008776EE" w:rsidRPr="00C97166">
        <w:rPr>
          <w:rFonts w:ascii="Arial" w:hAnsi="Arial" w:cs="Arial"/>
          <w:sz w:val="24"/>
          <w:szCs w:val="24"/>
        </w:rPr>
        <w:t>.</w:t>
      </w:r>
      <w:r w:rsidR="00593606" w:rsidRPr="00C97166">
        <w:rPr>
          <w:rFonts w:ascii="Arial" w:hAnsi="Arial" w:cs="Arial"/>
          <w:sz w:val="24"/>
          <w:szCs w:val="24"/>
        </w:rPr>
        <w:t xml:space="preserve"> As stated</w:t>
      </w:r>
      <w:r w:rsidR="008776EE" w:rsidRPr="00C97166">
        <w:rPr>
          <w:rFonts w:ascii="Arial" w:hAnsi="Arial" w:cs="Arial"/>
          <w:sz w:val="24"/>
          <w:szCs w:val="24"/>
        </w:rPr>
        <w:t xml:space="preserve"> </w:t>
      </w:r>
      <w:r w:rsidR="00227D52" w:rsidRPr="00C97166">
        <w:rPr>
          <w:rFonts w:ascii="Arial" w:hAnsi="Arial" w:cs="Arial"/>
          <w:sz w:val="24"/>
          <w:szCs w:val="24"/>
        </w:rPr>
        <w:t xml:space="preserve">in </w:t>
      </w:r>
      <w:r w:rsidR="008776EE" w:rsidRPr="00C97166">
        <w:rPr>
          <w:rFonts w:ascii="Arial" w:hAnsi="Arial" w:cs="Arial"/>
          <w:sz w:val="24"/>
          <w:szCs w:val="24"/>
        </w:rPr>
        <w:t>S</w:t>
      </w:r>
      <w:r w:rsidR="00227D52" w:rsidRPr="00C97166">
        <w:rPr>
          <w:rFonts w:ascii="Arial" w:hAnsi="Arial" w:cs="Arial"/>
          <w:sz w:val="24"/>
          <w:szCs w:val="24"/>
        </w:rPr>
        <w:t>52</w:t>
      </w:r>
      <w:r w:rsidR="00593606" w:rsidRPr="00C97166">
        <w:rPr>
          <w:rFonts w:ascii="Arial" w:hAnsi="Arial" w:cs="Arial"/>
          <w:sz w:val="24"/>
          <w:szCs w:val="24"/>
        </w:rPr>
        <w:t xml:space="preserve"> subsection (1A)</w:t>
      </w:r>
      <w:r w:rsidR="008776EE" w:rsidRPr="00C97166">
        <w:rPr>
          <w:rFonts w:ascii="Arial" w:hAnsi="Arial" w:cs="Arial"/>
          <w:sz w:val="24"/>
          <w:szCs w:val="24"/>
        </w:rPr>
        <w:t xml:space="preserve"> of CJA (2009)</w:t>
      </w:r>
      <w:r w:rsidR="00593606" w:rsidRPr="00C97166">
        <w:rPr>
          <w:rFonts w:ascii="Arial" w:hAnsi="Arial" w:cs="Arial"/>
          <w:sz w:val="24"/>
          <w:szCs w:val="24"/>
        </w:rPr>
        <w:t xml:space="preserve"> a person would have to prove</w:t>
      </w:r>
      <w:r w:rsidR="00F12D05" w:rsidRPr="00C97166">
        <w:rPr>
          <w:rFonts w:ascii="Arial" w:hAnsi="Arial" w:cs="Arial"/>
          <w:sz w:val="24"/>
          <w:szCs w:val="24"/>
        </w:rPr>
        <w:t xml:space="preserve"> three things firstly ‘their ability to understand the nature of his conduct meaning the defendant did not know what they were doing or understood</w:t>
      </w:r>
      <w:r w:rsidR="00763C9A" w:rsidRPr="00C97166">
        <w:rPr>
          <w:rFonts w:ascii="Arial" w:hAnsi="Arial" w:cs="Arial"/>
          <w:sz w:val="24"/>
          <w:szCs w:val="24"/>
        </w:rPr>
        <w:t xml:space="preserve"> (Herring</w:t>
      </w:r>
      <w:r w:rsidR="00F709BB" w:rsidRPr="00C97166">
        <w:rPr>
          <w:rFonts w:ascii="Arial" w:hAnsi="Arial" w:cs="Arial"/>
          <w:sz w:val="24"/>
          <w:szCs w:val="24"/>
        </w:rPr>
        <w:t>, 2022).</w:t>
      </w:r>
      <w:r w:rsidR="00797966" w:rsidRPr="00C97166">
        <w:rPr>
          <w:rFonts w:ascii="Arial" w:hAnsi="Arial" w:cs="Arial"/>
          <w:sz w:val="24"/>
          <w:szCs w:val="24"/>
        </w:rPr>
        <w:t xml:space="preserve"> The defendant can still use the defence of diminished responsibility even if they partially understood what they were doing (Macdonald, 2018). </w:t>
      </w:r>
      <w:r w:rsidR="00F12D05" w:rsidRPr="00C97166">
        <w:rPr>
          <w:rFonts w:ascii="Arial" w:hAnsi="Arial" w:cs="Arial"/>
          <w:sz w:val="24"/>
          <w:szCs w:val="24"/>
        </w:rPr>
        <w:t xml:space="preserve"> Secondly the defendant will have to show their ‘ability to form rational judgement’ meaning could they differentiate between what’s right and wrong</w:t>
      </w:r>
      <w:r w:rsidR="00F709BB" w:rsidRPr="00C97166">
        <w:rPr>
          <w:rFonts w:ascii="Arial" w:hAnsi="Arial" w:cs="Arial"/>
          <w:sz w:val="24"/>
          <w:szCs w:val="24"/>
        </w:rPr>
        <w:t xml:space="preserve"> (Herring, 2022)</w:t>
      </w:r>
      <w:r w:rsidR="00F12D05" w:rsidRPr="00C97166">
        <w:rPr>
          <w:rFonts w:ascii="Arial" w:hAnsi="Arial" w:cs="Arial"/>
          <w:sz w:val="24"/>
          <w:szCs w:val="24"/>
        </w:rPr>
        <w:t>. Lastly the ability to ‘exercise self-control’ meaning the defendant had no control over their action</w:t>
      </w:r>
      <w:r w:rsidR="000D5238">
        <w:rPr>
          <w:rFonts w:ascii="Arial" w:hAnsi="Arial" w:cs="Arial"/>
          <w:sz w:val="24"/>
          <w:szCs w:val="24"/>
        </w:rPr>
        <w:t>s</w:t>
      </w:r>
      <w:r w:rsidR="00F12D05" w:rsidRPr="00C97166">
        <w:rPr>
          <w:rFonts w:ascii="Arial" w:hAnsi="Arial" w:cs="Arial"/>
          <w:sz w:val="24"/>
          <w:szCs w:val="24"/>
        </w:rPr>
        <w:t xml:space="preserve"> due to ‘substantial impairment’.  </w:t>
      </w:r>
    </w:p>
    <w:p w14:paraId="4D080D62" w14:textId="69A7E53E" w:rsidR="00C97166" w:rsidRPr="00597087" w:rsidRDefault="006E02CF" w:rsidP="00597087">
      <w:pPr>
        <w:spacing w:line="360" w:lineRule="auto"/>
        <w:jc w:val="both"/>
        <w:rPr>
          <w:rFonts w:ascii="Arial" w:hAnsi="Arial" w:cs="Arial"/>
          <w:sz w:val="24"/>
          <w:szCs w:val="24"/>
        </w:rPr>
      </w:pPr>
      <w:r w:rsidRPr="004F765A">
        <w:rPr>
          <w:rFonts w:ascii="Arial" w:hAnsi="Arial" w:cs="Arial"/>
          <w:sz w:val="24"/>
          <w:szCs w:val="24"/>
        </w:rPr>
        <w:t xml:space="preserve">There </w:t>
      </w:r>
      <w:r w:rsidR="00F863CF" w:rsidRPr="004F765A">
        <w:rPr>
          <w:rFonts w:ascii="Arial" w:hAnsi="Arial" w:cs="Arial"/>
          <w:sz w:val="24"/>
          <w:szCs w:val="24"/>
        </w:rPr>
        <w:t>are</w:t>
      </w:r>
      <w:r w:rsidRPr="004F765A">
        <w:rPr>
          <w:rFonts w:ascii="Arial" w:hAnsi="Arial" w:cs="Arial"/>
          <w:sz w:val="24"/>
          <w:szCs w:val="24"/>
        </w:rPr>
        <w:t xml:space="preserve"> still arguments as to what ‘substantially impaired’ is defined as.</w:t>
      </w:r>
      <w:r w:rsidR="00163E8A" w:rsidRPr="004F765A">
        <w:rPr>
          <w:rFonts w:ascii="Arial" w:hAnsi="Arial" w:cs="Arial"/>
          <w:sz w:val="24"/>
          <w:szCs w:val="24"/>
        </w:rPr>
        <w:t xml:space="preserve"> As seen in R </w:t>
      </w:r>
      <w:r w:rsidR="00300CBC" w:rsidRPr="004F765A">
        <w:rPr>
          <w:rFonts w:ascii="Arial" w:hAnsi="Arial" w:cs="Arial"/>
          <w:sz w:val="24"/>
          <w:szCs w:val="24"/>
        </w:rPr>
        <w:t xml:space="preserve">v </w:t>
      </w:r>
      <w:r w:rsidR="00163E8A" w:rsidRPr="004F765A">
        <w:rPr>
          <w:rFonts w:ascii="Arial" w:hAnsi="Arial" w:cs="Arial"/>
          <w:sz w:val="24"/>
          <w:szCs w:val="24"/>
        </w:rPr>
        <w:t>Golds (2016)</w:t>
      </w:r>
      <w:r w:rsidR="00300CBC">
        <w:rPr>
          <w:rFonts w:ascii="Arial" w:hAnsi="Arial" w:cs="Arial"/>
          <w:sz w:val="24"/>
          <w:szCs w:val="24"/>
        </w:rPr>
        <w:t xml:space="preserve"> this case focused on what the definition of ‘substantially impaired’ is due to it not be specified in the previous S2 of HA (1952) and current S54 of CJA (2009). This case brough</w:t>
      </w:r>
      <w:r w:rsidR="004F765A">
        <w:rPr>
          <w:rFonts w:ascii="Arial" w:hAnsi="Arial" w:cs="Arial"/>
          <w:sz w:val="24"/>
          <w:szCs w:val="24"/>
        </w:rPr>
        <w:t>t</w:t>
      </w:r>
      <w:r w:rsidR="00300CBC">
        <w:rPr>
          <w:rFonts w:ascii="Arial" w:hAnsi="Arial" w:cs="Arial"/>
          <w:sz w:val="24"/>
          <w:szCs w:val="24"/>
        </w:rPr>
        <w:t xml:space="preserve"> two possible definitions for ‘substantially impaired’</w:t>
      </w:r>
      <w:r w:rsidR="004F765A">
        <w:rPr>
          <w:rFonts w:ascii="Arial" w:hAnsi="Arial" w:cs="Arial"/>
          <w:sz w:val="24"/>
          <w:szCs w:val="24"/>
        </w:rPr>
        <w:t xml:space="preserve"> by Lord Hughes</w:t>
      </w:r>
      <w:r w:rsidR="00300CBC">
        <w:rPr>
          <w:rFonts w:ascii="Arial" w:hAnsi="Arial" w:cs="Arial"/>
          <w:sz w:val="24"/>
          <w:szCs w:val="24"/>
        </w:rPr>
        <w:t xml:space="preserve"> one is</w:t>
      </w:r>
      <w:r w:rsidR="004F765A">
        <w:rPr>
          <w:rFonts w:ascii="Arial" w:hAnsi="Arial" w:cs="Arial"/>
          <w:sz w:val="24"/>
          <w:szCs w:val="24"/>
        </w:rPr>
        <w:t xml:space="preserve"> ‘</w:t>
      </w:r>
      <w:r w:rsidR="00300CBC">
        <w:rPr>
          <w:rFonts w:ascii="Arial" w:hAnsi="Arial" w:cs="Arial"/>
          <w:sz w:val="24"/>
          <w:szCs w:val="24"/>
        </w:rPr>
        <w:t xml:space="preserve">more than merely trivial’ </w:t>
      </w:r>
      <w:r w:rsidR="004F765A">
        <w:rPr>
          <w:rFonts w:ascii="Arial" w:hAnsi="Arial" w:cs="Arial"/>
          <w:sz w:val="24"/>
          <w:szCs w:val="24"/>
        </w:rPr>
        <w:t xml:space="preserve">and secondly ‘important or weighty’. As mentioned in the case due to there being no definitive definition </w:t>
      </w:r>
      <w:r w:rsidR="00580D41">
        <w:rPr>
          <w:rFonts w:ascii="Arial" w:hAnsi="Arial" w:cs="Arial"/>
          <w:sz w:val="24"/>
          <w:szCs w:val="24"/>
        </w:rPr>
        <w:t>i</w:t>
      </w:r>
      <w:r w:rsidR="004F765A">
        <w:rPr>
          <w:rFonts w:ascii="Arial" w:hAnsi="Arial" w:cs="Arial"/>
          <w:sz w:val="24"/>
          <w:szCs w:val="24"/>
        </w:rPr>
        <w:t>t mean</w:t>
      </w:r>
      <w:r w:rsidR="008C231D">
        <w:rPr>
          <w:rFonts w:ascii="Arial" w:hAnsi="Arial" w:cs="Arial"/>
          <w:sz w:val="24"/>
          <w:szCs w:val="24"/>
        </w:rPr>
        <w:t>t</w:t>
      </w:r>
      <w:r w:rsidR="004F765A">
        <w:rPr>
          <w:rFonts w:ascii="Arial" w:hAnsi="Arial" w:cs="Arial"/>
          <w:sz w:val="24"/>
          <w:szCs w:val="24"/>
        </w:rPr>
        <w:t xml:space="preserve"> there is inconsistency throughout, and many could argue and interpret ‘substantially impaired’ differently. Due to this it’s up to the jury to decide how they interpret the meaning. Lord Hughes </w:t>
      </w:r>
      <w:r w:rsidR="00E3025D">
        <w:rPr>
          <w:rFonts w:ascii="Arial" w:hAnsi="Arial" w:cs="Arial"/>
          <w:sz w:val="24"/>
          <w:szCs w:val="24"/>
        </w:rPr>
        <w:t>said,</w:t>
      </w:r>
      <w:r w:rsidR="004F765A">
        <w:rPr>
          <w:rFonts w:ascii="Arial" w:hAnsi="Arial" w:cs="Arial"/>
          <w:sz w:val="24"/>
          <w:szCs w:val="24"/>
        </w:rPr>
        <w:t xml:space="preserve"> “</w:t>
      </w:r>
      <w:r w:rsidR="00E3025D">
        <w:rPr>
          <w:rFonts w:ascii="Arial" w:hAnsi="Arial" w:cs="Arial"/>
          <w:sz w:val="24"/>
          <w:szCs w:val="24"/>
        </w:rPr>
        <w:t>the existence of two sense of the word substantially means that the law should, in relation to diminished responsibility, be clear which sense is being employed”.</w:t>
      </w:r>
    </w:p>
    <w:p w14:paraId="7FFE1C79" w14:textId="06B41BA9" w:rsidR="00F97AA0" w:rsidRPr="004F3F97" w:rsidRDefault="004F3F97" w:rsidP="00805E99">
      <w:pPr>
        <w:spacing w:line="360" w:lineRule="auto"/>
        <w:jc w:val="both"/>
        <w:rPr>
          <w:rFonts w:ascii="Arial" w:hAnsi="Arial" w:cs="Arial"/>
          <w:sz w:val="24"/>
          <w:szCs w:val="24"/>
        </w:rPr>
      </w:pPr>
      <w:r w:rsidRPr="004F3F97">
        <w:rPr>
          <w:rFonts w:ascii="Arial" w:hAnsi="Arial" w:cs="Arial"/>
          <w:sz w:val="24"/>
          <w:szCs w:val="24"/>
        </w:rPr>
        <w:t>Mackay (2021) report looked a</w:t>
      </w:r>
      <w:r>
        <w:rPr>
          <w:rFonts w:ascii="Arial" w:hAnsi="Arial" w:cs="Arial"/>
          <w:sz w:val="24"/>
          <w:szCs w:val="24"/>
        </w:rPr>
        <w:t xml:space="preserve">t the criticisms of </w:t>
      </w:r>
      <w:r w:rsidR="008C231D">
        <w:rPr>
          <w:rFonts w:ascii="Arial" w:hAnsi="Arial" w:cs="Arial"/>
          <w:sz w:val="24"/>
          <w:szCs w:val="24"/>
        </w:rPr>
        <w:t xml:space="preserve">section </w:t>
      </w:r>
      <w:r>
        <w:rPr>
          <w:rFonts w:ascii="Arial" w:hAnsi="Arial" w:cs="Arial"/>
          <w:sz w:val="24"/>
          <w:szCs w:val="24"/>
        </w:rPr>
        <w:t xml:space="preserve">52 of </w:t>
      </w:r>
      <w:r w:rsidR="008C231D">
        <w:rPr>
          <w:rFonts w:ascii="Arial" w:hAnsi="Arial" w:cs="Arial"/>
          <w:sz w:val="24"/>
          <w:szCs w:val="24"/>
        </w:rPr>
        <w:t>Coroners and Justice Act</w:t>
      </w:r>
      <w:r>
        <w:rPr>
          <w:rFonts w:ascii="Arial" w:hAnsi="Arial" w:cs="Arial"/>
          <w:sz w:val="24"/>
          <w:szCs w:val="24"/>
        </w:rPr>
        <w:t xml:space="preserve"> (2009). </w:t>
      </w:r>
      <w:r w:rsidR="00103FA5">
        <w:rPr>
          <w:rFonts w:ascii="Arial" w:hAnsi="Arial" w:cs="Arial"/>
          <w:sz w:val="24"/>
          <w:szCs w:val="24"/>
        </w:rPr>
        <w:t>Firstly,</w:t>
      </w:r>
      <w:r w:rsidR="00262130">
        <w:rPr>
          <w:rFonts w:ascii="Arial" w:hAnsi="Arial" w:cs="Arial"/>
          <w:sz w:val="24"/>
          <w:szCs w:val="24"/>
        </w:rPr>
        <w:t xml:space="preserve"> there has been discussions over </w:t>
      </w:r>
      <w:r w:rsidR="00103FA5">
        <w:rPr>
          <w:rFonts w:ascii="Arial" w:hAnsi="Arial" w:cs="Arial"/>
          <w:sz w:val="24"/>
          <w:szCs w:val="24"/>
        </w:rPr>
        <w:t>the clarity of</w:t>
      </w:r>
      <w:r w:rsidR="003F479A">
        <w:rPr>
          <w:rFonts w:ascii="Arial" w:hAnsi="Arial" w:cs="Arial"/>
          <w:sz w:val="24"/>
          <w:szCs w:val="24"/>
        </w:rPr>
        <w:t xml:space="preserve"> (1A)</w:t>
      </w:r>
      <w:r w:rsidR="00103FA5">
        <w:rPr>
          <w:rFonts w:ascii="Arial" w:hAnsi="Arial" w:cs="Arial"/>
          <w:sz w:val="24"/>
          <w:szCs w:val="24"/>
        </w:rPr>
        <w:t xml:space="preserve"> (b) ‘forming a rational judgment’. Mackay (2021) argued that the words ‘judgement’ and ‘forming a judgment’ have different mean</w:t>
      </w:r>
      <w:r w:rsidR="00DA6DCA">
        <w:rPr>
          <w:rFonts w:ascii="Arial" w:hAnsi="Arial" w:cs="Arial"/>
          <w:sz w:val="24"/>
          <w:szCs w:val="24"/>
        </w:rPr>
        <w:t>ings</w:t>
      </w:r>
      <w:r w:rsidR="00103FA5">
        <w:rPr>
          <w:rFonts w:ascii="Arial" w:hAnsi="Arial" w:cs="Arial"/>
          <w:sz w:val="24"/>
          <w:szCs w:val="24"/>
        </w:rPr>
        <w:t xml:space="preserve">. Whereas ‘judgement’ is said to be the process of weighing up options before making a decision ‘forming a judgement’ is the thought process involved in making a judgement (Mackay, 2021). </w:t>
      </w:r>
      <w:r w:rsidR="00805E99">
        <w:rPr>
          <w:rFonts w:ascii="Arial" w:hAnsi="Arial" w:cs="Arial"/>
          <w:sz w:val="24"/>
          <w:szCs w:val="24"/>
        </w:rPr>
        <w:t>In the case of R v Conroy (2017) the judge said how  ‘r</w:t>
      </w:r>
      <w:r w:rsidR="00103FA5">
        <w:rPr>
          <w:rFonts w:ascii="Arial" w:hAnsi="Arial" w:cs="Arial"/>
          <w:sz w:val="24"/>
          <w:szCs w:val="24"/>
        </w:rPr>
        <w:t>ational judgement’ has not been defined by the act of Parliamen</w:t>
      </w:r>
      <w:r w:rsidR="00805E99">
        <w:rPr>
          <w:rFonts w:ascii="Arial" w:hAnsi="Arial" w:cs="Arial"/>
          <w:sz w:val="24"/>
          <w:szCs w:val="24"/>
        </w:rPr>
        <w:t xml:space="preserve">t so he told the jury </w:t>
      </w:r>
      <w:r w:rsidR="00AC756B">
        <w:rPr>
          <w:rFonts w:ascii="Arial" w:hAnsi="Arial" w:cs="Arial"/>
          <w:sz w:val="24"/>
          <w:szCs w:val="24"/>
        </w:rPr>
        <w:t xml:space="preserve">to </w:t>
      </w:r>
      <w:r w:rsidR="00805E99">
        <w:rPr>
          <w:rFonts w:ascii="Arial" w:hAnsi="Arial" w:cs="Arial"/>
          <w:sz w:val="24"/>
          <w:szCs w:val="24"/>
        </w:rPr>
        <w:t>use the English definition which is ‘a considered decision based on reason’. Mackay (2017) said how he recommends that  ‘forming a rational judgment’ should be looked at</w:t>
      </w:r>
      <w:r w:rsidR="003F479A">
        <w:rPr>
          <w:rFonts w:ascii="Arial" w:hAnsi="Arial" w:cs="Arial"/>
          <w:sz w:val="24"/>
          <w:szCs w:val="24"/>
        </w:rPr>
        <w:t xml:space="preserve"> as</w:t>
      </w:r>
      <w:r w:rsidR="00805E99">
        <w:rPr>
          <w:rFonts w:ascii="Arial" w:hAnsi="Arial" w:cs="Arial"/>
          <w:sz w:val="24"/>
          <w:szCs w:val="24"/>
        </w:rPr>
        <w:t xml:space="preserve"> the formation and rationality of D before and during the crime. </w:t>
      </w:r>
    </w:p>
    <w:p w14:paraId="5C4E5359" w14:textId="7FAA619E" w:rsidR="00597087" w:rsidRDefault="003F479A" w:rsidP="00AC756B">
      <w:pPr>
        <w:spacing w:line="360" w:lineRule="auto"/>
        <w:jc w:val="both"/>
        <w:rPr>
          <w:rFonts w:ascii="Arial" w:hAnsi="Arial" w:cs="Arial"/>
          <w:sz w:val="24"/>
          <w:szCs w:val="24"/>
        </w:rPr>
      </w:pPr>
      <w:r>
        <w:rPr>
          <w:rFonts w:ascii="Arial" w:hAnsi="Arial" w:cs="Arial"/>
          <w:sz w:val="24"/>
          <w:szCs w:val="24"/>
        </w:rPr>
        <w:lastRenderedPageBreak/>
        <w:t>It is said how (1A) (</w:t>
      </w:r>
      <w:r w:rsidR="00DA6DCA">
        <w:rPr>
          <w:rFonts w:ascii="Arial" w:hAnsi="Arial" w:cs="Arial"/>
          <w:sz w:val="24"/>
          <w:szCs w:val="24"/>
        </w:rPr>
        <w:t>c</w:t>
      </w:r>
      <w:r>
        <w:rPr>
          <w:rFonts w:ascii="Arial" w:hAnsi="Arial" w:cs="Arial"/>
          <w:sz w:val="24"/>
          <w:szCs w:val="24"/>
        </w:rPr>
        <w:t xml:space="preserve">) ‘exercise self-control’ wording is troubling as it is not explained as to what ‘exercise’ is supposed to play in ability. </w:t>
      </w:r>
      <w:r w:rsidR="004B0B32">
        <w:rPr>
          <w:rFonts w:ascii="Arial" w:hAnsi="Arial" w:cs="Arial"/>
          <w:sz w:val="24"/>
          <w:szCs w:val="24"/>
        </w:rPr>
        <w:t>Mackay (2021) states how until it is stated what ‘exercise’ means it should be regarded as ‘superfluous’.  Mackay (2021) report says how</w:t>
      </w:r>
      <w:r w:rsidR="00AC756B">
        <w:rPr>
          <w:rFonts w:ascii="Arial" w:hAnsi="Arial" w:cs="Arial"/>
          <w:sz w:val="24"/>
          <w:szCs w:val="24"/>
        </w:rPr>
        <w:t xml:space="preserve"> due to ‘loss of control’ in</w:t>
      </w:r>
      <w:r w:rsidR="004B0B32">
        <w:rPr>
          <w:rFonts w:ascii="Arial" w:hAnsi="Arial" w:cs="Arial"/>
          <w:sz w:val="24"/>
          <w:szCs w:val="24"/>
        </w:rPr>
        <w:t xml:space="preserve"> section 54 to 57</w:t>
      </w:r>
      <w:r w:rsidR="001A4E91">
        <w:rPr>
          <w:rFonts w:ascii="Arial" w:hAnsi="Arial" w:cs="Arial"/>
          <w:sz w:val="24"/>
          <w:szCs w:val="24"/>
        </w:rPr>
        <w:t xml:space="preserve"> of the Coroners and Justice Act </w:t>
      </w:r>
      <w:r w:rsidR="004B0B32">
        <w:rPr>
          <w:rFonts w:ascii="Arial" w:hAnsi="Arial" w:cs="Arial"/>
          <w:sz w:val="24"/>
          <w:szCs w:val="24"/>
        </w:rPr>
        <w:t xml:space="preserve"> (2009) plea has the phrase ‘self-control’ </w:t>
      </w:r>
      <w:r w:rsidR="00AC756B">
        <w:rPr>
          <w:rFonts w:ascii="Arial" w:hAnsi="Arial" w:cs="Arial"/>
          <w:sz w:val="24"/>
          <w:szCs w:val="24"/>
        </w:rPr>
        <w:t xml:space="preserve">the meaning in this plea should be in the plea of diminished responsibility rather than ‘exercise self-control’. </w:t>
      </w:r>
    </w:p>
    <w:p w14:paraId="6D7DC06B" w14:textId="5913C3F4" w:rsidR="00AC756B" w:rsidRDefault="00222FED" w:rsidP="00AC756B">
      <w:pPr>
        <w:spacing w:line="360" w:lineRule="auto"/>
        <w:jc w:val="both"/>
        <w:rPr>
          <w:rFonts w:ascii="Arial" w:hAnsi="Arial" w:cs="Arial"/>
          <w:sz w:val="24"/>
          <w:szCs w:val="24"/>
        </w:rPr>
      </w:pPr>
      <w:r>
        <w:rPr>
          <w:rFonts w:ascii="Arial" w:hAnsi="Arial" w:cs="Arial"/>
          <w:sz w:val="24"/>
          <w:szCs w:val="24"/>
        </w:rPr>
        <w:t>In conclusion the changes made to section 52 diminished responsibility of the Coroners</w:t>
      </w:r>
      <w:r w:rsidR="008C231D">
        <w:rPr>
          <w:rFonts w:ascii="Arial" w:hAnsi="Arial" w:cs="Arial"/>
          <w:sz w:val="24"/>
          <w:szCs w:val="24"/>
        </w:rPr>
        <w:t xml:space="preserve"> and</w:t>
      </w:r>
      <w:r>
        <w:rPr>
          <w:rFonts w:ascii="Arial" w:hAnsi="Arial" w:cs="Arial"/>
          <w:sz w:val="24"/>
          <w:szCs w:val="24"/>
        </w:rPr>
        <w:t xml:space="preserve"> Justice Act 2009 gave more clarity to diminished responsibility and more flexibility to stay up to date with changes in medicine and law. </w:t>
      </w:r>
      <w:r w:rsidR="00580D41">
        <w:rPr>
          <w:rFonts w:ascii="Arial" w:hAnsi="Arial" w:cs="Arial"/>
          <w:sz w:val="24"/>
          <w:szCs w:val="24"/>
        </w:rPr>
        <w:t>Also,</w:t>
      </w:r>
      <w:r>
        <w:rPr>
          <w:rFonts w:ascii="Arial" w:hAnsi="Arial" w:cs="Arial"/>
          <w:sz w:val="24"/>
          <w:szCs w:val="24"/>
        </w:rPr>
        <w:t xml:space="preserve"> </w:t>
      </w:r>
      <w:r w:rsidR="008C231D">
        <w:rPr>
          <w:rFonts w:ascii="Arial" w:hAnsi="Arial" w:cs="Arial"/>
          <w:sz w:val="24"/>
          <w:szCs w:val="24"/>
        </w:rPr>
        <w:t xml:space="preserve">the changes </w:t>
      </w:r>
      <w:r>
        <w:rPr>
          <w:rFonts w:ascii="Arial" w:hAnsi="Arial" w:cs="Arial"/>
          <w:sz w:val="24"/>
          <w:szCs w:val="24"/>
        </w:rPr>
        <w:t>gave more scope to the types of medical conditions that a defendant can claim under section 52</w:t>
      </w:r>
      <w:r w:rsidR="00DA6DCA">
        <w:rPr>
          <w:rFonts w:ascii="Arial" w:hAnsi="Arial" w:cs="Arial"/>
          <w:sz w:val="24"/>
          <w:szCs w:val="24"/>
        </w:rPr>
        <w:t xml:space="preserve"> of CJA 2009</w:t>
      </w:r>
      <w:r>
        <w:rPr>
          <w:rFonts w:ascii="Arial" w:hAnsi="Arial" w:cs="Arial"/>
          <w:sz w:val="24"/>
          <w:szCs w:val="24"/>
        </w:rPr>
        <w:t xml:space="preserve">. </w:t>
      </w:r>
    </w:p>
    <w:p w14:paraId="67B6113E" w14:textId="4EC05376" w:rsidR="00AC756B" w:rsidRDefault="00AC756B" w:rsidP="00AC756B">
      <w:pPr>
        <w:spacing w:line="360" w:lineRule="auto"/>
        <w:jc w:val="both"/>
        <w:rPr>
          <w:rFonts w:ascii="Arial" w:hAnsi="Arial" w:cs="Arial"/>
          <w:sz w:val="24"/>
          <w:szCs w:val="24"/>
        </w:rPr>
      </w:pPr>
    </w:p>
    <w:p w14:paraId="434EAAD6" w14:textId="3BFCACD5" w:rsidR="00AC756B" w:rsidRDefault="00AC756B" w:rsidP="00AC756B">
      <w:pPr>
        <w:spacing w:line="360" w:lineRule="auto"/>
        <w:jc w:val="both"/>
        <w:rPr>
          <w:rFonts w:ascii="Arial" w:hAnsi="Arial" w:cs="Arial"/>
          <w:sz w:val="24"/>
          <w:szCs w:val="24"/>
        </w:rPr>
      </w:pPr>
    </w:p>
    <w:p w14:paraId="677F4018" w14:textId="17CAB4F5" w:rsidR="00AC756B" w:rsidRDefault="00AC756B" w:rsidP="00AC756B">
      <w:pPr>
        <w:spacing w:line="360" w:lineRule="auto"/>
        <w:jc w:val="both"/>
        <w:rPr>
          <w:rFonts w:ascii="Arial" w:hAnsi="Arial" w:cs="Arial"/>
          <w:sz w:val="24"/>
          <w:szCs w:val="24"/>
        </w:rPr>
      </w:pPr>
    </w:p>
    <w:p w14:paraId="568CE57B" w14:textId="764C8EA6" w:rsidR="00AC756B" w:rsidRDefault="00AC756B" w:rsidP="00AC756B">
      <w:pPr>
        <w:spacing w:line="360" w:lineRule="auto"/>
        <w:jc w:val="both"/>
        <w:rPr>
          <w:rFonts w:ascii="Arial" w:hAnsi="Arial" w:cs="Arial"/>
          <w:sz w:val="24"/>
          <w:szCs w:val="24"/>
        </w:rPr>
      </w:pPr>
    </w:p>
    <w:p w14:paraId="720976E1" w14:textId="70228A40" w:rsidR="00AC756B" w:rsidRDefault="00AC756B" w:rsidP="00AC756B">
      <w:pPr>
        <w:spacing w:line="360" w:lineRule="auto"/>
        <w:jc w:val="both"/>
        <w:rPr>
          <w:rFonts w:ascii="Arial" w:hAnsi="Arial" w:cs="Arial"/>
          <w:sz w:val="24"/>
          <w:szCs w:val="24"/>
        </w:rPr>
      </w:pPr>
    </w:p>
    <w:p w14:paraId="781EA478" w14:textId="4A988D19" w:rsidR="00AC756B" w:rsidRDefault="00AC756B" w:rsidP="00AC756B">
      <w:pPr>
        <w:spacing w:line="360" w:lineRule="auto"/>
        <w:jc w:val="both"/>
        <w:rPr>
          <w:rFonts w:ascii="Arial" w:hAnsi="Arial" w:cs="Arial"/>
          <w:sz w:val="24"/>
          <w:szCs w:val="24"/>
        </w:rPr>
      </w:pPr>
    </w:p>
    <w:p w14:paraId="5969DB83" w14:textId="4D170BDA" w:rsidR="00AC756B" w:rsidRDefault="00AC756B" w:rsidP="00AC756B">
      <w:pPr>
        <w:spacing w:line="360" w:lineRule="auto"/>
        <w:jc w:val="both"/>
        <w:rPr>
          <w:rFonts w:ascii="Arial" w:hAnsi="Arial" w:cs="Arial"/>
          <w:sz w:val="24"/>
          <w:szCs w:val="24"/>
        </w:rPr>
      </w:pPr>
    </w:p>
    <w:p w14:paraId="082E8D2E" w14:textId="7CEACF29" w:rsidR="00AC756B" w:rsidRDefault="00AC756B" w:rsidP="00AC756B">
      <w:pPr>
        <w:spacing w:line="360" w:lineRule="auto"/>
        <w:jc w:val="both"/>
        <w:rPr>
          <w:rFonts w:ascii="Arial" w:hAnsi="Arial" w:cs="Arial"/>
          <w:sz w:val="24"/>
          <w:szCs w:val="24"/>
        </w:rPr>
      </w:pPr>
    </w:p>
    <w:p w14:paraId="571A539A" w14:textId="28061097" w:rsidR="00AC756B" w:rsidRDefault="00AC756B" w:rsidP="00AC756B">
      <w:pPr>
        <w:spacing w:line="360" w:lineRule="auto"/>
        <w:jc w:val="both"/>
        <w:rPr>
          <w:rFonts w:ascii="Arial" w:hAnsi="Arial" w:cs="Arial"/>
          <w:sz w:val="24"/>
          <w:szCs w:val="24"/>
        </w:rPr>
      </w:pPr>
    </w:p>
    <w:p w14:paraId="0BB73BF0" w14:textId="0F8319D1" w:rsidR="00AC756B" w:rsidRDefault="00AC756B" w:rsidP="00AC756B">
      <w:pPr>
        <w:spacing w:line="360" w:lineRule="auto"/>
        <w:jc w:val="both"/>
        <w:rPr>
          <w:rFonts w:ascii="Arial" w:hAnsi="Arial" w:cs="Arial"/>
          <w:sz w:val="24"/>
          <w:szCs w:val="24"/>
        </w:rPr>
      </w:pPr>
    </w:p>
    <w:p w14:paraId="3382202C" w14:textId="22190922" w:rsidR="00AC756B" w:rsidRDefault="00AC756B" w:rsidP="00AC756B">
      <w:pPr>
        <w:spacing w:line="360" w:lineRule="auto"/>
        <w:jc w:val="both"/>
        <w:rPr>
          <w:rFonts w:ascii="Arial" w:hAnsi="Arial" w:cs="Arial"/>
          <w:sz w:val="24"/>
          <w:szCs w:val="24"/>
        </w:rPr>
      </w:pPr>
    </w:p>
    <w:p w14:paraId="35802C54" w14:textId="1131573A" w:rsidR="00AC756B" w:rsidRDefault="00AC756B" w:rsidP="00AC756B">
      <w:pPr>
        <w:spacing w:line="360" w:lineRule="auto"/>
        <w:jc w:val="both"/>
        <w:rPr>
          <w:rFonts w:ascii="Arial" w:hAnsi="Arial" w:cs="Arial"/>
          <w:sz w:val="24"/>
          <w:szCs w:val="24"/>
        </w:rPr>
      </w:pPr>
    </w:p>
    <w:p w14:paraId="2CEC1534" w14:textId="77F62A27" w:rsidR="00AC756B" w:rsidRDefault="00AC756B" w:rsidP="00AC756B">
      <w:pPr>
        <w:spacing w:line="360" w:lineRule="auto"/>
        <w:jc w:val="both"/>
        <w:rPr>
          <w:rFonts w:ascii="Arial" w:hAnsi="Arial" w:cs="Arial"/>
          <w:sz w:val="24"/>
          <w:szCs w:val="24"/>
        </w:rPr>
      </w:pPr>
    </w:p>
    <w:p w14:paraId="39BC1833" w14:textId="7FF92415" w:rsidR="00AC756B" w:rsidRDefault="00AC756B" w:rsidP="00AC756B">
      <w:pPr>
        <w:spacing w:line="360" w:lineRule="auto"/>
        <w:jc w:val="both"/>
        <w:rPr>
          <w:rFonts w:ascii="Arial" w:hAnsi="Arial" w:cs="Arial"/>
          <w:sz w:val="24"/>
          <w:szCs w:val="24"/>
        </w:rPr>
      </w:pPr>
    </w:p>
    <w:p w14:paraId="13EA2561" w14:textId="18A8B582" w:rsidR="00AC756B" w:rsidRDefault="00AC756B" w:rsidP="00AC756B">
      <w:pPr>
        <w:spacing w:line="360" w:lineRule="auto"/>
        <w:jc w:val="both"/>
        <w:rPr>
          <w:rFonts w:ascii="Arial" w:hAnsi="Arial" w:cs="Arial"/>
          <w:sz w:val="24"/>
          <w:szCs w:val="24"/>
        </w:rPr>
      </w:pPr>
    </w:p>
    <w:p w14:paraId="77261CDE" w14:textId="0C2E6D68" w:rsidR="00AC756B" w:rsidRDefault="00AC756B" w:rsidP="00AC756B">
      <w:pPr>
        <w:spacing w:line="360" w:lineRule="auto"/>
        <w:jc w:val="both"/>
        <w:rPr>
          <w:rFonts w:ascii="Arial" w:hAnsi="Arial" w:cs="Arial"/>
          <w:sz w:val="24"/>
          <w:szCs w:val="24"/>
        </w:rPr>
      </w:pPr>
    </w:p>
    <w:p w14:paraId="5EEC0E63" w14:textId="71978175" w:rsidR="00463A88" w:rsidRDefault="00F97AA0" w:rsidP="00222FED">
      <w:pPr>
        <w:spacing w:line="360" w:lineRule="auto"/>
        <w:jc w:val="center"/>
        <w:rPr>
          <w:rFonts w:ascii="Arial" w:hAnsi="Arial" w:cs="Arial"/>
          <w:b/>
          <w:bCs/>
          <w:sz w:val="44"/>
          <w:szCs w:val="44"/>
          <w:u w:val="single"/>
        </w:rPr>
      </w:pPr>
      <w:r w:rsidRPr="00975EC2">
        <w:rPr>
          <w:rFonts w:ascii="Arial" w:hAnsi="Arial" w:cs="Arial"/>
          <w:b/>
          <w:bCs/>
          <w:sz w:val="44"/>
          <w:szCs w:val="44"/>
          <w:u w:val="single"/>
        </w:rPr>
        <w:lastRenderedPageBreak/>
        <w:t>References</w:t>
      </w:r>
    </w:p>
    <w:p w14:paraId="5DD12F17" w14:textId="2F15E2D6" w:rsidR="00CA6FD6" w:rsidRDefault="00CA6FD6" w:rsidP="00CA6FD6">
      <w:pPr>
        <w:spacing w:line="360" w:lineRule="auto"/>
        <w:rPr>
          <w:rFonts w:ascii="Arial" w:hAnsi="Arial" w:cs="Arial"/>
          <w:b/>
          <w:bCs/>
          <w:sz w:val="28"/>
          <w:szCs w:val="28"/>
          <w:u w:val="single"/>
        </w:rPr>
      </w:pPr>
      <w:r w:rsidRPr="00CA6FD6">
        <w:rPr>
          <w:rFonts w:ascii="Arial" w:hAnsi="Arial" w:cs="Arial"/>
          <w:b/>
          <w:bCs/>
          <w:sz w:val="28"/>
          <w:szCs w:val="28"/>
          <w:u w:val="single"/>
        </w:rPr>
        <w:t>Legislation</w:t>
      </w:r>
    </w:p>
    <w:p w14:paraId="75ABF0C0" w14:textId="65E51750" w:rsidR="00CA6FD6" w:rsidRPr="00CA6FD6" w:rsidRDefault="00CA6FD6" w:rsidP="00CA6FD6">
      <w:pPr>
        <w:spacing w:line="360" w:lineRule="auto"/>
        <w:rPr>
          <w:rFonts w:ascii="Arial" w:hAnsi="Arial" w:cs="Arial"/>
          <w:sz w:val="24"/>
          <w:szCs w:val="24"/>
        </w:rPr>
      </w:pPr>
      <w:r w:rsidRPr="00CA6FD6">
        <w:rPr>
          <w:rFonts w:ascii="Arial" w:hAnsi="Arial" w:cs="Arial"/>
          <w:sz w:val="24"/>
          <w:szCs w:val="24"/>
        </w:rPr>
        <w:t xml:space="preserve">Section 2 of The Homicide Act </w:t>
      </w:r>
      <w:r w:rsidR="0041694E">
        <w:rPr>
          <w:rFonts w:ascii="Arial" w:hAnsi="Arial" w:cs="Arial"/>
          <w:sz w:val="24"/>
          <w:szCs w:val="24"/>
        </w:rPr>
        <w:t>(</w:t>
      </w:r>
      <w:r w:rsidRPr="00CA6FD6">
        <w:rPr>
          <w:rFonts w:ascii="Arial" w:hAnsi="Arial" w:cs="Arial"/>
          <w:sz w:val="24"/>
          <w:szCs w:val="24"/>
        </w:rPr>
        <w:t>1952</w:t>
      </w:r>
      <w:r w:rsidR="0041694E">
        <w:rPr>
          <w:rFonts w:ascii="Arial" w:hAnsi="Arial" w:cs="Arial"/>
          <w:sz w:val="24"/>
          <w:szCs w:val="24"/>
        </w:rPr>
        <w:t>)</w:t>
      </w:r>
    </w:p>
    <w:p w14:paraId="4EE18569" w14:textId="73DB02A6" w:rsidR="00CA6FD6" w:rsidRPr="00CA6FD6" w:rsidRDefault="00CA6FD6" w:rsidP="00CA6FD6">
      <w:pPr>
        <w:spacing w:line="360" w:lineRule="auto"/>
        <w:rPr>
          <w:rFonts w:ascii="Arial" w:hAnsi="Arial" w:cs="Arial"/>
          <w:sz w:val="24"/>
          <w:szCs w:val="24"/>
        </w:rPr>
      </w:pPr>
      <w:r w:rsidRPr="00CA6FD6">
        <w:rPr>
          <w:rFonts w:ascii="Arial" w:hAnsi="Arial" w:cs="Arial"/>
          <w:sz w:val="24"/>
          <w:szCs w:val="24"/>
        </w:rPr>
        <w:t xml:space="preserve">Section 52 of the Coroners and Justice Act </w:t>
      </w:r>
      <w:r w:rsidR="0041694E">
        <w:rPr>
          <w:rFonts w:ascii="Arial" w:hAnsi="Arial" w:cs="Arial"/>
          <w:sz w:val="24"/>
          <w:szCs w:val="24"/>
        </w:rPr>
        <w:t>(</w:t>
      </w:r>
      <w:r w:rsidRPr="00CA6FD6">
        <w:rPr>
          <w:rFonts w:ascii="Arial" w:hAnsi="Arial" w:cs="Arial"/>
          <w:sz w:val="24"/>
          <w:szCs w:val="24"/>
        </w:rPr>
        <w:t>2009</w:t>
      </w:r>
      <w:r w:rsidR="0041694E">
        <w:rPr>
          <w:rFonts w:ascii="Arial" w:hAnsi="Arial" w:cs="Arial"/>
          <w:sz w:val="24"/>
          <w:szCs w:val="24"/>
        </w:rPr>
        <w:t>)</w:t>
      </w:r>
    </w:p>
    <w:p w14:paraId="0CB7F243" w14:textId="330CAC22" w:rsidR="00CA6FD6" w:rsidRDefault="00CA6FD6" w:rsidP="00CA6FD6">
      <w:pPr>
        <w:spacing w:line="360" w:lineRule="auto"/>
        <w:rPr>
          <w:rFonts w:ascii="Arial" w:hAnsi="Arial" w:cs="Arial"/>
          <w:b/>
          <w:bCs/>
          <w:sz w:val="28"/>
          <w:szCs w:val="28"/>
          <w:u w:val="single"/>
        </w:rPr>
      </w:pPr>
      <w:r>
        <w:rPr>
          <w:rFonts w:ascii="Arial" w:hAnsi="Arial" w:cs="Arial"/>
          <w:b/>
          <w:bCs/>
          <w:sz w:val="28"/>
          <w:szCs w:val="28"/>
          <w:u w:val="single"/>
        </w:rPr>
        <w:t>Cases</w:t>
      </w:r>
    </w:p>
    <w:p w14:paraId="65701354" w14:textId="6D552D16" w:rsidR="00C94442" w:rsidRDefault="00805E99" w:rsidP="00CA6FD6">
      <w:pPr>
        <w:spacing w:line="360" w:lineRule="auto"/>
        <w:rPr>
          <w:rFonts w:ascii="Arial" w:hAnsi="Arial" w:cs="Arial"/>
          <w:sz w:val="24"/>
          <w:szCs w:val="24"/>
        </w:rPr>
      </w:pPr>
      <w:r>
        <w:rPr>
          <w:rFonts w:ascii="Arial" w:hAnsi="Arial" w:cs="Arial"/>
          <w:sz w:val="24"/>
          <w:szCs w:val="24"/>
        </w:rPr>
        <w:t>‘</w:t>
      </w:r>
      <w:r w:rsidR="00C94442" w:rsidRPr="00C94442">
        <w:rPr>
          <w:rFonts w:ascii="Arial" w:hAnsi="Arial" w:cs="Arial"/>
          <w:sz w:val="24"/>
          <w:szCs w:val="24"/>
        </w:rPr>
        <w:t>R v Byrne</w:t>
      </w:r>
      <w:r>
        <w:rPr>
          <w:rFonts w:ascii="Arial" w:hAnsi="Arial" w:cs="Arial"/>
          <w:sz w:val="24"/>
          <w:szCs w:val="24"/>
        </w:rPr>
        <w:t>’</w:t>
      </w:r>
      <w:r w:rsidR="00C94442" w:rsidRPr="00C94442">
        <w:rPr>
          <w:rFonts w:ascii="Arial" w:hAnsi="Arial" w:cs="Arial"/>
          <w:sz w:val="24"/>
          <w:szCs w:val="24"/>
        </w:rPr>
        <w:t xml:space="preserve"> (</w:t>
      </w:r>
      <w:r w:rsidR="00C94442">
        <w:rPr>
          <w:rFonts w:ascii="Arial" w:hAnsi="Arial" w:cs="Arial"/>
          <w:sz w:val="24"/>
          <w:szCs w:val="24"/>
        </w:rPr>
        <w:t xml:space="preserve">1960) Court of Appeal, 396. </w:t>
      </w:r>
    </w:p>
    <w:p w14:paraId="3FEC41D8" w14:textId="652B9E94" w:rsidR="00805E99" w:rsidRPr="00C94442" w:rsidRDefault="00805E99" w:rsidP="00CA6FD6">
      <w:pPr>
        <w:spacing w:line="360" w:lineRule="auto"/>
        <w:rPr>
          <w:rFonts w:ascii="Arial" w:hAnsi="Arial" w:cs="Arial"/>
          <w:sz w:val="24"/>
          <w:szCs w:val="24"/>
        </w:rPr>
      </w:pPr>
      <w:r>
        <w:rPr>
          <w:rFonts w:ascii="Arial" w:hAnsi="Arial" w:cs="Arial"/>
          <w:sz w:val="24"/>
          <w:szCs w:val="24"/>
        </w:rPr>
        <w:t>R v Conroy’ (2017) Court of Appeal, 81.</w:t>
      </w:r>
    </w:p>
    <w:p w14:paraId="1DD9FADD" w14:textId="6EE3CC4E" w:rsidR="00163E8A" w:rsidRDefault="00F863CF" w:rsidP="00CA6FD6">
      <w:pPr>
        <w:spacing w:line="360" w:lineRule="auto"/>
        <w:rPr>
          <w:rFonts w:ascii="Arial" w:hAnsi="Arial" w:cs="Arial"/>
          <w:color w:val="000000" w:themeColor="text1"/>
          <w:sz w:val="24"/>
          <w:szCs w:val="24"/>
        </w:rPr>
      </w:pPr>
      <w:r>
        <w:rPr>
          <w:rFonts w:ascii="Arial" w:hAnsi="Arial" w:cs="Arial"/>
          <w:sz w:val="24"/>
          <w:szCs w:val="24"/>
        </w:rPr>
        <w:t>‘</w:t>
      </w:r>
      <w:r w:rsidR="00163E8A">
        <w:rPr>
          <w:rFonts w:ascii="Arial" w:hAnsi="Arial" w:cs="Arial"/>
          <w:sz w:val="24"/>
          <w:szCs w:val="24"/>
        </w:rPr>
        <w:t>R v Golds</w:t>
      </w:r>
      <w:r>
        <w:rPr>
          <w:rFonts w:ascii="Arial" w:hAnsi="Arial" w:cs="Arial"/>
          <w:sz w:val="24"/>
          <w:szCs w:val="24"/>
        </w:rPr>
        <w:t xml:space="preserve">’ (2016) Supreme Court, 61. </w:t>
      </w:r>
    </w:p>
    <w:p w14:paraId="7AD1643E" w14:textId="04FD50FF" w:rsidR="00F012BF" w:rsidRDefault="00F012BF" w:rsidP="00CA6FD6">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‘R v Joyce and Kay’ (2017) </w:t>
      </w:r>
      <w:r w:rsidR="00C84102">
        <w:rPr>
          <w:rFonts w:ascii="Arial" w:hAnsi="Arial" w:cs="Arial"/>
          <w:color w:val="000000" w:themeColor="text1"/>
          <w:sz w:val="24"/>
          <w:szCs w:val="24"/>
        </w:rPr>
        <w:t>Court of Appeal, 647</w:t>
      </w:r>
      <w:r w:rsidR="0039114A">
        <w:rPr>
          <w:rFonts w:ascii="Arial" w:hAnsi="Arial" w:cs="Arial"/>
          <w:color w:val="000000" w:themeColor="text1"/>
          <w:sz w:val="24"/>
          <w:szCs w:val="24"/>
        </w:rPr>
        <w:t>.</w:t>
      </w:r>
    </w:p>
    <w:p w14:paraId="6C6692C2" w14:textId="197457E7" w:rsidR="00CA6FD6" w:rsidRDefault="00CA6FD6" w:rsidP="00CA6FD6">
      <w:pPr>
        <w:spacing w:line="360" w:lineRule="auto"/>
        <w:rPr>
          <w:rFonts w:ascii="Arial" w:hAnsi="Arial" w:cs="Arial"/>
          <w:b/>
          <w:bCs/>
          <w:color w:val="000000" w:themeColor="text1"/>
          <w:sz w:val="28"/>
          <w:szCs w:val="28"/>
          <w:u w:val="single"/>
        </w:rPr>
      </w:pPr>
      <w:r w:rsidRPr="00CA6FD6">
        <w:rPr>
          <w:rFonts w:ascii="Arial" w:hAnsi="Arial" w:cs="Arial"/>
          <w:b/>
          <w:bCs/>
          <w:color w:val="000000" w:themeColor="text1"/>
          <w:sz w:val="28"/>
          <w:szCs w:val="28"/>
          <w:u w:val="single"/>
        </w:rPr>
        <w:t xml:space="preserve">Academic References </w:t>
      </w:r>
    </w:p>
    <w:p w14:paraId="1F5CE56D" w14:textId="6FA80A6D" w:rsidR="00672BAC" w:rsidRPr="00672BAC" w:rsidRDefault="00672BAC" w:rsidP="00CA6FD6">
      <w:pPr>
        <w:spacing w:line="360" w:lineRule="auto"/>
        <w:rPr>
          <w:rFonts w:ascii="Arial" w:hAnsi="Arial" w:cs="Arial"/>
          <w:color w:val="000000" w:themeColor="text1"/>
          <w:sz w:val="24"/>
          <w:szCs w:val="24"/>
        </w:rPr>
      </w:pPr>
      <w:r w:rsidRPr="00672BAC">
        <w:rPr>
          <w:rFonts w:ascii="Arial" w:hAnsi="Arial" w:cs="Arial"/>
          <w:color w:val="000000" w:themeColor="text1"/>
          <w:sz w:val="24"/>
          <w:szCs w:val="24"/>
        </w:rPr>
        <w:t>Allen, M.J and Edwards, I</w:t>
      </w:r>
      <w:r w:rsidR="00F16391">
        <w:rPr>
          <w:rFonts w:ascii="Arial" w:hAnsi="Arial" w:cs="Arial"/>
          <w:color w:val="000000" w:themeColor="text1"/>
          <w:sz w:val="24"/>
          <w:szCs w:val="24"/>
        </w:rPr>
        <w:t xml:space="preserve">. </w:t>
      </w:r>
      <w:r w:rsidRPr="00672BAC">
        <w:rPr>
          <w:rFonts w:ascii="Arial" w:hAnsi="Arial" w:cs="Arial"/>
          <w:color w:val="000000" w:themeColor="text1"/>
          <w:sz w:val="24"/>
          <w:szCs w:val="24"/>
        </w:rPr>
        <w:t>(2021</w:t>
      </w:r>
      <w:r w:rsidRPr="00672BAC">
        <w:rPr>
          <w:rFonts w:ascii="Arial" w:hAnsi="Arial" w:cs="Arial"/>
          <w:i/>
          <w:iCs/>
          <w:color w:val="000000" w:themeColor="text1"/>
          <w:sz w:val="24"/>
          <w:szCs w:val="24"/>
        </w:rPr>
        <w:t>) Criminal Law.</w:t>
      </w:r>
      <w:r w:rsidRPr="00672BAC">
        <w:rPr>
          <w:rFonts w:ascii="Arial" w:hAnsi="Arial" w:cs="Arial"/>
          <w:color w:val="000000" w:themeColor="text1"/>
          <w:sz w:val="24"/>
          <w:szCs w:val="24"/>
        </w:rPr>
        <w:t xml:space="preserve"> Sixteenth edition. America: Oxford University Press. (Accessed: 6th March 2023).</w:t>
      </w:r>
    </w:p>
    <w:p w14:paraId="02765D14" w14:textId="18D64D99" w:rsidR="00975EC2" w:rsidRDefault="00975EC2" w:rsidP="00CA6FD6">
      <w:pPr>
        <w:spacing w:line="360" w:lineRule="auto"/>
        <w:rPr>
          <w:rFonts w:ascii="Arial" w:hAnsi="Arial" w:cs="Arial"/>
          <w:sz w:val="24"/>
          <w:szCs w:val="24"/>
        </w:rPr>
      </w:pPr>
      <w:r w:rsidRPr="00975EC2">
        <w:rPr>
          <w:rFonts w:ascii="Arial" w:hAnsi="Arial" w:cs="Arial"/>
          <w:sz w:val="24"/>
          <w:szCs w:val="24"/>
        </w:rPr>
        <w:t>Crofts, T.</w:t>
      </w:r>
      <w:r w:rsidR="00F16391">
        <w:rPr>
          <w:rFonts w:ascii="Arial" w:hAnsi="Arial" w:cs="Arial"/>
          <w:sz w:val="24"/>
          <w:szCs w:val="24"/>
        </w:rPr>
        <w:t xml:space="preserve"> and</w:t>
      </w:r>
      <w:r w:rsidRPr="00975EC2">
        <w:rPr>
          <w:rFonts w:ascii="Arial" w:hAnsi="Arial" w:cs="Arial"/>
          <w:sz w:val="24"/>
          <w:szCs w:val="24"/>
        </w:rPr>
        <w:t xml:space="preserve"> Wake, N. (2021) </w:t>
      </w:r>
      <w:r w:rsidR="00FB3B8D">
        <w:rPr>
          <w:rFonts w:ascii="Arial" w:hAnsi="Arial" w:cs="Arial"/>
          <w:sz w:val="24"/>
          <w:szCs w:val="24"/>
        </w:rPr>
        <w:t>‘</w:t>
      </w:r>
      <w:r w:rsidRPr="00975EC2">
        <w:rPr>
          <w:rFonts w:ascii="Arial" w:hAnsi="Arial" w:cs="Arial"/>
          <w:sz w:val="24"/>
          <w:szCs w:val="24"/>
        </w:rPr>
        <w:t>Diminished responsibility determinations in England and Wales and New South Wales: whose role is it anyway?</w:t>
      </w:r>
      <w:r w:rsidR="00FB3B8D">
        <w:rPr>
          <w:rFonts w:ascii="Arial" w:hAnsi="Arial" w:cs="Arial"/>
          <w:sz w:val="24"/>
          <w:szCs w:val="24"/>
        </w:rPr>
        <w:t>’,</w:t>
      </w:r>
      <w:r w:rsidRPr="00975EC2">
        <w:rPr>
          <w:rFonts w:ascii="Arial" w:hAnsi="Arial" w:cs="Arial"/>
          <w:sz w:val="24"/>
          <w:szCs w:val="24"/>
        </w:rPr>
        <w:t xml:space="preserve"> </w:t>
      </w:r>
      <w:r w:rsidRPr="00975EC2">
        <w:rPr>
          <w:rFonts w:ascii="Arial" w:hAnsi="Arial" w:cs="Arial"/>
          <w:i/>
          <w:iCs/>
          <w:sz w:val="24"/>
          <w:szCs w:val="24"/>
        </w:rPr>
        <w:t>Legal Quarterly</w:t>
      </w:r>
      <w:r w:rsidRPr="00975EC2">
        <w:rPr>
          <w:rFonts w:ascii="Arial" w:hAnsi="Arial" w:cs="Arial"/>
          <w:sz w:val="24"/>
          <w:szCs w:val="24"/>
        </w:rPr>
        <w:t xml:space="preserve">, Vol 72 (2), </w:t>
      </w:r>
      <w:r w:rsidR="00FA17C1">
        <w:rPr>
          <w:rFonts w:ascii="Arial" w:hAnsi="Arial" w:cs="Arial"/>
          <w:sz w:val="24"/>
          <w:szCs w:val="24"/>
        </w:rPr>
        <w:t xml:space="preserve">Available at: </w:t>
      </w:r>
      <w:r w:rsidR="00FB3B8D" w:rsidRPr="00FB3B8D">
        <w:rPr>
          <w:rFonts w:ascii="Arial" w:hAnsi="Arial" w:cs="Arial"/>
          <w:sz w:val="24"/>
          <w:szCs w:val="24"/>
        </w:rPr>
        <w:t>DOI</w:t>
      </w:r>
      <w:r w:rsidR="00FA17C1">
        <w:rPr>
          <w:rFonts w:ascii="Arial" w:hAnsi="Arial" w:cs="Arial"/>
          <w:sz w:val="24"/>
          <w:szCs w:val="24"/>
        </w:rPr>
        <w:t xml:space="preserve"> </w:t>
      </w:r>
      <w:r w:rsidR="00FB3B8D" w:rsidRPr="00FB3B8D">
        <w:rPr>
          <w:rFonts w:ascii="Arial" w:hAnsi="Arial" w:cs="Arial"/>
          <w:sz w:val="24"/>
          <w:szCs w:val="24"/>
        </w:rPr>
        <w:t>10.53386/nilq.v72i2.874</w:t>
      </w:r>
      <w:r w:rsidRPr="00975EC2">
        <w:rPr>
          <w:rFonts w:ascii="Arial" w:hAnsi="Arial" w:cs="Arial"/>
          <w:sz w:val="24"/>
          <w:szCs w:val="24"/>
        </w:rPr>
        <w:t xml:space="preserve"> (Accessed: 1st March 2023).</w:t>
      </w:r>
    </w:p>
    <w:p w14:paraId="55D8032D" w14:textId="0505751D" w:rsidR="00C94442" w:rsidRDefault="00C94442" w:rsidP="00CA6FD6">
      <w:pPr>
        <w:spacing w:line="360" w:lineRule="auto"/>
        <w:rPr>
          <w:rFonts w:ascii="Arial" w:hAnsi="Arial" w:cs="Arial"/>
          <w:sz w:val="24"/>
          <w:szCs w:val="24"/>
        </w:rPr>
      </w:pPr>
      <w:r>
        <w:rPr>
          <w:rFonts w:ascii="Arial" w:hAnsi="Arial" w:cs="Arial"/>
          <w:sz w:val="24"/>
          <w:szCs w:val="24"/>
        </w:rPr>
        <w:t>Finch, E</w:t>
      </w:r>
      <w:r w:rsidR="0062571F">
        <w:rPr>
          <w:rFonts w:ascii="Arial" w:hAnsi="Arial" w:cs="Arial"/>
          <w:sz w:val="24"/>
          <w:szCs w:val="24"/>
        </w:rPr>
        <w:t xml:space="preserve"> and Fafinski, S.</w:t>
      </w:r>
      <w:r>
        <w:rPr>
          <w:rFonts w:ascii="Arial" w:hAnsi="Arial" w:cs="Arial"/>
          <w:sz w:val="24"/>
          <w:szCs w:val="24"/>
        </w:rPr>
        <w:t xml:space="preserve"> (2021) </w:t>
      </w:r>
      <w:r w:rsidRPr="00F709BB">
        <w:rPr>
          <w:rFonts w:ascii="Arial" w:hAnsi="Arial" w:cs="Arial"/>
          <w:i/>
          <w:iCs/>
          <w:sz w:val="24"/>
          <w:szCs w:val="24"/>
        </w:rPr>
        <w:t>‘Criminal Law’</w:t>
      </w:r>
      <w:r>
        <w:rPr>
          <w:rFonts w:ascii="Arial" w:hAnsi="Arial" w:cs="Arial"/>
          <w:sz w:val="24"/>
          <w:szCs w:val="24"/>
        </w:rPr>
        <w:t xml:space="preserve">. </w:t>
      </w:r>
      <w:r w:rsidR="0062571F">
        <w:rPr>
          <w:rFonts w:ascii="Arial" w:hAnsi="Arial" w:cs="Arial"/>
          <w:sz w:val="24"/>
          <w:szCs w:val="24"/>
        </w:rPr>
        <w:t>Eighth edition. Pearson Education Limited. (Accessed: 6th March 2023).</w:t>
      </w:r>
    </w:p>
    <w:p w14:paraId="3D6A8A64" w14:textId="737A5D29" w:rsidR="00F709BB" w:rsidRDefault="00F709BB" w:rsidP="00CA6FD6">
      <w:pPr>
        <w:spacing w:line="360" w:lineRule="auto"/>
        <w:rPr>
          <w:rFonts w:ascii="Arial" w:hAnsi="Arial" w:cs="Arial"/>
          <w:sz w:val="24"/>
          <w:szCs w:val="24"/>
        </w:rPr>
      </w:pPr>
      <w:r w:rsidRPr="00F709BB">
        <w:rPr>
          <w:rFonts w:ascii="Arial" w:hAnsi="Arial" w:cs="Arial"/>
          <w:sz w:val="24"/>
          <w:szCs w:val="24"/>
        </w:rPr>
        <w:t xml:space="preserve">Herring, J. (2022) </w:t>
      </w:r>
      <w:r w:rsidRPr="00F709BB">
        <w:rPr>
          <w:rFonts w:ascii="Arial" w:hAnsi="Arial" w:cs="Arial"/>
          <w:i/>
          <w:iCs/>
          <w:sz w:val="24"/>
          <w:szCs w:val="24"/>
        </w:rPr>
        <w:t>Criminal Law Text, Cases and Materials.</w:t>
      </w:r>
      <w:r w:rsidRPr="00F709BB">
        <w:rPr>
          <w:rFonts w:ascii="Arial" w:hAnsi="Arial" w:cs="Arial"/>
          <w:sz w:val="24"/>
          <w:szCs w:val="24"/>
        </w:rPr>
        <w:t xml:space="preserve"> Tenth edition. America: Oxford University Press. (Accessed: 6th March 2023).</w:t>
      </w:r>
    </w:p>
    <w:p w14:paraId="70246250" w14:textId="6D0B5572" w:rsidR="000E5D31" w:rsidRDefault="000E5D31" w:rsidP="00CA6FD6">
      <w:pPr>
        <w:spacing w:line="360" w:lineRule="auto"/>
        <w:rPr>
          <w:rFonts w:ascii="Arial" w:hAnsi="Arial" w:cs="Arial"/>
          <w:sz w:val="24"/>
          <w:szCs w:val="24"/>
        </w:rPr>
      </w:pPr>
      <w:r w:rsidRPr="000E5D31">
        <w:rPr>
          <w:rFonts w:ascii="Arial" w:hAnsi="Arial" w:cs="Arial"/>
          <w:sz w:val="24"/>
          <w:szCs w:val="24"/>
        </w:rPr>
        <w:t xml:space="preserve">Kennefick, L. (2011) 'Introducing a New Diminished Responsibility Defence for England and Wales', </w:t>
      </w:r>
      <w:r w:rsidRPr="000E5D31">
        <w:rPr>
          <w:rFonts w:ascii="Arial" w:hAnsi="Arial" w:cs="Arial"/>
          <w:i/>
          <w:iCs/>
          <w:sz w:val="24"/>
          <w:szCs w:val="24"/>
        </w:rPr>
        <w:t>The Modern Law Review,</w:t>
      </w:r>
      <w:r w:rsidRPr="000E5D31">
        <w:rPr>
          <w:rFonts w:ascii="Arial" w:hAnsi="Arial" w:cs="Arial"/>
          <w:sz w:val="24"/>
          <w:szCs w:val="24"/>
        </w:rPr>
        <w:t xml:space="preserve"> 74(5), pp</w:t>
      </w:r>
      <w:r w:rsidR="00F266A1">
        <w:rPr>
          <w:rFonts w:ascii="Arial" w:hAnsi="Arial" w:cs="Arial"/>
          <w:sz w:val="24"/>
          <w:szCs w:val="24"/>
        </w:rPr>
        <w:t>.</w:t>
      </w:r>
      <w:r w:rsidRPr="000E5D31">
        <w:rPr>
          <w:rFonts w:ascii="Arial" w:hAnsi="Arial" w:cs="Arial"/>
          <w:sz w:val="24"/>
          <w:szCs w:val="24"/>
        </w:rPr>
        <w:t xml:space="preserve"> 750-766</w:t>
      </w:r>
      <w:r w:rsidR="00627C24" w:rsidRPr="000E5D31">
        <w:rPr>
          <w:rFonts w:ascii="Arial" w:hAnsi="Arial" w:cs="Arial"/>
          <w:sz w:val="24"/>
          <w:szCs w:val="24"/>
        </w:rPr>
        <w:t xml:space="preserve">. </w:t>
      </w:r>
      <w:r w:rsidRPr="000E5D31">
        <w:rPr>
          <w:rFonts w:ascii="Arial" w:hAnsi="Arial" w:cs="Arial"/>
          <w:sz w:val="24"/>
          <w:szCs w:val="24"/>
        </w:rPr>
        <w:t xml:space="preserve">Available at: </w:t>
      </w:r>
      <w:hyperlink r:id="rId8" w:history="1">
        <w:r w:rsidRPr="000E5D31">
          <w:rPr>
            <w:rStyle w:val="Hyperlink"/>
            <w:rFonts w:ascii="Arial" w:hAnsi="Arial" w:cs="Arial"/>
            <w:color w:val="0070C0"/>
            <w:sz w:val="24"/>
            <w:szCs w:val="24"/>
          </w:rPr>
          <w:t>https://www.jstor.org/stable/41302777?seq=17</w:t>
        </w:r>
      </w:hyperlink>
      <w:r w:rsidRPr="000E5D31">
        <w:rPr>
          <w:rFonts w:ascii="Arial" w:hAnsi="Arial" w:cs="Arial"/>
          <w:color w:val="0070C0"/>
          <w:sz w:val="24"/>
          <w:szCs w:val="24"/>
        </w:rPr>
        <w:t xml:space="preserve">  </w:t>
      </w:r>
      <w:r w:rsidRPr="000E5D31">
        <w:rPr>
          <w:rFonts w:ascii="Arial" w:hAnsi="Arial" w:cs="Arial"/>
          <w:sz w:val="24"/>
          <w:szCs w:val="24"/>
        </w:rPr>
        <w:t>(Accessed: 4th March 2023)&gt;</w:t>
      </w:r>
    </w:p>
    <w:p w14:paraId="3FF79234" w14:textId="75FBFD38" w:rsidR="00A67652" w:rsidRDefault="00A67652" w:rsidP="00CA6FD6">
      <w:pPr>
        <w:spacing w:line="360" w:lineRule="auto"/>
        <w:rPr>
          <w:rFonts w:ascii="Arial" w:hAnsi="Arial" w:cs="Arial"/>
          <w:sz w:val="24"/>
          <w:szCs w:val="24"/>
        </w:rPr>
      </w:pPr>
      <w:r w:rsidRPr="00A67652">
        <w:rPr>
          <w:rFonts w:ascii="Arial" w:hAnsi="Arial" w:cs="Arial"/>
          <w:sz w:val="24"/>
          <w:szCs w:val="24"/>
        </w:rPr>
        <w:t>Law Commission (2005) 'A New Homicide Act For England and Wales?</w:t>
      </w:r>
      <w:r w:rsidR="00F16391">
        <w:rPr>
          <w:rFonts w:ascii="Arial" w:hAnsi="Arial" w:cs="Arial"/>
          <w:sz w:val="24"/>
          <w:szCs w:val="24"/>
        </w:rPr>
        <w:t>’</w:t>
      </w:r>
      <w:r w:rsidRPr="00A67652">
        <w:rPr>
          <w:rFonts w:ascii="Arial" w:hAnsi="Arial" w:cs="Arial"/>
          <w:sz w:val="24"/>
          <w:szCs w:val="24"/>
        </w:rPr>
        <w:t xml:space="preserve"> </w:t>
      </w:r>
      <w:r w:rsidRPr="00A67652">
        <w:rPr>
          <w:rFonts w:ascii="Arial" w:hAnsi="Arial" w:cs="Arial"/>
          <w:i/>
          <w:iCs/>
          <w:sz w:val="24"/>
          <w:szCs w:val="24"/>
        </w:rPr>
        <w:t>The Law Commission Consultation Paper</w:t>
      </w:r>
      <w:r w:rsidRPr="00A67652">
        <w:rPr>
          <w:rFonts w:ascii="Arial" w:hAnsi="Arial" w:cs="Arial"/>
          <w:sz w:val="24"/>
          <w:szCs w:val="24"/>
        </w:rPr>
        <w:t>, No 177. Available at</w:t>
      </w:r>
      <w:r w:rsidR="00F266A1">
        <w:rPr>
          <w:rFonts w:ascii="Arial" w:hAnsi="Arial" w:cs="Arial"/>
          <w:sz w:val="24"/>
          <w:szCs w:val="24"/>
        </w:rPr>
        <w:t>:</w:t>
      </w:r>
      <w:r w:rsidR="00F266A1" w:rsidRPr="00F266A1">
        <w:rPr>
          <w:rFonts w:ascii="Arial" w:hAnsi="Arial" w:cs="Arial"/>
          <w:color w:val="0070C0"/>
          <w:sz w:val="24"/>
          <w:szCs w:val="24"/>
        </w:rPr>
        <w:t xml:space="preserve"> </w:t>
      </w:r>
      <w:hyperlink r:id="rId9" w:history="1">
        <w:r w:rsidR="00F266A1" w:rsidRPr="00F266A1">
          <w:rPr>
            <w:rStyle w:val="Hyperlink"/>
            <w:rFonts w:ascii="Arial" w:hAnsi="Arial" w:cs="Arial"/>
            <w:color w:val="0070C0"/>
            <w:sz w:val="24"/>
            <w:szCs w:val="24"/>
          </w:rPr>
          <w:t>https://s3-eu-west-2.amazonaws.com/lawcom-prod-</w:t>
        </w:r>
        <w:r w:rsidR="00F266A1" w:rsidRPr="00F266A1">
          <w:rPr>
            <w:rStyle w:val="Hyperlink"/>
            <w:rFonts w:ascii="Arial" w:hAnsi="Arial" w:cs="Arial"/>
            <w:color w:val="0070C0"/>
            <w:sz w:val="24"/>
            <w:szCs w:val="24"/>
          </w:rPr>
          <w:lastRenderedPageBreak/>
          <w:t>storage11jsxou24uy7q/uploads/2015/03/cp177_Murder_Manslaughter_and_Infanticide_consultation_overview_.pdf</w:t>
        </w:r>
      </w:hyperlink>
      <w:r w:rsidR="00F266A1">
        <w:rPr>
          <w:rFonts w:ascii="Arial" w:hAnsi="Arial" w:cs="Arial"/>
          <w:sz w:val="24"/>
          <w:szCs w:val="24"/>
        </w:rPr>
        <w:t xml:space="preserve"> </w:t>
      </w:r>
      <w:r>
        <w:rPr>
          <w:rFonts w:ascii="Arial" w:hAnsi="Arial" w:cs="Arial"/>
          <w:sz w:val="24"/>
          <w:szCs w:val="24"/>
        </w:rPr>
        <w:t xml:space="preserve"> </w:t>
      </w:r>
      <w:r w:rsidRPr="00A67652">
        <w:rPr>
          <w:rFonts w:ascii="Arial" w:hAnsi="Arial" w:cs="Arial"/>
          <w:sz w:val="24"/>
          <w:szCs w:val="24"/>
        </w:rPr>
        <w:t>(Accessed: 5th March 2023).</w:t>
      </w:r>
    </w:p>
    <w:p w14:paraId="78819E98" w14:textId="58324750" w:rsidR="00843526" w:rsidRPr="00843526" w:rsidRDefault="00843526" w:rsidP="00CA6FD6">
      <w:pPr>
        <w:spacing w:line="360" w:lineRule="auto"/>
        <w:rPr>
          <w:rFonts w:ascii="Arial" w:hAnsi="Arial" w:cs="Arial"/>
          <w:sz w:val="24"/>
          <w:szCs w:val="24"/>
        </w:rPr>
      </w:pPr>
      <w:r w:rsidRPr="00843526">
        <w:rPr>
          <w:rFonts w:ascii="Arial" w:hAnsi="Arial" w:cs="Arial"/>
          <w:sz w:val="24"/>
          <w:szCs w:val="24"/>
          <w:shd w:val="clear" w:color="auto" w:fill="FBFBFB"/>
        </w:rPr>
        <w:t>Law Commission. (2006) 'Murder, Manslaughter and Infanticide', </w:t>
      </w:r>
      <w:r w:rsidRPr="00843526">
        <w:rPr>
          <w:rFonts w:ascii="Arial" w:hAnsi="Arial" w:cs="Arial"/>
          <w:i/>
          <w:iCs/>
          <w:sz w:val="24"/>
          <w:szCs w:val="24"/>
          <w:shd w:val="clear" w:color="auto" w:fill="FBFBFB"/>
        </w:rPr>
        <w:t>Law Commission Reforming the Law</w:t>
      </w:r>
      <w:r w:rsidRPr="00843526">
        <w:rPr>
          <w:rFonts w:ascii="Arial" w:hAnsi="Arial" w:cs="Arial"/>
          <w:sz w:val="24"/>
          <w:szCs w:val="24"/>
          <w:shd w:val="clear" w:color="auto" w:fill="FBFBFB"/>
        </w:rPr>
        <w:t xml:space="preserve">, No 304. Available </w:t>
      </w:r>
      <w:r w:rsidRPr="00843526">
        <w:rPr>
          <w:rFonts w:ascii="Arial" w:hAnsi="Arial" w:cs="Arial"/>
          <w:color w:val="333333"/>
          <w:sz w:val="24"/>
          <w:szCs w:val="24"/>
          <w:shd w:val="clear" w:color="auto" w:fill="FBFBFB"/>
        </w:rPr>
        <w:t>at: </w:t>
      </w:r>
      <w:hyperlink r:id="rId10" w:history="1">
        <w:r w:rsidRPr="00843526">
          <w:rPr>
            <w:rStyle w:val="Hyperlink"/>
            <w:rFonts w:ascii="Arial" w:hAnsi="Arial" w:cs="Arial"/>
            <w:color w:val="0070C0"/>
            <w:sz w:val="24"/>
            <w:szCs w:val="24"/>
            <w:shd w:val="clear" w:color="auto" w:fill="FBFBFB"/>
          </w:rPr>
          <w:t>https://assets.publishing.service.gov.uk/government/uploads/system/uploads/attachment_data/file/228782/0030.pdf</w:t>
        </w:r>
      </w:hyperlink>
      <w:r w:rsidRPr="00843526">
        <w:rPr>
          <w:rFonts w:ascii="Arial" w:hAnsi="Arial" w:cs="Arial"/>
          <w:color w:val="0070C0"/>
          <w:sz w:val="24"/>
          <w:szCs w:val="24"/>
          <w:shd w:val="clear" w:color="auto" w:fill="FBFBFB"/>
        </w:rPr>
        <w:t xml:space="preserve"> </w:t>
      </w:r>
      <w:r w:rsidRPr="00843526">
        <w:rPr>
          <w:rFonts w:ascii="Arial" w:hAnsi="Arial" w:cs="Arial"/>
          <w:sz w:val="24"/>
          <w:szCs w:val="24"/>
          <w:shd w:val="clear" w:color="auto" w:fill="FBFBFB"/>
        </w:rPr>
        <w:t>(Accessed: 6</w:t>
      </w:r>
      <w:r w:rsidRPr="00843526">
        <w:rPr>
          <w:rFonts w:ascii="Arial" w:hAnsi="Arial" w:cs="Arial"/>
          <w:sz w:val="24"/>
          <w:szCs w:val="24"/>
          <w:shd w:val="clear" w:color="auto" w:fill="FBFBFB"/>
          <w:vertAlign w:val="superscript"/>
        </w:rPr>
        <w:t>th</w:t>
      </w:r>
      <w:r w:rsidRPr="00843526">
        <w:rPr>
          <w:rFonts w:ascii="Arial" w:hAnsi="Arial" w:cs="Arial"/>
          <w:sz w:val="24"/>
          <w:szCs w:val="24"/>
          <w:shd w:val="clear" w:color="auto" w:fill="FBFBFB"/>
        </w:rPr>
        <w:t xml:space="preserve"> March 2023).</w:t>
      </w:r>
    </w:p>
    <w:p w14:paraId="4E990E4C" w14:textId="48372795" w:rsidR="00227D52" w:rsidRDefault="00227D52" w:rsidP="00CA6FD6">
      <w:pPr>
        <w:spacing w:line="360" w:lineRule="auto"/>
        <w:rPr>
          <w:rFonts w:ascii="Arial" w:hAnsi="Arial" w:cs="Arial"/>
          <w:sz w:val="24"/>
          <w:szCs w:val="24"/>
        </w:rPr>
      </w:pPr>
      <w:r w:rsidRPr="00227D52">
        <w:rPr>
          <w:rFonts w:ascii="Arial" w:hAnsi="Arial" w:cs="Arial"/>
          <w:sz w:val="24"/>
          <w:szCs w:val="24"/>
        </w:rPr>
        <w:t xml:space="preserve">Macdonald, S. (2018) </w:t>
      </w:r>
      <w:r w:rsidRPr="00227D52">
        <w:rPr>
          <w:rFonts w:ascii="Arial" w:hAnsi="Arial" w:cs="Arial"/>
          <w:i/>
          <w:iCs/>
          <w:sz w:val="24"/>
          <w:szCs w:val="24"/>
        </w:rPr>
        <w:t>Text, case</w:t>
      </w:r>
      <w:r>
        <w:rPr>
          <w:rFonts w:ascii="Arial" w:hAnsi="Arial" w:cs="Arial"/>
          <w:i/>
          <w:iCs/>
          <w:sz w:val="24"/>
          <w:szCs w:val="24"/>
        </w:rPr>
        <w:t>s</w:t>
      </w:r>
      <w:r w:rsidRPr="00227D52">
        <w:rPr>
          <w:rFonts w:ascii="Arial" w:hAnsi="Arial" w:cs="Arial"/>
          <w:i/>
          <w:iCs/>
          <w:sz w:val="24"/>
          <w:szCs w:val="24"/>
        </w:rPr>
        <w:t xml:space="preserve"> and materials on criminal law.</w:t>
      </w:r>
      <w:r w:rsidRPr="00227D52">
        <w:rPr>
          <w:rFonts w:ascii="Arial" w:hAnsi="Arial" w:cs="Arial"/>
          <w:sz w:val="24"/>
          <w:szCs w:val="24"/>
        </w:rPr>
        <w:t xml:space="preserve"> Second edition. England: Pearson Education Limited. (Accessed: 5th March 2023).</w:t>
      </w:r>
    </w:p>
    <w:p w14:paraId="65EB4352" w14:textId="00016B12" w:rsidR="00975EC2" w:rsidRDefault="00975EC2" w:rsidP="00CA6FD6">
      <w:pPr>
        <w:spacing w:line="360" w:lineRule="auto"/>
        <w:rPr>
          <w:rFonts w:ascii="Arial" w:hAnsi="Arial" w:cs="Arial"/>
          <w:sz w:val="24"/>
          <w:szCs w:val="24"/>
        </w:rPr>
      </w:pPr>
      <w:r>
        <w:rPr>
          <w:rFonts w:ascii="Arial" w:hAnsi="Arial" w:cs="Arial"/>
          <w:sz w:val="24"/>
          <w:szCs w:val="24"/>
        </w:rPr>
        <w:t>Mackay, R.D. (2010) ‘</w:t>
      </w:r>
      <w:r w:rsidRPr="00975EC2">
        <w:rPr>
          <w:rFonts w:ascii="Arial" w:hAnsi="Arial" w:cs="Arial"/>
          <w:sz w:val="24"/>
          <w:szCs w:val="24"/>
        </w:rPr>
        <w:t>The Coroners and Justice Act 2009 - partial defences to murder (2) The new</w:t>
      </w:r>
      <w:r>
        <w:rPr>
          <w:rFonts w:ascii="Arial" w:hAnsi="Arial" w:cs="Arial"/>
          <w:sz w:val="24"/>
          <w:szCs w:val="24"/>
        </w:rPr>
        <w:t xml:space="preserve"> </w:t>
      </w:r>
      <w:r w:rsidRPr="00975EC2">
        <w:rPr>
          <w:rFonts w:ascii="Arial" w:hAnsi="Arial" w:cs="Arial"/>
          <w:sz w:val="24"/>
          <w:szCs w:val="24"/>
        </w:rPr>
        <w:t>diminished responsibility plea</w:t>
      </w:r>
      <w:r>
        <w:rPr>
          <w:rFonts w:ascii="Arial" w:hAnsi="Arial" w:cs="Arial"/>
          <w:sz w:val="24"/>
          <w:szCs w:val="24"/>
        </w:rPr>
        <w:t xml:space="preserve">’, </w:t>
      </w:r>
      <w:r w:rsidRPr="00975EC2">
        <w:rPr>
          <w:rFonts w:ascii="Arial" w:hAnsi="Arial" w:cs="Arial"/>
          <w:i/>
          <w:iCs/>
          <w:sz w:val="24"/>
          <w:szCs w:val="24"/>
        </w:rPr>
        <w:t>Criminal Law Review</w:t>
      </w:r>
      <w:r>
        <w:rPr>
          <w:rFonts w:ascii="Arial" w:hAnsi="Arial" w:cs="Arial"/>
          <w:i/>
          <w:iCs/>
          <w:sz w:val="24"/>
          <w:szCs w:val="24"/>
        </w:rPr>
        <w:t xml:space="preserve">. </w:t>
      </w:r>
      <w:r>
        <w:rPr>
          <w:rFonts w:ascii="Arial" w:hAnsi="Arial" w:cs="Arial"/>
          <w:sz w:val="24"/>
          <w:szCs w:val="24"/>
        </w:rPr>
        <w:t>Available at</w:t>
      </w:r>
      <w:r w:rsidRPr="00F266A1">
        <w:rPr>
          <w:rFonts w:ascii="Arial" w:hAnsi="Arial" w:cs="Arial"/>
          <w:color w:val="0070C0"/>
          <w:sz w:val="24"/>
          <w:szCs w:val="24"/>
        </w:rPr>
        <w:t xml:space="preserve">: </w:t>
      </w:r>
      <w:hyperlink r:id="rId11" w:history="1">
        <w:r w:rsidR="00526D9E" w:rsidRPr="00383E82">
          <w:rPr>
            <w:rStyle w:val="Hyperlink"/>
            <w:rFonts w:ascii="Arial" w:hAnsi="Arial" w:cs="Arial"/>
            <w:sz w:val="24"/>
            <w:szCs w:val="24"/>
          </w:rPr>
          <w:t>https://llbstudies.files.wordpress.com/2013/02/article-loss-of-control-diminished-responsiblity-2.pdf</w:t>
        </w:r>
      </w:hyperlink>
      <w:r w:rsidR="00526D9E">
        <w:rPr>
          <w:rFonts w:ascii="Arial" w:hAnsi="Arial" w:cs="Arial"/>
          <w:color w:val="0070C0"/>
          <w:sz w:val="24"/>
          <w:szCs w:val="24"/>
        </w:rPr>
        <w:t xml:space="preserve"> </w:t>
      </w:r>
      <w:r w:rsidR="00526D9E">
        <w:t xml:space="preserve"> </w:t>
      </w:r>
      <w:r w:rsidRPr="004F3F97">
        <w:rPr>
          <w:rFonts w:ascii="Arial" w:hAnsi="Arial" w:cs="Arial"/>
          <w:color w:val="000000" w:themeColor="text1"/>
          <w:sz w:val="24"/>
          <w:szCs w:val="24"/>
        </w:rPr>
        <w:t>(</w:t>
      </w:r>
      <w:r w:rsidRPr="00975EC2">
        <w:rPr>
          <w:rFonts w:ascii="Arial" w:hAnsi="Arial" w:cs="Arial"/>
          <w:sz w:val="24"/>
          <w:szCs w:val="24"/>
        </w:rPr>
        <w:t>Accessed: March 1</w:t>
      </w:r>
      <w:r w:rsidRPr="00975EC2">
        <w:rPr>
          <w:rFonts w:ascii="Arial" w:hAnsi="Arial" w:cs="Arial"/>
          <w:sz w:val="24"/>
          <w:szCs w:val="24"/>
          <w:vertAlign w:val="superscript"/>
        </w:rPr>
        <w:t>st</w:t>
      </w:r>
      <w:r w:rsidRPr="00975EC2">
        <w:rPr>
          <w:rFonts w:ascii="Arial" w:hAnsi="Arial" w:cs="Arial"/>
          <w:sz w:val="24"/>
          <w:szCs w:val="24"/>
        </w:rPr>
        <w:t xml:space="preserve"> 2023)</w:t>
      </w:r>
    </w:p>
    <w:p w14:paraId="51753A4D" w14:textId="23187970" w:rsidR="00526D9E" w:rsidRDefault="00526D9E" w:rsidP="00CA6FD6">
      <w:pPr>
        <w:spacing w:line="360" w:lineRule="auto"/>
        <w:rPr>
          <w:rFonts w:ascii="Arial" w:hAnsi="Arial" w:cs="Arial"/>
          <w:sz w:val="24"/>
          <w:szCs w:val="24"/>
        </w:rPr>
      </w:pPr>
      <w:r w:rsidRPr="00526D9E">
        <w:rPr>
          <w:rFonts w:ascii="Arial" w:hAnsi="Arial" w:cs="Arial"/>
          <w:sz w:val="24"/>
          <w:szCs w:val="24"/>
        </w:rPr>
        <w:t>Mackay, R</w:t>
      </w:r>
      <w:r>
        <w:rPr>
          <w:rFonts w:ascii="Arial" w:hAnsi="Arial" w:cs="Arial"/>
          <w:sz w:val="24"/>
          <w:szCs w:val="24"/>
        </w:rPr>
        <w:t>.</w:t>
      </w:r>
      <w:r w:rsidRPr="00526D9E">
        <w:rPr>
          <w:rFonts w:ascii="Arial" w:hAnsi="Arial" w:cs="Arial"/>
          <w:sz w:val="24"/>
          <w:szCs w:val="24"/>
        </w:rPr>
        <w:t xml:space="preserve"> (2021) 'What’s happening with the reformed diminished responsibility plea? ', Legal Quarterly, Vol 72 (2) Available at: </w:t>
      </w:r>
      <w:r w:rsidR="004F3F97">
        <w:rPr>
          <w:rFonts w:ascii="Arial" w:hAnsi="Arial" w:cs="Arial"/>
          <w:sz w:val="24"/>
          <w:szCs w:val="24"/>
        </w:rPr>
        <w:t xml:space="preserve">DOI </w:t>
      </w:r>
      <w:hyperlink r:id="rId12" w:history="1">
        <w:r w:rsidR="004F3F97" w:rsidRPr="00383E82">
          <w:rPr>
            <w:rStyle w:val="Hyperlink"/>
            <w:rFonts w:ascii="Arial" w:hAnsi="Arial" w:cs="Arial"/>
            <w:sz w:val="24"/>
            <w:szCs w:val="24"/>
          </w:rPr>
          <w:t>http://doi.org/10.53386/nilq.v72i2.873</w:t>
        </w:r>
      </w:hyperlink>
      <w:r w:rsidR="004F3F97">
        <w:rPr>
          <w:rFonts w:ascii="Arial" w:hAnsi="Arial" w:cs="Arial"/>
          <w:sz w:val="24"/>
          <w:szCs w:val="24"/>
        </w:rPr>
        <w:t xml:space="preserve"> </w:t>
      </w:r>
      <w:r w:rsidRPr="00526D9E">
        <w:rPr>
          <w:rFonts w:ascii="Arial" w:hAnsi="Arial" w:cs="Arial"/>
          <w:sz w:val="24"/>
          <w:szCs w:val="24"/>
        </w:rPr>
        <w:t xml:space="preserve"> (Accessed: 8th March 2023).</w:t>
      </w:r>
    </w:p>
    <w:p w14:paraId="1DFFB670" w14:textId="6B32F2B7" w:rsidR="00FE7741" w:rsidRPr="00FE7741" w:rsidRDefault="00FE7741" w:rsidP="00CA6FD6">
      <w:pPr>
        <w:spacing w:line="360" w:lineRule="auto"/>
        <w:rPr>
          <w:rFonts w:ascii="Arial" w:hAnsi="Arial" w:cs="Arial"/>
          <w:sz w:val="24"/>
          <w:szCs w:val="24"/>
        </w:rPr>
      </w:pPr>
      <w:r>
        <w:rPr>
          <w:rFonts w:ascii="Arial" w:hAnsi="Arial" w:cs="Arial"/>
          <w:sz w:val="24"/>
          <w:szCs w:val="24"/>
        </w:rPr>
        <w:t>Ministry of Justice. (2010). ‘</w:t>
      </w:r>
      <w:r w:rsidRPr="00FE7741">
        <w:rPr>
          <w:rFonts w:ascii="Arial" w:hAnsi="Arial" w:cs="Arial"/>
          <w:sz w:val="24"/>
          <w:szCs w:val="24"/>
        </w:rPr>
        <w:t>Partial defences to murder: loss of control and diminished responsibility; and infanticide: Implementation of Sections 52, and 54 to 57 of the Coroners and Justice Act 2009</w:t>
      </w:r>
      <w:r>
        <w:rPr>
          <w:rFonts w:ascii="Arial" w:hAnsi="Arial" w:cs="Arial"/>
          <w:sz w:val="24"/>
          <w:szCs w:val="24"/>
        </w:rPr>
        <w:t xml:space="preserve">’, </w:t>
      </w:r>
      <w:r w:rsidRPr="00FE7741">
        <w:rPr>
          <w:rFonts w:ascii="Arial" w:hAnsi="Arial" w:cs="Arial"/>
          <w:i/>
          <w:iCs/>
          <w:sz w:val="24"/>
          <w:szCs w:val="24"/>
        </w:rPr>
        <w:t>Criminal Law Policy Unit Ministry of Justice.</w:t>
      </w:r>
      <w:r>
        <w:rPr>
          <w:rFonts w:ascii="Arial" w:hAnsi="Arial" w:cs="Arial"/>
          <w:i/>
          <w:iCs/>
          <w:sz w:val="24"/>
          <w:szCs w:val="24"/>
        </w:rPr>
        <w:t xml:space="preserve"> </w:t>
      </w:r>
      <w:r w:rsidRPr="00FE7741">
        <w:rPr>
          <w:rFonts w:ascii="Arial" w:hAnsi="Arial" w:cs="Arial"/>
          <w:sz w:val="24"/>
          <w:szCs w:val="24"/>
        </w:rPr>
        <w:t>Available at</w:t>
      </w:r>
      <w:r w:rsidRPr="00FE7741">
        <w:rPr>
          <w:rFonts w:ascii="Arial" w:hAnsi="Arial" w:cs="Arial"/>
          <w:color w:val="0070C0"/>
          <w:sz w:val="24"/>
          <w:szCs w:val="24"/>
        </w:rPr>
        <w:t xml:space="preserve">: </w:t>
      </w:r>
      <w:hyperlink r:id="rId13" w:history="1">
        <w:r w:rsidRPr="00FE7741">
          <w:rPr>
            <w:rStyle w:val="Hyperlink"/>
            <w:rFonts w:ascii="Arial" w:hAnsi="Arial" w:cs="Arial"/>
            <w:color w:val="0070C0"/>
            <w:sz w:val="24"/>
            <w:szCs w:val="24"/>
          </w:rPr>
          <w:t>https://www.justice.gov.uk/downloads/legislation/bills-acts/circulars/moj/2010/circular-12-2010-coroners-justice-act-homicide-provisions.pdf</w:t>
        </w:r>
      </w:hyperlink>
      <w:r w:rsidRPr="00FE7741">
        <w:rPr>
          <w:rFonts w:ascii="Arial" w:hAnsi="Arial" w:cs="Arial"/>
          <w:color w:val="0070C0"/>
          <w:sz w:val="24"/>
          <w:szCs w:val="24"/>
        </w:rPr>
        <w:t xml:space="preserve"> </w:t>
      </w:r>
      <w:r w:rsidRPr="00FE7741">
        <w:rPr>
          <w:rFonts w:ascii="Arial" w:hAnsi="Arial" w:cs="Arial"/>
          <w:sz w:val="24"/>
          <w:szCs w:val="24"/>
        </w:rPr>
        <w:t>(Accessed: 5</w:t>
      </w:r>
      <w:r w:rsidRPr="00FE7741">
        <w:rPr>
          <w:rFonts w:ascii="Arial" w:hAnsi="Arial" w:cs="Arial"/>
          <w:sz w:val="24"/>
          <w:szCs w:val="24"/>
          <w:vertAlign w:val="superscript"/>
        </w:rPr>
        <w:t>th</w:t>
      </w:r>
      <w:r w:rsidRPr="00FE7741">
        <w:rPr>
          <w:rFonts w:ascii="Arial" w:hAnsi="Arial" w:cs="Arial"/>
          <w:sz w:val="24"/>
          <w:szCs w:val="24"/>
        </w:rPr>
        <w:t xml:space="preserve"> March 2023). </w:t>
      </w:r>
    </w:p>
    <w:p w14:paraId="42546256" w14:textId="792A23B5" w:rsidR="00BF6AC2" w:rsidRDefault="00BF6AC2" w:rsidP="00CA6FD6">
      <w:pPr>
        <w:spacing w:line="360" w:lineRule="auto"/>
        <w:rPr>
          <w:rFonts w:ascii="Arial" w:hAnsi="Arial" w:cs="Arial"/>
          <w:sz w:val="24"/>
          <w:szCs w:val="24"/>
        </w:rPr>
      </w:pPr>
      <w:r w:rsidRPr="00BF6AC2">
        <w:rPr>
          <w:rFonts w:ascii="Arial" w:hAnsi="Arial" w:cs="Arial"/>
          <w:sz w:val="24"/>
          <w:szCs w:val="24"/>
        </w:rPr>
        <w:t>Padfield</w:t>
      </w:r>
      <w:r>
        <w:rPr>
          <w:rFonts w:ascii="Arial" w:hAnsi="Arial" w:cs="Arial"/>
          <w:sz w:val="24"/>
          <w:szCs w:val="24"/>
        </w:rPr>
        <w:t xml:space="preserve">, N. </w:t>
      </w:r>
      <w:r w:rsidR="003E6BD3">
        <w:rPr>
          <w:rFonts w:ascii="Arial" w:hAnsi="Arial" w:cs="Arial"/>
          <w:sz w:val="24"/>
          <w:szCs w:val="24"/>
        </w:rPr>
        <w:t xml:space="preserve">(2016) </w:t>
      </w:r>
      <w:r w:rsidR="003E6BD3" w:rsidRPr="003E6BD3">
        <w:rPr>
          <w:rFonts w:ascii="Arial" w:hAnsi="Arial" w:cs="Arial"/>
          <w:i/>
          <w:iCs/>
          <w:sz w:val="24"/>
          <w:szCs w:val="24"/>
        </w:rPr>
        <w:t>Criminal Law</w:t>
      </w:r>
      <w:r w:rsidR="003E6BD3">
        <w:rPr>
          <w:rFonts w:ascii="Arial" w:hAnsi="Arial" w:cs="Arial"/>
          <w:i/>
          <w:iCs/>
          <w:sz w:val="24"/>
          <w:szCs w:val="24"/>
        </w:rPr>
        <w:t xml:space="preserve">. </w:t>
      </w:r>
      <w:r w:rsidR="003E6BD3">
        <w:rPr>
          <w:rFonts w:ascii="Arial" w:hAnsi="Arial" w:cs="Arial"/>
          <w:sz w:val="24"/>
          <w:szCs w:val="24"/>
        </w:rPr>
        <w:t>10</w:t>
      </w:r>
      <w:r w:rsidR="003E6BD3" w:rsidRPr="003E6BD3">
        <w:rPr>
          <w:rFonts w:ascii="Arial" w:hAnsi="Arial" w:cs="Arial"/>
          <w:sz w:val="24"/>
          <w:szCs w:val="24"/>
          <w:vertAlign w:val="superscript"/>
        </w:rPr>
        <w:t>th</w:t>
      </w:r>
      <w:r w:rsidR="003E6BD3">
        <w:rPr>
          <w:rFonts w:ascii="Arial" w:hAnsi="Arial" w:cs="Arial"/>
          <w:sz w:val="24"/>
          <w:szCs w:val="24"/>
        </w:rPr>
        <w:t xml:space="preserve"> edition. Oxford </w:t>
      </w:r>
      <w:r w:rsidR="00350BD8">
        <w:rPr>
          <w:rFonts w:ascii="Arial" w:hAnsi="Arial" w:cs="Arial"/>
          <w:sz w:val="24"/>
          <w:szCs w:val="24"/>
        </w:rPr>
        <w:t>U</w:t>
      </w:r>
      <w:r w:rsidR="003E6BD3">
        <w:rPr>
          <w:rFonts w:ascii="Arial" w:hAnsi="Arial" w:cs="Arial"/>
          <w:sz w:val="24"/>
          <w:szCs w:val="24"/>
        </w:rPr>
        <w:t>niversity Press.</w:t>
      </w:r>
      <w:r w:rsidR="00350BD8">
        <w:rPr>
          <w:rFonts w:ascii="Arial" w:hAnsi="Arial" w:cs="Arial"/>
          <w:sz w:val="24"/>
          <w:szCs w:val="24"/>
        </w:rPr>
        <w:t xml:space="preserve"> (Accessed: 1</w:t>
      </w:r>
      <w:r w:rsidR="00350BD8" w:rsidRPr="00350BD8">
        <w:rPr>
          <w:rFonts w:ascii="Arial" w:hAnsi="Arial" w:cs="Arial"/>
          <w:sz w:val="24"/>
          <w:szCs w:val="24"/>
          <w:vertAlign w:val="superscript"/>
        </w:rPr>
        <w:t>st</w:t>
      </w:r>
      <w:r w:rsidR="00350BD8">
        <w:rPr>
          <w:rFonts w:ascii="Arial" w:hAnsi="Arial" w:cs="Arial"/>
          <w:sz w:val="24"/>
          <w:szCs w:val="24"/>
        </w:rPr>
        <w:t xml:space="preserve"> March 2023).</w:t>
      </w:r>
    </w:p>
    <w:p w14:paraId="42DEF909" w14:textId="79F0E748" w:rsidR="00D91680" w:rsidRDefault="00D91680" w:rsidP="00CA6FD6">
      <w:pPr>
        <w:spacing w:line="360" w:lineRule="auto"/>
        <w:rPr>
          <w:rFonts w:ascii="Arial" w:hAnsi="Arial" w:cs="Arial"/>
          <w:sz w:val="24"/>
          <w:szCs w:val="24"/>
        </w:rPr>
      </w:pPr>
      <w:r w:rsidRPr="00D91680">
        <w:rPr>
          <w:rFonts w:ascii="Arial" w:hAnsi="Arial" w:cs="Arial"/>
          <w:sz w:val="24"/>
          <w:szCs w:val="24"/>
        </w:rPr>
        <w:t xml:space="preserve">Reed, A., Bohlander, M., Wake, N., Engleby, E. and Adams, V. (2018) </w:t>
      </w:r>
      <w:r w:rsidRPr="00D91680">
        <w:rPr>
          <w:rFonts w:ascii="Arial" w:hAnsi="Arial" w:cs="Arial"/>
          <w:i/>
          <w:iCs/>
          <w:sz w:val="24"/>
          <w:szCs w:val="24"/>
        </w:rPr>
        <w:t xml:space="preserve">Homicide in Criminal Law. </w:t>
      </w:r>
      <w:r w:rsidRPr="00D91680">
        <w:rPr>
          <w:rFonts w:ascii="Arial" w:hAnsi="Arial" w:cs="Arial"/>
          <w:sz w:val="24"/>
          <w:szCs w:val="24"/>
        </w:rPr>
        <w:t>Oxford: Routledge Taylor and Francis Group. (Accessed: 6th March 2023).</w:t>
      </w:r>
    </w:p>
    <w:p w14:paraId="4670F60A" w14:textId="2B25CB5E" w:rsidR="00283CCE" w:rsidRDefault="00283CCE" w:rsidP="00CA6FD6">
      <w:pPr>
        <w:spacing w:line="360" w:lineRule="auto"/>
        <w:rPr>
          <w:rFonts w:ascii="Arial" w:hAnsi="Arial" w:cs="Arial"/>
          <w:sz w:val="24"/>
          <w:szCs w:val="24"/>
        </w:rPr>
      </w:pPr>
      <w:r w:rsidRPr="00283CCE">
        <w:rPr>
          <w:rFonts w:ascii="Arial" w:hAnsi="Arial" w:cs="Arial"/>
          <w:sz w:val="24"/>
          <w:szCs w:val="24"/>
        </w:rPr>
        <w:t>Taylo</w:t>
      </w:r>
      <w:r w:rsidR="00F266A1">
        <w:rPr>
          <w:rFonts w:ascii="Arial" w:hAnsi="Arial" w:cs="Arial"/>
          <w:sz w:val="24"/>
          <w:szCs w:val="24"/>
        </w:rPr>
        <w:t>r, L.</w:t>
      </w:r>
      <w:r w:rsidRPr="00283CCE">
        <w:rPr>
          <w:rFonts w:ascii="Arial" w:hAnsi="Arial" w:cs="Arial"/>
          <w:sz w:val="24"/>
          <w:szCs w:val="24"/>
        </w:rPr>
        <w:t xml:space="preserve"> (2018) </w:t>
      </w:r>
      <w:r w:rsidRPr="00283CCE">
        <w:rPr>
          <w:rFonts w:ascii="Arial" w:hAnsi="Arial" w:cs="Arial"/>
          <w:i/>
          <w:iCs/>
          <w:sz w:val="24"/>
          <w:szCs w:val="24"/>
        </w:rPr>
        <w:t>Elliot and Quinn's Criminal Law</w:t>
      </w:r>
      <w:r w:rsidRPr="00283CCE">
        <w:rPr>
          <w:rFonts w:ascii="Arial" w:hAnsi="Arial" w:cs="Arial"/>
          <w:sz w:val="24"/>
          <w:szCs w:val="24"/>
        </w:rPr>
        <w:t>. Twelfth Edition. England: Pearson Education Limited.</w:t>
      </w:r>
      <w:r>
        <w:rPr>
          <w:rFonts w:ascii="Arial" w:hAnsi="Arial" w:cs="Arial"/>
          <w:sz w:val="24"/>
          <w:szCs w:val="24"/>
        </w:rPr>
        <w:t xml:space="preserve"> (Accessed: 5</w:t>
      </w:r>
      <w:r w:rsidRPr="00283CCE">
        <w:rPr>
          <w:rFonts w:ascii="Arial" w:hAnsi="Arial" w:cs="Arial"/>
          <w:sz w:val="24"/>
          <w:szCs w:val="24"/>
          <w:vertAlign w:val="superscript"/>
        </w:rPr>
        <w:t>th</w:t>
      </w:r>
      <w:r>
        <w:rPr>
          <w:rFonts w:ascii="Arial" w:hAnsi="Arial" w:cs="Arial"/>
          <w:sz w:val="24"/>
          <w:szCs w:val="24"/>
        </w:rPr>
        <w:t xml:space="preserve"> March 2023).</w:t>
      </w:r>
    </w:p>
    <w:p w14:paraId="2517352C" w14:textId="77777777" w:rsidR="008248D4" w:rsidRPr="008248D4" w:rsidRDefault="008248D4" w:rsidP="00CA6FD6">
      <w:pPr>
        <w:spacing w:line="360" w:lineRule="auto"/>
        <w:rPr>
          <w:rFonts w:ascii="Arial" w:hAnsi="Arial" w:cs="Arial"/>
          <w:sz w:val="24"/>
          <w:szCs w:val="24"/>
        </w:rPr>
      </w:pPr>
    </w:p>
    <w:sectPr w:rsidR="008248D4" w:rsidRPr="008248D4" w:rsidSect="0008687D">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56218" w14:textId="77777777" w:rsidR="005862EA" w:rsidRDefault="005862EA" w:rsidP="0008687D">
      <w:pPr>
        <w:spacing w:after="0" w:line="240" w:lineRule="auto"/>
      </w:pPr>
      <w:r>
        <w:separator/>
      </w:r>
    </w:p>
  </w:endnote>
  <w:endnote w:type="continuationSeparator" w:id="0">
    <w:p w14:paraId="6604F9D3" w14:textId="77777777" w:rsidR="005862EA" w:rsidRDefault="005862EA" w:rsidP="00086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0832575"/>
      <w:docPartObj>
        <w:docPartGallery w:val="Page Numbers (Bottom of Page)"/>
        <w:docPartUnique/>
      </w:docPartObj>
    </w:sdtPr>
    <w:sdtEndPr>
      <w:rPr>
        <w:rFonts w:ascii="Arial Black" w:hAnsi="Arial Black"/>
        <w:noProof/>
        <w:sz w:val="24"/>
        <w:szCs w:val="24"/>
      </w:rPr>
    </w:sdtEndPr>
    <w:sdtContent>
      <w:p w14:paraId="34302DE0" w14:textId="7B4DD5C1" w:rsidR="0008687D" w:rsidRPr="0008687D" w:rsidRDefault="0008687D">
        <w:pPr>
          <w:pStyle w:val="Footer"/>
          <w:jc w:val="right"/>
          <w:rPr>
            <w:rFonts w:ascii="Arial Black" w:hAnsi="Arial Black"/>
            <w:sz w:val="24"/>
            <w:szCs w:val="24"/>
          </w:rPr>
        </w:pPr>
        <w:r w:rsidRPr="0008687D">
          <w:rPr>
            <w:rFonts w:ascii="Arial Black" w:hAnsi="Arial Black"/>
            <w:sz w:val="24"/>
            <w:szCs w:val="24"/>
          </w:rPr>
          <w:fldChar w:fldCharType="begin"/>
        </w:r>
        <w:r w:rsidRPr="0008687D">
          <w:rPr>
            <w:rFonts w:ascii="Arial Black" w:hAnsi="Arial Black"/>
            <w:sz w:val="24"/>
            <w:szCs w:val="24"/>
          </w:rPr>
          <w:instrText xml:space="preserve"> PAGE   \* MERGEFORMAT </w:instrText>
        </w:r>
        <w:r w:rsidRPr="0008687D">
          <w:rPr>
            <w:rFonts w:ascii="Arial Black" w:hAnsi="Arial Black"/>
            <w:sz w:val="24"/>
            <w:szCs w:val="24"/>
          </w:rPr>
          <w:fldChar w:fldCharType="separate"/>
        </w:r>
        <w:r w:rsidRPr="0008687D">
          <w:rPr>
            <w:rFonts w:ascii="Arial Black" w:hAnsi="Arial Black"/>
            <w:noProof/>
            <w:sz w:val="24"/>
            <w:szCs w:val="24"/>
          </w:rPr>
          <w:t>2</w:t>
        </w:r>
        <w:r w:rsidRPr="0008687D">
          <w:rPr>
            <w:rFonts w:ascii="Arial Black" w:hAnsi="Arial Black"/>
            <w:noProof/>
            <w:sz w:val="24"/>
            <w:szCs w:val="24"/>
          </w:rPr>
          <w:fldChar w:fldCharType="end"/>
        </w:r>
      </w:p>
    </w:sdtContent>
  </w:sdt>
  <w:p w14:paraId="33E54FF6" w14:textId="77777777" w:rsidR="0008687D" w:rsidRDefault="000868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29F83" w14:textId="77777777" w:rsidR="005862EA" w:rsidRDefault="005862EA" w:rsidP="0008687D">
      <w:pPr>
        <w:spacing w:after="0" w:line="240" w:lineRule="auto"/>
      </w:pPr>
      <w:r>
        <w:separator/>
      </w:r>
    </w:p>
  </w:footnote>
  <w:footnote w:type="continuationSeparator" w:id="0">
    <w:p w14:paraId="793451F7" w14:textId="77777777" w:rsidR="005862EA" w:rsidRDefault="005862EA" w:rsidP="000868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EEE90" w14:textId="197FD761" w:rsidR="0008687D" w:rsidRPr="0008687D" w:rsidRDefault="0008687D">
    <w:pPr>
      <w:pStyle w:val="Header"/>
      <w:rPr>
        <w:rFonts w:ascii="Arial Black" w:hAnsi="Arial Black"/>
      </w:rPr>
    </w:pPr>
    <w:r w:rsidRPr="0008687D">
      <w:rPr>
        <w:rFonts w:ascii="Arial Black" w:hAnsi="Arial Black"/>
      </w:rPr>
      <w:t>Lara Davies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16AAC"/>
    <w:multiLevelType w:val="hybridMultilevel"/>
    <w:tmpl w:val="5F86259C"/>
    <w:lvl w:ilvl="0" w:tplc="7C7C159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9D5D1F"/>
    <w:multiLevelType w:val="hybridMultilevel"/>
    <w:tmpl w:val="9CE21740"/>
    <w:lvl w:ilvl="0" w:tplc="561013C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5B6DCA"/>
    <w:multiLevelType w:val="hybridMultilevel"/>
    <w:tmpl w:val="AF2811FE"/>
    <w:lvl w:ilvl="0" w:tplc="7A9C47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6179794">
    <w:abstractNumId w:val="2"/>
  </w:num>
  <w:num w:numId="2" w16cid:durableId="832531988">
    <w:abstractNumId w:val="0"/>
  </w:num>
  <w:num w:numId="3" w16cid:durableId="559708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69D"/>
    <w:rsid w:val="0000622A"/>
    <w:rsid w:val="0002019B"/>
    <w:rsid w:val="0008687D"/>
    <w:rsid w:val="000D5238"/>
    <w:rsid w:val="000E1E7F"/>
    <w:rsid w:val="000E5D31"/>
    <w:rsid w:val="00103FA5"/>
    <w:rsid w:val="00105E7B"/>
    <w:rsid w:val="00107E28"/>
    <w:rsid w:val="0014065D"/>
    <w:rsid w:val="00143CAA"/>
    <w:rsid w:val="00163E8A"/>
    <w:rsid w:val="001667D2"/>
    <w:rsid w:val="001A4E91"/>
    <w:rsid w:val="001A7032"/>
    <w:rsid w:val="001C4DF1"/>
    <w:rsid w:val="00222FED"/>
    <w:rsid w:val="00227D52"/>
    <w:rsid w:val="00262130"/>
    <w:rsid w:val="00283CCE"/>
    <w:rsid w:val="002A6912"/>
    <w:rsid w:val="00300CBC"/>
    <w:rsid w:val="00323225"/>
    <w:rsid w:val="00335557"/>
    <w:rsid w:val="00350BD8"/>
    <w:rsid w:val="0039114A"/>
    <w:rsid w:val="003A59B9"/>
    <w:rsid w:val="003D639F"/>
    <w:rsid w:val="003E6BD3"/>
    <w:rsid w:val="003F479A"/>
    <w:rsid w:val="0041694E"/>
    <w:rsid w:val="00417ACB"/>
    <w:rsid w:val="00434338"/>
    <w:rsid w:val="00437926"/>
    <w:rsid w:val="0045159A"/>
    <w:rsid w:val="0046121B"/>
    <w:rsid w:val="004615FD"/>
    <w:rsid w:val="00463A88"/>
    <w:rsid w:val="00483ED1"/>
    <w:rsid w:val="004843D4"/>
    <w:rsid w:val="004B0B32"/>
    <w:rsid w:val="004C4D47"/>
    <w:rsid w:val="004F3F97"/>
    <w:rsid w:val="004F765A"/>
    <w:rsid w:val="005104E0"/>
    <w:rsid w:val="00526D9E"/>
    <w:rsid w:val="00564122"/>
    <w:rsid w:val="00580D41"/>
    <w:rsid w:val="005862EA"/>
    <w:rsid w:val="00593606"/>
    <w:rsid w:val="00597087"/>
    <w:rsid w:val="005A471C"/>
    <w:rsid w:val="005B0480"/>
    <w:rsid w:val="00615D84"/>
    <w:rsid w:val="0062571F"/>
    <w:rsid w:val="00627C24"/>
    <w:rsid w:val="00672BAC"/>
    <w:rsid w:val="006E02CF"/>
    <w:rsid w:val="007112F9"/>
    <w:rsid w:val="00711CEE"/>
    <w:rsid w:val="007148C5"/>
    <w:rsid w:val="00717FF0"/>
    <w:rsid w:val="00763C9A"/>
    <w:rsid w:val="00797966"/>
    <w:rsid w:val="007A2B06"/>
    <w:rsid w:val="00805E99"/>
    <w:rsid w:val="008248D4"/>
    <w:rsid w:val="00842F15"/>
    <w:rsid w:val="00843526"/>
    <w:rsid w:val="008752E0"/>
    <w:rsid w:val="008776EE"/>
    <w:rsid w:val="008C231D"/>
    <w:rsid w:val="008F0CF8"/>
    <w:rsid w:val="00943DC2"/>
    <w:rsid w:val="009450A6"/>
    <w:rsid w:val="009719AB"/>
    <w:rsid w:val="00975EC2"/>
    <w:rsid w:val="009B65D3"/>
    <w:rsid w:val="009E2929"/>
    <w:rsid w:val="00A11EC5"/>
    <w:rsid w:val="00A67652"/>
    <w:rsid w:val="00A80B19"/>
    <w:rsid w:val="00A867AE"/>
    <w:rsid w:val="00AC595C"/>
    <w:rsid w:val="00AC756B"/>
    <w:rsid w:val="00AF1A17"/>
    <w:rsid w:val="00B27AB7"/>
    <w:rsid w:val="00B64AEA"/>
    <w:rsid w:val="00B805DF"/>
    <w:rsid w:val="00BA769D"/>
    <w:rsid w:val="00BD2858"/>
    <w:rsid w:val="00BF6AC2"/>
    <w:rsid w:val="00C84102"/>
    <w:rsid w:val="00C94442"/>
    <w:rsid w:val="00C97166"/>
    <w:rsid w:val="00CA6FD6"/>
    <w:rsid w:val="00D26959"/>
    <w:rsid w:val="00D50687"/>
    <w:rsid w:val="00D91680"/>
    <w:rsid w:val="00DA6DCA"/>
    <w:rsid w:val="00DB4803"/>
    <w:rsid w:val="00DC17D1"/>
    <w:rsid w:val="00E3025D"/>
    <w:rsid w:val="00E472F2"/>
    <w:rsid w:val="00E93E02"/>
    <w:rsid w:val="00EF3D4C"/>
    <w:rsid w:val="00F012BF"/>
    <w:rsid w:val="00F12D05"/>
    <w:rsid w:val="00F16391"/>
    <w:rsid w:val="00F266A1"/>
    <w:rsid w:val="00F26CD8"/>
    <w:rsid w:val="00F3070A"/>
    <w:rsid w:val="00F37DFD"/>
    <w:rsid w:val="00F709BB"/>
    <w:rsid w:val="00F863CF"/>
    <w:rsid w:val="00F97AA0"/>
    <w:rsid w:val="00FA17C1"/>
    <w:rsid w:val="00FB1021"/>
    <w:rsid w:val="00FB3B8D"/>
    <w:rsid w:val="00FD55E0"/>
    <w:rsid w:val="00FE233C"/>
    <w:rsid w:val="00FE7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48DC6"/>
  <w15:chartTrackingRefBased/>
  <w15:docId w15:val="{17E21223-BDFF-4384-A347-C6CAC7943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868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687D"/>
    <w:rPr>
      <w:rFonts w:eastAsiaTheme="minorEastAsia"/>
      <w:lang w:val="en-US"/>
    </w:rPr>
  </w:style>
  <w:style w:type="paragraph" w:styleId="Header">
    <w:name w:val="header"/>
    <w:basedOn w:val="Normal"/>
    <w:link w:val="HeaderChar"/>
    <w:uiPriority w:val="99"/>
    <w:unhideWhenUsed/>
    <w:rsid w:val="00086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687D"/>
  </w:style>
  <w:style w:type="paragraph" w:styleId="Footer">
    <w:name w:val="footer"/>
    <w:basedOn w:val="Normal"/>
    <w:link w:val="FooterChar"/>
    <w:uiPriority w:val="99"/>
    <w:unhideWhenUsed/>
    <w:rsid w:val="00086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687D"/>
  </w:style>
  <w:style w:type="paragraph" w:styleId="ListParagraph">
    <w:name w:val="List Paragraph"/>
    <w:basedOn w:val="Normal"/>
    <w:uiPriority w:val="34"/>
    <w:qFormat/>
    <w:rsid w:val="00A80B19"/>
    <w:pPr>
      <w:ind w:left="720"/>
      <w:contextualSpacing/>
    </w:pPr>
  </w:style>
  <w:style w:type="character" w:styleId="Hyperlink">
    <w:name w:val="Hyperlink"/>
    <w:basedOn w:val="DefaultParagraphFont"/>
    <w:uiPriority w:val="99"/>
    <w:unhideWhenUsed/>
    <w:rsid w:val="0014065D"/>
    <w:rPr>
      <w:color w:val="8F8F8F" w:themeColor="hyperlink"/>
      <w:u w:val="single"/>
    </w:rPr>
  </w:style>
  <w:style w:type="character" w:styleId="UnresolvedMention">
    <w:name w:val="Unresolved Mention"/>
    <w:basedOn w:val="DefaultParagraphFont"/>
    <w:uiPriority w:val="99"/>
    <w:semiHidden/>
    <w:unhideWhenUsed/>
    <w:rsid w:val="0014065D"/>
    <w:rPr>
      <w:color w:val="605E5C"/>
      <w:shd w:val="clear" w:color="auto" w:fill="E1DFDD"/>
    </w:rPr>
  </w:style>
  <w:style w:type="character" w:styleId="FollowedHyperlink">
    <w:name w:val="FollowedHyperlink"/>
    <w:basedOn w:val="DefaultParagraphFont"/>
    <w:uiPriority w:val="99"/>
    <w:semiHidden/>
    <w:unhideWhenUsed/>
    <w:rsid w:val="00F266A1"/>
    <w:rPr>
      <w:color w:val="A5A5A5" w:themeColor="followedHyperlink"/>
      <w:u w:val="single"/>
    </w:rPr>
  </w:style>
  <w:style w:type="character" w:styleId="CommentReference">
    <w:name w:val="annotation reference"/>
    <w:basedOn w:val="DefaultParagraphFont"/>
    <w:uiPriority w:val="99"/>
    <w:semiHidden/>
    <w:unhideWhenUsed/>
    <w:rsid w:val="007148C5"/>
    <w:rPr>
      <w:sz w:val="16"/>
      <w:szCs w:val="16"/>
    </w:rPr>
  </w:style>
  <w:style w:type="paragraph" w:styleId="CommentText">
    <w:name w:val="annotation text"/>
    <w:basedOn w:val="Normal"/>
    <w:link w:val="CommentTextChar"/>
    <w:uiPriority w:val="99"/>
    <w:unhideWhenUsed/>
    <w:rsid w:val="007148C5"/>
    <w:pPr>
      <w:spacing w:line="240" w:lineRule="auto"/>
    </w:pPr>
    <w:rPr>
      <w:sz w:val="20"/>
      <w:szCs w:val="20"/>
    </w:rPr>
  </w:style>
  <w:style w:type="character" w:customStyle="1" w:styleId="CommentTextChar">
    <w:name w:val="Comment Text Char"/>
    <w:basedOn w:val="DefaultParagraphFont"/>
    <w:link w:val="CommentText"/>
    <w:uiPriority w:val="99"/>
    <w:rsid w:val="007148C5"/>
    <w:rPr>
      <w:sz w:val="20"/>
      <w:szCs w:val="20"/>
    </w:rPr>
  </w:style>
  <w:style w:type="paragraph" w:styleId="CommentSubject">
    <w:name w:val="annotation subject"/>
    <w:basedOn w:val="CommentText"/>
    <w:next w:val="CommentText"/>
    <w:link w:val="CommentSubjectChar"/>
    <w:uiPriority w:val="99"/>
    <w:semiHidden/>
    <w:unhideWhenUsed/>
    <w:rsid w:val="007148C5"/>
    <w:rPr>
      <w:b/>
      <w:bCs/>
    </w:rPr>
  </w:style>
  <w:style w:type="character" w:customStyle="1" w:styleId="CommentSubjectChar">
    <w:name w:val="Comment Subject Char"/>
    <w:basedOn w:val="CommentTextChar"/>
    <w:link w:val="CommentSubject"/>
    <w:uiPriority w:val="99"/>
    <w:semiHidden/>
    <w:rsid w:val="007148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41302777?seq=17" TargetMode="External"/><Relationship Id="rId13" Type="http://schemas.openxmlformats.org/officeDocument/2006/relationships/hyperlink" Target="https://www.justice.gov.uk/downloads/legislation/bills-acts/circulars/moj/2010/circular-12-2010-coroners-justice-act-homicide-provisions.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doi.org/10.53386/nilq.v72i2.87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lbstudies.files.wordpress.com/2013/02/article-loss-of-control-diminished-responsiblity-2.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228782/0030.pdf" TargetMode="External"/><Relationship Id="rId4" Type="http://schemas.openxmlformats.org/officeDocument/2006/relationships/webSettings" Target="webSettings.xml"/><Relationship Id="rId9" Type="http://schemas.openxmlformats.org/officeDocument/2006/relationships/hyperlink" Target="https://s3-eu-west-2.amazonaws.com/lawcom-prod-storage11jsxou24uy7q/uploads/2015/03/cp177_Murder_Manslaughter_and_Infanticide_consultation_overview_.pdf" TargetMode="External"/><Relationship Id="rId14" Type="http://schemas.openxmlformats.org/officeDocument/2006/relationships/header" Target="header1.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docProps/app.xml><?xml version="1.0" encoding="utf-8"?>
<Properties xmlns="http://schemas.openxmlformats.org/officeDocument/2006/extended-properties" xmlns:vt="http://schemas.openxmlformats.org/officeDocument/2006/docPropsVTypes">
  <Template>Normal</Template>
  <TotalTime>629</TotalTime>
  <Pages>7</Pages>
  <Words>1852</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Davies</dc:creator>
  <cp:keywords/>
  <dc:description/>
  <cp:lastModifiedBy>Lara Davies</cp:lastModifiedBy>
  <cp:revision>21</cp:revision>
  <dcterms:created xsi:type="dcterms:W3CDTF">2023-03-06T23:28:00Z</dcterms:created>
  <dcterms:modified xsi:type="dcterms:W3CDTF">2023-03-09T12:18:00Z</dcterms:modified>
</cp:coreProperties>
</file>