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304FB" w14:textId="77777777" w:rsidR="00C171A8" w:rsidRDefault="00000000">
      <w:pPr>
        <w:jc w:val="center"/>
        <w:rPr>
          <w:b/>
          <w:color w:val="005496"/>
          <w:sz w:val="40"/>
        </w:rPr>
      </w:pPr>
      <w:r>
        <w:rPr>
          <w:b/>
          <w:color w:val="005496"/>
          <w:sz w:val="40"/>
        </w:rPr>
        <w:br/>
        <w:t>The Ambulance Service in Healthcare</w:t>
      </w:r>
    </w:p>
    <w:p w14:paraId="62BA2E97" w14:textId="3B2C1180" w:rsidR="00645F45" w:rsidRDefault="00C20719" w:rsidP="00E04C85">
      <w:pPr>
        <w:jc w:val="center"/>
        <w:rPr>
          <w:b/>
          <w:color w:val="005496"/>
          <w:sz w:val="40"/>
        </w:rPr>
      </w:pPr>
      <w:r>
        <w:rPr>
          <w:b/>
          <w:color w:val="005496"/>
          <w:sz w:val="40"/>
        </w:rPr>
        <w:t xml:space="preserve">Module- </w:t>
      </w:r>
      <w:r w:rsidR="00645F45">
        <w:rPr>
          <w:b/>
          <w:color w:val="005496"/>
          <w:sz w:val="40"/>
        </w:rPr>
        <w:t>LCHS4003</w:t>
      </w:r>
    </w:p>
    <w:p w14:paraId="1D4F065A" w14:textId="55089270" w:rsidR="007C26C5" w:rsidRDefault="00645F45">
      <w:pPr>
        <w:jc w:val="center"/>
      </w:pPr>
      <w:r>
        <w:rPr>
          <w:b/>
          <w:color w:val="005496"/>
          <w:sz w:val="40"/>
        </w:rPr>
        <w:t>By Cher Miles-2440437</w:t>
      </w:r>
      <w:r w:rsidR="00000000">
        <w:rPr>
          <w:b/>
          <w:color w:val="005496"/>
          <w:sz w:val="40"/>
        </w:rPr>
        <w:br/>
      </w:r>
    </w:p>
    <w:p w14:paraId="7BB37F83" w14:textId="53E4C2E7" w:rsidR="007C26C5" w:rsidRPr="00E04C85" w:rsidRDefault="00E04C85">
      <w:pPr>
        <w:rPr>
          <w:rFonts w:ascii="Aptos" w:hAnsi="Aptos"/>
          <w:b/>
          <w:bCs/>
          <w:sz w:val="24"/>
          <w:szCs w:val="24"/>
        </w:rPr>
      </w:pPr>
      <w:r w:rsidRPr="00E04C85">
        <w:rPr>
          <w:rFonts w:ascii="Aptos" w:hAnsi="Aptos"/>
          <w:b/>
          <w:bCs/>
          <w:sz w:val="24"/>
          <w:szCs w:val="24"/>
        </w:rPr>
        <w:t xml:space="preserve">Task 1 </w:t>
      </w:r>
    </w:p>
    <w:p w14:paraId="302FB61C" w14:textId="77777777" w:rsidR="007C26C5" w:rsidRDefault="00000000">
      <w:pPr>
        <w:rPr>
          <w:b/>
          <w:color w:val="005496"/>
          <w:sz w:val="32"/>
        </w:rPr>
      </w:pPr>
      <w:r>
        <w:rPr>
          <w:rFonts w:ascii="Segoe UI Emoji" w:hAnsi="Segoe UI Emoji" w:cs="Segoe UI Emoji"/>
          <w:b/>
          <w:color w:val="005496"/>
          <w:sz w:val="32"/>
        </w:rPr>
        <w:t>🚑</w:t>
      </w:r>
      <w:r>
        <w:rPr>
          <w:b/>
          <w:color w:val="005496"/>
          <w:sz w:val="32"/>
        </w:rPr>
        <w:t xml:space="preserve"> Introduction</w:t>
      </w:r>
    </w:p>
    <w:p w14:paraId="16CE8C6D" w14:textId="77777777" w:rsidR="00C4584C" w:rsidRPr="00C4584C" w:rsidRDefault="00C4584C" w:rsidP="00C4584C">
      <w:pPr>
        <w:spacing w:after="0" w:line="240" w:lineRule="auto"/>
        <w:jc w:val="left"/>
        <w:rPr>
          <w:rFonts w:ascii="Arial" w:eastAsia="Times New Roman" w:hAnsi="Arial" w:cs="Arial"/>
          <w:sz w:val="28"/>
          <w:szCs w:val="28"/>
          <w:lang w:val="en-GB" w:eastAsia="en-GB"/>
        </w:rPr>
      </w:pPr>
      <w:r w:rsidRPr="00C4584C">
        <w:rPr>
          <w:rFonts w:ascii="Arial" w:eastAsia="Times New Roman" w:hAnsi="Arial" w:cs="Arial"/>
          <w:sz w:val="28"/>
          <w:szCs w:val="28"/>
          <w:lang w:val="en-GB" w:eastAsia="en-GB"/>
        </w:rPr>
        <w:t>The Ambulance Service is a vital part of the UK’s healthcare system. It provides emergency and urgent medical care to people who are seriously ill or injured and safely transports patients to hospitals or other healthcare facilities.</w:t>
      </w:r>
    </w:p>
    <w:p w14:paraId="0CEDDDCF" w14:textId="77777777" w:rsidR="00C4584C" w:rsidRPr="00C4584C" w:rsidRDefault="00C4584C" w:rsidP="00C4584C">
      <w:pPr>
        <w:spacing w:after="0" w:line="240" w:lineRule="auto"/>
        <w:jc w:val="left"/>
        <w:rPr>
          <w:rFonts w:ascii="Arial" w:eastAsia="Times New Roman" w:hAnsi="Arial" w:cs="Arial"/>
          <w:sz w:val="28"/>
          <w:szCs w:val="28"/>
          <w:lang w:val="en-GB" w:eastAsia="en-GB"/>
        </w:rPr>
      </w:pPr>
      <w:r w:rsidRPr="00C4584C">
        <w:rPr>
          <w:rFonts w:ascii="Arial" w:eastAsia="Times New Roman" w:hAnsi="Arial" w:cs="Arial"/>
          <w:sz w:val="28"/>
          <w:szCs w:val="28"/>
          <w:lang w:val="en-GB" w:eastAsia="en-GB"/>
        </w:rPr>
        <w:t>In addition to providing urgent medical responses, the service works closely with hospitals, GP surgeries, NHS 111, and community care teams to ensure that patients receive the right help at the right time.</w:t>
      </w:r>
    </w:p>
    <w:p w14:paraId="1C63081F" w14:textId="77777777" w:rsidR="00C4584C" w:rsidRPr="00C4584C" w:rsidRDefault="00C4584C" w:rsidP="00C4584C">
      <w:pPr>
        <w:spacing w:after="0" w:line="240" w:lineRule="auto"/>
        <w:jc w:val="left"/>
        <w:rPr>
          <w:rFonts w:ascii="Arial" w:eastAsia="Times New Roman" w:hAnsi="Arial" w:cs="Arial"/>
          <w:sz w:val="28"/>
          <w:szCs w:val="28"/>
          <w:lang w:val="en-GB" w:eastAsia="en-GB"/>
        </w:rPr>
      </w:pPr>
      <w:r w:rsidRPr="00C4584C">
        <w:rPr>
          <w:rFonts w:ascii="Arial" w:eastAsia="Times New Roman" w:hAnsi="Arial" w:cs="Arial"/>
          <w:sz w:val="28"/>
          <w:szCs w:val="28"/>
          <w:lang w:val="en-GB" w:eastAsia="en-GB"/>
        </w:rPr>
        <w:t>The responsibility for delivering these services lies with NHS Ambulance Trusts in England, Scotland, Wales, and Northern Ireland. Within each trust, teams include paramedics, emergency medical technicians (EMTs), call handlers, and patient transport staff.</w:t>
      </w:r>
    </w:p>
    <w:p w14:paraId="1E3B5066" w14:textId="77777777" w:rsidR="00C4584C" w:rsidRPr="00C4584C" w:rsidRDefault="00C4584C" w:rsidP="00C4584C">
      <w:pPr>
        <w:spacing w:after="0" w:line="240" w:lineRule="auto"/>
        <w:jc w:val="left"/>
        <w:rPr>
          <w:rFonts w:ascii="Times New Roman" w:eastAsia="Times New Roman" w:hAnsi="Times New Roman" w:cs="Times New Roman"/>
          <w:sz w:val="24"/>
          <w:szCs w:val="24"/>
          <w:lang w:val="en-GB" w:eastAsia="en-GB"/>
        </w:rPr>
      </w:pPr>
    </w:p>
    <w:p w14:paraId="10B4DB72" w14:textId="77777777" w:rsidR="00C4584C" w:rsidRDefault="00C4584C"/>
    <w:p w14:paraId="2689114F" w14:textId="77777777" w:rsidR="007C26C5" w:rsidRDefault="00000000">
      <w:r>
        <w:rPr>
          <w:rFonts w:ascii="Segoe UI Emoji" w:hAnsi="Segoe UI Emoji" w:cs="Segoe UI Emoji"/>
          <w:b/>
          <w:color w:val="005496"/>
          <w:sz w:val="32"/>
        </w:rPr>
        <w:t>🏥</w:t>
      </w:r>
      <w:r>
        <w:rPr>
          <w:b/>
          <w:color w:val="005496"/>
          <w:sz w:val="32"/>
        </w:rPr>
        <w:t xml:space="preserve"> The Role of the Ambulance Service</w:t>
      </w:r>
    </w:p>
    <w:p w14:paraId="7369D6A4" w14:textId="60B6FAE6" w:rsidR="007C26C5" w:rsidRPr="00951730" w:rsidRDefault="00000000">
      <w:pPr>
        <w:pStyle w:val="ListBullet"/>
        <w:spacing w:after="120" w:line="312" w:lineRule="auto"/>
        <w:rPr>
          <w:rFonts w:ascii="Arial" w:hAnsi="Arial" w:cs="Arial"/>
          <w:sz w:val="24"/>
          <w:szCs w:val="24"/>
        </w:rPr>
      </w:pPr>
      <w:r w:rsidRPr="00951730">
        <w:rPr>
          <w:rFonts w:ascii="Arial" w:hAnsi="Arial" w:cs="Arial"/>
          <w:sz w:val="24"/>
          <w:szCs w:val="24"/>
        </w:rPr>
        <w:t xml:space="preserve">Respond to 999 emergency </w:t>
      </w:r>
      <w:r w:rsidR="007256A1" w:rsidRPr="00951730">
        <w:rPr>
          <w:rFonts w:ascii="Arial" w:hAnsi="Arial" w:cs="Arial"/>
          <w:sz w:val="24"/>
          <w:szCs w:val="24"/>
        </w:rPr>
        <w:t>calls.</w:t>
      </w:r>
    </w:p>
    <w:p w14:paraId="3E5C54B4" w14:textId="22BD8652" w:rsidR="007C26C5" w:rsidRPr="00951730" w:rsidRDefault="00000000">
      <w:pPr>
        <w:pStyle w:val="ListBullet"/>
        <w:spacing w:after="120" w:line="312" w:lineRule="auto"/>
        <w:rPr>
          <w:rFonts w:ascii="Arial" w:hAnsi="Arial" w:cs="Arial"/>
          <w:sz w:val="24"/>
          <w:szCs w:val="24"/>
        </w:rPr>
      </w:pPr>
      <w:r w:rsidRPr="00951730">
        <w:rPr>
          <w:rFonts w:ascii="Arial" w:hAnsi="Arial" w:cs="Arial"/>
          <w:sz w:val="24"/>
          <w:szCs w:val="24"/>
        </w:rPr>
        <w:t xml:space="preserve">Provide life-saving treatment at the </w:t>
      </w:r>
      <w:r w:rsidR="007256A1" w:rsidRPr="00951730">
        <w:rPr>
          <w:rFonts w:ascii="Arial" w:hAnsi="Arial" w:cs="Arial"/>
          <w:sz w:val="24"/>
          <w:szCs w:val="24"/>
        </w:rPr>
        <w:t>scene.</w:t>
      </w:r>
    </w:p>
    <w:p w14:paraId="772A526E" w14:textId="34BC12D9" w:rsidR="007C26C5" w:rsidRPr="00951730" w:rsidRDefault="00000000">
      <w:pPr>
        <w:pStyle w:val="ListBullet"/>
        <w:spacing w:after="120" w:line="312" w:lineRule="auto"/>
        <w:rPr>
          <w:rFonts w:ascii="Arial" w:hAnsi="Arial" w:cs="Arial"/>
          <w:sz w:val="24"/>
          <w:szCs w:val="24"/>
        </w:rPr>
      </w:pPr>
      <w:r w:rsidRPr="00951730">
        <w:rPr>
          <w:rFonts w:ascii="Arial" w:hAnsi="Arial" w:cs="Arial"/>
          <w:sz w:val="24"/>
          <w:szCs w:val="24"/>
        </w:rPr>
        <w:t xml:space="preserve">Transport patients to hospitals or specialist </w:t>
      </w:r>
      <w:r w:rsidR="007256A1" w:rsidRPr="00951730">
        <w:rPr>
          <w:rFonts w:ascii="Arial" w:hAnsi="Arial" w:cs="Arial"/>
          <w:sz w:val="24"/>
          <w:szCs w:val="24"/>
        </w:rPr>
        <w:t>units.</w:t>
      </w:r>
    </w:p>
    <w:p w14:paraId="2DA94C62" w14:textId="7BD892C0" w:rsidR="007C26C5" w:rsidRPr="00951730" w:rsidRDefault="00000000">
      <w:pPr>
        <w:pStyle w:val="ListBullet"/>
        <w:spacing w:after="120" w:line="312" w:lineRule="auto"/>
        <w:rPr>
          <w:rFonts w:ascii="Arial" w:hAnsi="Arial" w:cs="Arial"/>
          <w:sz w:val="24"/>
          <w:szCs w:val="24"/>
        </w:rPr>
      </w:pPr>
      <w:r w:rsidRPr="00951730">
        <w:rPr>
          <w:rFonts w:ascii="Arial" w:hAnsi="Arial" w:cs="Arial"/>
          <w:sz w:val="24"/>
          <w:szCs w:val="24"/>
        </w:rPr>
        <w:t xml:space="preserve">Support major incidents and </w:t>
      </w:r>
      <w:r w:rsidR="007256A1" w:rsidRPr="00951730">
        <w:rPr>
          <w:rFonts w:ascii="Arial" w:hAnsi="Arial" w:cs="Arial"/>
          <w:sz w:val="24"/>
          <w:szCs w:val="24"/>
        </w:rPr>
        <w:t>accidents.</w:t>
      </w:r>
    </w:p>
    <w:p w14:paraId="52E42058" w14:textId="6B28B85D" w:rsidR="007C26C5" w:rsidRPr="00951730" w:rsidRDefault="007256A1">
      <w:pPr>
        <w:pStyle w:val="ListBullet"/>
        <w:spacing w:after="120" w:line="312" w:lineRule="auto"/>
        <w:rPr>
          <w:rFonts w:ascii="Arial" w:hAnsi="Arial" w:cs="Arial"/>
          <w:sz w:val="24"/>
          <w:szCs w:val="24"/>
        </w:rPr>
      </w:pPr>
      <w:r w:rsidRPr="00951730">
        <w:rPr>
          <w:rFonts w:ascii="Arial" w:hAnsi="Arial" w:cs="Arial"/>
          <w:sz w:val="24"/>
          <w:szCs w:val="24"/>
        </w:rPr>
        <w:t>Offering non-emergency patient transport for people with medical needs</w:t>
      </w:r>
    </w:p>
    <w:p w14:paraId="14B9BA85" w14:textId="3ECF5DD6" w:rsidR="007C26C5" w:rsidRPr="00951730" w:rsidRDefault="00000000">
      <w:pPr>
        <w:pStyle w:val="ListBullet"/>
        <w:spacing w:after="120" w:line="312" w:lineRule="auto"/>
        <w:rPr>
          <w:rFonts w:ascii="Arial" w:hAnsi="Arial" w:cs="Arial"/>
          <w:sz w:val="24"/>
          <w:szCs w:val="24"/>
        </w:rPr>
      </w:pPr>
      <w:r w:rsidRPr="00951730">
        <w:rPr>
          <w:rFonts w:ascii="Arial" w:hAnsi="Arial" w:cs="Arial"/>
          <w:sz w:val="24"/>
          <w:szCs w:val="24"/>
        </w:rPr>
        <w:t xml:space="preserve">Work with other healthcare services to improve patient </w:t>
      </w:r>
      <w:r w:rsidR="007C2519" w:rsidRPr="00951730">
        <w:rPr>
          <w:rFonts w:ascii="Arial" w:hAnsi="Arial" w:cs="Arial"/>
          <w:sz w:val="24"/>
          <w:szCs w:val="24"/>
        </w:rPr>
        <w:t>outcomes.</w:t>
      </w:r>
    </w:p>
    <w:p w14:paraId="34353F08" w14:textId="77777777" w:rsidR="007C26C5" w:rsidRDefault="00000000">
      <w:r>
        <w:rPr>
          <w:rFonts w:ascii="Segoe UI Emoji" w:hAnsi="Segoe UI Emoji" w:cs="Segoe UI Emoji"/>
          <w:b/>
          <w:color w:val="005496"/>
          <w:sz w:val="32"/>
        </w:rPr>
        <w:t>🚨</w:t>
      </w:r>
      <w:r>
        <w:rPr>
          <w:b/>
          <w:color w:val="005496"/>
          <w:sz w:val="32"/>
        </w:rPr>
        <w:t xml:space="preserve"> Types of Ambulance Services</w:t>
      </w:r>
    </w:p>
    <w:p w14:paraId="79BFF104" w14:textId="3B858B8D" w:rsidR="007C26C5" w:rsidRDefault="00000000">
      <w:pPr>
        <w:spacing w:after="120" w:line="312" w:lineRule="auto"/>
      </w:pPr>
      <w:r w:rsidRPr="001164A1">
        <w:rPr>
          <w:rFonts w:ascii="Arial" w:hAnsi="Arial" w:cs="Arial"/>
          <w:sz w:val="24"/>
          <w:szCs w:val="24"/>
        </w:rPr>
        <w:t>1. Emergency Ambulance Service (999</w:t>
      </w:r>
      <w:r w:rsidR="007C2519" w:rsidRPr="001164A1">
        <w:rPr>
          <w:rFonts w:ascii="Arial" w:hAnsi="Arial" w:cs="Arial"/>
          <w:sz w:val="24"/>
          <w:szCs w:val="24"/>
        </w:rPr>
        <w:t xml:space="preserve">): </w:t>
      </w:r>
      <w:r w:rsidRPr="001164A1">
        <w:rPr>
          <w:rFonts w:ascii="Arial" w:hAnsi="Arial" w:cs="Arial"/>
          <w:sz w:val="24"/>
          <w:szCs w:val="24"/>
        </w:rPr>
        <w:t>Responds to life-threatening situations like heart attacks and accidents</w:t>
      </w:r>
      <w:r>
        <w:t>.</w:t>
      </w:r>
    </w:p>
    <w:p w14:paraId="538E21DC" w14:textId="393F2046" w:rsidR="007C26C5" w:rsidRPr="001164A1" w:rsidRDefault="00000000">
      <w:pPr>
        <w:spacing w:after="120" w:line="312" w:lineRule="auto"/>
        <w:rPr>
          <w:rFonts w:ascii="Arial" w:hAnsi="Arial" w:cs="Arial"/>
          <w:sz w:val="24"/>
          <w:szCs w:val="24"/>
        </w:rPr>
      </w:pPr>
      <w:r w:rsidRPr="001164A1">
        <w:rPr>
          <w:rFonts w:ascii="Arial" w:hAnsi="Arial" w:cs="Arial"/>
          <w:sz w:val="24"/>
          <w:szCs w:val="24"/>
        </w:rPr>
        <w:lastRenderedPageBreak/>
        <w:t>2. Patient Transport Service (PTS</w:t>
      </w:r>
      <w:r w:rsidR="007C2519" w:rsidRPr="001164A1">
        <w:rPr>
          <w:rFonts w:ascii="Arial" w:hAnsi="Arial" w:cs="Arial"/>
          <w:sz w:val="24"/>
          <w:szCs w:val="24"/>
        </w:rPr>
        <w:t>):</w:t>
      </w:r>
      <w:r w:rsidRPr="001164A1">
        <w:rPr>
          <w:rFonts w:ascii="Arial" w:hAnsi="Arial" w:cs="Arial"/>
          <w:sz w:val="24"/>
          <w:szCs w:val="24"/>
        </w:rPr>
        <w:t xml:space="preserve"> </w:t>
      </w:r>
      <w:r w:rsidR="007C2519" w:rsidRPr="001164A1">
        <w:rPr>
          <w:rFonts w:ascii="Arial" w:hAnsi="Arial" w:cs="Arial"/>
          <w:sz w:val="24"/>
          <w:szCs w:val="24"/>
        </w:rPr>
        <w:t>non-emergency</w:t>
      </w:r>
      <w:r w:rsidRPr="001164A1">
        <w:rPr>
          <w:rFonts w:ascii="Arial" w:hAnsi="Arial" w:cs="Arial"/>
          <w:sz w:val="24"/>
          <w:szCs w:val="24"/>
        </w:rPr>
        <w:t xml:space="preserve"> transport for patients unable to travel alone.</w:t>
      </w:r>
    </w:p>
    <w:p w14:paraId="0EB5D50F" w14:textId="311A4949" w:rsidR="007C26C5" w:rsidRPr="001164A1" w:rsidRDefault="00000000">
      <w:pPr>
        <w:spacing w:after="120" w:line="312" w:lineRule="auto"/>
        <w:rPr>
          <w:rFonts w:ascii="Arial" w:hAnsi="Arial" w:cs="Arial"/>
          <w:sz w:val="24"/>
          <w:szCs w:val="24"/>
        </w:rPr>
      </w:pPr>
      <w:r w:rsidRPr="001164A1">
        <w:rPr>
          <w:rFonts w:ascii="Arial" w:hAnsi="Arial" w:cs="Arial"/>
          <w:sz w:val="24"/>
          <w:szCs w:val="24"/>
        </w:rPr>
        <w:t xml:space="preserve">3. Air </w:t>
      </w:r>
      <w:r w:rsidR="007C2519" w:rsidRPr="001164A1">
        <w:rPr>
          <w:rFonts w:ascii="Arial" w:hAnsi="Arial" w:cs="Arial"/>
          <w:sz w:val="24"/>
          <w:szCs w:val="24"/>
        </w:rPr>
        <w:t>Ambulance:</w:t>
      </w:r>
      <w:r w:rsidRPr="001164A1">
        <w:rPr>
          <w:rFonts w:ascii="Arial" w:hAnsi="Arial" w:cs="Arial"/>
          <w:sz w:val="24"/>
          <w:szCs w:val="24"/>
        </w:rPr>
        <w:t xml:space="preserve"> Used for serious or remote incidents, often </w:t>
      </w:r>
      <w:r w:rsidR="007C2519" w:rsidRPr="001164A1">
        <w:rPr>
          <w:rFonts w:ascii="Arial" w:hAnsi="Arial" w:cs="Arial"/>
          <w:sz w:val="24"/>
          <w:szCs w:val="24"/>
        </w:rPr>
        <w:t>charity funded</w:t>
      </w:r>
      <w:r w:rsidRPr="001164A1">
        <w:rPr>
          <w:rFonts w:ascii="Arial" w:hAnsi="Arial" w:cs="Arial"/>
          <w:sz w:val="24"/>
          <w:szCs w:val="24"/>
        </w:rPr>
        <w:t>.</w:t>
      </w:r>
    </w:p>
    <w:p w14:paraId="70BB55A5" w14:textId="140D89C1" w:rsidR="007C26C5" w:rsidRPr="001164A1" w:rsidRDefault="00000000">
      <w:pPr>
        <w:spacing w:after="120" w:line="312" w:lineRule="auto"/>
        <w:rPr>
          <w:rFonts w:ascii="Arial" w:hAnsi="Arial" w:cs="Arial"/>
          <w:sz w:val="24"/>
          <w:szCs w:val="24"/>
        </w:rPr>
      </w:pPr>
      <w:r w:rsidRPr="001164A1">
        <w:rPr>
          <w:rFonts w:ascii="Arial" w:hAnsi="Arial" w:cs="Arial"/>
          <w:sz w:val="24"/>
          <w:szCs w:val="24"/>
        </w:rPr>
        <w:t>4.</w:t>
      </w:r>
      <w:r w:rsidR="008530EF">
        <w:rPr>
          <w:rFonts w:ascii="Arial" w:hAnsi="Arial" w:cs="Arial"/>
          <w:sz w:val="24"/>
          <w:szCs w:val="24"/>
        </w:rPr>
        <w:t xml:space="preserve"> </w:t>
      </w:r>
      <w:r w:rsidRPr="001164A1">
        <w:rPr>
          <w:rFonts w:ascii="Arial" w:hAnsi="Arial" w:cs="Arial"/>
          <w:sz w:val="24"/>
          <w:szCs w:val="24"/>
        </w:rPr>
        <w:t>Community First Responders (CFRs</w:t>
      </w:r>
      <w:r w:rsidR="007C2519" w:rsidRPr="001164A1">
        <w:rPr>
          <w:rFonts w:ascii="Arial" w:hAnsi="Arial" w:cs="Arial"/>
          <w:sz w:val="24"/>
          <w:szCs w:val="24"/>
        </w:rPr>
        <w:t>):</w:t>
      </w:r>
      <w:r w:rsidR="008530EF">
        <w:rPr>
          <w:rFonts w:ascii="Arial" w:hAnsi="Arial" w:cs="Arial"/>
          <w:sz w:val="24"/>
          <w:szCs w:val="24"/>
        </w:rPr>
        <w:t xml:space="preserve"> </w:t>
      </w:r>
      <w:r w:rsidRPr="001164A1">
        <w:rPr>
          <w:rFonts w:ascii="Arial" w:hAnsi="Arial" w:cs="Arial"/>
          <w:sz w:val="24"/>
          <w:szCs w:val="24"/>
        </w:rPr>
        <w:t>Trained volunteers who give life-saving help before ambulances arrive.</w:t>
      </w:r>
    </w:p>
    <w:p w14:paraId="5DD199CB" w14:textId="77777777" w:rsidR="007C26C5" w:rsidRDefault="00000000">
      <w:r>
        <w:rPr>
          <w:rFonts w:ascii="Segoe UI Emoji" w:hAnsi="Segoe UI Emoji" w:cs="Segoe UI Emoji"/>
          <w:b/>
          <w:color w:val="005496"/>
          <w:sz w:val="32"/>
        </w:rPr>
        <w:t>💙</w:t>
      </w:r>
      <w:r>
        <w:rPr>
          <w:b/>
          <w:color w:val="005496"/>
          <w:sz w:val="32"/>
        </w:rPr>
        <w:t xml:space="preserve"> The Ambulance Service and the NHS</w:t>
      </w:r>
    </w:p>
    <w:p w14:paraId="4D05EE84" w14:textId="77777777" w:rsidR="007C26C5" w:rsidRPr="008530EF" w:rsidRDefault="00000000">
      <w:pPr>
        <w:spacing w:after="120" w:line="312" w:lineRule="auto"/>
        <w:rPr>
          <w:rFonts w:ascii="Arial" w:hAnsi="Arial" w:cs="Arial"/>
          <w:sz w:val="24"/>
          <w:szCs w:val="24"/>
        </w:rPr>
      </w:pPr>
      <w:r w:rsidRPr="008530EF">
        <w:rPr>
          <w:rFonts w:ascii="Arial" w:hAnsi="Arial" w:cs="Arial"/>
          <w:sz w:val="24"/>
          <w:szCs w:val="24"/>
        </w:rPr>
        <w:t>The Ambulance Service is part of the National Health Service (NHS) and works closely with:</w:t>
      </w:r>
    </w:p>
    <w:p w14:paraId="779C1BC3" w14:textId="77777777" w:rsidR="007C26C5" w:rsidRPr="008530EF" w:rsidRDefault="00000000">
      <w:pPr>
        <w:pStyle w:val="ListBullet"/>
        <w:spacing w:after="120" w:line="312" w:lineRule="auto"/>
        <w:rPr>
          <w:rFonts w:ascii="Arial" w:hAnsi="Arial" w:cs="Arial"/>
          <w:sz w:val="24"/>
          <w:szCs w:val="24"/>
        </w:rPr>
      </w:pPr>
      <w:r w:rsidRPr="008530EF">
        <w:rPr>
          <w:rFonts w:ascii="Arial" w:hAnsi="Arial" w:cs="Arial"/>
          <w:sz w:val="24"/>
          <w:szCs w:val="24"/>
        </w:rPr>
        <w:t>NHS 111 for urgent but non-life-threatening issues</w:t>
      </w:r>
    </w:p>
    <w:p w14:paraId="3AE1F190" w14:textId="77777777" w:rsidR="007C26C5" w:rsidRPr="008530EF" w:rsidRDefault="00000000">
      <w:pPr>
        <w:pStyle w:val="ListBullet"/>
        <w:spacing w:after="120" w:line="312" w:lineRule="auto"/>
        <w:rPr>
          <w:rFonts w:ascii="Arial" w:hAnsi="Arial" w:cs="Arial"/>
          <w:sz w:val="24"/>
          <w:szCs w:val="24"/>
        </w:rPr>
      </w:pPr>
      <w:r w:rsidRPr="008530EF">
        <w:rPr>
          <w:rFonts w:ascii="Arial" w:hAnsi="Arial" w:cs="Arial"/>
          <w:sz w:val="24"/>
          <w:szCs w:val="24"/>
        </w:rPr>
        <w:t>A&amp;E departments for hospital admissions</w:t>
      </w:r>
    </w:p>
    <w:p w14:paraId="08FD068B" w14:textId="77777777" w:rsidR="007C26C5" w:rsidRPr="008530EF" w:rsidRDefault="00000000">
      <w:pPr>
        <w:pStyle w:val="ListBullet"/>
        <w:spacing w:after="120" w:line="312" w:lineRule="auto"/>
        <w:rPr>
          <w:rFonts w:ascii="Arial" w:hAnsi="Arial" w:cs="Arial"/>
          <w:sz w:val="24"/>
          <w:szCs w:val="24"/>
        </w:rPr>
      </w:pPr>
      <w:r w:rsidRPr="008530EF">
        <w:rPr>
          <w:rFonts w:ascii="Arial" w:hAnsi="Arial" w:cs="Arial"/>
          <w:sz w:val="24"/>
          <w:szCs w:val="24"/>
        </w:rPr>
        <w:t>GPs and community services for ongoing care</w:t>
      </w:r>
    </w:p>
    <w:p w14:paraId="6DF0C52E" w14:textId="772A5216" w:rsidR="007C26C5" w:rsidRPr="008530EF" w:rsidRDefault="00000000">
      <w:pPr>
        <w:pStyle w:val="ListBullet"/>
        <w:spacing w:after="120" w:line="312" w:lineRule="auto"/>
        <w:rPr>
          <w:rFonts w:ascii="Arial" w:hAnsi="Arial" w:cs="Arial"/>
          <w:sz w:val="24"/>
          <w:szCs w:val="24"/>
        </w:rPr>
      </w:pPr>
      <w:r w:rsidRPr="008530EF">
        <w:rPr>
          <w:rFonts w:ascii="Arial" w:hAnsi="Arial" w:cs="Arial"/>
          <w:sz w:val="24"/>
          <w:szCs w:val="24"/>
        </w:rPr>
        <w:t xml:space="preserve">Public Health and Social Care to reduce avoidable hospital </w:t>
      </w:r>
      <w:r w:rsidR="007C2519" w:rsidRPr="008530EF">
        <w:rPr>
          <w:rFonts w:ascii="Arial" w:hAnsi="Arial" w:cs="Arial"/>
          <w:sz w:val="24"/>
          <w:szCs w:val="24"/>
        </w:rPr>
        <w:t>admissions.</w:t>
      </w:r>
    </w:p>
    <w:p w14:paraId="48C968E0" w14:textId="77777777" w:rsidR="007C26C5" w:rsidRPr="008530EF" w:rsidRDefault="00000000">
      <w:pPr>
        <w:spacing w:after="120" w:line="312" w:lineRule="auto"/>
        <w:rPr>
          <w:rFonts w:ascii="Arial" w:hAnsi="Arial" w:cs="Arial"/>
          <w:sz w:val="24"/>
          <w:szCs w:val="24"/>
        </w:rPr>
      </w:pPr>
      <w:r w:rsidRPr="008530EF">
        <w:rPr>
          <w:rFonts w:ascii="Arial" w:hAnsi="Arial" w:cs="Arial"/>
          <w:sz w:val="24"/>
          <w:szCs w:val="24"/>
        </w:rPr>
        <w:t>It also promotes public health through first aid, CPR, and injury prevention education.</w:t>
      </w:r>
    </w:p>
    <w:p w14:paraId="71C93A41" w14:textId="77777777" w:rsidR="007C26C5" w:rsidRDefault="00000000">
      <w:r>
        <w:rPr>
          <w:rFonts w:ascii="Segoe UI Emoji" w:hAnsi="Segoe UI Emoji" w:cs="Segoe UI Emoji"/>
          <w:b/>
          <w:color w:val="005496"/>
          <w:sz w:val="32"/>
        </w:rPr>
        <w:t>👩</w:t>
      </w:r>
      <w:r>
        <w:rPr>
          <w:rFonts w:ascii="Arial" w:hAnsi="Arial" w:cs="Arial"/>
          <w:b/>
          <w:color w:val="005496"/>
          <w:sz w:val="32"/>
        </w:rPr>
        <w:t>‍</w:t>
      </w:r>
      <w:r>
        <w:rPr>
          <w:rFonts w:ascii="Segoe UI Emoji" w:hAnsi="Segoe UI Emoji" w:cs="Segoe UI Emoji"/>
          <w:b/>
          <w:color w:val="005496"/>
          <w:sz w:val="32"/>
        </w:rPr>
        <w:t>⚕️</w:t>
      </w:r>
      <w:r>
        <w:rPr>
          <w:b/>
          <w:color w:val="005496"/>
          <w:sz w:val="32"/>
        </w:rPr>
        <w:t xml:space="preserve"> Staff Roles within the Ambulance Service</w:t>
      </w:r>
    </w:p>
    <w:p w14:paraId="4FCCCA7F" w14:textId="0A757A0E" w:rsidR="007C26C5" w:rsidRPr="008530EF" w:rsidRDefault="00000000">
      <w:pPr>
        <w:spacing w:after="120" w:line="312" w:lineRule="auto"/>
        <w:rPr>
          <w:rFonts w:ascii="Arial" w:hAnsi="Arial" w:cs="Arial"/>
          <w:sz w:val="24"/>
          <w:szCs w:val="24"/>
        </w:rPr>
      </w:pPr>
      <w:r w:rsidRPr="008530EF">
        <w:rPr>
          <w:rFonts w:ascii="Arial" w:hAnsi="Arial" w:cs="Arial"/>
          <w:sz w:val="24"/>
          <w:szCs w:val="24"/>
        </w:rPr>
        <w:t>1.</w:t>
      </w:r>
      <w:r w:rsidR="008530EF">
        <w:rPr>
          <w:rFonts w:ascii="Arial" w:hAnsi="Arial" w:cs="Arial"/>
          <w:sz w:val="24"/>
          <w:szCs w:val="24"/>
        </w:rPr>
        <w:t xml:space="preserve"> </w:t>
      </w:r>
      <w:r w:rsidR="007C2519" w:rsidRPr="008530EF">
        <w:rPr>
          <w:rFonts w:ascii="Arial" w:hAnsi="Arial" w:cs="Arial"/>
          <w:sz w:val="24"/>
          <w:szCs w:val="24"/>
        </w:rPr>
        <w:t>Paramedics:</w:t>
      </w:r>
      <w:r w:rsidR="008530EF">
        <w:rPr>
          <w:rFonts w:ascii="Arial" w:hAnsi="Arial" w:cs="Arial"/>
          <w:sz w:val="24"/>
          <w:szCs w:val="24"/>
        </w:rPr>
        <w:t xml:space="preserve"> </w:t>
      </w:r>
      <w:r w:rsidRPr="008530EF">
        <w:rPr>
          <w:rFonts w:ascii="Arial" w:hAnsi="Arial" w:cs="Arial"/>
          <w:sz w:val="24"/>
          <w:szCs w:val="24"/>
        </w:rPr>
        <w:t>Assess, diagnose, and treat patients using advanced medical skills.</w:t>
      </w:r>
    </w:p>
    <w:p w14:paraId="7E813FC7" w14:textId="08950C50" w:rsidR="007C26C5" w:rsidRPr="008530EF" w:rsidRDefault="00000000">
      <w:pPr>
        <w:spacing w:after="120" w:line="312" w:lineRule="auto"/>
        <w:rPr>
          <w:rFonts w:ascii="Arial" w:hAnsi="Arial" w:cs="Arial"/>
          <w:sz w:val="24"/>
          <w:szCs w:val="24"/>
        </w:rPr>
      </w:pPr>
      <w:r w:rsidRPr="008530EF">
        <w:rPr>
          <w:rFonts w:ascii="Arial" w:hAnsi="Arial" w:cs="Arial"/>
          <w:sz w:val="24"/>
          <w:szCs w:val="24"/>
        </w:rPr>
        <w:t>2. Emergency Medical Technicians (EMTs</w:t>
      </w:r>
      <w:r w:rsidR="007C2519" w:rsidRPr="008530EF">
        <w:rPr>
          <w:rFonts w:ascii="Arial" w:hAnsi="Arial" w:cs="Arial"/>
          <w:sz w:val="24"/>
          <w:szCs w:val="24"/>
        </w:rPr>
        <w:t>):</w:t>
      </w:r>
      <w:r w:rsidR="008530EF">
        <w:rPr>
          <w:rFonts w:ascii="Arial" w:hAnsi="Arial" w:cs="Arial"/>
          <w:sz w:val="24"/>
          <w:szCs w:val="24"/>
        </w:rPr>
        <w:t xml:space="preserve"> </w:t>
      </w:r>
      <w:r w:rsidRPr="008530EF">
        <w:rPr>
          <w:rFonts w:ascii="Arial" w:hAnsi="Arial" w:cs="Arial"/>
          <w:sz w:val="24"/>
          <w:szCs w:val="24"/>
        </w:rPr>
        <w:t>Support paramedics and drive ambulances.</w:t>
      </w:r>
    </w:p>
    <w:p w14:paraId="3F78A6BC" w14:textId="4F012F9A" w:rsidR="007C26C5" w:rsidRPr="008530EF" w:rsidRDefault="00000000">
      <w:pPr>
        <w:spacing w:after="120" w:line="312" w:lineRule="auto"/>
        <w:rPr>
          <w:rFonts w:ascii="Arial" w:hAnsi="Arial" w:cs="Arial"/>
          <w:sz w:val="24"/>
          <w:szCs w:val="24"/>
        </w:rPr>
      </w:pPr>
      <w:r w:rsidRPr="008530EF">
        <w:rPr>
          <w:rFonts w:ascii="Arial" w:hAnsi="Arial" w:cs="Arial"/>
          <w:sz w:val="24"/>
          <w:szCs w:val="24"/>
        </w:rPr>
        <w:t xml:space="preserve">3. Call Handlers and </w:t>
      </w:r>
      <w:r w:rsidR="007C2519" w:rsidRPr="008530EF">
        <w:rPr>
          <w:rFonts w:ascii="Arial" w:hAnsi="Arial" w:cs="Arial"/>
          <w:sz w:val="24"/>
          <w:szCs w:val="24"/>
        </w:rPr>
        <w:t>Dispatchers:</w:t>
      </w:r>
      <w:r w:rsidR="008530EF">
        <w:rPr>
          <w:rFonts w:ascii="Arial" w:hAnsi="Arial" w:cs="Arial"/>
          <w:sz w:val="24"/>
          <w:szCs w:val="24"/>
        </w:rPr>
        <w:t xml:space="preserve"> </w:t>
      </w:r>
      <w:r w:rsidRPr="008530EF">
        <w:rPr>
          <w:rFonts w:ascii="Arial" w:hAnsi="Arial" w:cs="Arial"/>
          <w:sz w:val="24"/>
          <w:szCs w:val="24"/>
        </w:rPr>
        <w:t>Answer 999/111 calls and coordinate ambulance responses.</w:t>
      </w:r>
    </w:p>
    <w:p w14:paraId="12A15470" w14:textId="769956CF" w:rsidR="007C26C5" w:rsidRPr="008530EF" w:rsidRDefault="00000000">
      <w:pPr>
        <w:spacing w:after="120" w:line="312" w:lineRule="auto"/>
        <w:rPr>
          <w:rFonts w:ascii="Arial" w:hAnsi="Arial" w:cs="Arial"/>
          <w:sz w:val="24"/>
          <w:szCs w:val="24"/>
        </w:rPr>
      </w:pPr>
      <w:r w:rsidRPr="008530EF">
        <w:rPr>
          <w:rFonts w:ascii="Arial" w:hAnsi="Arial" w:cs="Arial"/>
          <w:sz w:val="24"/>
          <w:szCs w:val="24"/>
        </w:rPr>
        <w:t xml:space="preserve">4. Patient Transport </w:t>
      </w:r>
      <w:r w:rsidR="007C2519" w:rsidRPr="008530EF">
        <w:rPr>
          <w:rFonts w:ascii="Arial" w:hAnsi="Arial" w:cs="Arial"/>
          <w:sz w:val="24"/>
          <w:szCs w:val="24"/>
        </w:rPr>
        <w:t>Drivers:</w:t>
      </w:r>
      <w:r w:rsidR="00443EC6">
        <w:rPr>
          <w:rFonts w:ascii="Arial" w:hAnsi="Arial" w:cs="Arial"/>
          <w:sz w:val="24"/>
          <w:szCs w:val="24"/>
        </w:rPr>
        <w:t xml:space="preserve"> </w:t>
      </w:r>
      <w:r w:rsidRPr="008530EF">
        <w:rPr>
          <w:rFonts w:ascii="Arial" w:hAnsi="Arial" w:cs="Arial"/>
          <w:sz w:val="24"/>
          <w:szCs w:val="24"/>
        </w:rPr>
        <w:t>Provide safe, comfortable travel for patients with health needs.</w:t>
      </w:r>
    </w:p>
    <w:p w14:paraId="523113DE" w14:textId="77777777" w:rsidR="007C26C5" w:rsidRDefault="00000000">
      <w:r>
        <w:rPr>
          <w:rFonts w:ascii="Segoe UI Emoji" w:hAnsi="Segoe UI Emoji" w:cs="Segoe UI Emoji"/>
          <w:b/>
          <w:color w:val="005496"/>
          <w:sz w:val="32"/>
        </w:rPr>
        <w:t>💡</w:t>
      </w:r>
      <w:r>
        <w:rPr>
          <w:b/>
          <w:color w:val="005496"/>
          <w:sz w:val="32"/>
        </w:rPr>
        <w:t xml:space="preserve"> Importance of the Ambulance Service in Healthcare</w:t>
      </w:r>
    </w:p>
    <w:p w14:paraId="3FD41AEB" w14:textId="6CF8E6DE"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 xml:space="preserve">Saves lives through rapid response and </w:t>
      </w:r>
      <w:r w:rsidR="007C2519" w:rsidRPr="00443EC6">
        <w:rPr>
          <w:rFonts w:ascii="Arial" w:hAnsi="Arial" w:cs="Arial"/>
          <w:sz w:val="24"/>
          <w:szCs w:val="24"/>
        </w:rPr>
        <w:t>treatment.</w:t>
      </w:r>
    </w:p>
    <w:p w14:paraId="47197918" w14:textId="24CAA799"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 xml:space="preserve">Reduces hospital pressure by treating some patients on </w:t>
      </w:r>
      <w:r w:rsidR="007C2519" w:rsidRPr="00443EC6">
        <w:rPr>
          <w:rFonts w:ascii="Arial" w:hAnsi="Arial" w:cs="Arial"/>
          <w:sz w:val="24"/>
          <w:szCs w:val="24"/>
        </w:rPr>
        <w:t>stage.</w:t>
      </w:r>
    </w:p>
    <w:p w14:paraId="374771C0" w14:textId="7CE11A0C" w:rsidR="007C26C5" w:rsidRPr="00443EC6" w:rsidRDefault="007C2519">
      <w:pPr>
        <w:pStyle w:val="ListBullet"/>
        <w:spacing w:after="120" w:line="312" w:lineRule="auto"/>
        <w:rPr>
          <w:rFonts w:ascii="Arial" w:hAnsi="Arial" w:cs="Arial"/>
          <w:sz w:val="24"/>
          <w:szCs w:val="24"/>
        </w:rPr>
      </w:pPr>
      <w:r w:rsidRPr="00443EC6">
        <w:rPr>
          <w:rFonts w:ascii="Arial" w:hAnsi="Arial" w:cs="Arial"/>
          <w:sz w:val="24"/>
          <w:szCs w:val="24"/>
        </w:rPr>
        <w:t>Promote equality with free emergency care.</w:t>
      </w:r>
    </w:p>
    <w:p w14:paraId="4AE39908" w14:textId="59302E02"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 xml:space="preserve">Provides reassurance to patients and </w:t>
      </w:r>
      <w:r w:rsidR="007C2519" w:rsidRPr="00443EC6">
        <w:rPr>
          <w:rFonts w:ascii="Arial" w:hAnsi="Arial" w:cs="Arial"/>
          <w:sz w:val="24"/>
          <w:szCs w:val="24"/>
        </w:rPr>
        <w:t>families.</w:t>
      </w:r>
    </w:p>
    <w:p w14:paraId="1872B049" w14:textId="688C3511"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 xml:space="preserve">Improves community health by preventing illness and </w:t>
      </w:r>
      <w:r w:rsidR="007C2519" w:rsidRPr="00443EC6">
        <w:rPr>
          <w:rFonts w:ascii="Arial" w:hAnsi="Arial" w:cs="Arial"/>
          <w:sz w:val="24"/>
          <w:szCs w:val="24"/>
        </w:rPr>
        <w:t>injuries.</w:t>
      </w:r>
    </w:p>
    <w:p w14:paraId="02E194F9" w14:textId="77777777" w:rsidR="007C26C5" w:rsidRDefault="00000000">
      <w:r>
        <w:rPr>
          <w:rFonts w:ascii="Segoe UI Emoji" w:hAnsi="Segoe UI Emoji" w:cs="Segoe UI Emoji"/>
          <w:b/>
          <w:color w:val="005496"/>
          <w:sz w:val="32"/>
        </w:rPr>
        <w:lastRenderedPageBreak/>
        <w:t>🤝</w:t>
      </w:r>
      <w:r>
        <w:rPr>
          <w:b/>
          <w:color w:val="005496"/>
          <w:sz w:val="32"/>
        </w:rPr>
        <w:t xml:space="preserve"> Partnership Working</w:t>
      </w:r>
    </w:p>
    <w:p w14:paraId="231CCDA1" w14:textId="77777777" w:rsidR="007C26C5" w:rsidRPr="00443EC6" w:rsidRDefault="00000000">
      <w:pPr>
        <w:spacing w:after="120" w:line="312" w:lineRule="auto"/>
        <w:rPr>
          <w:rFonts w:ascii="Arial" w:hAnsi="Arial" w:cs="Arial"/>
          <w:sz w:val="24"/>
          <w:szCs w:val="24"/>
        </w:rPr>
      </w:pPr>
      <w:r w:rsidRPr="00443EC6">
        <w:rPr>
          <w:rFonts w:ascii="Arial" w:hAnsi="Arial" w:cs="Arial"/>
          <w:sz w:val="24"/>
          <w:szCs w:val="24"/>
        </w:rPr>
        <w:t>The Ambulance Service works alongside:</w:t>
      </w:r>
    </w:p>
    <w:p w14:paraId="230963AC" w14:textId="3F04A8B5"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 xml:space="preserve">Fire and Rescue Services and Police during major </w:t>
      </w:r>
      <w:r w:rsidR="007C2519" w:rsidRPr="00443EC6">
        <w:rPr>
          <w:rFonts w:ascii="Arial" w:hAnsi="Arial" w:cs="Arial"/>
          <w:sz w:val="24"/>
          <w:szCs w:val="24"/>
        </w:rPr>
        <w:t>incidents.</w:t>
      </w:r>
    </w:p>
    <w:p w14:paraId="3A418138" w14:textId="77777777"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Hospitals and emergency departments for patient handovers</w:t>
      </w:r>
    </w:p>
    <w:p w14:paraId="7E0722F9" w14:textId="77777777"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Mental health teams for crisis care</w:t>
      </w:r>
    </w:p>
    <w:p w14:paraId="72D59E4B" w14:textId="77777777"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Social services for ongoing support</w:t>
      </w:r>
    </w:p>
    <w:p w14:paraId="08269C8F" w14:textId="77777777"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Voluntary organisations like St John Ambulance and the Red Cross</w:t>
      </w:r>
    </w:p>
    <w:p w14:paraId="4C50D06C" w14:textId="63BA1C86" w:rsidR="007C26C5" w:rsidRPr="00443EC6" w:rsidRDefault="00000000">
      <w:pPr>
        <w:spacing w:after="120" w:line="312" w:lineRule="auto"/>
        <w:rPr>
          <w:rFonts w:ascii="Arial" w:hAnsi="Arial" w:cs="Arial"/>
          <w:sz w:val="24"/>
          <w:szCs w:val="24"/>
        </w:rPr>
      </w:pPr>
      <w:r w:rsidRPr="00443EC6">
        <w:rPr>
          <w:rFonts w:ascii="Arial" w:hAnsi="Arial" w:cs="Arial"/>
          <w:sz w:val="24"/>
          <w:szCs w:val="24"/>
        </w:rPr>
        <w:t xml:space="preserve">This ensures continuity of care from </w:t>
      </w:r>
      <w:r w:rsidR="007C2519" w:rsidRPr="00443EC6">
        <w:rPr>
          <w:rFonts w:ascii="Arial" w:hAnsi="Arial" w:cs="Arial"/>
          <w:sz w:val="24"/>
          <w:szCs w:val="24"/>
        </w:rPr>
        <w:t>emergencies</w:t>
      </w:r>
      <w:r w:rsidRPr="00443EC6">
        <w:rPr>
          <w:rFonts w:ascii="Arial" w:hAnsi="Arial" w:cs="Arial"/>
          <w:sz w:val="24"/>
          <w:szCs w:val="24"/>
        </w:rPr>
        <w:t xml:space="preserve"> to recovery.</w:t>
      </w:r>
    </w:p>
    <w:p w14:paraId="53589B18" w14:textId="77777777" w:rsidR="007C26C5" w:rsidRDefault="00000000">
      <w:r>
        <w:rPr>
          <w:rFonts w:ascii="Segoe UI Emoji" w:hAnsi="Segoe UI Emoji" w:cs="Segoe UI Emoji"/>
          <w:b/>
          <w:color w:val="005496"/>
          <w:sz w:val="32"/>
        </w:rPr>
        <w:t>⚠️</w:t>
      </w:r>
      <w:r>
        <w:rPr>
          <w:b/>
          <w:color w:val="005496"/>
          <w:sz w:val="32"/>
        </w:rPr>
        <w:t xml:space="preserve"> Challenges Facing the Ambulance Service</w:t>
      </w:r>
    </w:p>
    <w:p w14:paraId="0942DC16" w14:textId="77777777"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High demand and long waiting times</w:t>
      </w:r>
    </w:p>
    <w:p w14:paraId="6501EED6" w14:textId="77777777"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Staff shortages and stressful conditions</w:t>
      </w:r>
    </w:p>
    <w:p w14:paraId="16348673" w14:textId="3A0177E6"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 xml:space="preserve">Hospital delays due to </w:t>
      </w:r>
      <w:r w:rsidR="007C2519" w:rsidRPr="00443EC6">
        <w:rPr>
          <w:rFonts w:ascii="Arial" w:hAnsi="Arial" w:cs="Arial"/>
          <w:sz w:val="24"/>
          <w:szCs w:val="24"/>
        </w:rPr>
        <w:t>overcrowding.</w:t>
      </w:r>
    </w:p>
    <w:p w14:paraId="7816A32B" w14:textId="77777777"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Rising mental health emergencies</w:t>
      </w:r>
    </w:p>
    <w:p w14:paraId="177EAE12" w14:textId="5D70A90A" w:rsidR="007C26C5" w:rsidRPr="00443EC6" w:rsidRDefault="00000000">
      <w:pPr>
        <w:pStyle w:val="ListBullet"/>
        <w:spacing w:after="120" w:line="312" w:lineRule="auto"/>
        <w:rPr>
          <w:rFonts w:ascii="Arial" w:hAnsi="Arial" w:cs="Arial"/>
          <w:sz w:val="24"/>
          <w:szCs w:val="24"/>
        </w:rPr>
      </w:pPr>
      <w:r w:rsidRPr="00443EC6">
        <w:rPr>
          <w:rFonts w:ascii="Arial" w:hAnsi="Arial" w:cs="Arial"/>
          <w:sz w:val="24"/>
          <w:szCs w:val="24"/>
        </w:rPr>
        <w:t xml:space="preserve">Funding pressures </w:t>
      </w:r>
      <w:r w:rsidR="007C2519" w:rsidRPr="00443EC6">
        <w:rPr>
          <w:rFonts w:ascii="Arial" w:hAnsi="Arial" w:cs="Arial"/>
          <w:sz w:val="24"/>
          <w:szCs w:val="24"/>
        </w:rPr>
        <w:t>affect</w:t>
      </w:r>
      <w:r w:rsidRPr="00443EC6">
        <w:rPr>
          <w:rFonts w:ascii="Arial" w:hAnsi="Arial" w:cs="Arial"/>
          <w:sz w:val="24"/>
          <w:szCs w:val="24"/>
        </w:rPr>
        <w:t xml:space="preserve"> recruitment and </w:t>
      </w:r>
      <w:r w:rsidR="007C2519" w:rsidRPr="00443EC6">
        <w:rPr>
          <w:rFonts w:ascii="Arial" w:hAnsi="Arial" w:cs="Arial"/>
          <w:sz w:val="24"/>
          <w:szCs w:val="24"/>
        </w:rPr>
        <w:t>equipment.</w:t>
      </w:r>
    </w:p>
    <w:p w14:paraId="71E8AF58" w14:textId="77777777" w:rsidR="007C26C5" w:rsidRPr="00443EC6" w:rsidRDefault="00000000">
      <w:pPr>
        <w:spacing w:after="120" w:line="312" w:lineRule="auto"/>
        <w:rPr>
          <w:rFonts w:ascii="Arial" w:hAnsi="Arial" w:cs="Arial"/>
          <w:sz w:val="24"/>
          <w:szCs w:val="24"/>
        </w:rPr>
      </w:pPr>
      <w:r w:rsidRPr="00443EC6">
        <w:rPr>
          <w:rFonts w:ascii="Arial" w:hAnsi="Arial" w:cs="Arial"/>
          <w:sz w:val="24"/>
          <w:szCs w:val="24"/>
        </w:rPr>
        <w:t>Despite these challenges, ambulance staff continue to deliver compassionate, professional care daily.</w:t>
      </w:r>
    </w:p>
    <w:p w14:paraId="069BB5C3" w14:textId="77777777" w:rsidR="007C26C5" w:rsidRDefault="00000000">
      <w:r>
        <w:rPr>
          <w:rFonts w:ascii="Segoe UI Emoji" w:hAnsi="Segoe UI Emoji" w:cs="Segoe UI Emoji"/>
          <w:b/>
          <w:color w:val="005496"/>
          <w:sz w:val="32"/>
        </w:rPr>
        <w:t>✅</w:t>
      </w:r>
      <w:r>
        <w:rPr>
          <w:b/>
          <w:color w:val="005496"/>
          <w:sz w:val="32"/>
        </w:rPr>
        <w:t xml:space="preserve"> Summary</w:t>
      </w:r>
    </w:p>
    <w:p w14:paraId="1E98B7CF" w14:textId="77777777" w:rsidR="007C26C5" w:rsidRPr="00443EC6" w:rsidRDefault="00000000">
      <w:pPr>
        <w:spacing w:after="120" w:line="312" w:lineRule="auto"/>
        <w:rPr>
          <w:rFonts w:ascii="Arial" w:hAnsi="Arial" w:cs="Arial"/>
          <w:sz w:val="24"/>
          <w:szCs w:val="24"/>
        </w:rPr>
      </w:pPr>
      <w:r w:rsidRPr="00443EC6">
        <w:rPr>
          <w:rFonts w:ascii="Arial" w:hAnsi="Arial" w:cs="Arial"/>
          <w:sz w:val="24"/>
          <w:szCs w:val="24"/>
        </w:rPr>
        <w:t>The Ambulance Service is a lifesaving part of the healthcare system. It provides emergency treatment, patient transport, and vital links within the NHS. Staff work tirelessly to ensure patients receive care quickly, safely, and with dignity.</w:t>
      </w:r>
    </w:p>
    <w:p w14:paraId="63D03BFD" w14:textId="77777777" w:rsidR="007C26C5" w:rsidRPr="00443EC6" w:rsidRDefault="00000000">
      <w:pPr>
        <w:spacing w:after="120" w:line="312" w:lineRule="auto"/>
        <w:rPr>
          <w:rFonts w:ascii="Arial" w:hAnsi="Arial" w:cs="Arial"/>
          <w:sz w:val="24"/>
          <w:szCs w:val="24"/>
        </w:rPr>
      </w:pPr>
      <w:r w:rsidRPr="00443EC6">
        <w:rPr>
          <w:rFonts w:ascii="Arial" w:hAnsi="Arial" w:cs="Arial"/>
          <w:sz w:val="24"/>
          <w:szCs w:val="24"/>
        </w:rPr>
        <w:t>Without it, many people would not survive sudden illness or accidents. The Ambulance Service is the frontline of healthcare, bringing hospital-level care directly to the community.</w:t>
      </w:r>
    </w:p>
    <w:p w14:paraId="469A572A" w14:textId="68C9C9AC" w:rsidR="007C26C5" w:rsidRDefault="00000000">
      <w:pPr>
        <w:jc w:val="center"/>
      </w:pPr>
      <w:r>
        <w:rPr>
          <w:color w:val="005496"/>
          <w:sz w:val="20"/>
        </w:rPr>
        <w:br/>
      </w:r>
    </w:p>
    <w:p w14:paraId="6DCBAF42" w14:textId="481A2BDA" w:rsidR="00227988" w:rsidRPr="00D54D28" w:rsidRDefault="00227988" w:rsidP="00227988">
      <w:pPr>
        <w:rPr>
          <w:b/>
          <w:bCs/>
          <w:color w:val="0F486E" w:themeColor="text2" w:themeShade="BF"/>
          <w:sz w:val="32"/>
          <w:szCs w:val="32"/>
        </w:rPr>
      </w:pPr>
      <w:r w:rsidRPr="00D54D28">
        <w:rPr>
          <w:b/>
          <w:bCs/>
          <w:color w:val="0F486E" w:themeColor="text2" w:themeShade="BF"/>
          <w:sz w:val="32"/>
          <w:szCs w:val="32"/>
        </w:rPr>
        <w:t>References</w:t>
      </w:r>
    </w:p>
    <w:p w14:paraId="3D7577E7" w14:textId="62501D50" w:rsidR="00227988" w:rsidRDefault="00227988" w:rsidP="00227988">
      <w:r w:rsidRPr="00227988">
        <w:br/>
        <w:t xml:space="preserve">British Red Cross (2023) </w:t>
      </w:r>
      <w:r w:rsidRPr="00227988">
        <w:rPr>
          <w:i/>
          <w:iCs/>
        </w:rPr>
        <w:t>Emergency response and ambulance support</w:t>
      </w:r>
      <w:r w:rsidRPr="00227988">
        <w:t xml:space="preserve">. Available at: </w:t>
      </w:r>
      <w:hyperlink r:id="rId6" w:tgtFrame="_new" w:history="1">
        <w:r w:rsidRPr="00227988">
          <w:rPr>
            <w:color w:val="0000FF"/>
            <w:u w:val="single"/>
          </w:rPr>
          <w:t>https://www.redcross.org.uk</w:t>
        </w:r>
      </w:hyperlink>
      <w:r w:rsidRPr="00227988">
        <w:t xml:space="preserve"> (Accessed: 26 March 2026).</w:t>
      </w:r>
    </w:p>
    <w:p w14:paraId="0DB2041A" w14:textId="04157AE1" w:rsidR="0090458A" w:rsidRDefault="0090458A" w:rsidP="00227988">
      <w:r w:rsidRPr="0090458A">
        <w:t xml:space="preserve">St John Ambulance (2023) </w:t>
      </w:r>
      <w:r w:rsidRPr="0090458A">
        <w:rPr>
          <w:i/>
          <w:iCs/>
        </w:rPr>
        <w:t>Community first response and first aid</w:t>
      </w:r>
      <w:r w:rsidRPr="0090458A">
        <w:t xml:space="preserve">. Available at: </w:t>
      </w:r>
      <w:hyperlink r:id="rId7" w:tgtFrame="_new" w:history="1">
        <w:r w:rsidRPr="0090458A">
          <w:rPr>
            <w:color w:val="0000FF"/>
            <w:u w:val="single"/>
          </w:rPr>
          <w:t>https://www.sja.org.uk</w:t>
        </w:r>
      </w:hyperlink>
      <w:r w:rsidRPr="0090458A">
        <w:t xml:space="preserve"> (Accessed: 26 March 2026).</w:t>
      </w:r>
    </w:p>
    <w:p w14:paraId="2AB0EE4D" w14:textId="47D0F1E9" w:rsidR="00191CB7" w:rsidRDefault="00191CB7" w:rsidP="00227988">
      <w:r w:rsidRPr="00191CB7">
        <w:lastRenderedPageBreak/>
        <w:br/>
        <w:t xml:space="preserve">AACE (2022) </w:t>
      </w:r>
      <w:r w:rsidRPr="00191CB7">
        <w:rPr>
          <w:i/>
          <w:iCs/>
        </w:rPr>
        <w:t>The role of ambulance services in the UK</w:t>
      </w:r>
      <w:r w:rsidRPr="00191CB7">
        <w:t xml:space="preserve">. Available at: </w:t>
      </w:r>
      <w:hyperlink r:id="rId8" w:tgtFrame="_new" w:history="1">
        <w:r w:rsidRPr="00191CB7">
          <w:rPr>
            <w:color w:val="0000FF"/>
            <w:u w:val="single"/>
          </w:rPr>
          <w:t>https://aace.org.uk</w:t>
        </w:r>
      </w:hyperlink>
      <w:r w:rsidRPr="00191CB7">
        <w:t xml:space="preserve"> (Accessed: 26 March 2026).</w:t>
      </w:r>
    </w:p>
    <w:p w14:paraId="4407E137" w14:textId="0C091511" w:rsidR="00191CB7" w:rsidRDefault="00191CB7" w:rsidP="00227988">
      <w:r w:rsidRPr="00191CB7">
        <w:br/>
        <w:t xml:space="preserve">Care Quality Commission (2023) </w:t>
      </w:r>
      <w:r w:rsidRPr="00191CB7">
        <w:rPr>
          <w:i/>
          <w:iCs/>
        </w:rPr>
        <w:t>Ambulance services inspection reports</w:t>
      </w:r>
      <w:r w:rsidRPr="00191CB7">
        <w:t xml:space="preserve">. Available at: </w:t>
      </w:r>
      <w:hyperlink r:id="rId9" w:tgtFrame="_new" w:history="1">
        <w:r w:rsidRPr="00191CB7">
          <w:rPr>
            <w:color w:val="0000FF"/>
            <w:u w:val="single"/>
          </w:rPr>
          <w:t>https://www.cqc.org.uk</w:t>
        </w:r>
      </w:hyperlink>
      <w:r w:rsidRPr="00191CB7">
        <w:t xml:space="preserve"> (Accessed: 26 March 2026).</w:t>
      </w:r>
    </w:p>
    <w:p w14:paraId="10A4AC4D" w14:textId="33B1D4F1" w:rsidR="00D54D28" w:rsidRDefault="00D54D28" w:rsidP="00227988">
      <w:r w:rsidRPr="00D54D28">
        <w:t xml:space="preserve">NHS England (2023) </w:t>
      </w:r>
      <w:r w:rsidRPr="00D54D28">
        <w:rPr>
          <w:i/>
          <w:iCs/>
        </w:rPr>
        <w:t>Ambulance quality indicators</w:t>
      </w:r>
      <w:r w:rsidRPr="00D54D28">
        <w:t xml:space="preserve">. Available at: </w:t>
      </w:r>
      <w:hyperlink r:id="rId10" w:tgtFrame="_new" w:history="1">
        <w:r w:rsidRPr="00D54D28">
          <w:rPr>
            <w:color w:val="0000FF"/>
            <w:u w:val="single"/>
          </w:rPr>
          <w:t>https://www.england.nhs.uk</w:t>
        </w:r>
      </w:hyperlink>
      <w:r w:rsidRPr="00D54D28">
        <w:t xml:space="preserve"> (Accessed: 26 March 2026)</w:t>
      </w:r>
    </w:p>
    <w:p w14:paraId="5BBFB905" w14:textId="77777777" w:rsidR="00D54D28" w:rsidRDefault="00D54D28" w:rsidP="00227988"/>
    <w:p w14:paraId="488C80A4" w14:textId="196361E5" w:rsidR="00227988" w:rsidRDefault="00D54D28" w:rsidP="00227988">
      <w:pPr>
        <w:rPr>
          <w:rFonts w:ascii="Arial" w:hAnsi="Arial" w:cs="Arial"/>
          <w:b/>
          <w:bCs/>
          <w:sz w:val="28"/>
          <w:szCs w:val="28"/>
        </w:rPr>
      </w:pPr>
      <w:r w:rsidRPr="00D54D28">
        <w:rPr>
          <w:rFonts w:ascii="Arial" w:hAnsi="Arial" w:cs="Arial"/>
          <w:b/>
          <w:bCs/>
          <w:sz w:val="28"/>
          <w:szCs w:val="28"/>
        </w:rPr>
        <w:t>Task 2</w:t>
      </w:r>
    </w:p>
    <w:p w14:paraId="5865006B" w14:textId="77777777" w:rsidR="00D54D28" w:rsidRDefault="00D54D28" w:rsidP="00227988">
      <w:pPr>
        <w:rPr>
          <w:rFonts w:ascii="Arial" w:hAnsi="Arial" w:cs="Arial"/>
          <w:b/>
          <w:bCs/>
          <w:sz w:val="28"/>
          <w:szCs w:val="28"/>
        </w:rPr>
      </w:pPr>
    </w:p>
    <w:p w14:paraId="20E26BAD" w14:textId="77777777" w:rsidR="00F03D3A" w:rsidRDefault="00F03D3A" w:rsidP="00F03D3A">
      <w:pPr>
        <w:jc w:val="center"/>
        <w:rPr>
          <w:b/>
          <w:color w:val="005496"/>
          <w:sz w:val="40"/>
        </w:rPr>
      </w:pPr>
      <w:r>
        <w:rPr>
          <w:b/>
          <w:color w:val="005496"/>
          <w:sz w:val="40"/>
        </w:rPr>
        <w:t xml:space="preserve"> Task 2: The Origins and Structure of the National Health Service (NHS)</w:t>
      </w:r>
      <w:r>
        <w:rPr>
          <w:b/>
          <w:color w:val="005496"/>
          <w:sz w:val="40"/>
        </w:rPr>
        <w:br/>
        <w:t>Health &amp; Social Care – By Cher Miles</w:t>
      </w:r>
    </w:p>
    <w:p w14:paraId="29498FBC" w14:textId="77777777" w:rsidR="00F03D3A" w:rsidRPr="00AE525F" w:rsidRDefault="00F03D3A" w:rsidP="00F03D3A">
      <w:pPr>
        <w:jc w:val="center"/>
        <w:rPr>
          <w:rFonts w:ascii="Arial" w:hAnsi="Arial" w:cs="Arial"/>
          <w:b/>
          <w:color w:val="005496"/>
          <w:sz w:val="28"/>
          <w:szCs w:val="28"/>
        </w:rPr>
      </w:pPr>
    </w:p>
    <w:p w14:paraId="061BE881" w14:textId="77777777" w:rsidR="00F03D3A" w:rsidRPr="00AE525F" w:rsidRDefault="00F03D3A" w:rsidP="00F03D3A">
      <w:pPr>
        <w:rPr>
          <w:rFonts w:ascii="Arial" w:hAnsi="Arial" w:cs="Arial"/>
          <w:sz w:val="28"/>
          <w:szCs w:val="28"/>
        </w:rPr>
      </w:pPr>
      <w:r w:rsidRPr="00AE525F">
        <w:rPr>
          <w:rFonts w:ascii="Arial" w:hAnsi="Arial" w:cs="Arial"/>
          <w:color w:val="000000"/>
          <w:sz w:val="28"/>
          <w:szCs w:val="28"/>
        </w:rPr>
        <w:t>The National Health Service (NHS) is a key UK public service that offers free healthcare to everyone.</w:t>
      </w:r>
    </w:p>
    <w:p w14:paraId="77B36218" w14:textId="77777777" w:rsidR="00F03D3A" w:rsidRPr="00AE525F" w:rsidRDefault="00F03D3A" w:rsidP="00F03D3A">
      <w:pPr>
        <w:rPr>
          <w:rFonts w:ascii="Arial" w:hAnsi="Arial" w:cs="Arial"/>
          <w:sz w:val="28"/>
          <w:szCs w:val="28"/>
        </w:rPr>
      </w:pPr>
      <w:r w:rsidRPr="00AE525F">
        <w:rPr>
          <w:rFonts w:ascii="Arial" w:hAnsi="Arial" w:cs="Arial"/>
          <w:color w:val="000000"/>
          <w:sz w:val="28"/>
          <w:szCs w:val="28"/>
        </w:rPr>
        <w:t>Since 1948, the health care system has improved millions of lives and become a symbol of equality and care. This essay examines the founding principles and current operation of the NHS. After World War II, many Britons were poor and sick; before the NHS, only private clients could afford it. Since 1948, the NHS has improved millions of lives and stands as a symbol of equality. This essay covers its founding principles and current operations. Before the NHS, treatment was only affordable for private clients, leaving many working-class Britons without medical care after World War II Ord treatment, leaving many working-class families without medical care.</w:t>
      </w:r>
    </w:p>
    <w:p w14:paraId="37C72CA1" w14:textId="29A60AEE" w:rsidR="00F03D3A" w:rsidRPr="00AE525F" w:rsidRDefault="00F03D3A" w:rsidP="00F03D3A">
      <w:pPr>
        <w:rPr>
          <w:rFonts w:ascii="Arial" w:hAnsi="Arial" w:cs="Arial"/>
          <w:sz w:val="28"/>
          <w:szCs w:val="28"/>
        </w:rPr>
      </w:pPr>
      <w:r w:rsidRPr="00AE525F">
        <w:rPr>
          <w:rFonts w:ascii="Arial" w:hAnsi="Arial" w:cs="Arial"/>
          <w:color w:val="000000"/>
          <w:sz w:val="28"/>
          <w:szCs w:val="28"/>
        </w:rPr>
        <w:t>In 1942, Sir William Beveridge’s report identified five key social issues</w:t>
      </w:r>
      <w:r w:rsidR="00AE525F">
        <w:rPr>
          <w:rFonts w:ascii="Arial" w:hAnsi="Arial" w:cs="Arial"/>
          <w:color w:val="000000"/>
          <w:sz w:val="28"/>
          <w:szCs w:val="28"/>
        </w:rPr>
        <w:t xml:space="preserve">: </w:t>
      </w:r>
      <w:r w:rsidRPr="00AE525F">
        <w:rPr>
          <w:rFonts w:ascii="Arial" w:hAnsi="Arial" w:cs="Arial"/>
          <w:color w:val="000000"/>
          <w:sz w:val="28"/>
          <w:szCs w:val="28"/>
        </w:rPr>
        <w:t>Want, Disease, Ignorance, Squalor, and Idleness that helped shape the UK welfare state and the push for universal healthcare. Minister of Health Aneurin Bevan played a central role in founding the NHS, aiming to provide healthcare to all by uniting medical professionals and hospitals under one national service.</w:t>
      </w:r>
    </w:p>
    <w:p w14:paraId="6F07E458" w14:textId="77777777" w:rsidR="00F03D3A" w:rsidRPr="00AE525F" w:rsidRDefault="00F03D3A" w:rsidP="00F03D3A">
      <w:pPr>
        <w:pStyle w:val="w7sjnrxzl6krnffuzhqe"/>
        <w:shd w:val="clear" w:color="auto" w:fill="FFFFFF"/>
        <w:spacing w:before="0" w:beforeAutospacing="0" w:after="150" w:afterAutospacing="0"/>
        <w:textAlignment w:val="baseline"/>
        <w:rPr>
          <w:rFonts w:ascii="Arial" w:hAnsi="Arial" w:cs="Arial"/>
          <w:spacing w:val="8"/>
          <w:sz w:val="28"/>
          <w:szCs w:val="28"/>
        </w:rPr>
      </w:pPr>
      <w:r w:rsidRPr="00AE525F">
        <w:rPr>
          <w:rFonts w:ascii="Arial" w:hAnsi="Arial" w:cs="Arial"/>
          <w:spacing w:val="8"/>
          <w:sz w:val="28"/>
          <w:szCs w:val="28"/>
        </w:rPr>
        <w:lastRenderedPageBreak/>
        <w:t xml:space="preserve">The NHS first came into operation on 5 July 1948. Nobody in the UK could now get medical treatment without paying at the time of use (NHS, 2024). They were built on three fundamentally important principles that are still valid today. Firstly, health care should cater to all populations. Second, it should be free at the point of delivery. Thirdly, it must be driven by clinical necessity, not pay (NHS England, 2024). These principles guaranteed that all people, rich or poor could pursue the same standard of care. </w:t>
      </w:r>
    </w:p>
    <w:p w14:paraId="1CCFE53A" w14:textId="77777777" w:rsidR="00F03D3A" w:rsidRPr="00AE525F" w:rsidRDefault="00F03D3A" w:rsidP="00F03D3A">
      <w:pPr>
        <w:pStyle w:val="w7sjnrxzl6krnffuzhqe"/>
        <w:shd w:val="clear" w:color="auto" w:fill="FFFFFF"/>
        <w:spacing w:before="0" w:beforeAutospacing="0" w:after="150" w:afterAutospacing="0"/>
        <w:textAlignment w:val="baseline"/>
        <w:rPr>
          <w:rFonts w:ascii="Arial" w:hAnsi="Arial" w:cs="Arial"/>
          <w:spacing w:val="8"/>
          <w:sz w:val="28"/>
          <w:szCs w:val="28"/>
        </w:rPr>
      </w:pPr>
      <w:r w:rsidRPr="00AE525F">
        <w:rPr>
          <w:rFonts w:ascii="Arial" w:hAnsi="Arial" w:cs="Arial"/>
          <w:color w:val="000000"/>
          <w:sz w:val="28"/>
          <w:szCs w:val="28"/>
        </w:rPr>
        <w:t xml:space="preserve">The NHS is funded by taxes based on ability to pay, promoting fairness and equality. It is among the world’s largest health systems, with NHS England providing services and funding, while local NHS Trusts manage hospitals, ambulances, and community care. Separate bodies oversee health care in Scotland, Wales, and Northern Ireland. The NHS offers a wide range of services, including emergency, maternity, mental health, and long-term care, and works with social care, charities, and private providers. Patients typically first contact their GP, who helps coordinate access to specialist treatment. </w:t>
      </w:r>
      <w:r w:rsidRPr="00AE525F">
        <w:rPr>
          <w:rFonts w:ascii="Arial" w:hAnsi="Arial" w:cs="Arial"/>
          <w:spacing w:val="8"/>
          <w:sz w:val="28"/>
          <w:szCs w:val="28"/>
        </w:rPr>
        <w:t>The system emphasises prevention as well as treatment; encourages healthier lifestyles through public health campaigns and education programs. (NHS, 2024)</w:t>
      </w:r>
    </w:p>
    <w:p w14:paraId="6E99B337" w14:textId="77777777" w:rsidR="00F03D3A" w:rsidRPr="00AE525F" w:rsidRDefault="00F03D3A" w:rsidP="00F03D3A">
      <w:pPr>
        <w:rPr>
          <w:rFonts w:ascii="Arial" w:hAnsi="Arial" w:cs="Arial"/>
          <w:color w:val="000000"/>
          <w:sz w:val="28"/>
          <w:szCs w:val="28"/>
        </w:rPr>
      </w:pPr>
      <w:r w:rsidRPr="00AE525F">
        <w:rPr>
          <w:rFonts w:ascii="Arial" w:hAnsi="Arial" w:cs="Arial"/>
          <w:color w:val="000000"/>
          <w:sz w:val="28"/>
          <w:szCs w:val="28"/>
        </w:rPr>
        <w:t xml:space="preserve">Since its establishment in 1948, the NHS has made significant progress in healthcare delivery. Nevertheless, the </w:t>
      </w:r>
      <w:proofErr w:type="spellStart"/>
      <w:r w:rsidRPr="00AE525F">
        <w:rPr>
          <w:rFonts w:ascii="Arial" w:hAnsi="Arial" w:cs="Arial"/>
          <w:color w:val="000000"/>
          <w:sz w:val="28"/>
          <w:szCs w:val="28"/>
        </w:rPr>
        <w:t>organisation</w:t>
      </w:r>
      <w:proofErr w:type="spellEnd"/>
      <w:r w:rsidRPr="00AE525F">
        <w:rPr>
          <w:rFonts w:ascii="Arial" w:hAnsi="Arial" w:cs="Arial"/>
          <w:color w:val="000000"/>
          <w:sz w:val="28"/>
          <w:szCs w:val="28"/>
        </w:rPr>
        <w:t xml:space="preserve"> continues to encounter several challenges. Financing remains a primary concern due to increasing operational costs driven by an ageing population, advancements in medical technology, and rising patient numbers (NHS Confederation, 2023). Extended waiting periods for appointments and treatments persist as major issues, compounded by ongoing staff shortages. Doctors, nurses, and support personnel across all roles face continual pressure resulting from longer hours and heavier workloads. The government is actively pursuing greater efficiency, hiring additional staff, and developing strategies to help the NHS address future demands.</w:t>
      </w:r>
    </w:p>
    <w:p w14:paraId="197D3A52" w14:textId="77777777" w:rsidR="00F03D3A" w:rsidRPr="00AE525F" w:rsidRDefault="00F03D3A" w:rsidP="00F03D3A">
      <w:pPr>
        <w:rPr>
          <w:rFonts w:ascii="Arial" w:hAnsi="Arial" w:cs="Arial"/>
          <w:color w:val="000000"/>
          <w:sz w:val="28"/>
          <w:szCs w:val="28"/>
        </w:rPr>
      </w:pPr>
      <w:r w:rsidRPr="00AE525F">
        <w:rPr>
          <w:rFonts w:ascii="Arial" w:hAnsi="Arial" w:cs="Arial"/>
          <w:color w:val="000000"/>
          <w:sz w:val="28"/>
          <w:szCs w:val="28"/>
        </w:rPr>
        <w:t xml:space="preserve">The National Health Service was created to provide equitable care for all individuals, rooted in post-war ideals of equality and compassion. Its foundation was built on the belief that access to quality healthcare should not be determined by financial means. Although the NHS has evolved, its core principles endure. It continues to play a vital role in </w:t>
      </w:r>
      <w:r w:rsidRPr="00AE525F">
        <w:rPr>
          <w:rFonts w:ascii="Arial" w:hAnsi="Arial" w:cs="Arial"/>
          <w:color w:val="000000"/>
          <w:sz w:val="28"/>
          <w:szCs w:val="28"/>
        </w:rPr>
        <w:lastRenderedPageBreak/>
        <w:t>safeguarding the health of the UK population and enhancing lives, even as it contends with persistent financial constraints affecting staffing resources.</w:t>
      </w:r>
    </w:p>
    <w:p w14:paraId="743320A5" w14:textId="77777777" w:rsidR="00F03D3A" w:rsidRPr="00AE525F" w:rsidRDefault="00F03D3A" w:rsidP="00F03D3A">
      <w:pPr>
        <w:jc w:val="center"/>
        <w:rPr>
          <w:rFonts w:ascii="Arial" w:hAnsi="Arial" w:cs="Arial"/>
          <w:sz w:val="28"/>
          <w:szCs w:val="28"/>
        </w:rPr>
      </w:pPr>
    </w:p>
    <w:p w14:paraId="6878575F" w14:textId="77777777" w:rsidR="00F03D3A" w:rsidRPr="00AE525F" w:rsidRDefault="00F03D3A" w:rsidP="00F03D3A">
      <w:pPr>
        <w:rPr>
          <w:rFonts w:ascii="Arial" w:hAnsi="Arial" w:cs="Arial"/>
          <w:sz w:val="28"/>
          <w:szCs w:val="28"/>
        </w:rPr>
      </w:pPr>
    </w:p>
    <w:p w14:paraId="6BBCB40C" w14:textId="77777777" w:rsidR="00F03D3A" w:rsidRPr="00F97982" w:rsidRDefault="00F03D3A" w:rsidP="00F03D3A">
      <w:pPr>
        <w:rPr>
          <w:rFonts w:ascii="Arial" w:hAnsi="Arial" w:cs="Arial"/>
          <w:sz w:val="36"/>
          <w:szCs w:val="36"/>
        </w:rPr>
      </w:pPr>
      <w:r w:rsidRPr="00F97982">
        <w:rPr>
          <w:rFonts w:ascii="Arial" w:hAnsi="Arial" w:cs="Arial"/>
          <w:b/>
          <w:color w:val="005496"/>
          <w:sz w:val="36"/>
          <w:szCs w:val="36"/>
        </w:rPr>
        <w:t>References</w:t>
      </w:r>
    </w:p>
    <w:p w14:paraId="415416B6" w14:textId="77777777" w:rsidR="00F03D3A" w:rsidRPr="00AE525F" w:rsidRDefault="00F03D3A" w:rsidP="00F03D3A">
      <w:pPr>
        <w:pStyle w:val="NormalWeb"/>
        <w:rPr>
          <w:rFonts w:ascii="Arial" w:eastAsia="Times New Roman" w:hAnsi="Arial" w:cs="Arial"/>
          <w:sz w:val="28"/>
          <w:szCs w:val="28"/>
          <w:lang w:val="en-GB" w:eastAsia="en-GB"/>
        </w:rPr>
      </w:pPr>
      <w:r w:rsidRPr="00AE525F">
        <w:rPr>
          <w:rFonts w:ascii="Arial" w:hAnsi="Arial" w:cs="Arial"/>
          <w:color w:val="005496"/>
          <w:sz w:val="28"/>
          <w:szCs w:val="28"/>
        </w:rPr>
        <w:br/>
      </w:r>
      <w:r w:rsidRPr="00AE525F">
        <w:rPr>
          <w:rFonts w:ascii="Arial" w:eastAsia="Times New Roman" w:hAnsi="Arial" w:cs="Arial"/>
          <w:b/>
          <w:bCs/>
          <w:sz w:val="28"/>
          <w:szCs w:val="28"/>
          <w:lang w:val="en-GB" w:eastAsia="en-GB"/>
        </w:rPr>
        <w:t>NHS (2024)</w:t>
      </w:r>
      <w:r w:rsidRPr="00AE525F">
        <w:rPr>
          <w:rFonts w:ascii="Arial" w:eastAsia="Times New Roman" w:hAnsi="Arial" w:cs="Arial"/>
          <w:sz w:val="28"/>
          <w:szCs w:val="28"/>
          <w:lang w:val="en-GB" w:eastAsia="en-GB"/>
        </w:rPr>
        <w:t xml:space="preserve"> </w:t>
      </w:r>
      <w:r w:rsidRPr="00AE525F">
        <w:rPr>
          <w:rFonts w:ascii="Arial" w:eastAsia="Times New Roman" w:hAnsi="Arial" w:cs="Arial"/>
          <w:i/>
          <w:iCs/>
          <w:sz w:val="28"/>
          <w:szCs w:val="28"/>
          <w:lang w:val="en-GB" w:eastAsia="en-GB"/>
        </w:rPr>
        <w:t>About the NHS</w:t>
      </w:r>
      <w:r w:rsidRPr="00AE525F">
        <w:rPr>
          <w:rFonts w:ascii="Arial" w:eastAsia="Times New Roman" w:hAnsi="Arial" w:cs="Arial"/>
          <w:sz w:val="28"/>
          <w:szCs w:val="28"/>
          <w:lang w:val="en-GB" w:eastAsia="en-GB"/>
        </w:rPr>
        <w:t xml:space="preserve">. Available at: </w:t>
      </w:r>
      <w:hyperlink r:id="rId11" w:tgtFrame="_new" w:history="1">
        <w:r w:rsidRPr="00AE525F">
          <w:rPr>
            <w:rStyle w:val="Hyperlink"/>
            <w:rFonts w:ascii="Arial" w:eastAsia="Times New Roman" w:hAnsi="Arial" w:cs="Arial"/>
            <w:sz w:val="28"/>
            <w:szCs w:val="28"/>
            <w:lang w:val="en-GB" w:eastAsia="en-GB"/>
          </w:rPr>
          <w:t>https://www.nhs.uk/nhs-services/hospitals/</w:t>
        </w:r>
      </w:hyperlink>
      <w:r w:rsidRPr="00AE525F">
        <w:rPr>
          <w:rFonts w:ascii="Arial" w:eastAsia="Times New Roman" w:hAnsi="Arial" w:cs="Arial"/>
          <w:sz w:val="28"/>
          <w:szCs w:val="28"/>
          <w:lang w:val="en-GB" w:eastAsia="en-GB"/>
        </w:rPr>
        <w:t xml:space="preserve"> (Accessed: 22 October 2025).</w:t>
      </w:r>
    </w:p>
    <w:p w14:paraId="51F822C0" w14:textId="77777777" w:rsidR="00F03D3A" w:rsidRPr="00AE525F" w:rsidRDefault="00F03D3A" w:rsidP="00F03D3A">
      <w:pPr>
        <w:spacing w:before="100" w:beforeAutospacing="1" w:after="100" w:afterAutospacing="1" w:line="240" w:lineRule="auto"/>
        <w:rPr>
          <w:rFonts w:ascii="Arial" w:eastAsia="Times New Roman" w:hAnsi="Arial" w:cs="Arial"/>
          <w:sz w:val="28"/>
          <w:szCs w:val="28"/>
          <w:lang w:val="en-GB" w:eastAsia="en-GB"/>
        </w:rPr>
      </w:pPr>
      <w:r w:rsidRPr="00AE525F">
        <w:rPr>
          <w:rFonts w:ascii="Arial" w:eastAsia="Times New Roman" w:hAnsi="Arial" w:cs="Arial"/>
          <w:b/>
          <w:bCs/>
          <w:sz w:val="28"/>
          <w:szCs w:val="28"/>
          <w:lang w:val="en-GB" w:eastAsia="en-GB"/>
        </w:rPr>
        <w:t>NHS England (2024)</w:t>
      </w:r>
      <w:r w:rsidRPr="00AE525F">
        <w:rPr>
          <w:rFonts w:ascii="Arial" w:eastAsia="Times New Roman" w:hAnsi="Arial" w:cs="Arial"/>
          <w:sz w:val="28"/>
          <w:szCs w:val="28"/>
          <w:lang w:val="en-GB" w:eastAsia="en-GB"/>
        </w:rPr>
        <w:t xml:space="preserve"> </w:t>
      </w:r>
      <w:r w:rsidRPr="00AE525F">
        <w:rPr>
          <w:rFonts w:ascii="Arial" w:eastAsia="Times New Roman" w:hAnsi="Arial" w:cs="Arial"/>
          <w:i/>
          <w:iCs/>
          <w:sz w:val="28"/>
          <w:szCs w:val="28"/>
          <w:lang w:val="en-GB" w:eastAsia="en-GB"/>
        </w:rPr>
        <w:t>The NHS Long Term Plan</w:t>
      </w:r>
      <w:r w:rsidRPr="00AE525F">
        <w:rPr>
          <w:rFonts w:ascii="Arial" w:eastAsia="Times New Roman" w:hAnsi="Arial" w:cs="Arial"/>
          <w:sz w:val="28"/>
          <w:szCs w:val="28"/>
          <w:lang w:val="en-GB" w:eastAsia="en-GB"/>
        </w:rPr>
        <w:t xml:space="preserve">. Available at: </w:t>
      </w:r>
      <w:hyperlink r:id="rId12" w:tgtFrame="_new" w:history="1">
        <w:r w:rsidRPr="00AE525F">
          <w:rPr>
            <w:rStyle w:val="Hyperlink"/>
            <w:rFonts w:ascii="Arial" w:eastAsia="Times New Roman" w:hAnsi="Arial" w:cs="Arial"/>
            <w:sz w:val="28"/>
            <w:szCs w:val="28"/>
            <w:lang w:val="en-GB" w:eastAsia="en-GB"/>
          </w:rPr>
          <w:t>https://www.england.nhs.uk/long-term-plan/</w:t>
        </w:r>
      </w:hyperlink>
      <w:r w:rsidRPr="00AE525F">
        <w:rPr>
          <w:rFonts w:ascii="Arial" w:eastAsia="Times New Roman" w:hAnsi="Arial" w:cs="Arial"/>
          <w:sz w:val="28"/>
          <w:szCs w:val="28"/>
          <w:lang w:val="en-GB" w:eastAsia="en-GB"/>
        </w:rPr>
        <w:t xml:space="preserve"> (Accessed: 22 October 2025).</w:t>
      </w:r>
    </w:p>
    <w:p w14:paraId="375A0966" w14:textId="77777777" w:rsidR="00F03D3A" w:rsidRPr="00AE525F" w:rsidRDefault="00F03D3A" w:rsidP="00F03D3A">
      <w:pPr>
        <w:spacing w:before="100" w:beforeAutospacing="1" w:after="100" w:afterAutospacing="1" w:line="240" w:lineRule="auto"/>
        <w:rPr>
          <w:rFonts w:ascii="Arial" w:eastAsia="Times New Roman" w:hAnsi="Arial" w:cs="Arial"/>
          <w:sz w:val="28"/>
          <w:szCs w:val="28"/>
          <w:lang w:val="en-GB" w:eastAsia="en-GB"/>
        </w:rPr>
      </w:pPr>
      <w:r w:rsidRPr="00AE525F">
        <w:rPr>
          <w:rFonts w:ascii="Arial" w:eastAsia="Times New Roman" w:hAnsi="Arial" w:cs="Arial"/>
          <w:b/>
          <w:bCs/>
          <w:sz w:val="28"/>
          <w:szCs w:val="28"/>
          <w:lang w:val="en-GB" w:eastAsia="en-GB"/>
        </w:rPr>
        <w:t>NHS Confederation (2023)</w:t>
      </w:r>
      <w:r w:rsidRPr="00AE525F">
        <w:rPr>
          <w:rFonts w:ascii="Arial" w:eastAsia="Times New Roman" w:hAnsi="Arial" w:cs="Arial"/>
          <w:sz w:val="28"/>
          <w:szCs w:val="28"/>
          <w:lang w:val="en-GB" w:eastAsia="en-GB"/>
        </w:rPr>
        <w:t xml:space="preserve"> </w:t>
      </w:r>
      <w:r w:rsidRPr="00AE525F">
        <w:rPr>
          <w:rFonts w:ascii="Arial" w:eastAsia="Times New Roman" w:hAnsi="Arial" w:cs="Arial"/>
          <w:i/>
          <w:iCs/>
          <w:sz w:val="28"/>
          <w:szCs w:val="28"/>
          <w:lang w:val="en-GB" w:eastAsia="en-GB"/>
        </w:rPr>
        <w:t>Key facts and figures about the NHS</w:t>
      </w:r>
      <w:r w:rsidRPr="00AE525F">
        <w:rPr>
          <w:rFonts w:ascii="Arial" w:eastAsia="Times New Roman" w:hAnsi="Arial" w:cs="Arial"/>
          <w:sz w:val="28"/>
          <w:szCs w:val="28"/>
          <w:lang w:val="en-GB" w:eastAsia="en-GB"/>
        </w:rPr>
        <w:t>. Available at: https://www.nhsconfed.org.uk/ (Accessed: 22 October 2025).</w:t>
      </w:r>
    </w:p>
    <w:p w14:paraId="14276C3E" w14:textId="77777777" w:rsidR="00F03D3A" w:rsidRPr="00AE525F" w:rsidRDefault="00F03D3A" w:rsidP="00F03D3A">
      <w:pPr>
        <w:spacing w:before="100" w:beforeAutospacing="1" w:after="100" w:afterAutospacing="1" w:line="240" w:lineRule="auto"/>
        <w:rPr>
          <w:rFonts w:ascii="Arial" w:eastAsia="Times New Roman" w:hAnsi="Arial" w:cs="Arial"/>
          <w:sz w:val="28"/>
          <w:szCs w:val="28"/>
          <w:lang w:val="en-GB" w:eastAsia="en-GB"/>
        </w:rPr>
      </w:pPr>
      <w:r w:rsidRPr="00AE525F">
        <w:rPr>
          <w:rFonts w:ascii="Arial" w:eastAsia="Times New Roman" w:hAnsi="Arial" w:cs="Arial"/>
          <w:b/>
          <w:bCs/>
          <w:sz w:val="28"/>
          <w:szCs w:val="28"/>
          <w:lang w:val="en-GB" w:eastAsia="en-GB"/>
        </w:rPr>
        <w:t>The King’s Fund (2023)</w:t>
      </w:r>
      <w:r w:rsidRPr="00AE525F">
        <w:rPr>
          <w:rFonts w:ascii="Arial" w:eastAsia="Times New Roman" w:hAnsi="Arial" w:cs="Arial"/>
          <w:sz w:val="28"/>
          <w:szCs w:val="28"/>
          <w:lang w:val="en-GB" w:eastAsia="en-GB"/>
        </w:rPr>
        <w:t xml:space="preserve"> </w:t>
      </w:r>
      <w:r w:rsidRPr="00AE525F">
        <w:rPr>
          <w:rFonts w:ascii="Arial" w:eastAsia="Times New Roman" w:hAnsi="Arial" w:cs="Arial"/>
          <w:i/>
          <w:iCs/>
          <w:sz w:val="28"/>
          <w:szCs w:val="28"/>
          <w:lang w:val="en-GB" w:eastAsia="en-GB"/>
        </w:rPr>
        <w:t>How does the NHS in England work?</w:t>
      </w:r>
      <w:r w:rsidRPr="00AE525F">
        <w:rPr>
          <w:rFonts w:ascii="Arial" w:eastAsia="Times New Roman" w:hAnsi="Arial" w:cs="Arial"/>
          <w:sz w:val="28"/>
          <w:szCs w:val="28"/>
          <w:lang w:val="en-GB" w:eastAsia="en-GB"/>
        </w:rPr>
        <w:t xml:space="preserve"> Available at: </w:t>
      </w:r>
      <w:hyperlink r:id="rId13" w:tgtFrame="_new" w:history="1">
        <w:r w:rsidRPr="00AE525F">
          <w:rPr>
            <w:rStyle w:val="Hyperlink"/>
            <w:rFonts w:ascii="Arial" w:eastAsia="Times New Roman" w:hAnsi="Arial" w:cs="Arial"/>
            <w:sz w:val="28"/>
            <w:szCs w:val="28"/>
            <w:lang w:val="en-GB" w:eastAsia="en-GB"/>
          </w:rPr>
          <w:t>https://www.kingsfund.org.uk/</w:t>
        </w:r>
      </w:hyperlink>
      <w:r w:rsidRPr="00AE525F">
        <w:rPr>
          <w:rFonts w:ascii="Arial" w:eastAsia="Times New Roman" w:hAnsi="Arial" w:cs="Arial"/>
          <w:sz w:val="28"/>
          <w:szCs w:val="28"/>
          <w:lang w:val="en-GB" w:eastAsia="en-GB"/>
        </w:rPr>
        <w:t xml:space="preserve"> (Accessed: 22 October 2025).</w:t>
      </w:r>
    </w:p>
    <w:p w14:paraId="4770465D" w14:textId="4C4AB184" w:rsidR="00F03D3A" w:rsidRDefault="00F03D3A" w:rsidP="00F03D3A">
      <w:pPr>
        <w:jc w:val="center"/>
      </w:pPr>
    </w:p>
    <w:p w14:paraId="39B82CAC" w14:textId="77777777" w:rsidR="00D54D28" w:rsidRPr="00D54D28" w:rsidRDefault="00D54D28" w:rsidP="00227988">
      <w:pPr>
        <w:rPr>
          <w:rFonts w:ascii="Arial" w:hAnsi="Arial" w:cs="Arial"/>
          <w:b/>
          <w:bCs/>
          <w:sz w:val="28"/>
          <w:szCs w:val="28"/>
        </w:rPr>
      </w:pPr>
    </w:p>
    <w:sectPr w:rsidR="00D54D28" w:rsidRPr="00D54D2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B83C8F8A"/>
    <w:lvl w:ilvl="0">
      <w:start w:val="1"/>
      <w:numFmt w:val="bullet"/>
      <w:pStyle w:val="ListBullet"/>
      <w:lvlText w:val=""/>
      <w:lvlJc w:val="left"/>
      <w:pPr>
        <w:tabs>
          <w:tab w:val="num" w:pos="360"/>
        </w:tabs>
        <w:ind w:left="360" w:hanging="360"/>
      </w:pPr>
      <w:rPr>
        <w:rFonts w:ascii="Symbol" w:hAnsi="Symbol" w:hint="default"/>
      </w:rPr>
    </w:lvl>
  </w:abstractNum>
  <w:num w:numId="1" w16cid:durableId="2120367495">
    <w:abstractNumId w:val="8"/>
  </w:num>
  <w:num w:numId="2" w16cid:durableId="66735942">
    <w:abstractNumId w:val="6"/>
  </w:num>
  <w:num w:numId="3" w16cid:durableId="47920453">
    <w:abstractNumId w:val="5"/>
  </w:num>
  <w:num w:numId="4" w16cid:durableId="1386756785">
    <w:abstractNumId w:val="4"/>
  </w:num>
  <w:num w:numId="5" w16cid:durableId="406070598">
    <w:abstractNumId w:val="7"/>
  </w:num>
  <w:num w:numId="6" w16cid:durableId="589435138">
    <w:abstractNumId w:val="3"/>
  </w:num>
  <w:num w:numId="7" w16cid:durableId="1356999956">
    <w:abstractNumId w:val="2"/>
  </w:num>
  <w:num w:numId="8" w16cid:durableId="1486511872">
    <w:abstractNumId w:val="1"/>
  </w:num>
  <w:num w:numId="9" w16cid:durableId="1359234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134B"/>
    <w:rsid w:val="001164A1"/>
    <w:rsid w:val="0015074B"/>
    <w:rsid w:val="00191CB7"/>
    <w:rsid w:val="001B5D88"/>
    <w:rsid w:val="001E3920"/>
    <w:rsid w:val="00227988"/>
    <w:rsid w:val="0029639D"/>
    <w:rsid w:val="00326F90"/>
    <w:rsid w:val="00443EC6"/>
    <w:rsid w:val="00582A9C"/>
    <w:rsid w:val="00645F45"/>
    <w:rsid w:val="007256A1"/>
    <w:rsid w:val="007C2519"/>
    <w:rsid w:val="007C26C5"/>
    <w:rsid w:val="008530EF"/>
    <w:rsid w:val="008B4F7F"/>
    <w:rsid w:val="0090458A"/>
    <w:rsid w:val="00951730"/>
    <w:rsid w:val="00AA1D8D"/>
    <w:rsid w:val="00AE525F"/>
    <w:rsid w:val="00B47730"/>
    <w:rsid w:val="00C171A8"/>
    <w:rsid w:val="00C20719"/>
    <w:rsid w:val="00C4584C"/>
    <w:rsid w:val="00CB0664"/>
    <w:rsid w:val="00D54D28"/>
    <w:rsid w:val="00E04C85"/>
    <w:rsid w:val="00E57ADC"/>
    <w:rsid w:val="00F03D3A"/>
    <w:rsid w:val="00F9798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5E300A2-9BEE-4771-8559-696E8B40D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ADC"/>
  </w:style>
  <w:style w:type="paragraph" w:styleId="Heading1">
    <w:name w:val="heading 1"/>
    <w:basedOn w:val="Normal"/>
    <w:next w:val="Normal"/>
    <w:link w:val="Heading1Char"/>
    <w:uiPriority w:val="9"/>
    <w:qFormat/>
    <w:rsid w:val="00E57AD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E57AD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E57AD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E57AD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E57AD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E57AD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E57AD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E57AD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E57AD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E57ADC"/>
    <w:pPr>
      <w:spacing w:after="0" w:line="240" w:lineRule="auto"/>
    </w:pPr>
  </w:style>
  <w:style w:type="character" w:customStyle="1" w:styleId="Heading1Char">
    <w:name w:val="Heading 1 Char"/>
    <w:basedOn w:val="DefaultParagraphFont"/>
    <w:link w:val="Heading1"/>
    <w:uiPriority w:val="9"/>
    <w:rsid w:val="00E57AD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E57AD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E57ADC"/>
    <w:rPr>
      <w:rFonts w:asciiTheme="majorHAnsi" w:eastAsiaTheme="majorEastAsia" w:hAnsiTheme="majorHAnsi" w:cstheme="majorBidi"/>
      <w:spacing w:val="4"/>
      <w:sz w:val="24"/>
      <w:szCs w:val="24"/>
    </w:rPr>
  </w:style>
  <w:style w:type="paragraph" w:styleId="Title">
    <w:name w:val="Title"/>
    <w:basedOn w:val="Normal"/>
    <w:next w:val="Normal"/>
    <w:link w:val="TitleChar"/>
    <w:uiPriority w:val="10"/>
    <w:qFormat/>
    <w:rsid w:val="00E57AD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E57AD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E57AD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57ADC"/>
    <w:rPr>
      <w:rFonts w:asciiTheme="majorHAnsi" w:eastAsiaTheme="majorEastAsia" w:hAnsiTheme="majorHAnsi" w:cstheme="majorBidi"/>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E57AD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E57ADC"/>
    <w:rPr>
      <w:rFonts w:asciiTheme="majorHAnsi" w:eastAsiaTheme="majorEastAsia" w:hAnsiTheme="majorHAnsi" w:cstheme="majorBidi"/>
      <w:i/>
      <w:iCs/>
      <w:sz w:val="24"/>
      <w:szCs w:val="24"/>
    </w:rPr>
  </w:style>
  <w:style w:type="character" w:customStyle="1" w:styleId="Heading4Char">
    <w:name w:val="Heading 4 Char"/>
    <w:basedOn w:val="DefaultParagraphFont"/>
    <w:link w:val="Heading4"/>
    <w:uiPriority w:val="9"/>
    <w:semiHidden/>
    <w:rsid w:val="00E57AD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E57AD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E57AD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E57ADC"/>
    <w:rPr>
      <w:i/>
      <w:iCs/>
    </w:rPr>
  </w:style>
  <w:style w:type="character" w:customStyle="1" w:styleId="Heading8Char">
    <w:name w:val="Heading 8 Char"/>
    <w:basedOn w:val="DefaultParagraphFont"/>
    <w:link w:val="Heading8"/>
    <w:uiPriority w:val="9"/>
    <w:semiHidden/>
    <w:rsid w:val="00E57ADC"/>
    <w:rPr>
      <w:b/>
      <w:bCs/>
    </w:rPr>
  </w:style>
  <w:style w:type="character" w:customStyle="1" w:styleId="Heading9Char">
    <w:name w:val="Heading 9 Char"/>
    <w:basedOn w:val="DefaultParagraphFont"/>
    <w:link w:val="Heading9"/>
    <w:uiPriority w:val="9"/>
    <w:semiHidden/>
    <w:rsid w:val="00E57ADC"/>
    <w:rPr>
      <w:i/>
      <w:iCs/>
    </w:rPr>
  </w:style>
  <w:style w:type="paragraph" w:styleId="Caption">
    <w:name w:val="caption"/>
    <w:basedOn w:val="Normal"/>
    <w:next w:val="Normal"/>
    <w:uiPriority w:val="35"/>
    <w:semiHidden/>
    <w:unhideWhenUsed/>
    <w:qFormat/>
    <w:rsid w:val="00E57ADC"/>
    <w:rPr>
      <w:b/>
      <w:bCs/>
      <w:sz w:val="18"/>
      <w:szCs w:val="18"/>
    </w:rPr>
  </w:style>
  <w:style w:type="character" w:styleId="Strong">
    <w:name w:val="Strong"/>
    <w:basedOn w:val="DefaultParagraphFont"/>
    <w:uiPriority w:val="22"/>
    <w:qFormat/>
    <w:rsid w:val="00E57ADC"/>
    <w:rPr>
      <w:b/>
      <w:bCs/>
      <w:color w:val="auto"/>
    </w:rPr>
  </w:style>
  <w:style w:type="character" w:styleId="Emphasis">
    <w:name w:val="Emphasis"/>
    <w:basedOn w:val="DefaultParagraphFont"/>
    <w:uiPriority w:val="20"/>
    <w:qFormat/>
    <w:rsid w:val="00E57ADC"/>
    <w:rPr>
      <w:i/>
      <w:iCs/>
      <w:color w:val="auto"/>
    </w:rPr>
  </w:style>
  <w:style w:type="paragraph" w:styleId="IntenseQuote">
    <w:name w:val="Intense Quote"/>
    <w:basedOn w:val="Normal"/>
    <w:next w:val="Normal"/>
    <w:link w:val="IntenseQuoteChar"/>
    <w:uiPriority w:val="30"/>
    <w:qFormat/>
    <w:rsid w:val="00E57AD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E57AD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E57ADC"/>
    <w:rPr>
      <w:i/>
      <w:iCs/>
      <w:color w:val="auto"/>
    </w:rPr>
  </w:style>
  <w:style w:type="character" w:styleId="IntenseEmphasis">
    <w:name w:val="Intense Emphasis"/>
    <w:basedOn w:val="DefaultParagraphFont"/>
    <w:uiPriority w:val="21"/>
    <w:qFormat/>
    <w:rsid w:val="00E57ADC"/>
    <w:rPr>
      <w:b/>
      <w:bCs/>
      <w:i/>
      <w:iCs/>
      <w:color w:val="auto"/>
    </w:rPr>
  </w:style>
  <w:style w:type="character" w:styleId="SubtleReference">
    <w:name w:val="Subtle Reference"/>
    <w:basedOn w:val="DefaultParagraphFont"/>
    <w:uiPriority w:val="31"/>
    <w:qFormat/>
    <w:rsid w:val="00E57ADC"/>
    <w:rPr>
      <w:smallCaps/>
      <w:color w:val="auto"/>
      <w:u w:val="single" w:color="7F7F7F" w:themeColor="text1" w:themeTint="80"/>
    </w:rPr>
  </w:style>
  <w:style w:type="character" w:styleId="IntenseReference">
    <w:name w:val="Intense Reference"/>
    <w:basedOn w:val="DefaultParagraphFont"/>
    <w:uiPriority w:val="32"/>
    <w:qFormat/>
    <w:rsid w:val="00E57ADC"/>
    <w:rPr>
      <w:b/>
      <w:bCs/>
      <w:smallCaps/>
      <w:color w:val="auto"/>
      <w:u w:val="single"/>
    </w:rPr>
  </w:style>
  <w:style w:type="character" w:styleId="BookTitle">
    <w:name w:val="Book Title"/>
    <w:basedOn w:val="DefaultParagraphFont"/>
    <w:uiPriority w:val="33"/>
    <w:qFormat/>
    <w:rsid w:val="00E57ADC"/>
    <w:rPr>
      <w:b/>
      <w:bCs/>
      <w:smallCaps/>
      <w:color w:val="auto"/>
    </w:rPr>
  </w:style>
  <w:style w:type="paragraph" w:styleId="TOCHeading">
    <w:name w:val="TOC Heading"/>
    <w:basedOn w:val="Heading1"/>
    <w:next w:val="Normal"/>
    <w:uiPriority w:val="39"/>
    <w:semiHidden/>
    <w:unhideWhenUsed/>
    <w:qFormat/>
    <w:rsid w:val="00E57ADC"/>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32348" w:themeColor="accent1" w:themeShade="BF"/>
    </w:rPr>
    <w:tblPr>
      <w:tblStyleRowBandSize w:val="1"/>
      <w:tblStyleColBandSize w:val="1"/>
      <w:tblBorders>
        <w:top w:val="single" w:sz="8" w:space="0" w:color="052F61" w:themeColor="accent1"/>
        <w:bottom w:val="single" w:sz="8" w:space="0" w:color="052F61" w:themeColor="accent1"/>
      </w:tblBorders>
    </w:tblPr>
    <w:tblStylePr w:type="firstRow">
      <w:pPr>
        <w:spacing w:before="0" w:after="0" w:line="240" w:lineRule="auto"/>
      </w:pPr>
      <w:rPr>
        <w:b/>
        <w:bCs/>
      </w:rPr>
      <w:tblPr/>
      <w:tcPr>
        <w:tcBorders>
          <w:top w:val="single" w:sz="8" w:space="0" w:color="052F61" w:themeColor="accent1"/>
          <w:left w:val="nil"/>
          <w:bottom w:val="single" w:sz="8" w:space="0" w:color="052F61" w:themeColor="accent1"/>
          <w:right w:val="nil"/>
          <w:insideH w:val="nil"/>
          <w:insideV w:val="nil"/>
        </w:tcBorders>
      </w:tcPr>
    </w:tblStylePr>
    <w:tblStylePr w:type="lastRow">
      <w:pPr>
        <w:spacing w:before="0" w:after="0" w:line="240" w:lineRule="auto"/>
      </w:pPr>
      <w:rPr>
        <w:b/>
        <w:bCs/>
      </w:rPr>
      <w:tblPr/>
      <w:tcPr>
        <w:tcBorders>
          <w:top w:val="single" w:sz="8" w:space="0" w:color="052F61" w:themeColor="accent1"/>
          <w:left w:val="nil"/>
          <w:bottom w:val="single" w:sz="8" w:space="0" w:color="052F61"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C8FA" w:themeFill="accent1" w:themeFillTint="3F"/>
      </w:tcPr>
    </w:tblStylePr>
    <w:tblStylePr w:type="band1Horz">
      <w:tblPr/>
      <w:tcPr>
        <w:tcBorders>
          <w:left w:val="nil"/>
          <w:right w:val="nil"/>
          <w:insideH w:val="nil"/>
          <w:insideV w:val="nil"/>
        </w:tcBorders>
        <w:shd w:val="clear" w:color="auto" w:fill="9EC8FA" w:themeFill="accent1" w:themeFillTint="3F"/>
      </w:tcPr>
    </w:tblStylePr>
  </w:style>
  <w:style w:type="table" w:styleId="LightShading-Accent2">
    <w:name w:val="Light Shading Accent 2"/>
    <w:basedOn w:val="TableNormal"/>
    <w:uiPriority w:val="60"/>
    <w:rsid w:val="00FC693F"/>
    <w:pPr>
      <w:spacing w:after="0" w:line="240" w:lineRule="auto"/>
    </w:pPr>
    <w:rPr>
      <w:color w:val="7B0A60" w:themeColor="accent2" w:themeShade="BF"/>
    </w:rPr>
    <w:tblPr>
      <w:tblStyleRowBandSize w:val="1"/>
      <w:tblStyleColBandSize w:val="1"/>
      <w:tblBorders>
        <w:top w:val="single" w:sz="8" w:space="0" w:color="A50E82" w:themeColor="accent2"/>
        <w:bottom w:val="single" w:sz="8" w:space="0" w:color="A50E82" w:themeColor="accent2"/>
      </w:tblBorders>
    </w:tblPr>
    <w:tblStylePr w:type="firstRow">
      <w:pPr>
        <w:spacing w:before="0" w:after="0" w:line="240" w:lineRule="auto"/>
      </w:pPr>
      <w:rPr>
        <w:b/>
        <w:bCs/>
      </w:rPr>
      <w:tblPr/>
      <w:tcPr>
        <w:tcBorders>
          <w:top w:val="single" w:sz="8" w:space="0" w:color="A50E82" w:themeColor="accent2"/>
          <w:left w:val="nil"/>
          <w:bottom w:val="single" w:sz="8" w:space="0" w:color="A50E82" w:themeColor="accent2"/>
          <w:right w:val="nil"/>
          <w:insideH w:val="nil"/>
          <w:insideV w:val="nil"/>
        </w:tcBorders>
      </w:tcPr>
    </w:tblStylePr>
    <w:tblStylePr w:type="lastRow">
      <w:pPr>
        <w:spacing w:before="0" w:after="0" w:line="240" w:lineRule="auto"/>
      </w:pPr>
      <w:rPr>
        <w:b/>
        <w:bCs/>
      </w:rPr>
      <w:tblPr/>
      <w:tcPr>
        <w:tcBorders>
          <w:top w:val="single" w:sz="8" w:space="0" w:color="A50E82" w:themeColor="accent2"/>
          <w:left w:val="nil"/>
          <w:bottom w:val="single" w:sz="8" w:space="0" w:color="A50E8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B3E8" w:themeFill="accent2" w:themeFillTint="3F"/>
      </w:tcPr>
    </w:tblStylePr>
    <w:tblStylePr w:type="band1Horz">
      <w:tblPr/>
      <w:tcPr>
        <w:tcBorders>
          <w:left w:val="nil"/>
          <w:right w:val="nil"/>
          <w:insideH w:val="nil"/>
          <w:insideV w:val="nil"/>
        </w:tcBorders>
        <w:shd w:val="clear" w:color="auto" w:fill="F8B3E8" w:themeFill="accent2" w:themeFillTint="3F"/>
      </w:tcPr>
    </w:tblStylePr>
  </w:style>
  <w:style w:type="table" w:styleId="LightShading-Accent3">
    <w:name w:val="Light Shading Accent 3"/>
    <w:basedOn w:val="TableNormal"/>
    <w:uiPriority w:val="60"/>
    <w:rsid w:val="00FC693F"/>
    <w:pPr>
      <w:spacing w:after="0" w:line="240" w:lineRule="auto"/>
    </w:pPr>
    <w:rPr>
      <w:color w:val="0F705C" w:themeColor="accent3" w:themeShade="BF"/>
    </w:rPr>
    <w:tblPr>
      <w:tblStyleRowBandSize w:val="1"/>
      <w:tblStyleColBandSize w:val="1"/>
      <w:tblBorders>
        <w:top w:val="single" w:sz="8" w:space="0" w:color="14967C" w:themeColor="accent3"/>
        <w:bottom w:val="single" w:sz="8" w:space="0" w:color="14967C" w:themeColor="accent3"/>
      </w:tblBorders>
    </w:tblPr>
    <w:tblStylePr w:type="firstRow">
      <w:pPr>
        <w:spacing w:before="0" w:after="0" w:line="240" w:lineRule="auto"/>
      </w:pPr>
      <w:rPr>
        <w:b/>
        <w:bCs/>
      </w:rPr>
      <w:tblPr/>
      <w:tcPr>
        <w:tcBorders>
          <w:top w:val="single" w:sz="8" w:space="0" w:color="14967C" w:themeColor="accent3"/>
          <w:left w:val="nil"/>
          <w:bottom w:val="single" w:sz="8" w:space="0" w:color="14967C" w:themeColor="accent3"/>
          <w:right w:val="nil"/>
          <w:insideH w:val="nil"/>
          <w:insideV w:val="nil"/>
        </w:tcBorders>
      </w:tcPr>
    </w:tblStylePr>
    <w:tblStylePr w:type="lastRow">
      <w:pPr>
        <w:spacing w:before="0" w:after="0" w:line="240" w:lineRule="auto"/>
      </w:pPr>
      <w:rPr>
        <w:b/>
        <w:bCs/>
      </w:rPr>
      <w:tblPr/>
      <w:tcPr>
        <w:tcBorders>
          <w:top w:val="single" w:sz="8" w:space="0" w:color="14967C" w:themeColor="accent3"/>
          <w:left w:val="nil"/>
          <w:bottom w:val="single" w:sz="8" w:space="0" w:color="14967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F5E8" w:themeFill="accent3" w:themeFillTint="3F"/>
      </w:tcPr>
    </w:tblStylePr>
    <w:tblStylePr w:type="band1Horz">
      <w:tblPr/>
      <w:tcPr>
        <w:tcBorders>
          <w:left w:val="nil"/>
          <w:right w:val="nil"/>
          <w:insideH w:val="nil"/>
          <w:insideV w:val="nil"/>
        </w:tcBorders>
        <w:shd w:val="clear" w:color="auto" w:fill="B4F5E8" w:themeFill="accent3" w:themeFillTint="3F"/>
      </w:tcPr>
    </w:tblStylePr>
  </w:style>
  <w:style w:type="table" w:styleId="LightShading-Accent4">
    <w:name w:val="Light Shading Accent 4"/>
    <w:basedOn w:val="TableNormal"/>
    <w:uiPriority w:val="60"/>
    <w:rsid w:val="00FC693F"/>
    <w:pPr>
      <w:spacing w:after="0" w:line="240" w:lineRule="auto"/>
    </w:pPr>
    <w:rPr>
      <w:color w:val="4F7617" w:themeColor="accent4" w:themeShade="BF"/>
    </w:rPr>
    <w:tblPr>
      <w:tblStyleRowBandSize w:val="1"/>
      <w:tblStyleColBandSize w:val="1"/>
      <w:tblBorders>
        <w:top w:val="single" w:sz="8" w:space="0" w:color="6A9E1F" w:themeColor="accent4"/>
        <w:bottom w:val="single" w:sz="8" w:space="0" w:color="6A9E1F" w:themeColor="accent4"/>
      </w:tblBorders>
    </w:tblPr>
    <w:tblStylePr w:type="firstRow">
      <w:pPr>
        <w:spacing w:before="0" w:after="0" w:line="240" w:lineRule="auto"/>
      </w:pPr>
      <w:rPr>
        <w:b/>
        <w:bCs/>
      </w:rPr>
      <w:tblPr/>
      <w:tcPr>
        <w:tcBorders>
          <w:top w:val="single" w:sz="8" w:space="0" w:color="6A9E1F" w:themeColor="accent4"/>
          <w:left w:val="nil"/>
          <w:bottom w:val="single" w:sz="8" w:space="0" w:color="6A9E1F" w:themeColor="accent4"/>
          <w:right w:val="nil"/>
          <w:insideH w:val="nil"/>
          <w:insideV w:val="nil"/>
        </w:tcBorders>
      </w:tcPr>
    </w:tblStylePr>
    <w:tblStylePr w:type="lastRow">
      <w:pPr>
        <w:spacing w:before="0" w:after="0" w:line="240" w:lineRule="auto"/>
      </w:pPr>
      <w:rPr>
        <w:b/>
        <w:bCs/>
      </w:rPr>
      <w:tblPr/>
      <w:tcPr>
        <w:tcBorders>
          <w:top w:val="single" w:sz="8" w:space="0" w:color="6A9E1F" w:themeColor="accent4"/>
          <w:left w:val="nil"/>
          <w:bottom w:val="single" w:sz="8" w:space="0" w:color="6A9E1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F2BC" w:themeFill="accent4" w:themeFillTint="3F"/>
      </w:tcPr>
    </w:tblStylePr>
    <w:tblStylePr w:type="band1Horz">
      <w:tblPr/>
      <w:tcPr>
        <w:tcBorders>
          <w:left w:val="nil"/>
          <w:right w:val="nil"/>
          <w:insideH w:val="nil"/>
          <w:insideV w:val="nil"/>
        </w:tcBorders>
        <w:shd w:val="clear" w:color="auto" w:fill="DCF2BC" w:themeFill="accent4" w:themeFillTint="3F"/>
      </w:tcPr>
    </w:tblStylePr>
  </w:style>
  <w:style w:type="table" w:styleId="LightShading-Accent5">
    <w:name w:val="Light Shading Accent 5"/>
    <w:basedOn w:val="TableNormal"/>
    <w:uiPriority w:val="60"/>
    <w:rsid w:val="00FC693F"/>
    <w:pPr>
      <w:spacing w:after="0" w:line="240" w:lineRule="auto"/>
    </w:pPr>
    <w:rPr>
      <w:color w:val="C05916" w:themeColor="accent5" w:themeShade="BF"/>
    </w:rPr>
    <w:tblPr>
      <w:tblStyleRowBandSize w:val="1"/>
      <w:tblStyleColBandSize w:val="1"/>
      <w:tblBorders>
        <w:top w:val="single" w:sz="8" w:space="0" w:color="E87D37" w:themeColor="accent5"/>
        <w:bottom w:val="single" w:sz="8" w:space="0" w:color="E87D37" w:themeColor="accent5"/>
      </w:tblBorders>
    </w:tblPr>
    <w:tblStylePr w:type="firstRow">
      <w:pPr>
        <w:spacing w:before="0" w:after="0" w:line="240" w:lineRule="auto"/>
      </w:pPr>
      <w:rPr>
        <w:b/>
        <w:bCs/>
      </w:rPr>
      <w:tblPr/>
      <w:tcPr>
        <w:tcBorders>
          <w:top w:val="single" w:sz="8" w:space="0" w:color="E87D37" w:themeColor="accent5"/>
          <w:left w:val="nil"/>
          <w:bottom w:val="single" w:sz="8" w:space="0" w:color="E87D37" w:themeColor="accent5"/>
          <w:right w:val="nil"/>
          <w:insideH w:val="nil"/>
          <w:insideV w:val="nil"/>
        </w:tcBorders>
      </w:tcPr>
    </w:tblStylePr>
    <w:tblStylePr w:type="lastRow">
      <w:pPr>
        <w:spacing w:before="0" w:after="0" w:line="240" w:lineRule="auto"/>
      </w:pPr>
      <w:rPr>
        <w:b/>
        <w:bCs/>
      </w:rPr>
      <w:tblPr/>
      <w:tcPr>
        <w:tcBorders>
          <w:top w:val="single" w:sz="8" w:space="0" w:color="E87D37" w:themeColor="accent5"/>
          <w:left w:val="nil"/>
          <w:bottom w:val="single" w:sz="8" w:space="0" w:color="E87D37"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ECD" w:themeFill="accent5" w:themeFillTint="3F"/>
      </w:tcPr>
    </w:tblStylePr>
    <w:tblStylePr w:type="band1Horz">
      <w:tblPr/>
      <w:tcPr>
        <w:tcBorders>
          <w:left w:val="nil"/>
          <w:right w:val="nil"/>
          <w:insideH w:val="nil"/>
          <w:insideV w:val="nil"/>
        </w:tcBorders>
        <w:shd w:val="clear" w:color="auto" w:fill="F9DECD" w:themeFill="accent5" w:themeFillTint="3F"/>
      </w:tcPr>
    </w:tblStylePr>
  </w:style>
  <w:style w:type="table" w:styleId="LightShading-Accent6">
    <w:name w:val="Light Shading Accent 6"/>
    <w:basedOn w:val="TableNormal"/>
    <w:uiPriority w:val="60"/>
    <w:rsid w:val="00FC693F"/>
    <w:pPr>
      <w:spacing w:after="0" w:line="240" w:lineRule="auto"/>
    </w:pPr>
    <w:rPr>
      <w:color w:val="941A1A" w:themeColor="accent6" w:themeShade="BF"/>
    </w:rPr>
    <w:tblPr>
      <w:tblStyleRowBandSize w:val="1"/>
      <w:tblStyleColBandSize w:val="1"/>
      <w:tblBorders>
        <w:top w:val="single" w:sz="8" w:space="0" w:color="C62324" w:themeColor="accent6"/>
        <w:bottom w:val="single" w:sz="8" w:space="0" w:color="C62324" w:themeColor="accent6"/>
      </w:tblBorders>
    </w:tblPr>
    <w:tblStylePr w:type="firstRow">
      <w:pPr>
        <w:spacing w:before="0" w:after="0" w:line="240" w:lineRule="auto"/>
      </w:pPr>
      <w:rPr>
        <w:b/>
        <w:bCs/>
      </w:rPr>
      <w:tblPr/>
      <w:tcPr>
        <w:tcBorders>
          <w:top w:val="single" w:sz="8" w:space="0" w:color="C62324" w:themeColor="accent6"/>
          <w:left w:val="nil"/>
          <w:bottom w:val="single" w:sz="8" w:space="0" w:color="C62324" w:themeColor="accent6"/>
          <w:right w:val="nil"/>
          <w:insideH w:val="nil"/>
          <w:insideV w:val="nil"/>
        </w:tcBorders>
      </w:tcPr>
    </w:tblStylePr>
    <w:tblStylePr w:type="lastRow">
      <w:pPr>
        <w:spacing w:before="0" w:after="0" w:line="240" w:lineRule="auto"/>
      </w:pPr>
      <w:rPr>
        <w:b/>
        <w:bCs/>
      </w:rPr>
      <w:tblPr/>
      <w:tcPr>
        <w:tcBorders>
          <w:top w:val="single" w:sz="8" w:space="0" w:color="C62324" w:themeColor="accent6"/>
          <w:left w:val="nil"/>
          <w:bottom w:val="single" w:sz="8" w:space="0" w:color="C62324"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C4C4" w:themeFill="accent6" w:themeFillTint="3F"/>
      </w:tcPr>
    </w:tblStylePr>
    <w:tblStylePr w:type="band1Horz">
      <w:tblPr/>
      <w:tcPr>
        <w:tcBorders>
          <w:left w:val="nil"/>
          <w:right w:val="nil"/>
          <w:insideH w:val="nil"/>
          <w:insideV w:val="nil"/>
        </w:tcBorders>
        <w:shd w:val="clear" w:color="auto" w:fill="F4C4C4"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052F61" w:themeColor="accent1"/>
        <w:left w:val="single" w:sz="8" w:space="0" w:color="052F61" w:themeColor="accent1"/>
        <w:bottom w:val="single" w:sz="8" w:space="0" w:color="052F61" w:themeColor="accent1"/>
        <w:right w:val="single" w:sz="8" w:space="0" w:color="052F61" w:themeColor="accent1"/>
      </w:tblBorders>
    </w:tblPr>
    <w:tblStylePr w:type="firstRow">
      <w:pPr>
        <w:spacing w:before="0" w:after="0" w:line="240" w:lineRule="auto"/>
      </w:pPr>
      <w:rPr>
        <w:b/>
        <w:bCs/>
        <w:color w:val="FFFFFF" w:themeColor="background1"/>
      </w:rPr>
      <w:tblPr/>
      <w:tcPr>
        <w:shd w:val="clear" w:color="auto" w:fill="052F61" w:themeFill="accent1"/>
      </w:tcPr>
    </w:tblStylePr>
    <w:tblStylePr w:type="lastRow">
      <w:pPr>
        <w:spacing w:before="0" w:after="0" w:line="240" w:lineRule="auto"/>
      </w:pPr>
      <w:rPr>
        <w:b/>
        <w:bCs/>
      </w:rPr>
      <w:tblPr/>
      <w:tcPr>
        <w:tcBorders>
          <w:top w:val="double" w:sz="6" w:space="0" w:color="052F61" w:themeColor="accent1"/>
          <w:left w:val="single" w:sz="8" w:space="0" w:color="052F61" w:themeColor="accent1"/>
          <w:bottom w:val="single" w:sz="8" w:space="0" w:color="052F61" w:themeColor="accent1"/>
          <w:right w:val="single" w:sz="8" w:space="0" w:color="052F61" w:themeColor="accent1"/>
        </w:tcBorders>
      </w:tcPr>
    </w:tblStylePr>
    <w:tblStylePr w:type="firstCol">
      <w:rPr>
        <w:b/>
        <w:bCs/>
      </w:rPr>
    </w:tblStylePr>
    <w:tblStylePr w:type="lastCol">
      <w:rPr>
        <w:b/>
        <w:bCs/>
      </w:rPr>
    </w:tblStylePr>
    <w:tblStylePr w:type="band1Vert">
      <w:tblPr/>
      <w:tcPr>
        <w:tcBorders>
          <w:top w:val="single" w:sz="8" w:space="0" w:color="052F61" w:themeColor="accent1"/>
          <w:left w:val="single" w:sz="8" w:space="0" w:color="052F61" w:themeColor="accent1"/>
          <w:bottom w:val="single" w:sz="8" w:space="0" w:color="052F61" w:themeColor="accent1"/>
          <w:right w:val="single" w:sz="8" w:space="0" w:color="052F61" w:themeColor="accent1"/>
        </w:tcBorders>
      </w:tcPr>
    </w:tblStylePr>
    <w:tblStylePr w:type="band1Horz">
      <w:tblPr/>
      <w:tcPr>
        <w:tcBorders>
          <w:top w:val="single" w:sz="8" w:space="0" w:color="052F61" w:themeColor="accent1"/>
          <w:left w:val="single" w:sz="8" w:space="0" w:color="052F61" w:themeColor="accent1"/>
          <w:bottom w:val="single" w:sz="8" w:space="0" w:color="052F61" w:themeColor="accent1"/>
          <w:right w:val="single" w:sz="8" w:space="0" w:color="052F61"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A50E82" w:themeColor="accent2"/>
        <w:left w:val="single" w:sz="8" w:space="0" w:color="A50E82" w:themeColor="accent2"/>
        <w:bottom w:val="single" w:sz="8" w:space="0" w:color="A50E82" w:themeColor="accent2"/>
        <w:right w:val="single" w:sz="8" w:space="0" w:color="A50E82" w:themeColor="accent2"/>
      </w:tblBorders>
    </w:tblPr>
    <w:tblStylePr w:type="firstRow">
      <w:pPr>
        <w:spacing w:before="0" w:after="0" w:line="240" w:lineRule="auto"/>
      </w:pPr>
      <w:rPr>
        <w:b/>
        <w:bCs/>
        <w:color w:val="FFFFFF" w:themeColor="background1"/>
      </w:rPr>
      <w:tblPr/>
      <w:tcPr>
        <w:shd w:val="clear" w:color="auto" w:fill="A50E82" w:themeFill="accent2"/>
      </w:tcPr>
    </w:tblStylePr>
    <w:tblStylePr w:type="lastRow">
      <w:pPr>
        <w:spacing w:before="0" w:after="0" w:line="240" w:lineRule="auto"/>
      </w:pPr>
      <w:rPr>
        <w:b/>
        <w:bCs/>
      </w:rPr>
      <w:tblPr/>
      <w:tcPr>
        <w:tcBorders>
          <w:top w:val="double" w:sz="6" w:space="0" w:color="A50E82" w:themeColor="accent2"/>
          <w:left w:val="single" w:sz="8" w:space="0" w:color="A50E82" w:themeColor="accent2"/>
          <w:bottom w:val="single" w:sz="8" w:space="0" w:color="A50E82" w:themeColor="accent2"/>
          <w:right w:val="single" w:sz="8" w:space="0" w:color="A50E82" w:themeColor="accent2"/>
        </w:tcBorders>
      </w:tcPr>
    </w:tblStylePr>
    <w:tblStylePr w:type="firstCol">
      <w:rPr>
        <w:b/>
        <w:bCs/>
      </w:rPr>
    </w:tblStylePr>
    <w:tblStylePr w:type="lastCol">
      <w:rPr>
        <w:b/>
        <w:bCs/>
      </w:rPr>
    </w:tblStylePr>
    <w:tblStylePr w:type="band1Vert">
      <w:tblPr/>
      <w:tcPr>
        <w:tcBorders>
          <w:top w:val="single" w:sz="8" w:space="0" w:color="A50E82" w:themeColor="accent2"/>
          <w:left w:val="single" w:sz="8" w:space="0" w:color="A50E82" w:themeColor="accent2"/>
          <w:bottom w:val="single" w:sz="8" w:space="0" w:color="A50E82" w:themeColor="accent2"/>
          <w:right w:val="single" w:sz="8" w:space="0" w:color="A50E82" w:themeColor="accent2"/>
        </w:tcBorders>
      </w:tcPr>
    </w:tblStylePr>
    <w:tblStylePr w:type="band1Horz">
      <w:tblPr/>
      <w:tcPr>
        <w:tcBorders>
          <w:top w:val="single" w:sz="8" w:space="0" w:color="A50E82" w:themeColor="accent2"/>
          <w:left w:val="single" w:sz="8" w:space="0" w:color="A50E82" w:themeColor="accent2"/>
          <w:bottom w:val="single" w:sz="8" w:space="0" w:color="A50E82" w:themeColor="accent2"/>
          <w:right w:val="single" w:sz="8" w:space="0" w:color="A50E8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tblBorders>
    </w:tblPr>
    <w:tblStylePr w:type="firstRow">
      <w:pPr>
        <w:spacing w:before="0" w:after="0" w:line="240" w:lineRule="auto"/>
      </w:pPr>
      <w:rPr>
        <w:b/>
        <w:bCs/>
        <w:color w:val="FFFFFF" w:themeColor="background1"/>
      </w:rPr>
      <w:tblPr/>
      <w:tcPr>
        <w:shd w:val="clear" w:color="auto" w:fill="14967C" w:themeFill="accent3"/>
      </w:tcPr>
    </w:tblStylePr>
    <w:tblStylePr w:type="lastRow">
      <w:pPr>
        <w:spacing w:before="0" w:after="0" w:line="240" w:lineRule="auto"/>
      </w:pPr>
      <w:rPr>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tcBorders>
      </w:tcPr>
    </w:tblStylePr>
    <w:tblStylePr w:type="firstCol">
      <w:rPr>
        <w:b/>
        <w:bCs/>
      </w:rPr>
    </w:tblStylePr>
    <w:tblStylePr w:type="lastCol">
      <w:rPr>
        <w:b/>
        <w:bCs/>
      </w:r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6A9E1F" w:themeColor="accent4"/>
        <w:left w:val="single" w:sz="8" w:space="0" w:color="6A9E1F" w:themeColor="accent4"/>
        <w:bottom w:val="single" w:sz="8" w:space="0" w:color="6A9E1F" w:themeColor="accent4"/>
        <w:right w:val="single" w:sz="8" w:space="0" w:color="6A9E1F" w:themeColor="accent4"/>
      </w:tblBorders>
    </w:tblPr>
    <w:tblStylePr w:type="firstRow">
      <w:pPr>
        <w:spacing w:before="0" w:after="0" w:line="240" w:lineRule="auto"/>
      </w:pPr>
      <w:rPr>
        <w:b/>
        <w:bCs/>
        <w:color w:val="FFFFFF" w:themeColor="background1"/>
      </w:rPr>
      <w:tblPr/>
      <w:tcPr>
        <w:shd w:val="clear" w:color="auto" w:fill="6A9E1F" w:themeFill="accent4"/>
      </w:tcPr>
    </w:tblStylePr>
    <w:tblStylePr w:type="lastRow">
      <w:pPr>
        <w:spacing w:before="0" w:after="0" w:line="240" w:lineRule="auto"/>
      </w:pPr>
      <w:rPr>
        <w:b/>
        <w:bCs/>
      </w:rPr>
      <w:tblPr/>
      <w:tcPr>
        <w:tcBorders>
          <w:top w:val="double" w:sz="6" w:space="0" w:color="6A9E1F" w:themeColor="accent4"/>
          <w:left w:val="single" w:sz="8" w:space="0" w:color="6A9E1F" w:themeColor="accent4"/>
          <w:bottom w:val="single" w:sz="8" w:space="0" w:color="6A9E1F" w:themeColor="accent4"/>
          <w:right w:val="single" w:sz="8" w:space="0" w:color="6A9E1F" w:themeColor="accent4"/>
        </w:tcBorders>
      </w:tcPr>
    </w:tblStylePr>
    <w:tblStylePr w:type="firstCol">
      <w:rPr>
        <w:b/>
        <w:bCs/>
      </w:rPr>
    </w:tblStylePr>
    <w:tblStylePr w:type="lastCol">
      <w:rPr>
        <w:b/>
        <w:bCs/>
      </w:rPr>
    </w:tblStylePr>
    <w:tblStylePr w:type="band1Vert">
      <w:tblPr/>
      <w:tcPr>
        <w:tcBorders>
          <w:top w:val="single" w:sz="8" w:space="0" w:color="6A9E1F" w:themeColor="accent4"/>
          <w:left w:val="single" w:sz="8" w:space="0" w:color="6A9E1F" w:themeColor="accent4"/>
          <w:bottom w:val="single" w:sz="8" w:space="0" w:color="6A9E1F" w:themeColor="accent4"/>
          <w:right w:val="single" w:sz="8" w:space="0" w:color="6A9E1F" w:themeColor="accent4"/>
        </w:tcBorders>
      </w:tcPr>
    </w:tblStylePr>
    <w:tblStylePr w:type="band1Horz">
      <w:tblPr/>
      <w:tcPr>
        <w:tcBorders>
          <w:top w:val="single" w:sz="8" w:space="0" w:color="6A9E1F" w:themeColor="accent4"/>
          <w:left w:val="single" w:sz="8" w:space="0" w:color="6A9E1F" w:themeColor="accent4"/>
          <w:bottom w:val="single" w:sz="8" w:space="0" w:color="6A9E1F" w:themeColor="accent4"/>
          <w:right w:val="single" w:sz="8" w:space="0" w:color="6A9E1F"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E87D37" w:themeColor="accent5"/>
        <w:left w:val="single" w:sz="8" w:space="0" w:color="E87D37" w:themeColor="accent5"/>
        <w:bottom w:val="single" w:sz="8" w:space="0" w:color="E87D37" w:themeColor="accent5"/>
        <w:right w:val="single" w:sz="8" w:space="0" w:color="E87D37" w:themeColor="accent5"/>
      </w:tblBorders>
    </w:tblPr>
    <w:tblStylePr w:type="firstRow">
      <w:pPr>
        <w:spacing w:before="0" w:after="0" w:line="240" w:lineRule="auto"/>
      </w:pPr>
      <w:rPr>
        <w:b/>
        <w:bCs/>
        <w:color w:val="FFFFFF" w:themeColor="background1"/>
      </w:rPr>
      <w:tblPr/>
      <w:tcPr>
        <w:shd w:val="clear" w:color="auto" w:fill="E87D37" w:themeFill="accent5"/>
      </w:tcPr>
    </w:tblStylePr>
    <w:tblStylePr w:type="lastRow">
      <w:pPr>
        <w:spacing w:before="0" w:after="0" w:line="240" w:lineRule="auto"/>
      </w:pPr>
      <w:rPr>
        <w:b/>
        <w:bCs/>
      </w:rPr>
      <w:tblPr/>
      <w:tcPr>
        <w:tcBorders>
          <w:top w:val="double" w:sz="6" w:space="0" w:color="E87D37" w:themeColor="accent5"/>
          <w:left w:val="single" w:sz="8" w:space="0" w:color="E87D37" w:themeColor="accent5"/>
          <w:bottom w:val="single" w:sz="8" w:space="0" w:color="E87D37" w:themeColor="accent5"/>
          <w:right w:val="single" w:sz="8" w:space="0" w:color="E87D37" w:themeColor="accent5"/>
        </w:tcBorders>
      </w:tcPr>
    </w:tblStylePr>
    <w:tblStylePr w:type="firstCol">
      <w:rPr>
        <w:b/>
        <w:bCs/>
      </w:rPr>
    </w:tblStylePr>
    <w:tblStylePr w:type="lastCol">
      <w:rPr>
        <w:b/>
        <w:bCs/>
      </w:rPr>
    </w:tblStylePr>
    <w:tblStylePr w:type="band1Vert">
      <w:tblPr/>
      <w:tcPr>
        <w:tcBorders>
          <w:top w:val="single" w:sz="8" w:space="0" w:color="E87D37" w:themeColor="accent5"/>
          <w:left w:val="single" w:sz="8" w:space="0" w:color="E87D37" w:themeColor="accent5"/>
          <w:bottom w:val="single" w:sz="8" w:space="0" w:color="E87D37" w:themeColor="accent5"/>
          <w:right w:val="single" w:sz="8" w:space="0" w:color="E87D37" w:themeColor="accent5"/>
        </w:tcBorders>
      </w:tcPr>
    </w:tblStylePr>
    <w:tblStylePr w:type="band1Horz">
      <w:tblPr/>
      <w:tcPr>
        <w:tcBorders>
          <w:top w:val="single" w:sz="8" w:space="0" w:color="E87D37" w:themeColor="accent5"/>
          <w:left w:val="single" w:sz="8" w:space="0" w:color="E87D37" w:themeColor="accent5"/>
          <w:bottom w:val="single" w:sz="8" w:space="0" w:color="E87D37" w:themeColor="accent5"/>
          <w:right w:val="single" w:sz="8" w:space="0" w:color="E87D37"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C62324" w:themeColor="accent6"/>
        <w:left w:val="single" w:sz="8" w:space="0" w:color="C62324" w:themeColor="accent6"/>
        <w:bottom w:val="single" w:sz="8" w:space="0" w:color="C62324" w:themeColor="accent6"/>
        <w:right w:val="single" w:sz="8" w:space="0" w:color="C62324" w:themeColor="accent6"/>
      </w:tblBorders>
    </w:tblPr>
    <w:tblStylePr w:type="firstRow">
      <w:pPr>
        <w:spacing w:before="0" w:after="0" w:line="240" w:lineRule="auto"/>
      </w:pPr>
      <w:rPr>
        <w:b/>
        <w:bCs/>
        <w:color w:val="FFFFFF" w:themeColor="background1"/>
      </w:rPr>
      <w:tblPr/>
      <w:tcPr>
        <w:shd w:val="clear" w:color="auto" w:fill="C62324" w:themeFill="accent6"/>
      </w:tcPr>
    </w:tblStylePr>
    <w:tblStylePr w:type="lastRow">
      <w:pPr>
        <w:spacing w:before="0" w:after="0" w:line="240" w:lineRule="auto"/>
      </w:pPr>
      <w:rPr>
        <w:b/>
        <w:bCs/>
      </w:rPr>
      <w:tblPr/>
      <w:tcPr>
        <w:tcBorders>
          <w:top w:val="double" w:sz="6" w:space="0" w:color="C62324" w:themeColor="accent6"/>
          <w:left w:val="single" w:sz="8" w:space="0" w:color="C62324" w:themeColor="accent6"/>
          <w:bottom w:val="single" w:sz="8" w:space="0" w:color="C62324" w:themeColor="accent6"/>
          <w:right w:val="single" w:sz="8" w:space="0" w:color="C62324" w:themeColor="accent6"/>
        </w:tcBorders>
      </w:tcPr>
    </w:tblStylePr>
    <w:tblStylePr w:type="firstCol">
      <w:rPr>
        <w:b/>
        <w:bCs/>
      </w:rPr>
    </w:tblStylePr>
    <w:tblStylePr w:type="lastCol">
      <w:rPr>
        <w:b/>
        <w:bCs/>
      </w:rPr>
    </w:tblStylePr>
    <w:tblStylePr w:type="band1Vert">
      <w:tblPr/>
      <w:tcPr>
        <w:tcBorders>
          <w:top w:val="single" w:sz="8" w:space="0" w:color="C62324" w:themeColor="accent6"/>
          <w:left w:val="single" w:sz="8" w:space="0" w:color="C62324" w:themeColor="accent6"/>
          <w:bottom w:val="single" w:sz="8" w:space="0" w:color="C62324" w:themeColor="accent6"/>
          <w:right w:val="single" w:sz="8" w:space="0" w:color="C62324" w:themeColor="accent6"/>
        </w:tcBorders>
      </w:tcPr>
    </w:tblStylePr>
    <w:tblStylePr w:type="band1Horz">
      <w:tblPr/>
      <w:tcPr>
        <w:tcBorders>
          <w:top w:val="single" w:sz="8" w:space="0" w:color="C62324" w:themeColor="accent6"/>
          <w:left w:val="single" w:sz="8" w:space="0" w:color="C62324" w:themeColor="accent6"/>
          <w:bottom w:val="single" w:sz="8" w:space="0" w:color="C62324" w:themeColor="accent6"/>
          <w:right w:val="single" w:sz="8" w:space="0" w:color="C62324"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052F61" w:themeColor="accent1"/>
        <w:left w:val="single" w:sz="8" w:space="0" w:color="052F61" w:themeColor="accent1"/>
        <w:bottom w:val="single" w:sz="8" w:space="0" w:color="052F61" w:themeColor="accent1"/>
        <w:right w:val="single" w:sz="8" w:space="0" w:color="052F61" w:themeColor="accent1"/>
        <w:insideH w:val="single" w:sz="8" w:space="0" w:color="052F61" w:themeColor="accent1"/>
        <w:insideV w:val="single" w:sz="8" w:space="0" w:color="052F61"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52F61" w:themeColor="accent1"/>
          <w:left w:val="single" w:sz="8" w:space="0" w:color="052F61" w:themeColor="accent1"/>
          <w:bottom w:val="single" w:sz="18" w:space="0" w:color="052F61" w:themeColor="accent1"/>
          <w:right w:val="single" w:sz="8" w:space="0" w:color="052F61" w:themeColor="accent1"/>
          <w:insideH w:val="nil"/>
          <w:insideV w:val="single" w:sz="8" w:space="0" w:color="052F61"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52F61" w:themeColor="accent1"/>
          <w:left w:val="single" w:sz="8" w:space="0" w:color="052F61" w:themeColor="accent1"/>
          <w:bottom w:val="single" w:sz="8" w:space="0" w:color="052F61" w:themeColor="accent1"/>
          <w:right w:val="single" w:sz="8" w:space="0" w:color="052F61" w:themeColor="accent1"/>
          <w:insideH w:val="nil"/>
          <w:insideV w:val="single" w:sz="8" w:space="0" w:color="052F61"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52F61" w:themeColor="accent1"/>
          <w:left w:val="single" w:sz="8" w:space="0" w:color="052F61" w:themeColor="accent1"/>
          <w:bottom w:val="single" w:sz="8" w:space="0" w:color="052F61" w:themeColor="accent1"/>
          <w:right w:val="single" w:sz="8" w:space="0" w:color="052F61" w:themeColor="accent1"/>
        </w:tcBorders>
      </w:tcPr>
    </w:tblStylePr>
    <w:tblStylePr w:type="band1Vert">
      <w:tblPr/>
      <w:tcPr>
        <w:tcBorders>
          <w:top w:val="single" w:sz="8" w:space="0" w:color="052F61" w:themeColor="accent1"/>
          <w:left w:val="single" w:sz="8" w:space="0" w:color="052F61" w:themeColor="accent1"/>
          <w:bottom w:val="single" w:sz="8" w:space="0" w:color="052F61" w:themeColor="accent1"/>
          <w:right w:val="single" w:sz="8" w:space="0" w:color="052F61" w:themeColor="accent1"/>
        </w:tcBorders>
        <w:shd w:val="clear" w:color="auto" w:fill="9EC8FA" w:themeFill="accent1" w:themeFillTint="3F"/>
      </w:tcPr>
    </w:tblStylePr>
    <w:tblStylePr w:type="band1Horz">
      <w:tblPr/>
      <w:tcPr>
        <w:tcBorders>
          <w:top w:val="single" w:sz="8" w:space="0" w:color="052F61" w:themeColor="accent1"/>
          <w:left w:val="single" w:sz="8" w:space="0" w:color="052F61" w:themeColor="accent1"/>
          <w:bottom w:val="single" w:sz="8" w:space="0" w:color="052F61" w:themeColor="accent1"/>
          <w:right w:val="single" w:sz="8" w:space="0" w:color="052F61" w:themeColor="accent1"/>
          <w:insideV w:val="single" w:sz="8" w:space="0" w:color="052F61" w:themeColor="accent1"/>
        </w:tcBorders>
        <w:shd w:val="clear" w:color="auto" w:fill="9EC8FA" w:themeFill="accent1" w:themeFillTint="3F"/>
      </w:tcPr>
    </w:tblStylePr>
    <w:tblStylePr w:type="band2Horz">
      <w:tblPr/>
      <w:tcPr>
        <w:tcBorders>
          <w:top w:val="single" w:sz="8" w:space="0" w:color="052F61" w:themeColor="accent1"/>
          <w:left w:val="single" w:sz="8" w:space="0" w:color="052F61" w:themeColor="accent1"/>
          <w:bottom w:val="single" w:sz="8" w:space="0" w:color="052F61" w:themeColor="accent1"/>
          <w:right w:val="single" w:sz="8" w:space="0" w:color="052F61" w:themeColor="accent1"/>
          <w:insideV w:val="single" w:sz="8" w:space="0" w:color="052F61"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A50E82" w:themeColor="accent2"/>
        <w:left w:val="single" w:sz="8" w:space="0" w:color="A50E82" w:themeColor="accent2"/>
        <w:bottom w:val="single" w:sz="8" w:space="0" w:color="A50E82" w:themeColor="accent2"/>
        <w:right w:val="single" w:sz="8" w:space="0" w:color="A50E82" w:themeColor="accent2"/>
        <w:insideH w:val="single" w:sz="8" w:space="0" w:color="A50E82" w:themeColor="accent2"/>
        <w:insideV w:val="single" w:sz="8" w:space="0" w:color="A50E8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0E82" w:themeColor="accent2"/>
          <w:left w:val="single" w:sz="8" w:space="0" w:color="A50E82" w:themeColor="accent2"/>
          <w:bottom w:val="single" w:sz="18" w:space="0" w:color="A50E82" w:themeColor="accent2"/>
          <w:right w:val="single" w:sz="8" w:space="0" w:color="A50E82" w:themeColor="accent2"/>
          <w:insideH w:val="nil"/>
          <w:insideV w:val="single" w:sz="8" w:space="0" w:color="A50E8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0E82" w:themeColor="accent2"/>
          <w:left w:val="single" w:sz="8" w:space="0" w:color="A50E82" w:themeColor="accent2"/>
          <w:bottom w:val="single" w:sz="8" w:space="0" w:color="A50E82" w:themeColor="accent2"/>
          <w:right w:val="single" w:sz="8" w:space="0" w:color="A50E82" w:themeColor="accent2"/>
          <w:insideH w:val="nil"/>
          <w:insideV w:val="single" w:sz="8" w:space="0" w:color="A50E8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0E82" w:themeColor="accent2"/>
          <w:left w:val="single" w:sz="8" w:space="0" w:color="A50E82" w:themeColor="accent2"/>
          <w:bottom w:val="single" w:sz="8" w:space="0" w:color="A50E82" w:themeColor="accent2"/>
          <w:right w:val="single" w:sz="8" w:space="0" w:color="A50E82" w:themeColor="accent2"/>
        </w:tcBorders>
      </w:tcPr>
    </w:tblStylePr>
    <w:tblStylePr w:type="band1Vert">
      <w:tblPr/>
      <w:tcPr>
        <w:tcBorders>
          <w:top w:val="single" w:sz="8" w:space="0" w:color="A50E82" w:themeColor="accent2"/>
          <w:left w:val="single" w:sz="8" w:space="0" w:color="A50E82" w:themeColor="accent2"/>
          <w:bottom w:val="single" w:sz="8" w:space="0" w:color="A50E82" w:themeColor="accent2"/>
          <w:right w:val="single" w:sz="8" w:space="0" w:color="A50E82" w:themeColor="accent2"/>
        </w:tcBorders>
        <w:shd w:val="clear" w:color="auto" w:fill="F8B3E8" w:themeFill="accent2" w:themeFillTint="3F"/>
      </w:tcPr>
    </w:tblStylePr>
    <w:tblStylePr w:type="band1Horz">
      <w:tblPr/>
      <w:tcPr>
        <w:tcBorders>
          <w:top w:val="single" w:sz="8" w:space="0" w:color="A50E82" w:themeColor="accent2"/>
          <w:left w:val="single" w:sz="8" w:space="0" w:color="A50E82" w:themeColor="accent2"/>
          <w:bottom w:val="single" w:sz="8" w:space="0" w:color="A50E82" w:themeColor="accent2"/>
          <w:right w:val="single" w:sz="8" w:space="0" w:color="A50E82" w:themeColor="accent2"/>
          <w:insideV w:val="single" w:sz="8" w:space="0" w:color="A50E82" w:themeColor="accent2"/>
        </w:tcBorders>
        <w:shd w:val="clear" w:color="auto" w:fill="F8B3E8" w:themeFill="accent2" w:themeFillTint="3F"/>
      </w:tcPr>
    </w:tblStylePr>
    <w:tblStylePr w:type="band2Horz">
      <w:tblPr/>
      <w:tcPr>
        <w:tcBorders>
          <w:top w:val="single" w:sz="8" w:space="0" w:color="A50E82" w:themeColor="accent2"/>
          <w:left w:val="single" w:sz="8" w:space="0" w:color="A50E82" w:themeColor="accent2"/>
          <w:bottom w:val="single" w:sz="8" w:space="0" w:color="A50E82" w:themeColor="accent2"/>
          <w:right w:val="single" w:sz="8" w:space="0" w:color="A50E82" w:themeColor="accent2"/>
          <w:insideV w:val="single" w:sz="8" w:space="0" w:color="A50E8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6A9E1F" w:themeColor="accent4"/>
        <w:left w:val="single" w:sz="8" w:space="0" w:color="6A9E1F" w:themeColor="accent4"/>
        <w:bottom w:val="single" w:sz="8" w:space="0" w:color="6A9E1F" w:themeColor="accent4"/>
        <w:right w:val="single" w:sz="8" w:space="0" w:color="6A9E1F" w:themeColor="accent4"/>
        <w:insideH w:val="single" w:sz="8" w:space="0" w:color="6A9E1F" w:themeColor="accent4"/>
        <w:insideV w:val="single" w:sz="8" w:space="0" w:color="6A9E1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A9E1F" w:themeColor="accent4"/>
          <w:left w:val="single" w:sz="8" w:space="0" w:color="6A9E1F" w:themeColor="accent4"/>
          <w:bottom w:val="single" w:sz="18" w:space="0" w:color="6A9E1F" w:themeColor="accent4"/>
          <w:right w:val="single" w:sz="8" w:space="0" w:color="6A9E1F" w:themeColor="accent4"/>
          <w:insideH w:val="nil"/>
          <w:insideV w:val="single" w:sz="8" w:space="0" w:color="6A9E1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A9E1F" w:themeColor="accent4"/>
          <w:left w:val="single" w:sz="8" w:space="0" w:color="6A9E1F" w:themeColor="accent4"/>
          <w:bottom w:val="single" w:sz="8" w:space="0" w:color="6A9E1F" w:themeColor="accent4"/>
          <w:right w:val="single" w:sz="8" w:space="0" w:color="6A9E1F" w:themeColor="accent4"/>
          <w:insideH w:val="nil"/>
          <w:insideV w:val="single" w:sz="8" w:space="0" w:color="6A9E1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A9E1F" w:themeColor="accent4"/>
          <w:left w:val="single" w:sz="8" w:space="0" w:color="6A9E1F" w:themeColor="accent4"/>
          <w:bottom w:val="single" w:sz="8" w:space="0" w:color="6A9E1F" w:themeColor="accent4"/>
          <w:right w:val="single" w:sz="8" w:space="0" w:color="6A9E1F" w:themeColor="accent4"/>
        </w:tcBorders>
      </w:tcPr>
    </w:tblStylePr>
    <w:tblStylePr w:type="band1Vert">
      <w:tblPr/>
      <w:tcPr>
        <w:tcBorders>
          <w:top w:val="single" w:sz="8" w:space="0" w:color="6A9E1F" w:themeColor="accent4"/>
          <w:left w:val="single" w:sz="8" w:space="0" w:color="6A9E1F" w:themeColor="accent4"/>
          <w:bottom w:val="single" w:sz="8" w:space="0" w:color="6A9E1F" w:themeColor="accent4"/>
          <w:right w:val="single" w:sz="8" w:space="0" w:color="6A9E1F" w:themeColor="accent4"/>
        </w:tcBorders>
        <w:shd w:val="clear" w:color="auto" w:fill="DCF2BC" w:themeFill="accent4" w:themeFillTint="3F"/>
      </w:tcPr>
    </w:tblStylePr>
    <w:tblStylePr w:type="band1Horz">
      <w:tblPr/>
      <w:tcPr>
        <w:tcBorders>
          <w:top w:val="single" w:sz="8" w:space="0" w:color="6A9E1F" w:themeColor="accent4"/>
          <w:left w:val="single" w:sz="8" w:space="0" w:color="6A9E1F" w:themeColor="accent4"/>
          <w:bottom w:val="single" w:sz="8" w:space="0" w:color="6A9E1F" w:themeColor="accent4"/>
          <w:right w:val="single" w:sz="8" w:space="0" w:color="6A9E1F" w:themeColor="accent4"/>
          <w:insideV w:val="single" w:sz="8" w:space="0" w:color="6A9E1F" w:themeColor="accent4"/>
        </w:tcBorders>
        <w:shd w:val="clear" w:color="auto" w:fill="DCF2BC" w:themeFill="accent4" w:themeFillTint="3F"/>
      </w:tcPr>
    </w:tblStylePr>
    <w:tblStylePr w:type="band2Horz">
      <w:tblPr/>
      <w:tcPr>
        <w:tcBorders>
          <w:top w:val="single" w:sz="8" w:space="0" w:color="6A9E1F" w:themeColor="accent4"/>
          <w:left w:val="single" w:sz="8" w:space="0" w:color="6A9E1F" w:themeColor="accent4"/>
          <w:bottom w:val="single" w:sz="8" w:space="0" w:color="6A9E1F" w:themeColor="accent4"/>
          <w:right w:val="single" w:sz="8" w:space="0" w:color="6A9E1F" w:themeColor="accent4"/>
          <w:insideV w:val="single" w:sz="8" w:space="0" w:color="6A9E1F"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E87D37" w:themeColor="accent5"/>
        <w:left w:val="single" w:sz="8" w:space="0" w:color="E87D37" w:themeColor="accent5"/>
        <w:bottom w:val="single" w:sz="8" w:space="0" w:color="E87D37" w:themeColor="accent5"/>
        <w:right w:val="single" w:sz="8" w:space="0" w:color="E87D37" w:themeColor="accent5"/>
        <w:insideH w:val="single" w:sz="8" w:space="0" w:color="E87D37" w:themeColor="accent5"/>
        <w:insideV w:val="single" w:sz="8" w:space="0" w:color="E87D37"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87D37" w:themeColor="accent5"/>
          <w:left w:val="single" w:sz="8" w:space="0" w:color="E87D37" w:themeColor="accent5"/>
          <w:bottom w:val="single" w:sz="18" w:space="0" w:color="E87D37" w:themeColor="accent5"/>
          <w:right w:val="single" w:sz="8" w:space="0" w:color="E87D37" w:themeColor="accent5"/>
          <w:insideH w:val="nil"/>
          <w:insideV w:val="single" w:sz="8" w:space="0" w:color="E87D37"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7D37" w:themeColor="accent5"/>
          <w:left w:val="single" w:sz="8" w:space="0" w:color="E87D37" w:themeColor="accent5"/>
          <w:bottom w:val="single" w:sz="8" w:space="0" w:color="E87D37" w:themeColor="accent5"/>
          <w:right w:val="single" w:sz="8" w:space="0" w:color="E87D37" w:themeColor="accent5"/>
          <w:insideH w:val="nil"/>
          <w:insideV w:val="single" w:sz="8" w:space="0" w:color="E87D37"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7D37" w:themeColor="accent5"/>
          <w:left w:val="single" w:sz="8" w:space="0" w:color="E87D37" w:themeColor="accent5"/>
          <w:bottom w:val="single" w:sz="8" w:space="0" w:color="E87D37" w:themeColor="accent5"/>
          <w:right w:val="single" w:sz="8" w:space="0" w:color="E87D37" w:themeColor="accent5"/>
        </w:tcBorders>
      </w:tcPr>
    </w:tblStylePr>
    <w:tblStylePr w:type="band1Vert">
      <w:tblPr/>
      <w:tcPr>
        <w:tcBorders>
          <w:top w:val="single" w:sz="8" w:space="0" w:color="E87D37" w:themeColor="accent5"/>
          <w:left w:val="single" w:sz="8" w:space="0" w:color="E87D37" w:themeColor="accent5"/>
          <w:bottom w:val="single" w:sz="8" w:space="0" w:color="E87D37" w:themeColor="accent5"/>
          <w:right w:val="single" w:sz="8" w:space="0" w:color="E87D37" w:themeColor="accent5"/>
        </w:tcBorders>
        <w:shd w:val="clear" w:color="auto" w:fill="F9DECD" w:themeFill="accent5" w:themeFillTint="3F"/>
      </w:tcPr>
    </w:tblStylePr>
    <w:tblStylePr w:type="band1Horz">
      <w:tblPr/>
      <w:tcPr>
        <w:tcBorders>
          <w:top w:val="single" w:sz="8" w:space="0" w:color="E87D37" w:themeColor="accent5"/>
          <w:left w:val="single" w:sz="8" w:space="0" w:color="E87D37" w:themeColor="accent5"/>
          <w:bottom w:val="single" w:sz="8" w:space="0" w:color="E87D37" w:themeColor="accent5"/>
          <w:right w:val="single" w:sz="8" w:space="0" w:color="E87D37" w:themeColor="accent5"/>
          <w:insideV w:val="single" w:sz="8" w:space="0" w:color="E87D37" w:themeColor="accent5"/>
        </w:tcBorders>
        <w:shd w:val="clear" w:color="auto" w:fill="F9DECD" w:themeFill="accent5" w:themeFillTint="3F"/>
      </w:tcPr>
    </w:tblStylePr>
    <w:tblStylePr w:type="band2Horz">
      <w:tblPr/>
      <w:tcPr>
        <w:tcBorders>
          <w:top w:val="single" w:sz="8" w:space="0" w:color="E87D37" w:themeColor="accent5"/>
          <w:left w:val="single" w:sz="8" w:space="0" w:color="E87D37" w:themeColor="accent5"/>
          <w:bottom w:val="single" w:sz="8" w:space="0" w:color="E87D37" w:themeColor="accent5"/>
          <w:right w:val="single" w:sz="8" w:space="0" w:color="E87D37" w:themeColor="accent5"/>
          <w:insideV w:val="single" w:sz="8" w:space="0" w:color="E87D37"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C62324" w:themeColor="accent6"/>
        <w:left w:val="single" w:sz="8" w:space="0" w:color="C62324" w:themeColor="accent6"/>
        <w:bottom w:val="single" w:sz="8" w:space="0" w:color="C62324" w:themeColor="accent6"/>
        <w:right w:val="single" w:sz="8" w:space="0" w:color="C62324" w:themeColor="accent6"/>
        <w:insideH w:val="single" w:sz="8" w:space="0" w:color="C62324" w:themeColor="accent6"/>
        <w:insideV w:val="single" w:sz="8" w:space="0" w:color="C62324"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62324" w:themeColor="accent6"/>
          <w:left w:val="single" w:sz="8" w:space="0" w:color="C62324" w:themeColor="accent6"/>
          <w:bottom w:val="single" w:sz="18" w:space="0" w:color="C62324" w:themeColor="accent6"/>
          <w:right w:val="single" w:sz="8" w:space="0" w:color="C62324" w:themeColor="accent6"/>
          <w:insideH w:val="nil"/>
          <w:insideV w:val="single" w:sz="8" w:space="0" w:color="C62324"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62324" w:themeColor="accent6"/>
          <w:left w:val="single" w:sz="8" w:space="0" w:color="C62324" w:themeColor="accent6"/>
          <w:bottom w:val="single" w:sz="8" w:space="0" w:color="C62324" w:themeColor="accent6"/>
          <w:right w:val="single" w:sz="8" w:space="0" w:color="C62324" w:themeColor="accent6"/>
          <w:insideH w:val="nil"/>
          <w:insideV w:val="single" w:sz="8" w:space="0" w:color="C62324"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62324" w:themeColor="accent6"/>
          <w:left w:val="single" w:sz="8" w:space="0" w:color="C62324" w:themeColor="accent6"/>
          <w:bottom w:val="single" w:sz="8" w:space="0" w:color="C62324" w:themeColor="accent6"/>
          <w:right w:val="single" w:sz="8" w:space="0" w:color="C62324" w:themeColor="accent6"/>
        </w:tcBorders>
      </w:tcPr>
    </w:tblStylePr>
    <w:tblStylePr w:type="band1Vert">
      <w:tblPr/>
      <w:tcPr>
        <w:tcBorders>
          <w:top w:val="single" w:sz="8" w:space="0" w:color="C62324" w:themeColor="accent6"/>
          <w:left w:val="single" w:sz="8" w:space="0" w:color="C62324" w:themeColor="accent6"/>
          <w:bottom w:val="single" w:sz="8" w:space="0" w:color="C62324" w:themeColor="accent6"/>
          <w:right w:val="single" w:sz="8" w:space="0" w:color="C62324" w:themeColor="accent6"/>
        </w:tcBorders>
        <w:shd w:val="clear" w:color="auto" w:fill="F4C4C4" w:themeFill="accent6" w:themeFillTint="3F"/>
      </w:tcPr>
    </w:tblStylePr>
    <w:tblStylePr w:type="band1Horz">
      <w:tblPr/>
      <w:tcPr>
        <w:tcBorders>
          <w:top w:val="single" w:sz="8" w:space="0" w:color="C62324" w:themeColor="accent6"/>
          <w:left w:val="single" w:sz="8" w:space="0" w:color="C62324" w:themeColor="accent6"/>
          <w:bottom w:val="single" w:sz="8" w:space="0" w:color="C62324" w:themeColor="accent6"/>
          <w:right w:val="single" w:sz="8" w:space="0" w:color="C62324" w:themeColor="accent6"/>
          <w:insideV w:val="single" w:sz="8" w:space="0" w:color="C62324" w:themeColor="accent6"/>
        </w:tcBorders>
        <w:shd w:val="clear" w:color="auto" w:fill="F4C4C4" w:themeFill="accent6" w:themeFillTint="3F"/>
      </w:tcPr>
    </w:tblStylePr>
    <w:tblStylePr w:type="band2Horz">
      <w:tblPr/>
      <w:tcPr>
        <w:tcBorders>
          <w:top w:val="single" w:sz="8" w:space="0" w:color="C62324" w:themeColor="accent6"/>
          <w:left w:val="single" w:sz="8" w:space="0" w:color="C62324" w:themeColor="accent6"/>
          <w:bottom w:val="single" w:sz="8" w:space="0" w:color="C62324" w:themeColor="accent6"/>
          <w:right w:val="single" w:sz="8" w:space="0" w:color="C62324" w:themeColor="accent6"/>
          <w:insideV w:val="single" w:sz="8" w:space="0" w:color="C62324"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0A5DC2" w:themeColor="accent1" w:themeTint="BF"/>
        <w:left w:val="single" w:sz="8" w:space="0" w:color="0A5DC2" w:themeColor="accent1" w:themeTint="BF"/>
        <w:bottom w:val="single" w:sz="8" w:space="0" w:color="0A5DC2" w:themeColor="accent1" w:themeTint="BF"/>
        <w:right w:val="single" w:sz="8" w:space="0" w:color="0A5DC2" w:themeColor="accent1" w:themeTint="BF"/>
        <w:insideH w:val="single" w:sz="8" w:space="0" w:color="0A5DC2" w:themeColor="accent1" w:themeTint="BF"/>
      </w:tblBorders>
    </w:tblPr>
    <w:tblStylePr w:type="firstRow">
      <w:pPr>
        <w:spacing w:before="0" w:after="0" w:line="240" w:lineRule="auto"/>
      </w:pPr>
      <w:rPr>
        <w:b/>
        <w:bCs/>
        <w:color w:val="FFFFFF" w:themeColor="background1"/>
      </w:rPr>
      <w:tblPr/>
      <w:tcPr>
        <w:tcBorders>
          <w:top w:val="single" w:sz="8" w:space="0" w:color="0A5DC2" w:themeColor="accent1" w:themeTint="BF"/>
          <w:left w:val="single" w:sz="8" w:space="0" w:color="0A5DC2" w:themeColor="accent1" w:themeTint="BF"/>
          <w:bottom w:val="single" w:sz="8" w:space="0" w:color="0A5DC2" w:themeColor="accent1" w:themeTint="BF"/>
          <w:right w:val="single" w:sz="8" w:space="0" w:color="0A5DC2" w:themeColor="accent1" w:themeTint="BF"/>
          <w:insideH w:val="nil"/>
          <w:insideV w:val="nil"/>
        </w:tcBorders>
        <w:shd w:val="clear" w:color="auto" w:fill="052F61" w:themeFill="accent1"/>
      </w:tcPr>
    </w:tblStylePr>
    <w:tblStylePr w:type="lastRow">
      <w:pPr>
        <w:spacing w:before="0" w:after="0" w:line="240" w:lineRule="auto"/>
      </w:pPr>
      <w:rPr>
        <w:b/>
        <w:bCs/>
      </w:rPr>
      <w:tblPr/>
      <w:tcPr>
        <w:tcBorders>
          <w:top w:val="double" w:sz="6" w:space="0" w:color="0A5DC2" w:themeColor="accent1" w:themeTint="BF"/>
          <w:left w:val="single" w:sz="8" w:space="0" w:color="0A5DC2" w:themeColor="accent1" w:themeTint="BF"/>
          <w:bottom w:val="single" w:sz="8" w:space="0" w:color="0A5DC2" w:themeColor="accent1" w:themeTint="BF"/>
          <w:right w:val="single" w:sz="8" w:space="0" w:color="0A5D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9EC8FA" w:themeFill="accent1" w:themeFillTint="3F"/>
      </w:tcPr>
    </w:tblStylePr>
    <w:tblStylePr w:type="band1Horz">
      <w:tblPr/>
      <w:tcPr>
        <w:tcBorders>
          <w:insideH w:val="nil"/>
          <w:insideV w:val="nil"/>
        </w:tcBorders>
        <w:shd w:val="clear" w:color="auto" w:fill="9EC8F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B1ABA" w:themeColor="accent2" w:themeTint="BF"/>
        <w:left w:val="single" w:sz="8" w:space="0" w:color="EB1ABA" w:themeColor="accent2" w:themeTint="BF"/>
        <w:bottom w:val="single" w:sz="8" w:space="0" w:color="EB1ABA" w:themeColor="accent2" w:themeTint="BF"/>
        <w:right w:val="single" w:sz="8" w:space="0" w:color="EB1ABA" w:themeColor="accent2" w:themeTint="BF"/>
        <w:insideH w:val="single" w:sz="8" w:space="0" w:color="EB1ABA" w:themeColor="accent2" w:themeTint="BF"/>
      </w:tblBorders>
    </w:tblPr>
    <w:tblStylePr w:type="firstRow">
      <w:pPr>
        <w:spacing w:before="0" w:after="0" w:line="240" w:lineRule="auto"/>
      </w:pPr>
      <w:rPr>
        <w:b/>
        <w:bCs/>
        <w:color w:val="FFFFFF" w:themeColor="background1"/>
      </w:rPr>
      <w:tblPr/>
      <w:tcPr>
        <w:tcBorders>
          <w:top w:val="single" w:sz="8" w:space="0" w:color="EB1ABA" w:themeColor="accent2" w:themeTint="BF"/>
          <w:left w:val="single" w:sz="8" w:space="0" w:color="EB1ABA" w:themeColor="accent2" w:themeTint="BF"/>
          <w:bottom w:val="single" w:sz="8" w:space="0" w:color="EB1ABA" w:themeColor="accent2" w:themeTint="BF"/>
          <w:right w:val="single" w:sz="8" w:space="0" w:color="EB1ABA" w:themeColor="accent2" w:themeTint="BF"/>
          <w:insideH w:val="nil"/>
          <w:insideV w:val="nil"/>
        </w:tcBorders>
        <w:shd w:val="clear" w:color="auto" w:fill="A50E82" w:themeFill="accent2"/>
      </w:tcPr>
    </w:tblStylePr>
    <w:tblStylePr w:type="lastRow">
      <w:pPr>
        <w:spacing w:before="0" w:after="0" w:line="240" w:lineRule="auto"/>
      </w:pPr>
      <w:rPr>
        <w:b/>
        <w:bCs/>
      </w:rPr>
      <w:tblPr/>
      <w:tcPr>
        <w:tcBorders>
          <w:top w:val="double" w:sz="6" w:space="0" w:color="EB1ABA" w:themeColor="accent2" w:themeTint="BF"/>
          <w:left w:val="single" w:sz="8" w:space="0" w:color="EB1ABA" w:themeColor="accent2" w:themeTint="BF"/>
          <w:bottom w:val="single" w:sz="8" w:space="0" w:color="EB1ABA" w:themeColor="accent2" w:themeTint="BF"/>
          <w:right w:val="single" w:sz="8" w:space="0" w:color="EB1ABA" w:themeColor="accent2" w:themeTint="BF"/>
          <w:insideH w:val="nil"/>
          <w:insideV w:val="nil"/>
        </w:tcBorders>
      </w:tcPr>
    </w:tblStylePr>
    <w:tblStylePr w:type="firstCol">
      <w:rPr>
        <w:b/>
        <w:bCs/>
      </w:rPr>
    </w:tblStylePr>
    <w:tblStylePr w:type="lastCol">
      <w:rPr>
        <w:b/>
        <w:bCs/>
      </w:rPr>
    </w:tblStylePr>
    <w:tblStylePr w:type="band1Vert">
      <w:tblPr/>
      <w:tcPr>
        <w:shd w:val="clear" w:color="auto" w:fill="F8B3E8" w:themeFill="accent2" w:themeFillTint="3F"/>
      </w:tcPr>
    </w:tblStylePr>
    <w:tblStylePr w:type="band1Horz">
      <w:tblPr/>
      <w:tcPr>
        <w:tcBorders>
          <w:insideH w:val="nil"/>
          <w:insideV w:val="nil"/>
        </w:tcBorders>
        <w:shd w:val="clear" w:color="auto" w:fill="F8B3E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1EE1BA" w:themeColor="accent3" w:themeTint="BF"/>
        <w:left w:val="single" w:sz="8" w:space="0" w:color="1EE1BA" w:themeColor="accent3" w:themeTint="BF"/>
        <w:bottom w:val="single" w:sz="8" w:space="0" w:color="1EE1BA" w:themeColor="accent3" w:themeTint="BF"/>
        <w:right w:val="single" w:sz="8" w:space="0" w:color="1EE1BA" w:themeColor="accent3" w:themeTint="BF"/>
        <w:insideH w:val="single" w:sz="8" w:space="0" w:color="1EE1BA" w:themeColor="accent3" w:themeTint="BF"/>
      </w:tblBorders>
    </w:tblPr>
    <w:tblStylePr w:type="firstRow">
      <w:pPr>
        <w:spacing w:before="0" w:after="0" w:line="240" w:lineRule="auto"/>
      </w:pPr>
      <w:rPr>
        <w:b/>
        <w:bCs/>
        <w:color w:val="FFFFFF" w:themeColor="background1"/>
      </w:rPr>
      <w:tblPr/>
      <w:tcPr>
        <w:tcBorders>
          <w:top w:val="single" w:sz="8" w:space="0" w:color="1EE1BA" w:themeColor="accent3" w:themeTint="BF"/>
          <w:left w:val="single" w:sz="8" w:space="0" w:color="1EE1BA" w:themeColor="accent3" w:themeTint="BF"/>
          <w:bottom w:val="single" w:sz="8" w:space="0" w:color="1EE1BA" w:themeColor="accent3" w:themeTint="BF"/>
          <w:right w:val="single" w:sz="8" w:space="0" w:color="1EE1BA" w:themeColor="accent3" w:themeTint="BF"/>
          <w:insideH w:val="nil"/>
          <w:insideV w:val="nil"/>
        </w:tcBorders>
        <w:shd w:val="clear" w:color="auto" w:fill="14967C" w:themeFill="accent3"/>
      </w:tcPr>
    </w:tblStylePr>
    <w:tblStylePr w:type="lastRow">
      <w:pPr>
        <w:spacing w:before="0" w:after="0" w:line="240" w:lineRule="auto"/>
      </w:pPr>
      <w:rPr>
        <w:b/>
        <w:bCs/>
      </w:rPr>
      <w:tblPr/>
      <w:tcPr>
        <w:tcBorders>
          <w:top w:val="double" w:sz="6" w:space="0" w:color="1EE1BA" w:themeColor="accent3" w:themeTint="BF"/>
          <w:left w:val="single" w:sz="8" w:space="0" w:color="1EE1BA" w:themeColor="accent3" w:themeTint="BF"/>
          <w:bottom w:val="single" w:sz="8" w:space="0" w:color="1EE1BA" w:themeColor="accent3" w:themeTint="BF"/>
          <w:right w:val="single" w:sz="8" w:space="0" w:color="1EE1BA" w:themeColor="accent3" w:themeTint="BF"/>
          <w:insideH w:val="nil"/>
          <w:insideV w:val="nil"/>
        </w:tcBorders>
      </w:tcPr>
    </w:tblStylePr>
    <w:tblStylePr w:type="firstCol">
      <w:rPr>
        <w:b/>
        <w:bCs/>
      </w:rPr>
    </w:tblStylePr>
    <w:tblStylePr w:type="lastCol">
      <w:rPr>
        <w:b/>
        <w:bCs/>
      </w:rPr>
    </w:tblStylePr>
    <w:tblStylePr w:type="band1Vert">
      <w:tblPr/>
      <w:tcPr>
        <w:shd w:val="clear" w:color="auto" w:fill="B4F5E8" w:themeFill="accent3" w:themeFillTint="3F"/>
      </w:tcPr>
    </w:tblStylePr>
    <w:tblStylePr w:type="band1Horz">
      <w:tblPr/>
      <w:tcPr>
        <w:tcBorders>
          <w:insideH w:val="nil"/>
          <w:insideV w:val="nil"/>
        </w:tcBorders>
        <w:shd w:val="clear" w:color="auto" w:fill="B4F5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4D735" w:themeColor="accent4" w:themeTint="BF"/>
        <w:left w:val="single" w:sz="8" w:space="0" w:color="94D735" w:themeColor="accent4" w:themeTint="BF"/>
        <w:bottom w:val="single" w:sz="8" w:space="0" w:color="94D735" w:themeColor="accent4" w:themeTint="BF"/>
        <w:right w:val="single" w:sz="8" w:space="0" w:color="94D735" w:themeColor="accent4" w:themeTint="BF"/>
        <w:insideH w:val="single" w:sz="8" w:space="0" w:color="94D735" w:themeColor="accent4" w:themeTint="BF"/>
      </w:tblBorders>
    </w:tblPr>
    <w:tblStylePr w:type="firstRow">
      <w:pPr>
        <w:spacing w:before="0" w:after="0" w:line="240" w:lineRule="auto"/>
      </w:pPr>
      <w:rPr>
        <w:b/>
        <w:bCs/>
        <w:color w:val="FFFFFF" w:themeColor="background1"/>
      </w:rPr>
      <w:tblPr/>
      <w:tcPr>
        <w:tcBorders>
          <w:top w:val="single" w:sz="8" w:space="0" w:color="94D735" w:themeColor="accent4" w:themeTint="BF"/>
          <w:left w:val="single" w:sz="8" w:space="0" w:color="94D735" w:themeColor="accent4" w:themeTint="BF"/>
          <w:bottom w:val="single" w:sz="8" w:space="0" w:color="94D735" w:themeColor="accent4" w:themeTint="BF"/>
          <w:right w:val="single" w:sz="8" w:space="0" w:color="94D735" w:themeColor="accent4" w:themeTint="BF"/>
          <w:insideH w:val="nil"/>
          <w:insideV w:val="nil"/>
        </w:tcBorders>
        <w:shd w:val="clear" w:color="auto" w:fill="6A9E1F" w:themeFill="accent4"/>
      </w:tcPr>
    </w:tblStylePr>
    <w:tblStylePr w:type="lastRow">
      <w:pPr>
        <w:spacing w:before="0" w:after="0" w:line="240" w:lineRule="auto"/>
      </w:pPr>
      <w:rPr>
        <w:b/>
        <w:bCs/>
      </w:rPr>
      <w:tblPr/>
      <w:tcPr>
        <w:tcBorders>
          <w:top w:val="double" w:sz="6" w:space="0" w:color="94D735" w:themeColor="accent4" w:themeTint="BF"/>
          <w:left w:val="single" w:sz="8" w:space="0" w:color="94D735" w:themeColor="accent4" w:themeTint="BF"/>
          <w:bottom w:val="single" w:sz="8" w:space="0" w:color="94D735" w:themeColor="accent4" w:themeTint="BF"/>
          <w:right w:val="single" w:sz="8" w:space="0" w:color="94D735" w:themeColor="accent4" w:themeTint="BF"/>
          <w:insideH w:val="nil"/>
          <w:insideV w:val="nil"/>
        </w:tcBorders>
      </w:tcPr>
    </w:tblStylePr>
    <w:tblStylePr w:type="firstCol">
      <w:rPr>
        <w:b/>
        <w:bCs/>
      </w:rPr>
    </w:tblStylePr>
    <w:tblStylePr w:type="lastCol">
      <w:rPr>
        <w:b/>
        <w:bCs/>
      </w:rPr>
    </w:tblStylePr>
    <w:tblStylePr w:type="band1Vert">
      <w:tblPr/>
      <w:tcPr>
        <w:shd w:val="clear" w:color="auto" w:fill="DCF2BC" w:themeFill="accent4" w:themeFillTint="3F"/>
      </w:tcPr>
    </w:tblStylePr>
    <w:tblStylePr w:type="band1Horz">
      <w:tblPr/>
      <w:tcPr>
        <w:tcBorders>
          <w:insideH w:val="nil"/>
          <w:insideV w:val="nil"/>
        </w:tcBorders>
        <w:shd w:val="clear" w:color="auto" w:fill="DCF2B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ED9C68" w:themeColor="accent5" w:themeTint="BF"/>
        <w:left w:val="single" w:sz="8" w:space="0" w:color="ED9C68" w:themeColor="accent5" w:themeTint="BF"/>
        <w:bottom w:val="single" w:sz="8" w:space="0" w:color="ED9C68" w:themeColor="accent5" w:themeTint="BF"/>
        <w:right w:val="single" w:sz="8" w:space="0" w:color="ED9C68" w:themeColor="accent5" w:themeTint="BF"/>
        <w:insideH w:val="single" w:sz="8" w:space="0" w:color="ED9C68" w:themeColor="accent5" w:themeTint="BF"/>
      </w:tblBorders>
    </w:tblPr>
    <w:tblStylePr w:type="firstRow">
      <w:pPr>
        <w:spacing w:before="0" w:after="0" w:line="240" w:lineRule="auto"/>
      </w:pPr>
      <w:rPr>
        <w:b/>
        <w:bCs/>
        <w:color w:val="FFFFFF" w:themeColor="background1"/>
      </w:rPr>
      <w:tblPr/>
      <w:tcPr>
        <w:tcBorders>
          <w:top w:val="single" w:sz="8" w:space="0" w:color="ED9C68" w:themeColor="accent5" w:themeTint="BF"/>
          <w:left w:val="single" w:sz="8" w:space="0" w:color="ED9C68" w:themeColor="accent5" w:themeTint="BF"/>
          <w:bottom w:val="single" w:sz="8" w:space="0" w:color="ED9C68" w:themeColor="accent5" w:themeTint="BF"/>
          <w:right w:val="single" w:sz="8" w:space="0" w:color="ED9C68" w:themeColor="accent5" w:themeTint="BF"/>
          <w:insideH w:val="nil"/>
          <w:insideV w:val="nil"/>
        </w:tcBorders>
        <w:shd w:val="clear" w:color="auto" w:fill="E87D37" w:themeFill="accent5"/>
      </w:tcPr>
    </w:tblStylePr>
    <w:tblStylePr w:type="lastRow">
      <w:pPr>
        <w:spacing w:before="0" w:after="0" w:line="240" w:lineRule="auto"/>
      </w:pPr>
      <w:rPr>
        <w:b/>
        <w:bCs/>
      </w:rPr>
      <w:tblPr/>
      <w:tcPr>
        <w:tcBorders>
          <w:top w:val="double" w:sz="6" w:space="0" w:color="ED9C68" w:themeColor="accent5" w:themeTint="BF"/>
          <w:left w:val="single" w:sz="8" w:space="0" w:color="ED9C68" w:themeColor="accent5" w:themeTint="BF"/>
          <w:bottom w:val="single" w:sz="8" w:space="0" w:color="ED9C68" w:themeColor="accent5" w:themeTint="BF"/>
          <w:right w:val="single" w:sz="8" w:space="0" w:color="ED9C6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9DECD" w:themeFill="accent5" w:themeFillTint="3F"/>
      </w:tcPr>
    </w:tblStylePr>
    <w:tblStylePr w:type="band1Horz">
      <w:tblPr/>
      <w:tcPr>
        <w:tcBorders>
          <w:insideH w:val="nil"/>
          <w:insideV w:val="nil"/>
        </w:tcBorders>
        <w:shd w:val="clear" w:color="auto" w:fill="F9DEC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DF4E4F" w:themeColor="accent6" w:themeTint="BF"/>
        <w:left w:val="single" w:sz="8" w:space="0" w:color="DF4E4F" w:themeColor="accent6" w:themeTint="BF"/>
        <w:bottom w:val="single" w:sz="8" w:space="0" w:color="DF4E4F" w:themeColor="accent6" w:themeTint="BF"/>
        <w:right w:val="single" w:sz="8" w:space="0" w:color="DF4E4F" w:themeColor="accent6" w:themeTint="BF"/>
        <w:insideH w:val="single" w:sz="8" w:space="0" w:color="DF4E4F" w:themeColor="accent6" w:themeTint="BF"/>
      </w:tblBorders>
    </w:tblPr>
    <w:tblStylePr w:type="firstRow">
      <w:pPr>
        <w:spacing w:before="0" w:after="0" w:line="240" w:lineRule="auto"/>
      </w:pPr>
      <w:rPr>
        <w:b/>
        <w:bCs/>
        <w:color w:val="FFFFFF" w:themeColor="background1"/>
      </w:rPr>
      <w:tblPr/>
      <w:tcPr>
        <w:tcBorders>
          <w:top w:val="single" w:sz="8" w:space="0" w:color="DF4E4F" w:themeColor="accent6" w:themeTint="BF"/>
          <w:left w:val="single" w:sz="8" w:space="0" w:color="DF4E4F" w:themeColor="accent6" w:themeTint="BF"/>
          <w:bottom w:val="single" w:sz="8" w:space="0" w:color="DF4E4F" w:themeColor="accent6" w:themeTint="BF"/>
          <w:right w:val="single" w:sz="8" w:space="0" w:color="DF4E4F" w:themeColor="accent6" w:themeTint="BF"/>
          <w:insideH w:val="nil"/>
          <w:insideV w:val="nil"/>
        </w:tcBorders>
        <w:shd w:val="clear" w:color="auto" w:fill="C62324" w:themeFill="accent6"/>
      </w:tcPr>
    </w:tblStylePr>
    <w:tblStylePr w:type="lastRow">
      <w:pPr>
        <w:spacing w:before="0" w:after="0" w:line="240" w:lineRule="auto"/>
      </w:pPr>
      <w:rPr>
        <w:b/>
        <w:bCs/>
      </w:rPr>
      <w:tblPr/>
      <w:tcPr>
        <w:tcBorders>
          <w:top w:val="double" w:sz="6" w:space="0" w:color="DF4E4F" w:themeColor="accent6" w:themeTint="BF"/>
          <w:left w:val="single" w:sz="8" w:space="0" w:color="DF4E4F" w:themeColor="accent6" w:themeTint="BF"/>
          <w:bottom w:val="single" w:sz="8" w:space="0" w:color="DF4E4F" w:themeColor="accent6" w:themeTint="BF"/>
          <w:right w:val="single" w:sz="8" w:space="0" w:color="DF4E4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4C4C4" w:themeFill="accent6" w:themeFillTint="3F"/>
      </w:tcPr>
    </w:tblStylePr>
    <w:tblStylePr w:type="band1Horz">
      <w:tblPr/>
      <w:tcPr>
        <w:tcBorders>
          <w:insideH w:val="nil"/>
          <w:insideV w:val="nil"/>
        </w:tcBorders>
        <w:shd w:val="clear" w:color="auto" w:fill="F4C4C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52F61"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52F61" w:themeFill="accent1"/>
      </w:tcPr>
    </w:tblStylePr>
    <w:tblStylePr w:type="lastCol">
      <w:rPr>
        <w:b/>
        <w:bCs/>
        <w:color w:val="FFFFFF" w:themeColor="background1"/>
      </w:rPr>
      <w:tblPr/>
      <w:tcPr>
        <w:tcBorders>
          <w:left w:val="nil"/>
          <w:right w:val="nil"/>
          <w:insideH w:val="nil"/>
          <w:insideV w:val="nil"/>
        </w:tcBorders>
        <w:shd w:val="clear" w:color="auto" w:fill="052F61"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0E8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0E82" w:themeFill="accent2"/>
      </w:tcPr>
    </w:tblStylePr>
    <w:tblStylePr w:type="lastCol">
      <w:rPr>
        <w:b/>
        <w:bCs/>
        <w:color w:val="FFFFFF" w:themeColor="background1"/>
      </w:rPr>
      <w:tblPr/>
      <w:tcPr>
        <w:tcBorders>
          <w:left w:val="nil"/>
          <w:right w:val="nil"/>
          <w:insideH w:val="nil"/>
          <w:insideV w:val="nil"/>
        </w:tcBorders>
        <w:shd w:val="clear" w:color="auto" w:fill="A50E8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4967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4967C" w:themeFill="accent3"/>
      </w:tcPr>
    </w:tblStylePr>
    <w:tblStylePr w:type="lastCol">
      <w:rPr>
        <w:b/>
        <w:bCs/>
        <w:color w:val="FFFFFF" w:themeColor="background1"/>
      </w:rPr>
      <w:tblPr/>
      <w:tcPr>
        <w:tcBorders>
          <w:left w:val="nil"/>
          <w:right w:val="nil"/>
          <w:insideH w:val="nil"/>
          <w:insideV w:val="nil"/>
        </w:tcBorders>
        <w:shd w:val="clear" w:color="auto" w:fill="14967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A9E1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A9E1F" w:themeFill="accent4"/>
      </w:tcPr>
    </w:tblStylePr>
    <w:tblStylePr w:type="lastCol">
      <w:rPr>
        <w:b/>
        <w:bCs/>
        <w:color w:val="FFFFFF" w:themeColor="background1"/>
      </w:rPr>
      <w:tblPr/>
      <w:tcPr>
        <w:tcBorders>
          <w:left w:val="nil"/>
          <w:right w:val="nil"/>
          <w:insideH w:val="nil"/>
          <w:insideV w:val="nil"/>
        </w:tcBorders>
        <w:shd w:val="clear" w:color="auto" w:fill="6A9E1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7D37"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87D37" w:themeFill="accent5"/>
      </w:tcPr>
    </w:tblStylePr>
    <w:tblStylePr w:type="lastCol">
      <w:rPr>
        <w:b/>
        <w:bCs/>
        <w:color w:val="FFFFFF" w:themeColor="background1"/>
      </w:rPr>
      <w:tblPr/>
      <w:tcPr>
        <w:tcBorders>
          <w:left w:val="nil"/>
          <w:right w:val="nil"/>
          <w:insideH w:val="nil"/>
          <w:insideV w:val="nil"/>
        </w:tcBorders>
        <w:shd w:val="clear" w:color="auto" w:fill="E87D37"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62324"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62324" w:themeFill="accent6"/>
      </w:tcPr>
    </w:tblStylePr>
    <w:tblStylePr w:type="lastCol">
      <w:rPr>
        <w:b/>
        <w:bCs/>
        <w:color w:val="FFFFFF" w:themeColor="background1"/>
      </w:rPr>
      <w:tblPr/>
      <w:tcPr>
        <w:tcBorders>
          <w:left w:val="nil"/>
          <w:right w:val="nil"/>
          <w:insideH w:val="nil"/>
          <w:insideV w:val="nil"/>
        </w:tcBorders>
        <w:shd w:val="clear" w:color="auto" w:fill="C62324"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46194"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052F61" w:themeColor="accent1"/>
        <w:bottom w:val="single" w:sz="8" w:space="0" w:color="052F61" w:themeColor="accent1"/>
      </w:tblBorders>
    </w:tblPr>
    <w:tblStylePr w:type="firstRow">
      <w:rPr>
        <w:rFonts w:asciiTheme="majorHAnsi" w:eastAsiaTheme="majorEastAsia" w:hAnsiTheme="majorHAnsi" w:cstheme="majorBidi"/>
      </w:rPr>
      <w:tblPr/>
      <w:tcPr>
        <w:tcBorders>
          <w:top w:val="nil"/>
          <w:bottom w:val="single" w:sz="8" w:space="0" w:color="052F61" w:themeColor="accent1"/>
        </w:tcBorders>
      </w:tcPr>
    </w:tblStylePr>
    <w:tblStylePr w:type="lastRow">
      <w:rPr>
        <w:b/>
        <w:bCs/>
        <w:color w:val="146194" w:themeColor="text2"/>
      </w:rPr>
      <w:tblPr/>
      <w:tcPr>
        <w:tcBorders>
          <w:top w:val="single" w:sz="8" w:space="0" w:color="052F61" w:themeColor="accent1"/>
          <w:bottom w:val="single" w:sz="8" w:space="0" w:color="052F61" w:themeColor="accent1"/>
        </w:tcBorders>
      </w:tcPr>
    </w:tblStylePr>
    <w:tblStylePr w:type="firstCol">
      <w:rPr>
        <w:b/>
        <w:bCs/>
      </w:rPr>
    </w:tblStylePr>
    <w:tblStylePr w:type="lastCol">
      <w:rPr>
        <w:b/>
        <w:bCs/>
      </w:rPr>
      <w:tblPr/>
      <w:tcPr>
        <w:tcBorders>
          <w:top w:val="single" w:sz="8" w:space="0" w:color="052F61" w:themeColor="accent1"/>
          <w:bottom w:val="single" w:sz="8" w:space="0" w:color="052F61" w:themeColor="accent1"/>
        </w:tcBorders>
      </w:tcPr>
    </w:tblStylePr>
    <w:tblStylePr w:type="band1Vert">
      <w:tblPr/>
      <w:tcPr>
        <w:shd w:val="clear" w:color="auto" w:fill="9EC8FA" w:themeFill="accent1" w:themeFillTint="3F"/>
      </w:tcPr>
    </w:tblStylePr>
    <w:tblStylePr w:type="band1Horz">
      <w:tblPr/>
      <w:tcPr>
        <w:shd w:val="clear" w:color="auto" w:fill="9EC8FA"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A50E82" w:themeColor="accent2"/>
        <w:bottom w:val="single" w:sz="8" w:space="0" w:color="A50E82" w:themeColor="accent2"/>
      </w:tblBorders>
    </w:tblPr>
    <w:tblStylePr w:type="firstRow">
      <w:rPr>
        <w:rFonts w:asciiTheme="majorHAnsi" w:eastAsiaTheme="majorEastAsia" w:hAnsiTheme="majorHAnsi" w:cstheme="majorBidi"/>
      </w:rPr>
      <w:tblPr/>
      <w:tcPr>
        <w:tcBorders>
          <w:top w:val="nil"/>
          <w:bottom w:val="single" w:sz="8" w:space="0" w:color="A50E82" w:themeColor="accent2"/>
        </w:tcBorders>
      </w:tcPr>
    </w:tblStylePr>
    <w:tblStylePr w:type="lastRow">
      <w:rPr>
        <w:b/>
        <w:bCs/>
        <w:color w:val="146194" w:themeColor="text2"/>
      </w:rPr>
      <w:tblPr/>
      <w:tcPr>
        <w:tcBorders>
          <w:top w:val="single" w:sz="8" w:space="0" w:color="A50E82" w:themeColor="accent2"/>
          <w:bottom w:val="single" w:sz="8" w:space="0" w:color="A50E82" w:themeColor="accent2"/>
        </w:tcBorders>
      </w:tcPr>
    </w:tblStylePr>
    <w:tblStylePr w:type="firstCol">
      <w:rPr>
        <w:b/>
        <w:bCs/>
      </w:rPr>
    </w:tblStylePr>
    <w:tblStylePr w:type="lastCol">
      <w:rPr>
        <w:b/>
        <w:bCs/>
      </w:rPr>
      <w:tblPr/>
      <w:tcPr>
        <w:tcBorders>
          <w:top w:val="single" w:sz="8" w:space="0" w:color="A50E82" w:themeColor="accent2"/>
          <w:bottom w:val="single" w:sz="8" w:space="0" w:color="A50E82" w:themeColor="accent2"/>
        </w:tcBorders>
      </w:tcPr>
    </w:tblStylePr>
    <w:tblStylePr w:type="band1Vert">
      <w:tblPr/>
      <w:tcPr>
        <w:shd w:val="clear" w:color="auto" w:fill="F8B3E8" w:themeFill="accent2" w:themeFillTint="3F"/>
      </w:tcPr>
    </w:tblStylePr>
    <w:tblStylePr w:type="band1Horz">
      <w:tblPr/>
      <w:tcPr>
        <w:shd w:val="clear" w:color="auto" w:fill="F8B3E8"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4967C" w:themeColor="accent3"/>
        <w:bottom w:val="single" w:sz="8" w:space="0" w:color="14967C" w:themeColor="accent3"/>
      </w:tblBorders>
    </w:tblPr>
    <w:tblStylePr w:type="firstRow">
      <w:rPr>
        <w:rFonts w:asciiTheme="majorHAnsi" w:eastAsiaTheme="majorEastAsia" w:hAnsiTheme="majorHAnsi" w:cstheme="majorBidi"/>
      </w:rPr>
      <w:tblPr/>
      <w:tcPr>
        <w:tcBorders>
          <w:top w:val="nil"/>
          <w:bottom w:val="single" w:sz="8" w:space="0" w:color="14967C" w:themeColor="accent3"/>
        </w:tcBorders>
      </w:tcPr>
    </w:tblStylePr>
    <w:tblStylePr w:type="lastRow">
      <w:rPr>
        <w:b/>
        <w:bCs/>
        <w:color w:val="146194" w:themeColor="text2"/>
      </w:rPr>
      <w:tblPr/>
      <w:tcPr>
        <w:tcBorders>
          <w:top w:val="single" w:sz="8" w:space="0" w:color="14967C" w:themeColor="accent3"/>
          <w:bottom w:val="single" w:sz="8" w:space="0" w:color="14967C" w:themeColor="accent3"/>
        </w:tcBorders>
      </w:tcPr>
    </w:tblStylePr>
    <w:tblStylePr w:type="firstCol">
      <w:rPr>
        <w:b/>
        <w:bCs/>
      </w:rPr>
    </w:tblStylePr>
    <w:tblStylePr w:type="lastCol">
      <w:rPr>
        <w:b/>
        <w:bCs/>
      </w:rPr>
      <w:tblPr/>
      <w:tcPr>
        <w:tcBorders>
          <w:top w:val="single" w:sz="8" w:space="0" w:color="14967C" w:themeColor="accent3"/>
          <w:bottom w:val="single" w:sz="8" w:space="0" w:color="14967C" w:themeColor="accent3"/>
        </w:tcBorders>
      </w:tcPr>
    </w:tblStylePr>
    <w:tblStylePr w:type="band1Vert">
      <w:tblPr/>
      <w:tcPr>
        <w:shd w:val="clear" w:color="auto" w:fill="B4F5E8" w:themeFill="accent3" w:themeFillTint="3F"/>
      </w:tcPr>
    </w:tblStylePr>
    <w:tblStylePr w:type="band1Horz">
      <w:tblPr/>
      <w:tcPr>
        <w:shd w:val="clear" w:color="auto" w:fill="B4F5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6A9E1F" w:themeColor="accent4"/>
        <w:bottom w:val="single" w:sz="8" w:space="0" w:color="6A9E1F" w:themeColor="accent4"/>
      </w:tblBorders>
    </w:tblPr>
    <w:tblStylePr w:type="firstRow">
      <w:rPr>
        <w:rFonts w:asciiTheme="majorHAnsi" w:eastAsiaTheme="majorEastAsia" w:hAnsiTheme="majorHAnsi" w:cstheme="majorBidi"/>
      </w:rPr>
      <w:tblPr/>
      <w:tcPr>
        <w:tcBorders>
          <w:top w:val="nil"/>
          <w:bottom w:val="single" w:sz="8" w:space="0" w:color="6A9E1F" w:themeColor="accent4"/>
        </w:tcBorders>
      </w:tcPr>
    </w:tblStylePr>
    <w:tblStylePr w:type="lastRow">
      <w:rPr>
        <w:b/>
        <w:bCs/>
        <w:color w:val="146194" w:themeColor="text2"/>
      </w:rPr>
      <w:tblPr/>
      <w:tcPr>
        <w:tcBorders>
          <w:top w:val="single" w:sz="8" w:space="0" w:color="6A9E1F" w:themeColor="accent4"/>
          <w:bottom w:val="single" w:sz="8" w:space="0" w:color="6A9E1F" w:themeColor="accent4"/>
        </w:tcBorders>
      </w:tcPr>
    </w:tblStylePr>
    <w:tblStylePr w:type="firstCol">
      <w:rPr>
        <w:b/>
        <w:bCs/>
      </w:rPr>
    </w:tblStylePr>
    <w:tblStylePr w:type="lastCol">
      <w:rPr>
        <w:b/>
        <w:bCs/>
      </w:rPr>
      <w:tblPr/>
      <w:tcPr>
        <w:tcBorders>
          <w:top w:val="single" w:sz="8" w:space="0" w:color="6A9E1F" w:themeColor="accent4"/>
          <w:bottom w:val="single" w:sz="8" w:space="0" w:color="6A9E1F" w:themeColor="accent4"/>
        </w:tcBorders>
      </w:tcPr>
    </w:tblStylePr>
    <w:tblStylePr w:type="band1Vert">
      <w:tblPr/>
      <w:tcPr>
        <w:shd w:val="clear" w:color="auto" w:fill="DCF2BC" w:themeFill="accent4" w:themeFillTint="3F"/>
      </w:tcPr>
    </w:tblStylePr>
    <w:tblStylePr w:type="band1Horz">
      <w:tblPr/>
      <w:tcPr>
        <w:shd w:val="clear" w:color="auto" w:fill="DCF2BC"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E87D37" w:themeColor="accent5"/>
        <w:bottom w:val="single" w:sz="8" w:space="0" w:color="E87D37" w:themeColor="accent5"/>
      </w:tblBorders>
    </w:tblPr>
    <w:tblStylePr w:type="firstRow">
      <w:rPr>
        <w:rFonts w:asciiTheme="majorHAnsi" w:eastAsiaTheme="majorEastAsia" w:hAnsiTheme="majorHAnsi" w:cstheme="majorBidi"/>
      </w:rPr>
      <w:tblPr/>
      <w:tcPr>
        <w:tcBorders>
          <w:top w:val="nil"/>
          <w:bottom w:val="single" w:sz="8" w:space="0" w:color="E87D37" w:themeColor="accent5"/>
        </w:tcBorders>
      </w:tcPr>
    </w:tblStylePr>
    <w:tblStylePr w:type="lastRow">
      <w:rPr>
        <w:b/>
        <w:bCs/>
        <w:color w:val="146194" w:themeColor="text2"/>
      </w:rPr>
      <w:tblPr/>
      <w:tcPr>
        <w:tcBorders>
          <w:top w:val="single" w:sz="8" w:space="0" w:color="E87D37" w:themeColor="accent5"/>
          <w:bottom w:val="single" w:sz="8" w:space="0" w:color="E87D37" w:themeColor="accent5"/>
        </w:tcBorders>
      </w:tcPr>
    </w:tblStylePr>
    <w:tblStylePr w:type="firstCol">
      <w:rPr>
        <w:b/>
        <w:bCs/>
      </w:rPr>
    </w:tblStylePr>
    <w:tblStylePr w:type="lastCol">
      <w:rPr>
        <w:b/>
        <w:bCs/>
      </w:rPr>
      <w:tblPr/>
      <w:tcPr>
        <w:tcBorders>
          <w:top w:val="single" w:sz="8" w:space="0" w:color="E87D37" w:themeColor="accent5"/>
          <w:bottom w:val="single" w:sz="8" w:space="0" w:color="E87D37" w:themeColor="accent5"/>
        </w:tcBorders>
      </w:tcPr>
    </w:tblStylePr>
    <w:tblStylePr w:type="band1Vert">
      <w:tblPr/>
      <w:tcPr>
        <w:shd w:val="clear" w:color="auto" w:fill="F9DECD" w:themeFill="accent5" w:themeFillTint="3F"/>
      </w:tcPr>
    </w:tblStylePr>
    <w:tblStylePr w:type="band1Horz">
      <w:tblPr/>
      <w:tcPr>
        <w:shd w:val="clear" w:color="auto" w:fill="F9DECD"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C62324" w:themeColor="accent6"/>
        <w:bottom w:val="single" w:sz="8" w:space="0" w:color="C62324" w:themeColor="accent6"/>
      </w:tblBorders>
    </w:tblPr>
    <w:tblStylePr w:type="firstRow">
      <w:rPr>
        <w:rFonts w:asciiTheme="majorHAnsi" w:eastAsiaTheme="majorEastAsia" w:hAnsiTheme="majorHAnsi" w:cstheme="majorBidi"/>
      </w:rPr>
      <w:tblPr/>
      <w:tcPr>
        <w:tcBorders>
          <w:top w:val="nil"/>
          <w:bottom w:val="single" w:sz="8" w:space="0" w:color="C62324" w:themeColor="accent6"/>
        </w:tcBorders>
      </w:tcPr>
    </w:tblStylePr>
    <w:tblStylePr w:type="lastRow">
      <w:rPr>
        <w:b/>
        <w:bCs/>
        <w:color w:val="146194" w:themeColor="text2"/>
      </w:rPr>
      <w:tblPr/>
      <w:tcPr>
        <w:tcBorders>
          <w:top w:val="single" w:sz="8" w:space="0" w:color="C62324" w:themeColor="accent6"/>
          <w:bottom w:val="single" w:sz="8" w:space="0" w:color="C62324" w:themeColor="accent6"/>
        </w:tcBorders>
      </w:tcPr>
    </w:tblStylePr>
    <w:tblStylePr w:type="firstCol">
      <w:rPr>
        <w:b/>
        <w:bCs/>
      </w:rPr>
    </w:tblStylePr>
    <w:tblStylePr w:type="lastCol">
      <w:rPr>
        <w:b/>
        <w:bCs/>
      </w:rPr>
      <w:tblPr/>
      <w:tcPr>
        <w:tcBorders>
          <w:top w:val="single" w:sz="8" w:space="0" w:color="C62324" w:themeColor="accent6"/>
          <w:bottom w:val="single" w:sz="8" w:space="0" w:color="C62324" w:themeColor="accent6"/>
        </w:tcBorders>
      </w:tcPr>
    </w:tblStylePr>
    <w:tblStylePr w:type="band1Vert">
      <w:tblPr/>
      <w:tcPr>
        <w:shd w:val="clear" w:color="auto" w:fill="F4C4C4" w:themeFill="accent6" w:themeFillTint="3F"/>
      </w:tcPr>
    </w:tblStylePr>
    <w:tblStylePr w:type="band1Horz">
      <w:tblPr/>
      <w:tcPr>
        <w:shd w:val="clear" w:color="auto" w:fill="F4C4C4"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52F61" w:themeColor="accent1"/>
        <w:left w:val="single" w:sz="8" w:space="0" w:color="052F61" w:themeColor="accent1"/>
        <w:bottom w:val="single" w:sz="8" w:space="0" w:color="052F61" w:themeColor="accent1"/>
        <w:right w:val="single" w:sz="8" w:space="0" w:color="052F61" w:themeColor="accent1"/>
      </w:tblBorders>
    </w:tblPr>
    <w:tblStylePr w:type="firstRow">
      <w:rPr>
        <w:sz w:val="24"/>
        <w:szCs w:val="24"/>
      </w:rPr>
      <w:tblPr/>
      <w:tcPr>
        <w:tcBorders>
          <w:top w:val="nil"/>
          <w:left w:val="nil"/>
          <w:bottom w:val="single" w:sz="24" w:space="0" w:color="052F61" w:themeColor="accent1"/>
          <w:right w:val="nil"/>
          <w:insideH w:val="nil"/>
          <w:insideV w:val="nil"/>
        </w:tcBorders>
        <w:shd w:val="clear" w:color="auto" w:fill="FFFFFF" w:themeFill="background1"/>
      </w:tcPr>
    </w:tblStylePr>
    <w:tblStylePr w:type="lastRow">
      <w:tblPr/>
      <w:tcPr>
        <w:tcBorders>
          <w:top w:val="single" w:sz="8" w:space="0" w:color="052F61"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52F61" w:themeColor="accent1"/>
          <w:insideH w:val="nil"/>
          <w:insideV w:val="nil"/>
        </w:tcBorders>
        <w:shd w:val="clear" w:color="auto" w:fill="FFFFFF" w:themeFill="background1"/>
      </w:tcPr>
    </w:tblStylePr>
    <w:tblStylePr w:type="lastCol">
      <w:tblPr/>
      <w:tcPr>
        <w:tcBorders>
          <w:top w:val="nil"/>
          <w:left w:val="single" w:sz="8" w:space="0" w:color="052F6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C8FA" w:themeFill="accent1" w:themeFillTint="3F"/>
      </w:tcPr>
    </w:tblStylePr>
    <w:tblStylePr w:type="band1Horz">
      <w:tblPr/>
      <w:tcPr>
        <w:tcBorders>
          <w:top w:val="nil"/>
          <w:bottom w:val="nil"/>
          <w:insideH w:val="nil"/>
          <w:insideV w:val="nil"/>
        </w:tcBorders>
        <w:shd w:val="clear" w:color="auto" w:fill="9EC8F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0E82" w:themeColor="accent2"/>
        <w:left w:val="single" w:sz="8" w:space="0" w:color="A50E82" w:themeColor="accent2"/>
        <w:bottom w:val="single" w:sz="8" w:space="0" w:color="A50E82" w:themeColor="accent2"/>
        <w:right w:val="single" w:sz="8" w:space="0" w:color="A50E82" w:themeColor="accent2"/>
      </w:tblBorders>
    </w:tblPr>
    <w:tblStylePr w:type="firstRow">
      <w:rPr>
        <w:sz w:val="24"/>
        <w:szCs w:val="24"/>
      </w:rPr>
      <w:tblPr/>
      <w:tcPr>
        <w:tcBorders>
          <w:top w:val="nil"/>
          <w:left w:val="nil"/>
          <w:bottom w:val="single" w:sz="24" w:space="0" w:color="A50E82" w:themeColor="accent2"/>
          <w:right w:val="nil"/>
          <w:insideH w:val="nil"/>
          <w:insideV w:val="nil"/>
        </w:tcBorders>
        <w:shd w:val="clear" w:color="auto" w:fill="FFFFFF" w:themeFill="background1"/>
      </w:tcPr>
    </w:tblStylePr>
    <w:tblStylePr w:type="lastRow">
      <w:tblPr/>
      <w:tcPr>
        <w:tcBorders>
          <w:top w:val="single" w:sz="8" w:space="0" w:color="A50E8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0E82" w:themeColor="accent2"/>
          <w:insideH w:val="nil"/>
          <w:insideV w:val="nil"/>
        </w:tcBorders>
        <w:shd w:val="clear" w:color="auto" w:fill="FFFFFF" w:themeFill="background1"/>
      </w:tcPr>
    </w:tblStylePr>
    <w:tblStylePr w:type="lastCol">
      <w:tblPr/>
      <w:tcPr>
        <w:tcBorders>
          <w:top w:val="nil"/>
          <w:left w:val="single" w:sz="8" w:space="0" w:color="A50E8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B3E8" w:themeFill="accent2" w:themeFillTint="3F"/>
      </w:tcPr>
    </w:tblStylePr>
    <w:tblStylePr w:type="band1Horz">
      <w:tblPr/>
      <w:tcPr>
        <w:tcBorders>
          <w:top w:val="nil"/>
          <w:bottom w:val="nil"/>
          <w:insideH w:val="nil"/>
          <w:insideV w:val="nil"/>
        </w:tcBorders>
        <w:shd w:val="clear" w:color="auto" w:fill="F8B3E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tblBorders>
    </w:tblPr>
    <w:tblStylePr w:type="firstRow">
      <w:rPr>
        <w:sz w:val="24"/>
        <w:szCs w:val="24"/>
      </w:rPr>
      <w:tblPr/>
      <w:tcPr>
        <w:tcBorders>
          <w:top w:val="nil"/>
          <w:left w:val="nil"/>
          <w:bottom w:val="single" w:sz="24" w:space="0" w:color="14967C" w:themeColor="accent3"/>
          <w:right w:val="nil"/>
          <w:insideH w:val="nil"/>
          <w:insideV w:val="nil"/>
        </w:tcBorders>
        <w:shd w:val="clear" w:color="auto" w:fill="FFFFFF" w:themeFill="background1"/>
      </w:tcPr>
    </w:tblStylePr>
    <w:tblStylePr w:type="lastRow">
      <w:tblPr/>
      <w:tcPr>
        <w:tcBorders>
          <w:top w:val="single" w:sz="8" w:space="0" w:color="14967C"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4967C" w:themeColor="accent3"/>
          <w:insideH w:val="nil"/>
          <w:insideV w:val="nil"/>
        </w:tcBorders>
        <w:shd w:val="clear" w:color="auto" w:fill="FFFFFF" w:themeFill="background1"/>
      </w:tcPr>
    </w:tblStylePr>
    <w:tblStylePr w:type="lastCol">
      <w:tblPr/>
      <w:tcPr>
        <w:tcBorders>
          <w:top w:val="nil"/>
          <w:left w:val="single" w:sz="8" w:space="0" w:color="14967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F5E8" w:themeFill="accent3" w:themeFillTint="3F"/>
      </w:tcPr>
    </w:tblStylePr>
    <w:tblStylePr w:type="band1Horz">
      <w:tblPr/>
      <w:tcPr>
        <w:tcBorders>
          <w:top w:val="nil"/>
          <w:bottom w:val="nil"/>
          <w:insideH w:val="nil"/>
          <w:insideV w:val="nil"/>
        </w:tcBorders>
        <w:shd w:val="clear" w:color="auto" w:fill="B4F5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9E1F" w:themeColor="accent4"/>
        <w:left w:val="single" w:sz="8" w:space="0" w:color="6A9E1F" w:themeColor="accent4"/>
        <w:bottom w:val="single" w:sz="8" w:space="0" w:color="6A9E1F" w:themeColor="accent4"/>
        <w:right w:val="single" w:sz="8" w:space="0" w:color="6A9E1F" w:themeColor="accent4"/>
      </w:tblBorders>
    </w:tblPr>
    <w:tblStylePr w:type="firstRow">
      <w:rPr>
        <w:sz w:val="24"/>
        <w:szCs w:val="24"/>
      </w:rPr>
      <w:tblPr/>
      <w:tcPr>
        <w:tcBorders>
          <w:top w:val="nil"/>
          <w:left w:val="nil"/>
          <w:bottom w:val="single" w:sz="24" w:space="0" w:color="6A9E1F" w:themeColor="accent4"/>
          <w:right w:val="nil"/>
          <w:insideH w:val="nil"/>
          <w:insideV w:val="nil"/>
        </w:tcBorders>
        <w:shd w:val="clear" w:color="auto" w:fill="FFFFFF" w:themeFill="background1"/>
      </w:tcPr>
    </w:tblStylePr>
    <w:tblStylePr w:type="lastRow">
      <w:tblPr/>
      <w:tcPr>
        <w:tcBorders>
          <w:top w:val="single" w:sz="8" w:space="0" w:color="6A9E1F"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A9E1F" w:themeColor="accent4"/>
          <w:insideH w:val="nil"/>
          <w:insideV w:val="nil"/>
        </w:tcBorders>
        <w:shd w:val="clear" w:color="auto" w:fill="FFFFFF" w:themeFill="background1"/>
      </w:tcPr>
    </w:tblStylePr>
    <w:tblStylePr w:type="lastCol">
      <w:tblPr/>
      <w:tcPr>
        <w:tcBorders>
          <w:top w:val="nil"/>
          <w:left w:val="single" w:sz="8" w:space="0" w:color="6A9E1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F2BC" w:themeFill="accent4" w:themeFillTint="3F"/>
      </w:tcPr>
    </w:tblStylePr>
    <w:tblStylePr w:type="band1Horz">
      <w:tblPr/>
      <w:tcPr>
        <w:tcBorders>
          <w:top w:val="nil"/>
          <w:bottom w:val="nil"/>
          <w:insideH w:val="nil"/>
          <w:insideV w:val="nil"/>
        </w:tcBorders>
        <w:shd w:val="clear" w:color="auto" w:fill="DCF2B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7D37" w:themeColor="accent5"/>
        <w:left w:val="single" w:sz="8" w:space="0" w:color="E87D37" w:themeColor="accent5"/>
        <w:bottom w:val="single" w:sz="8" w:space="0" w:color="E87D37" w:themeColor="accent5"/>
        <w:right w:val="single" w:sz="8" w:space="0" w:color="E87D37" w:themeColor="accent5"/>
      </w:tblBorders>
    </w:tblPr>
    <w:tblStylePr w:type="firstRow">
      <w:rPr>
        <w:sz w:val="24"/>
        <w:szCs w:val="24"/>
      </w:rPr>
      <w:tblPr/>
      <w:tcPr>
        <w:tcBorders>
          <w:top w:val="nil"/>
          <w:left w:val="nil"/>
          <w:bottom w:val="single" w:sz="24" w:space="0" w:color="E87D37" w:themeColor="accent5"/>
          <w:right w:val="nil"/>
          <w:insideH w:val="nil"/>
          <w:insideV w:val="nil"/>
        </w:tcBorders>
        <w:shd w:val="clear" w:color="auto" w:fill="FFFFFF" w:themeFill="background1"/>
      </w:tcPr>
    </w:tblStylePr>
    <w:tblStylePr w:type="lastRow">
      <w:tblPr/>
      <w:tcPr>
        <w:tcBorders>
          <w:top w:val="single" w:sz="8" w:space="0" w:color="E87D37"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7D37" w:themeColor="accent5"/>
          <w:insideH w:val="nil"/>
          <w:insideV w:val="nil"/>
        </w:tcBorders>
        <w:shd w:val="clear" w:color="auto" w:fill="FFFFFF" w:themeFill="background1"/>
      </w:tcPr>
    </w:tblStylePr>
    <w:tblStylePr w:type="lastCol">
      <w:tblPr/>
      <w:tcPr>
        <w:tcBorders>
          <w:top w:val="nil"/>
          <w:left w:val="single" w:sz="8" w:space="0" w:color="E87D37"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ECD" w:themeFill="accent5" w:themeFillTint="3F"/>
      </w:tcPr>
    </w:tblStylePr>
    <w:tblStylePr w:type="band1Horz">
      <w:tblPr/>
      <w:tcPr>
        <w:tcBorders>
          <w:top w:val="nil"/>
          <w:bottom w:val="nil"/>
          <w:insideH w:val="nil"/>
          <w:insideV w:val="nil"/>
        </w:tcBorders>
        <w:shd w:val="clear" w:color="auto" w:fill="F9DEC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62324" w:themeColor="accent6"/>
        <w:left w:val="single" w:sz="8" w:space="0" w:color="C62324" w:themeColor="accent6"/>
        <w:bottom w:val="single" w:sz="8" w:space="0" w:color="C62324" w:themeColor="accent6"/>
        <w:right w:val="single" w:sz="8" w:space="0" w:color="C62324" w:themeColor="accent6"/>
      </w:tblBorders>
    </w:tblPr>
    <w:tblStylePr w:type="firstRow">
      <w:rPr>
        <w:sz w:val="24"/>
        <w:szCs w:val="24"/>
      </w:rPr>
      <w:tblPr/>
      <w:tcPr>
        <w:tcBorders>
          <w:top w:val="nil"/>
          <w:left w:val="nil"/>
          <w:bottom w:val="single" w:sz="24" w:space="0" w:color="C62324" w:themeColor="accent6"/>
          <w:right w:val="nil"/>
          <w:insideH w:val="nil"/>
          <w:insideV w:val="nil"/>
        </w:tcBorders>
        <w:shd w:val="clear" w:color="auto" w:fill="FFFFFF" w:themeFill="background1"/>
      </w:tcPr>
    </w:tblStylePr>
    <w:tblStylePr w:type="lastRow">
      <w:tblPr/>
      <w:tcPr>
        <w:tcBorders>
          <w:top w:val="single" w:sz="8" w:space="0" w:color="C62324"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62324" w:themeColor="accent6"/>
          <w:insideH w:val="nil"/>
          <w:insideV w:val="nil"/>
        </w:tcBorders>
        <w:shd w:val="clear" w:color="auto" w:fill="FFFFFF" w:themeFill="background1"/>
      </w:tcPr>
    </w:tblStylePr>
    <w:tblStylePr w:type="lastCol">
      <w:tblPr/>
      <w:tcPr>
        <w:tcBorders>
          <w:top w:val="nil"/>
          <w:left w:val="single" w:sz="8" w:space="0" w:color="C62324"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C4C4" w:themeFill="accent6" w:themeFillTint="3F"/>
      </w:tcPr>
    </w:tblStylePr>
    <w:tblStylePr w:type="band1Horz">
      <w:tblPr/>
      <w:tcPr>
        <w:tcBorders>
          <w:top w:val="nil"/>
          <w:bottom w:val="nil"/>
          <w:insideH w:val="nil"/>
          <w:insideV w:val="nil"/>
        </w:tcBorders>
        <w:shd w:val="clear" w:color="auto" w:fill="F4C4C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0A5DC2" w:themeColor="accent1" w:themeTint="BF"/>
        <w:left w:val="single" w:sz="8" w:space="0" w:color="0A5DC2" w:themeColor="accent1" w:themeTint="BF"/>
        <w:bottom w:val="single" w:sz="8" w:space="0" w:color="0A5DC2" w:themeColor="accent1" w:themeTint="BF"/>
        <w:right w:val="single" w:sz="8" w:space="0" w:color="0A5DC2" w:themeColor="accent1" w:themeTint="BF"/>
        <w:insideH w:val="single" w:sz="8" w:space="0" w:color="0A5DC2" w:themeColor="accent1" w:themeTint="BF"/>
        <w:insideV w:val="single" w:sz="8" w:space="0" w:color="0A5DC2" w:themeColor="accent1" w:themeTint="BF"/>
      </w:tblBorders>
    </w:tblPr>
    <w:tcPr>
      <w:shd w:val="clear" w:color="auto" w:fill="9EC8FA" w:themeFill="accent1" w:themeFillTint="3F"/>
    </w:tcPr>
    <w:tblStylePr w:type="firstRow">
      <w:rPr>
        <w:b/>
        <w:bCs/>
      </w:rPr>
    </w:tblStylePr>
    <w:tblStylePr w:type="lastRow">
      <w:rPr>
        <w:b/>
        <w:bCs/>
      </w:rPr>
      <w:tblPr/>
      <w:tcPr>
        <w:tcBorders>
          <w:top w:val="single" w:sz="18" w:space="0" w:color="0A5DC2" w:themeColor="accent1" w:themeTint="BF"/>
        </w:tcBorders>
      </w:tcPr>
    </w:tblStylePr>
    <w:tblStylePr w:type="firstCol">
      <w:rPr>
        <w:b/>
        <w:bCs/>
      </w:rPr>
    </w:tblStylePr>
    <w:tblStylePr w:type="lastCol">
      <w:rPr>
        <w:b/>
        <w:bCs/>
      </w:rPr>
    </w:tblStylePr>
    <w:tblStylePr w:type="band1Vert">
      <w:tblPr/>
      <w:tcPr>
        <w:shd w:val="clear" w:color="auto" w:fill="3D91F5" w:themeFill="accent1" w:themeFillTint="7F"/>
      </w:tcPr>
    </w:tblStylePr>
    <w:tblStylePr w:type="band1Horz">
      <w:tblPr/>
      <w:tcPr>
        <w:shd w:val="clear" w:color="auto" w:fill="3D91F5"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B1ABA" w:themeColor="accent2" w:themeTint="BF"/>
        <w:left w:val="single" w:sz="8" w:space="0" w:color="EB1ABA" w:themeColor="accent2" w:themeTint="BF"/>
        <w:bottom w:val="single" w:sz="8" w:space="0" w:color="EB1ABA" w:themeColor="accent2" w:themeTint="BF"/>
        <w:right w:val="single" w:sz="8" w:space="0" w:color="EB1ABA" w:themeColor="accent2" w:themeTint="BF"/>
        <w:insideH w:val="single" w:sz="8" w:space="0" w:color="EB1ABA" w:themeColor="accent2" w:themeTint="BF"/>
        <w:insideV w:val="single" w:sz="8" w:space="0" w:color="EB1ABA" w:themeColor="accent2" w:themeTint="BF"/>
      </w:tblBorders>
    </w:tblPr>
    <w:tcPr>
      <w:shd w:val="clear" w:color="auto" w:fill="F8B3E8" w:themeFill="accent2" w:themeFillTint="3F"/>
    </w:tcPr>
    <w:tblStylePr w:type="firstRow">
      <w:rPr>
        <w:b/>
        <w:bCs/>
      </w:rPr>
    </w:tblStylePr>
    <w:tblStylePr w:type="lastRow">
      <w:rPr>
        <w:b/>
        <w:bCs/>
      </w:rPr>
      <w:tblPr/>
      <w:tcPr>
        <w:tcBorders>
          <w:top w:val="single" w:sz="18" w:space="0" w:color="EB1ABA" w:themeColor="accent2" w:themeTint="BF"/>
        </w:tcBorders>
      </w:tcPr>
    </w:tblStylePr>
    <w:tblStylePr w:type="firstCol">
      <w:rPr>
        <w:b/>
        <w:bCs/>
      </w:rPr>
    </w:tblStylePr>
    <w:tblStylePr w:type="lastCol">
      <w:rPr>
        <w:b/>
        <w:bCs/>
      </w:rPr>
    </w:tblStylePr>
    <w:tblStylePr w:type="band1Vert">
      <w:tblPr/>
      <w:tcPr>
        <w:shd w:val="clear" w:color="auto" w:fill="F266D1" w:themeFill="accent2" w:themeFillTint="7F"/>
      </w:tcPr>
    </w:tblStylePr>
    <w:tblStylePr w:type="band1Horz">
      <w:tblPr/>
      <w:tcPr>
        <w:shd w:val="clear" w:color="auto" w:fill="F266D1"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1EE1BA" w:themeColor="accent3" w:themeTint="BF"/>
        <w:left w:val="single" w:sz="8" w:space="0" w:color="1EE1BA" w:themeColor="accent3" w:themeTint="BF"/>
        <w:bottom w:val="single" w:sz="8" w:space="0" w:color="1EE1BA" w:themeColor="accent3" w:themeTint="BF"/>
        <w:right w:val="single" w:sz="8" w:space="0" w:color="1EE1BA" w:themeColor="accent3" w:themeTint="BF"/>
        <w:insideH w:val="single" w:sz="8" w:space="0" w:color="1EE1BA" w:themeColor="accent3" w:themeTint="BF"/>
        <w:insideV w:val="single" w:sz="8" w:space="0" w:color="1EE1BA" w:themeColor="accent3" w:themeTint="BF"/>
      </w:tblBorders>
    </w:tblPr>
    <w:tcPr>
      <w:shd w:val="clear" w:color="auto" w:fill="B4F5E8" w:themeFill="accent3" w:themeFillTint="3F"/>
    </w:tcPr>
    <w:tblStylePr w:type="firstRow">
      <w:rPr>
        <w:b/>
        <w:bCs/>
      </w:rPr>
    </w:tblStylePr>
    <w:tblStylePr w:type="lastRow">
      <w:rPr>
        <w:b/>
        <w:bCs/>
      </w:rPr>
      <w:tblPr/>
      <w:tcPr>
        <w:tcBorders>
          <w:top w:val="single" w:sz="18" w:space="0" w:color="1EE1BA" w:themeColor="accent3" w:themeTint="BF"/>
        </w:tcBorders>
      </w:tcPr>
    </w:tblStylePr>
    <w:tblStylePr w:type="firstCol">
      <w:rPr>
        <w:b/>
        <w:bCs/>
      </w:rPr>
    </w:tblStylePr>
    <w:tblStylePr w:type="lastCol">
      <w:rPr>
        <w:b/>
        <w:bCs/>
      </w:rPr>
    </w:tblStylePr>
    <w:tblStylePr w:type="band1Vert">
      <w:tblPr/>
      <w:tcPr>
        <w:shd w:val="clear" w:color="auto" w:fill="69EBD1" w:themeFill="accent3" w:themeFillTint="7F"/>
      </w:tcPr>
    </w:tblStylePr>
    <w:tblStylePr w:type="band1Horz">
      <w:tblPr/>
      <w:tcPr>
        <w:shd w:val="clear" w:color="auto" w:fill="69EBD1"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4D735" w:themeColor="accent4" w:themeTint="BF"/>
        <w:left w:val="single" w:sz="8" w:space="0" w:color="94D735" w:themeColor="accent4" w:themeTint="BF"/>
        <w:bottom w:val="single" w:sz="8" w:space="0" w:color="94D735" w:themeColor="accent4" w:themeTint="BF"/>
        <w:right w:val="single" w:sz="8" w:space="0" w:color="94D735" w:themeColor="accent4" w:themeTint="BF"/>
        <w:insideH w:val="single" w:sz="8" w:space="0" w:color="94D735" w:themeColor="accent4" w:themeTint="BF"/>
        <w:insideV w:val="single" w:sz="8" w:space="0" w:color="94D735" w:themeColor="accent4" w:themeTint="BF"/>
      </w:tblBorders>
    </w:tblPr>
    <w:tcPr>
      <w:shd w:val="clear" w:color="auto" w:fill="DCF2BC" w:themeFill="accent4" w:themeFillTint="3F"/>
    </w:tcPr>
    <w:tblStylePr w:type="firstRow">
      <w:rPr>
        <w:b/>
        <w:bCs/>
      </w:rPr>
    </w:tblStylePr>
    <w:tblStylePr w:type="lastRow">
      <w:rPr>
        <w:b/>
        <w:bCs/>
      </w:rPr>
      <w:tblPr/>
      <w:tcPr>
        <w:tcBorders>
          <w:top w:val="single" w:sz="18" w:space="0" w:color="94D735" w:themeColor="accent4" w:themeTint="BF"/>
        </w:tcBorders>
      </w:tcPr>
    </w:tblStylePr>
    <w:tblStylePr w:type="firstCol">
      <w:rPr>
        <w:b/>
        <w:bCs/>
      </w:rPr>
    </w:tblStylePr>
    <w:tblStylePr w:type="lastCol">
      <w:rPr>
        <w:b/>
        <w:bCs/>
      </w:rPr>
    </w:tblStylePr>
    <w:tblStylePr w:type="band1Vert">
      <w:tblPr/>
      <w:tcPr>
        <w:shd w:val="clear" w:color="auto" w:fill="B8E479" w:themeFill="accent4" w:themeFillTint="7F"/>
      </w:tcPr>
    </w:tblStylePr>
    <w:tblStylePr w:type="band1Horz">
      <w:tblPr/>
      <w:tcPr>
        <w:shd w:val="clear" w:color="auto" w:fill="B8E479"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ED9C68" w:themeColor="accent5" w:themeTint="BF"/>
        <w:left w:val="single" w:sz="8" w:space="0" w:color="ED9C68" w:themeColor="accent5" w:themeTint="BF"/>
        <w:bottom w:val="single" w:sz="8" w:space="0" w:color="ED9C68" w:themeColor="accent5" w:themeTint="BF"/>
        <w:right w:val="single" w:sz="8" w:space="0" w:color="ED9C68" w:themeColor="accent5" w:themeTint="BF"/>
        <w:insideH w:val="single" w:sz="8" w:space="0" w:color="ED9C68" w:themeColor="accent5" w:themeTint="BF"/>
        <w:insideV w:val="single" w:sz="8" w:space="0" w:color="ED9C68" w:themeColor="accent5" w:themeTint="BF"/>
      </w:tblBorders>
    </w:tblPr>
    <w:tcPr>
      <w:shd w:val="clear" w:color="auto" w:fill="F9DECD" w:themeFill="accent5" w:themeFillTint="3F"/>
    </w:tcPr>
    <w:tblStylePr w:type="firstRow">
      <w:rPr>
        <w:b/>
        <w:bCs/>
      </w:rPr>
    </w:tblStylePr>
    <w:tblStylePr w:type="lastRow">
      <w:rPr>
        <w:b/>
        <w:bCs/>
      </w:rPr>
      <w:tblPr/>
      <w:tcPr>
        <w:tcBorders>
          <w:top w:val="single" w:sz="18" w:space="0" w:color="ED9C68" w:themeColor="accent5" w:themeTint="BF"/>
        </w:tcBorders>
      </w:tcPr>
    </w:tblStylePr>
    <w:tblStylePr w:type="firstCol">
      <w:rPr>
        <w:b/>
        <w:bCs/>
      </w:rPr>
    </w:tblStylePr>
    <w:tblStylePr w:type="lastCol">
      <w:rPr>
        <w:b/>
        <w:bCs/>
      </w:rPr>
    </w:tblStylePr>
    <w:tblStylePr w:type="band1Vert">
      <w:tblPr/>
      <w:tcPr>
        <w:shd w:val="clear" w:color="auto" w:fill="F3BD9B" w:themeFill="accent5" w:themeFillTint="7F"/>
      </w:tcPr>
    </w:tblStylePr>
    <w:tblStylePr w:type="band1Horz">
      <w:tblPr/>
      <w:tcPr>
        <w:shd w:val="clear" w:color="auto" w:fill="F3BD9B"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DF4E4F" w:themeColor="accent6" w:themeTint="BF"/>
        <w:left w:val="single" w:sz="8" w:space="0" w:color="DF4E4F" w:themeColor="accent6" w:themeTint="BF"/>
        <w:bottom w:val="single" w:sz="8" w:space="0" w:color="DF4E4F" w:themeColor="accent6" w:themeTint="BF"/>
        <w:right w:val="single" w:sz="8" w:space="0" w:color="DF4E4F" w:themeColor="accent6" w:themeTint="BF"/>
        <w:insideH w:val="single" w:sz="8" w:space="0" w:color="DF4E4F" w:themeColor="accent6" w:themeTint="BF"/>
        <w:insideV w:val="single" w:sz="8" w:space="0" w:color="DF4E4F" w:themeColor="accent6" w:themeTint="BF"/>
      </w:tblBorders>
    </w:tblPr>
    <w:tcPr>
      <w:shd w:val="clear" w:color="auto" w:fill="F4C4C4" w:themeFill="accent6" w:themeFillTint="3F"/>
    </w:tcPr>
    <w:tblStylePr w:type="firstRow">
      <w:rPr>
        <w:b/>
        <w:bCs/>
      </w:rPr>
    </w:tblStylePr>
    <w:tblStylePr w:type="lastRow">
      <w:rPr>
        <w:b/>
        <w:bCs/>
      </w:rPr>
      <w:tblPr/>
      <w:tcPr>
        <w:tcBorders>
          <w:top w:val="single" w:sz="18" w:space="0" w:color="DF4E4F" w:themeColor="accent6" w:themeTint="BF"/>
        </w:tcBorders>
      </w:tcPr>
    </w:tblStylePr>
    <w:tblStylePr w:type="firstCol">
      <w:rPr>
        <w:b/>
        <w:bCs/>
      </w:rPr>
    </w:tblStylePr>
    <w:tblStylePr w:type="lastCol">
      <w:rPr>
        <w:b/>
        <w:bCs/>
      </w:rPr>
    </w:tblStylePr>
    <w:tblStylePr w:type="band1Vert">
      <w:tblPr/>
      <w:tcPr>
        <w:shd w:val="clear" w:color="auto" w:fill="EA898A" w:themeFill="accent6" w:themeFillTint="7F"/>
      </w:tcPr>
    </w:tblStylePr>
    <w:tblStylePr w:type="band1Horz">
      <w:tblPr/>
      <w:tcPr>
        <w:shd w:val="clear" w:color="auto" w:fill="EA89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52F61" w:themeColor="accent1"/>
        <w:left w:val="single" w:sz="8" w:space="0" w:color="052F61" w:themeColor="accent1"/>
        <w:bottom w:val="single" w:sz="8" w:space="0" w:color="052F61" w:themeColor="accent1"/>
        <w:right w:val="single" w:sz="8" w:space="0" w:color="052F61" w:themeColor="accent1"/>
        <w:insideH w:val="single" w:sz="8" w:space="0" w:color="052F61" w:themeColor="accent1"/>
        <w:insideV w:val="single" w:sz="8" w:space="0" w:color="052F61" w:themeColor="accent1"/>
      </w:tblBorders>
    </w:tblPr>
    <w:tcPr>
      <w:shd w:val="clear" w:color="auto" w:fill="9EC8FA" w:themeFill="accent1" w:themeFillTint="3F"/>
    </w:tcPr>
    <w:tblStylePr w:type="firstRow">
      <w:rPr>
        <w:b/>
        <w:bCs/>
        <w:color w:val="000000" w:themeColor="text1"/>
      </w:rPr>
      <w:tblPr/>
      <w:tcPr>
        <w:shd w:val="clear" w:color="auto" w:fill="D8E9F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D2FB" w:themeFill="accent1" w:themeFillTint="33"/>
      </w:tcPr>
    </w:tblStylePr>
    <w:tblStylePr w:type="band1Vert">
      <w:tblPr/>
      <w:tcPr>
        <w:shd w:val="clear" w:color="auto" w:fill="3D91F5" w:themeFill="accent1" w:themeFillTint="7F"/>
      </w:tcPr>
    </w:tblStylePr>
    <w:tblStylePr w:type="band1Horz">
      <w:tblPr/>
      <w:tcPr>
        <w:tcBorders>
          <w:insideH w:val="single" w:sz="6" w:space="0" w:color="052F61" w:themeColor="accent1"/>
          <w:insideV w:val="single" w:sz="6" w:space="0" w:color="052F61" w:themeColor="accent1"/>
        </w:tcBorders>
        <w:shd w:val="clear" w:color="auto" w:fill="3D91F5"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0E82" w:themeColor="accent2"/>
        <w:left w:val="single" w:sz="8" w:space="0" w:color="A50E82" w:themeColor="accent2"/>
        <w:bottom w:val="single" w:sz="8" w:space="0" w:color="A50E82" w:themeColor="accent2"/>
        <w:right w:val="single" w:sz="8" w:space="0" w:color="A50E82" w:themeColor="accent2"/>
        <w:insideH w:val="single" w:sz="8" w:space="0" w:color="A50E82" w:themeColor="accent2"/>
        <w:insideV w:val="single" w:sz="8" w:space="0" w:color="A50E82" w:themeColor="accent2"/>
      </w:tblBorders>
    </w:tblPr>
    <w:tcPr>
      <w:shd w:val="clear" w:color="auto" w:fill="F8B3E8" w:themeFill="accent2" w:themeFillTint="3F"/>
    </w:tcPr>
    <w:tblStylePr w:type="firstRow">
      <w:rPr>
        <w:b/>
        <w:bCs/>
        <w:color w:val="000000" w:themeColor="text1"/>
      </w:rPr>
      <w:tblPr/>
      <w:tcPr>
        <w:shd w:val="clear" w:color="auto" w:fill="FCE0F5"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C1EC" w:themeFill="accent2" w:themeFillTint="33"/>
      </w:tcPr>
    </w:tblStylePr>
    <w:tblStylePr w:type="band1Vert">
      <w:tblPr/>
      <w:tcPr>
        <w:shd w:val="clear" w:color="auto" w:fill="F266D1" w:themeFill="accent2" w:themeFillTint="7F"/>
      </w:tcPr>
    </w:tblStylePr>
    <w:tblStylePr w:type="band1Horz">
      <w:tblPr/>
      <w:tcPr>
        <w:tcBorders>
          <w:insideH w:val="single" w:sz="6" w:space="0" w:color="A50E82" w:themeColor="accent2"/>
          <w:insideV w:val="single" w:sz="6" w:space="0" w:color="A50E82" w:themeColor="accent2"/>
        </w:tcBorders>
        <w:shd w:val="clear" w:color="auto" w:fill="F266D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cPr>
      <w:shd w:val="clear" w:color="auto" w:fill="B4F5E8" w:themeFill="accent3" w:themeFillTint="3F"/>
    </w:tcPr>
    <w:tblStylePr w:type="firstRow">
      <w:rPr>
        <w:b/>
        <w:bCs/>
        <w:color w:val="000000" w:themeColor="text1"/>
      </w:rPr>
      <w:tblPr/>
      <w:tcPr>
        <w:shd w:val="clear" w:color="auto" w:fill="E1FB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3F7EC" w:themeFill="accent3" w:themeFillTint="33"/>
      </w:tcPr>
    </w:tblStylePr>
    <w:tblStylePr w:type="band1Vert">
      <w:tblPr/>
      <w:tcPr>
        <w:shd w:val="clear" w:color="auto" w:fill="69EBD1" w:themeFill="accent3" w:themeFillTint="7F"/>
      </w:tcPr>
    </w:tblStylePr>
    <w:tblStylePr w:type="band1Horz">
      <w:tblPr/>
      <w:tcPr>
        <w:tcBorders>
          <w:insideH w:val="single" w:sz="6" w:space="0" w:color="14967C" w:themeColor="accent3"/>
          <w:insideV w:val="single" w:sz="6" w:space="0" w:color="14967C" w:themeColor="accent3"/>
        </w:tcBorders>
        <w:shd w:val="clear" w:color="auto" w:fill="69EBD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9E1F" w:themeColor="accent4"/>
        <w:left w:val="single" w:sz="8" w:space="0" w:color="6A9E1F" w:themeColor="accent4"/>
        <w:bottom w:val="single" w:sz="8" w:space="0" w:color="6A9E1F" w:themeColor="accent4"/>
        <w:right w:val="single" w:sz="8" w:space="0" w:color="6A9E1F" w:themeColor="accent4"/>
        <w:insideH w:val="single" w:sz="8" w:space="0" w:color="6A9E1F" w:themeColor="accent4"/>
        <w:insideV w:val="single" w:sz="8" w:space="0" w:color="6A9E1F" w:themeColor="accent4"/>
      </w:tblBorders>
    </w:tblPr>
    <w:tcPr>
      <w:shd w:val="clear" w:color="auto" w:fill="DCF2BC" w:themeFill="accent4" w:themeFillTint="3F"/>
    </w:tcPr>
    <w:tblStylePr w:type="firstRow">
      <w:rPr>
        <w:b/>
        <w:bCs/>
        <w:color w:val="000000" w:themeColor="text1"/>
      </w:rPr>
      <w:tblPr/>
      <w:tcPr>
        <w:shd w:val="clear" w:color="auto" w:fill="F1F9E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F4C9" w:themeFill="accent4" w:themeFillTint="33"/>
      </w:tcPr>
    </w:tblStylePr>
    <w:tblStylePr w:type="band1Vert">
      <w:tblPr/>
      <w:tcPr>
        <w:shd w:val="clear" w:color="auto" w:fill="B8E479" w:themeFill="accent4" w:themeFillTint="7F"/>
      </w:tcPr>
    </w:tblStylePr>
    <w:tblStylePr w:type="band1Horz">
      <w:tblPr/>
      <w:tcPr>
        <w:tcBorders>
          <w:insideH w:val="single" w:sz="6" w:space="0" w:color="6A9E1F" w:themeColor="accent4"/>
          <w:insideV w:val="single" w:sz="6" w:space="0" w:color="6A9E1F" w:themeColor="accent4"/>
        </w:tcBorders>
        <w:shd w:val="clear" w:color="auto" w:fill="B8E47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7D37" w:themeColor="accent5"/>
        <w:left w:val="single" w:sz="8" w:space="0" w:color="E87D37" w:themeColor="accent5"/>
        <w:bottom w:val="single" w:sz="8" w:space="0" w:color="E87D37" w:themeColor="accent5"/>
        <w:right w:val="single" w:sz="8" w:space="0" w:color="E87D37" w:themeColor="accent5"/>
        <w:insideH w:val="single" w:sz="8" w:space="0" w:color="E87D37" w:themeColor="accent5"/>
        <w:insideV w:val="single" w:sz="8" w:space="0" w:color="E87D37" w:themeColor="accent5"/>
      </w:tblBorders>
    </w:tblPr>
    <w:tcPr>
      <w:shd w:val="clear" w:color="auto" w:fill="F9DECD" w:themeFill="accent5" w:themeFillTint="3F"/>
    </w:tcPr>
    <w:tblStylePr w:type="firstRow">
      <w:rPr>
        <w:b/>
        <w:bCs/>
        <w:color w:val="000000" w:themeColor="text1"/>
      </w:rPr>
      <w:tblPr/>
      <w:tcPr>
        <w:shd w:val="clear" w:color="auto" w:fill="FCF2E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4D6" w:themeFill="accent5" w:themeFillTint="33"/>
      </w:tcPr>
    </w:tblStylePr>
    <w:tblStylePr w:type="band1Vert">
      <w:tblPr/>
      <w:tcPr>
        <w:shd w:val="clear" w:color="auto" w:fill="F3BD9B" w:themeFill="accent5" w:themeFillTint="7F"/>
      </w:tcPr>
    </w:tblStylePr>
    <w:tblStylePr w:type="band1Horz">
      <w:tblPr/>
      <w:tcPr>
        <w:tcBorders>
          <w:insideH w:val="single" w:sz="6" w:space="0" w:color="E87D37" w:themeColor="accent5"/>
          <w:insideV w:val="single" w:sz="6" w:space="0" w:color="E87D37" w:themeColor="accent5"/>
        </w:tcBorders>
        <w:shd w:val="clear" w:color="auto" w:fill="F3BD9B"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62324" w:themeColor="accent6"/>
        <w:left w:val="single" w:sz="8" w:space="0" w:color="C62324" w:themeColor="accent6"/>
        <w:bottom w:val="single" w:sz="8" w:space="0" w:color="C62324" w:themeColor="accent6"/>
        <w:right w:val="single" w:sz="8" w:space="0" w:color="C62324" w:themeColor="accent6"/>
        <w:insideH w:val="single" w:sz="8" w:space="0" w:color="C62324" w:themeColor="accent6"/>
        <w:insideV w:val="single" w:sz="8" w:space="0" w:color="C62324" w:themeColor="accent6"/>
      </w:tblBorders>
    </w:tblPr>
    <w:tcPr>
      <w:shd w:val="clear" w:color="auto" w:fill="F4C4C4" w:themeFill="accent6" w:themeFillTint="3F"/>
    </w:tcPr>
    <w:tblStylePr w:type="firstRow">
      <w:rPr>
        <w:b/>
        <w:bCs/>
        <w:color w:val="000000" w:themeColor="text1"/>
      </w:rPr>
      <w:tblPr/>
      <w:tcPr>
        <w:shd w:val="clear" w:color="auto" w:fill="FBE7E7"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FCF" w:themeFill="accent6" w:themeFillTint="33"/>
      </w:tcPr>
    </w:tblStylePr>
    <w:tblStylePr w:type="band1Vert">
      <w:tblPr/>
      <w:tcPr>
        <w:shd w:val="clear" w:color="auto" w:fill="EA898A" w:themeFill="accent6" w:themeFillTint="7F"/>
      </w:tcPr>
    </w:tblStylePr>
    <w:tblStylePr w:type="band1Horz">
      <w:tblPr/>
      <w:tcPr>
        <w:tcBorders>
          <w:insideH w:val="single" w:sz="6" w:space="0" w:color="C62324" w:themeColor="accent6"/>
          <w:insideV w:val="single" w:sz="6" w:space="0" w:color="C62324" w:themeColor="accent6"/>
        </w:tcBorders>
        <w:shd w:val="clear" w:color="auto" w:fill="EA89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C8F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52F6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52F6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52F6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52F6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D91F5"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D91F5"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B3E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0E8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0E8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0E8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0E8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66D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66D1"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F5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4967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4967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4967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4967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9EBD1"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9EBD1"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F2B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A9E1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A9E1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A9E1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A9E1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8E47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8E479"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EC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7D37"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7D37"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7D37"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7D37"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BD9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BD9B"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C4C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62324"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62324"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62324"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62324"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89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89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052F61"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2173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3234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32348" w:themeFill="accent1" w:themeFillShade="BF"/>
      </w:tcPr>
    </w:tblStylePr>
    <w:tblStylePr w:type="band1Vert">
      <w:tblPr/>
      <w:tcPr>
        <w:tcBorders>
          <w:top w:val="nil"/>
          <w:left w:val="nil"/>
          <w:bottom w:val="nil"/>
          <w:right w:val="nil"/>
          <w:insideH w:val="nil"/>
          <w:insideV w:val="nil"/>
        </w:tcBorders>
        <w:shd w:val="clear" w:color="auto" w:fill="032348" w:themeFill="accent1" w:themeFillShade="BF"/>
      </w:tcPr>
    </w:tblStylePr>
    <w:tblStylePr w:type="band1Horz">
      <w:tblPr/>
      <w:tcPr>
        <w:tcBorders>
          <w:top w:val="nil"/>
          <w:left w:val="nil"/>
          <w:bottom w:val="nil"/>
          <w:right w:val="nil"/>
          <w:insideH w:val="nil"/>
          <w:insideV w:val="nil"/>
        </w:tcBorders>
        <w:shd w:val="clear" w:color="auto" w:fill="032348"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A50E8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074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B0A6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B0A60" w:themeFill="accent2" w:themeFillShade="BF"/>
      </w:tcPr>
    </w:tblStylePr>
    <w:tblStylePr w:type="band1Vert">
      <w:tblPr/>
      <w:tcPr>
        <w:tcBorders>
          <w:top w:val="nil"/>
          <w:left w:val="nil"/>
          <w:bottom w:val="nil"/>
          <w:right w:val="nil"/>
          <w:insideH w:val="nil"/>
          <w:insideV w:val="nil"/>
        </w:tcBorders>
        <w:shd w:val="clear" w:color="auto" w:fill="7B0A60" w:themeFill="accent2" w:themeFillShade="BF"/>
      </w:tcPr>
    </w:tblStylePr>
    <w:tblStylePr w:type="band1Horz">
      <w:tblPr/>
      <w:tcPr>
        <w:tcBorders>
          <w:top w:val="nil"/>
          <w:left w:val="nil"/>
          <w:bottom w:val="nil"/>
          <w:right w:val="nil"/>
          <w:insideH w:val="nil"/>
          <w:insideV w:val="nil"/>
        </w:tcBorders>
        <w:shd w:val="clear" w:color="auto" w:fill="7B0A60"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4967C"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4A3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F705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F705C" w:themeFill="accent3" w:themeFillShade="BF"/>
      </w:tcPr>
    </w:tblStylePr>
    <w:tblStylePr w:type="band1Vert">
      <w:tblPr/>
      <w:tcPr>
        <w:tcBorders>
          <w:top w:val="nil"/>
          <w:left w:val="nil"/>
          <w:bottom w:val="nil"/>
          <w:right w:val="nil"/>
          <w:insideH w:val="nil"/>
          <w:insideV w:val="nil"/>
        </w:tcBorders>
        <w:shd w:val="clear" w:color="auto" w:fill="0F705C" w:themeFill="accent3" w:themeFillShade="BF"/>
      </w:tcPr>
    </w:tblStylePr>
    <w:tblStylePr w:type="band1Horz">
      <w:tblPr/>
      <w:tcPr>
        <w:tcBorders>
          <w:top w:val="nil"/>
          <w:left w:val="nil"/>
          <w:bottom w:val="nil"/>
          <w:right w:val="nil"/>
          <w:insideH w:val="nil"/>
          <w:insideV w:val="nil"/>
        </w:tcBorders>
        <w:shd w:val="clear" w:color="auto" w:fill="0F705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6A9E1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4E0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F761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F7617" w:themeFill="accent4" w:themeFillShade="BF"/>
      </w:tcPr>
    </w:tblStylePr>
    <w:tblStylePr w:type="band1Vert">
      <w:tblPr/>
      <w:tcPr>
        <w:tcBorders>
          <w:top w:val="nil"/>
          <w:left w:val="nil"/>
          <w:bottom w:val="nil"/>
          <w:right w:val="nil"/>
          <w:insideH w:val="nil"/>
          <w:insideV w:val="nil"/>
        </w:tcBorders>
        <w:shd w:val="clear" w:color="auto" w:fill="4F7617" w:themeFill="accent4" w:themeFillShade="BF"/>
      </w:tcPr>
    </w:tblStylePr>
    <w:tblStylePr w:type="band1Horz">
      <w:tblPr/>
      <w:tcPr>
        <w:tcBorders>
          <w:top w:val="nil"/>
          <w:left w:val="nil"/>
          <w:bottom w:val="nil"/>
          <w:right w:val="nil"/>
          <w:insideH w:val="nil"/>
          <w:insideV w:val="nil"/>
        </w:tcBorders>
        <w:shd w:val="clear" w:color="auto" w:fill="4F7617"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E87D37"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B0E"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C0591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C05916" w:themeFill="accent5" w:themeFillShade="BF"/>
      </w:tcPr>
    </w:tblStylePr>
    <w:tblStylePr w:type="band1Vert">
      <w:tblPr/>
      <w:tcPr>
        <w:tcBorders>
          <w:top w:val="nil"/>
          <w:left w:val="nil"/>
          <w:bottom w:val="nil"/>
          <w:right w:val="nil"/>
          <w:insideH w:val="nil"/>
          <w:insideV w:val="nil"/>
        </w:tcBorders>
        <w:shd w:val="clear" w:color="auto" w:fill="C05916" w:themeFill="accent5" w:themeFillShade="BF"/>
      </w:tcPr>
    </w:tblStylePr>
    <w:tblStylePr w:type="band1Horz">
      <w:tblPr/>
      <w:tcPr>
        <w:tcBorders>
          <w:top w:val="nil"/>
          <w:left w:val="nil"/>
          <w:bottom w:val="nil"/>
          <w:right w:val="nil"/>
          <w:insideH w:val="nil"/>
          <w:insideV w:val="nil"/>
        </w:tcBorders>
        <w:shd w:val="clear" w:color="auto" w:fill="C05916"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C62324"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1111"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41A1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41A1A" w:themeFill="accent6" w:themeFillShade="BF"/>
      </w:tcPr>
    </w:tblStylePr>
    <w:tblStylePr w:type="band1Vert">
      <w:tblPr/>
      <w:tcPr>
        <w:tcBorders>
          <w:top w:val="nil"/>
          <w:left w:val="nil"/>
          <w:bottom w:val="nil"/>
          <w:right w:val="nil"/>
          <w:insideH w:val="nil"/>
          <w:insideV w:val="nil"/>
        </w:tcBorders>
        <w:shd w:val="clear" w:color="auto" w:fill="941A1A" w:themeFill="accent6" w:themeFillShade="BF"/>
      </w:tcPr>
    </w:tblStylePr>
    <w:tblStylePr w:type="band1Horz">
      <w:tblPr/>
      <w:tcPr>
        <w:tcBorders>
          <w:top w:val="nil"/>
          <w:left w:val="nil"/>
          <w:bottom w:val="nil"/>
          <w:right w:val="nil"/>
          <w:insideH w:val="nil"/>
          <w:insideV w:val="nil"/>
        </w:tcBorders>
        <w:shd w:val="clear" w:color="auto" w:fill="941A1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A50E8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A50E8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A50E82" w:themeColor="accent2"/>
        <w:left w:val="single" w:sz="4" w:space="0" w:color="052F61" w:themeColor="accent1"/>
        <w:bottom w:val="single" w:sz="4" w:space="0" w:color="052F61" w:themeColor="accent1"/>
        <w:right w:val="single" w:sz="4" w:space="0" w:color="052F61" w:themeColor="accent1"/>
        <w:insideH w:val="single" w:sz="4" w:space="0" w:color="FFFFFF" w:themeColor="background1"/>
        <w:insideV w:val="single" w:sz="4" w:space="0" w:color="FFFFFF" w:themeColor="background1"/>
      </w:tblBorders>
    </w:tblPr>
    <w:tcPr>
      <w:shd w:val="clear" w:color="auto" w:fill="D8E9FD" w:themeFill="accent1" w:themeFillTint="19"/>
    </w:tcPr>
    <w:tblStylePr w:type="firstRow">
      <w:rPr>
        <w:b/>
        <w:bCs/>
      </w:rPr>
      <w:tblPr/>
      <w:tcPr>
        <w:tcBorders>
          <w:top w:val="nil"/>
          <w:left w:val="nil"/>
          <w:bottom w:val="single" w:sz="24" w:space="0" w:color="A50E8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31C3A" w:themeFill="accent1" w:themeFillShade="99"/>
      </w:tcPr>
    </w:tblStylePr>
    <w:tblStylePr w:type="firstCol">
      <w:rPr>
        <w:color w:val="FFFFFF" w:themeColor="background1"/>
      </w:rPr>
      <w:tblPr/>
      <w:tcPr>
        <w:tcBorders>
          <w:top w:val="nil"/>
          <w:left w:val="nil"/>
          <w:bottom w:val="nil"/>
          <w:right w:val="nil"/>
          <w:insideH w:val="single" w:sz="4" w:space="0" w:color="031C3A" w:themeColor="accent1" w:themeShade="99"/>
          <w:insideV w:val="nil"/>
        </w:tcBorders>
        <w:shd w:val="clear" w:color="auto" w:fill="031C3A"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31C3A" w:themeFill="accent1" w:themeFillShade="99"/>
      </w:tcPr>
    </w:tblStylePr>
    <w:tblStylePr w:type="band1Vert">
      <w:tblPr/>
      <w:tcPr>
        <w:shd w:val="clear" w:color="auto" w:fill="63A6F7" w:themeFill="accent1" w:themeFillTint="66"/>
      </w:tcPr>
    </w:tblStylePr>
    <w:tblStylePr w:type="band1Horz">
      <w:tblPr/>
      <w:tcPr>
        <w:shd w:val="clear" w:color="auto" w:fill="3D91F5"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A50E82" w:themeColor="accent2"/>
        <w:left w:val="single" w:sz="4" w:space="0" w:color="A50E82" w:themeColor="accent2"/>
        <w:bottom w:val="single" w:sz="4" w:space="0" w:color="A50E82" w:themeColor="accent2"/>
        <w:right w:val="single" w:sz="4" w:space="0" w:color="A50E82" w:themeColor="accent2"/>
        <w:insideH w:val="single" w:sz="4" w:space="0" w:color="FFFFFF" w:themeColor="background1"/>
        <w:insideV w:val="single" w:sz="4" w:space="0" w:color="FFFFFF" w:themeColor="background1"/>
      </w:tblBorders>
    </w:tblPr>
    <w:tcPr>
      <w:shd w:val="clear" w:color="auto" w:fill="FCE0F5" w:themeFill="accent2" w:themeFillTint="19"/>
    </w:tcPr>
    <w:tblStylePr w:type="firstRow">
      <w:rPr>
        <w:b/>
        <w:bCs/>
      </w:rPr>
      <w:tblPr/>
      <w:tcPr>
        <w:tcBorders>
          <w:top w:val="nil"/>
          <w:left w:val="nil"/>
          <w:bottom w:val="single" w:sz="24" w:space="0" w:color="A50E8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2084D" w:themeFill="accent2" w:themeFillShade="99"/>
      </w:tcPr>
    </w:tblStylePr>
    <w:tblStylePr w:type="firstCol">
      <w:rPr>
        <w:color w:val="FFFFFF" w:themeColor="background1"/>
      </w:rPr>
      <w:tblPr/>
      <w:tcPr>
        <w:tcBorders>
          <w:top w:val="nil"/>
          <w:left w:val="nil"/>
          <w:bottom w:val="nil"/>
          <w:right w:val="nil"/>
          <w:insideH w:val="single" w:sz="4" w:space="0" w:color="62084D" w:themeColor="accent2" w:themeShade="99"/>
          <w:insideV w:val="nil"/>
        </w:tcBorders>
        <w:shd w:val="clear" w:color="auto" w:fill="62084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2084D" w:themeFill="accent2" w:themeFillShade="99"/>
      </w:tcPr>
    </w:tblStylePr>
    <w:tblStylePr w:type="band1Vert">
      <w:tblPr/>
      <w:tcPr>
        <w:shd w:val="clear" w:color="auto" w:fill="F484DA" w:themeFill="accent2" w:themeFillTint="66"/>
      </w:tcPr>
    </w:tblStylePr>
    <w:tblStylePr w:type="band1Horz">
      <w:tblPr/>
      <w:tcPr>
        <w:shd w:val="clear" w:color="auto" w:fill="F266D1"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6A9E1F" w:themeColor="accent4"/>
        <w:left w:val="single" w:sz="4" w:space="0" w:color="14967C" w:themeColor="accent3"/>
        <w:bottom w:val="single" w:sz="4" w:space="0" w:color="14967C" w:themeColor="accent3"/>
        <w:right w:val="single" w:sz="4" w:space="0" w:color="14967C" w:themeColor="accent3"/>
        <w:insideH w:val="single" w:sz="4" w:space="0" w:color="FFFFFF" w:themeColor="background1"/>
        <w:insideV w:val="single" w:sz="4" w:space="0" w:color="FFFFFF" w:themeColor="background1"/>
      </w:tblBorders>
    </w:tblPr>
    <w:tcPr>
      <w:shd w:val="clear" w:color="auto" w:fill="E1FBF6" w:themeFill="accent3" w:themeFillTint="19"/>
    </w:tcPr>
    <w:tblStylePr w:type="firstRow">
      <w:rPr>
        <w:b/>
        <w:bCs/>
      </w:rPr>
      <w:tblPr/>
      <w:tcPr>
        <w:tcBorders>
          <w:top w:val="nil"/>
          <w:left w:val="nil"/>
          <w:bottom w:val="single" w:sz="24" w:space="0" w:color="6A9E1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5A4A" w:themeFill="accent3" w:themeFillShade="99"/>
      </w:tcPr>
    </w:tblStylePr>
    <w:tblStylePr w:type="firstCol">
      <w:rPr>
        <w:color w:val="FFFFFF" w:themeColor="background1"/>
      </w:rPr>
      <w:tblPr/>
      <w:tcPr>
        <w:tcBorders>
          <w:top w:val="nil"/>
          <w:left w:val="nil"/>
          <w:bottom w:val="nil"/>
          <w:right w:val="nil"/>
          <w:insideH w:val="single" w:sz="4" w:space="0" w:color="0C5A4A" w:themeColor="accent3" w:themeShade="99"/>
          <w:insideV w:val="nil"/>
        </w:tcBorders>
        <w:shd w:val="clear" w:color="auto" w:fill="0C5A4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C5A4A" w:themeFill="accent3" w:themeFillShade="99"/>
      </w:tcPr>
    </w:tblStylePr>
    <w:tblStylePr w:type="band1Vert">
      <w:tblPr/>
      <w:tcPr>
        <w:shd w:val="clear" w:color="auto" w:fill="87EFDA" w:themeFill="accent3" w:themeFillTint="66"/>
      </w:tcPr>
    </w:tblStylePr>
    <w:tblStylePr w:type="band1Horz">
      <w:tblPr/>
      <w:tcPr>
        <w:shd w:val="clear" w:color="auto" w:fill="69EBD1"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4967C" w:themeColor="accent3"/>
        <w:left w:val="single" w:sz="4" w:space="0" w:color="6A9E1F" w:themeColor="accent4"/>
        <w:bottom w:val="single" w:sz="4" w:space="0" w:color="6A9E1F" w:themeColor="accent4"/>
        <w:right w:val="single" w:sz="4" w:space="0" w:color="6A9E1F" w:themeColor="accent4"/>
        <w:insideH w:val="single" w:sz="4" w:space="0" w:color="FFFFFF" w:themeColor="background1"/>
        <w:insideV w:val="single" w:sz="4" w:space="0" w:color="FFFFFF" w:themeColor="background1"/>
      </w:tblBorders>
    </w:tblPr>
    <w:tcPr>
      <w:shd w:val="clear" w:color="auto" w:fill="F1F9E4" w:themeFill="accent4" w:themeFillTint="19"/>
    </w:tcPr>
    <w:tblStylePr w:type="firstRow">
      <w:rPr>
        <w:b/>
        <w:bCs/>
      </w:rPr>
      <w:tblPr/>
      <w:tcPr>
        <w:tcBorders>
          <w:top w:val="nil"/>
          <w:left w:val="nil"/>
          <w:bottom w:val="single" w:sz="24" w:space="0" w:color="14967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F5E12" w:themeFill="accent4" w:themeFillShade="99"/>
      </w:tcPr>
    </w:tblStylePr>
    <w:tblStylePr w:type="firstCol">
      <w:rPr>
        <w:color w:val="FFFFFF" w:themeColor="background1"/>
      </w:rPr>
      <w:tblPr/>
      <w:tcPr>
        <w:tcBorders>
          <w:top w:val="nil"/>
          <w:left w:val="nil"/>
          <w:bottom w:val="nil"/>
          <w:right w:val="nil"/>
          <w:insideH w:val="single" w:sz="4" w:space="0" w:color="3F5E12" w:themeColor="accent4" w:themeShade="99"/>
          <w:insideV w:val="nil"/>
        </w:tcBorders>
        <w:shd w:val="clear" w:color="auto" w:fill="3F5E1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F5E12" w:themeFill="accent4" w:themeFillShade="99"/>
      </w:tcPr>
    </w:tblStylePr>
    <w:tblStylePr w:type="band1Vert">
      <w:tblPr/>
      <w:tcPr>
        <w:shd w:val="clear" w:color="auto" w:fill="C6EA93" w:themeFill="accent4" w:themeFillTint="66"/>
      </w:tcPr>
    </w:tblStylePr>
    <w:tblStylePr w:type="band1Horz">
      <w:tblPr/>
      <w:tcPr>
        <w:shd w:val="clear" w:color="auto" w:fill="B8E479"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C62324" w:themeColor="accent6"/>
        <w:left w:val="single" w:sz="4" w:space="0" w:color="E87D37" w:themeColor="accent5"/>
        <w:bottom w:val="single" w:sz="4" w:space="0" w:color="E87D37" w:themeColor="accent5"/>
        <w:right w:val="single" w:sz="4" w:space="0" w:color="E87D37" w:themeColor="accent5"/>
        <w:insideH w:val="single" w:sz="4" w:space="0" w:color="FFFFFF" w:themeColor="background1"/>
        <w:insideV w:val="single" w:sz="4" w:space="0" w:color="FFFFFF" w:themeColor="background1"/>
      </w:tblBorders>
    </w:tblPr>
    <w:tcPr>
      <w:shd w:val="clear" w:color="auto" w:fill="FCF2EB" w:themeFill="accent5" w:themeFillTint="19"/>
    </w:tcPr>
    <w:tblStylePr w:type="firstRow">
      <w:rPr>
        <w:b/>
        <w:bCs/>
      </w:rPr>
      <w:tblPr/>
      <w:tcPr>
        <w:tcBorders>
          <w:top w:val="nil"/>
          <w:left w:val="nil"/>
          <w:bottom w:val="single" w:sz="24" w:space="0" w:color="C62324"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A4711" w:themeFill="accent5" w:themeFillShade="99"/>
      </w:tcPr>
    </w:tblStylePr>
    <w:tblStylePr w:type="firstCol">
      <w:rPr>
        <w:color w:val="FFFFFF" w:themeColor="background1"/>
      </w:rPr>
      <w:tblPr/>
      <w:tcPr>
        <w:tcBorders>
          <w:top w:val="nil"/>
          <w:left w:val="nil"/>
          <w:bottom w:val="nil"/>
          <w:right w:val="nil"/>
          <w:insideH w:val="single" w:sz="4" w:space="0" w:color="9A4711" w:themeColor="accent5" w:themeShade="99"/>
          <w:insideV w:val="nil"/>
        </w:tcBorders>
        <w:shd w:val="clear" w:color="auto" w:fill="9A471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A4711" w:themeFill="accent5" w:themeFillShade="99"/>
      </w:tcPr>
    </w:tblStylePr>
    <w:tblStylePr w:type="band1Vert">
      <w:tblPr/>
      <w:tcPr>
        <w:shd w:val="clear" w:color="auto" w:fill="F5CAAE" w:themeFill="accent5" w:themeFillTint="66"/>
      </w:tcPr>
    </w:tblStylePr>
    <w:tblStylePr w:type="band1Horz">
      <w:tblPr/>
      <w:tcPr>
        <w:shd w:val="clear" w:color="auto" w:fill="F3BD9B"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E87D37" w:themeColor="accent5"/>
        <w:left w:val="single" w:sz="4" w:space="0" w:color="C62324" w:themeColor="accent6"/>
        <w:bottom w:val="single" w:sz="4" w:space="0" w:color="C62324" w:themeColor="accent6"/>
        <w:right w:val="single" w:sz="4" w:space="0" w:color="C62324" w:themeColor="accent6"/>
        <w:insideH w:val="single" w:sz="4" w:space="0" w:color="FFFFFF" w:themeColor="background1"/>
        <w:insideV w:val="single" w:sz="4" w:space="0" w:color="FFFFFF" w:themeColor="background1"/>
      </w:tblBorders>
    </w:tblPr>
    <w:tcPr>
      <w:shd w:val="clear" w:color="auto" w:fill="FBE7E7" w:themeFill="accent6" w:themeFillTint="19"/>
    </w:tcPr>
    <w:tblStylePr w:type="firstRow">
      <w:rPr>
        <w:b/>
        <w:bCs/>
      </w:rPr>
      <w:tblPr/>
      <w:tcPr>
        <w:tcBorders>
          <w:top w:val="nil"/>
          <w:left w:val="nil"/>
          <w:bottom w:val="single" w:sz="24" w:space="0" w:color="E87D37"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61515" w:themeFill="accent6" w:themeFillShade="99"/>
      </w:tcPr>
    </w:tblStylePr>
    <w:tblStylePr w:type="firstCol">
      <w:rPr>
        <w:color w:val="FFFFFF" w:themeColor="background1"/>
      </w:rPr>
      <w:tblPr/>
      <w:tcPr>
        <w:tcBorders>
          <w:top w:val="nil"/>
          <w:left w:val="nil"/>
          <w:bottom w:val="nil"/>
          <w:right w:val="nil"/>
          <w:insideH w:val="single" w:sz="4" w:space="0" w:color="761515" w:themeColor="accent6" w:themeShade="99"/>
          <w:insideV w:val="nil"/>
        </w:tcBorders>
        <w:shd w:val="clear" w:color="auto" w:fill="761515"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61515" w:themeFill="accent6" w:themeFillShade="99"/>
      </w:tcPr>
    </w:tblStylePr>
    <w:tblStylePr w:type="band1Vert">
      <w:tblPr/>
      <w:tcPr>
        <w:shd w:val="clear" w:color="auto" w:fill="EEA0A0" w:themeFill="accent6" w:themeFillTint="66"/>
      </w:tcPr>
    </w:tblStylePr>
    <w:tblStylePr w:type="band1Horz">
      <w:tblPr/>
      <w:tcPr>
        <w:shd w:val="clear" w:color="auto" w:fill="EA89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30B67" w:themeFill="accent2" w:themeFillShade="CC"/>
      </w:tcPr>
    </w:tblStylePr>
    <w:tblStylePr w:type="lastRow">
      <w:rPr>
        <w:b/>
        <w:bCs/>
        <w:color w:val="830B6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D8E9FD" w:themeFill="accent1" w:themeFillTint="19"/>
    </w:tcPr>
    <w:tblStylePr w:type="firstRow">
      <w:rPr>
        <w:b/>
        <w:bCs/>
        <w:color w:val="FFFFFF" w:themeColor="background1"/>
      </w:rPr>
      <w:tblPr/>
      <w:tcPr>
        <w:tcBorders>
          <w:bottom w:val="single" w:sz="12" w:space="0" w:color="FFFFFF" w:themeColor="background1"/>
        </w:tcBorders>
        <w:shd w:val="clear" w:color="auto" w:fill="830B67" w:themeFill="accent2" w:themeFillShade="CC"/>
      </w:tcPr>
    </w:tblStylePr>
    <w:tblStylePr w:type="lastRow">
      <w:rPr>
        <w:b/>
        <w:bCs/>
        <w:color w:val="830B6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C8FA" w:themeFill="accent1" w:themeFillTint="3F"/>
      </w:tcPr>
    </w:tblStylePr>
    <w:tblStylePr w:type="band1Horz">
      <w:tblPr/>
      <w:tcPr>
        <w:shd w:val="clear" w:color="auto" w:fill="B1D2FB"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E0F5" w:themeFill="accent2" w:themeFillTint="19"/>
    </w:tcPr>
    <w:tblStylePr w:type="firstRow">
      <w:rPr>
        <w:b/>
        <w:bCs/>
        <w:color w:val="FFFFFF" w:themeColor="background1"/>
      </w:rPr>
      <w:tblPr/>
      <w:tcPr>
        <w:tcBorders>
          <w:bottom w:val="single" w:sz="12" w:space="0" w:color="FFFFFF" w:themeColor="background1"/>
        </w:tcBorders>
        <w:shd w:val="clear" w:color="auto" w:fill="830B67" w:themeFill="accent2" w:themeFillShade="CC"/>
      </w:tcPr>
    </w:tblStylePr>
    <w:tblStylePr w:type="lastRow">
      <w:rPr>
        <w:b/>
        <w:bCs/>
        <w:color w:val="830B6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B3E8" w:themeFill="accent2" w:themeFillTint="3F"/>
      </w:tcPr>
    </w:tblStylePr>
    <w:tblStylePr w:type="band1Horz">
      <w:tblPr/>
      <w:tcPr>
        <w:shd w:val="clear" w:color="auto" w:fill="F9C1EC"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1FBF6" w:themeFill="accent3" w:themeFillTint="19"/>
    </w:tcPr>
    <w:tblStylePr w:type="firstRow">
      <w:rPr>
        <w:b/>
        <w:bCs/>
        <w:color w:val="FFFFFF" w:themeColor="background1"/>
      </w:rPr>
      <w:tblPr/>
      <w:tcPr>
        <w:tcBorders>
          <w:bottom w:val="single" w:sz="12" w:space="0" w:color="FFFFFF" w:themeColor="background1"/>
        </w:tcBorders>
        <w:shd w:val="clear" w:color="auto" w:fill="547E18" w:themeFill="accent4" w:themeFillShade="CC"/>
      </w:tcPr>
    </w:tblStylePr>
    <w:tblStylePr w:type="lastRow">
      <w:rPr>
        <w:b/>
        <w:bCs/>
        <w:color w:val="547E1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4F5E8" w:themeFill="accent3" w:themeFillTint="3F"/>
      </w:tcPr>
    </w:tblStylePr>
    <w:tblStylePr w:type="band1Horz">
      <w:tblPr/>
      <w:tcPr>
        <w:shd w:val="clear" w:color="auto" w:fill="C3F7EC"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1F9E4" w:themeFill="accent4" w:themeFillTint="19"/>
    </w:tcPr>
    <w:tblStylePr w:type="firstRow">
      <w:rPr>
        <w:b/>
        <w:bCs/>
        <w:color w:val="FFFFFF" w:themeColor="background1"/>
      </w:rPr>
      <w:tblPr/>
      <w:tcPr>
        <w:tcBorders>
          <w:bottom w:val="single" w:sz="12" w:space="0" w:color="FFFFFF" w:themeColor="background1"/>
        </w:tcBorders>
        <w:shd w:val="clear" w:color="auto" w:fill="107863" w:themeFill="accent3" w:themeFillShade="CC"/>
      </w:tcPr>
    </w:tblStylePr>
    <w:tblStylePr w:type="lastRow">
      <w:rPr>
        <w:b/>
        <w:bCs/>
        <w:color w:val="107863"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F2BC" w:themeFill="accent4" w:themeFillTint="3F"/>
      </w:tcPr>
    </w:tblStylePr>
    <w:tblStylePr w:type="band1Horz">
      <w:tblPr/>
      <w:tcPr>
        <w:shd w:val="clear" w:color="auto" w:fill="E2F4C9"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CF2EB" w:themeFill="accent5" w:themeFillTint="19"/>
    </w:tcPr>
    <w:tblStylePr w:type="firstRow">
      <w:rPr>
        <w:b/>
        <w:bCs/>
        <w:color w:val="FFFFFF" w:themeColor="background1"/>
      </w:rPr>
      <w:tblPr/>
      <w:tcPr>
        <w:tcBorders>
          <w:bottom w:val="single" w:sz="12" w:space="0" w:color="FFFFFF" w:themeColor="background1"/>
        </w:tcBorders>
        <w:shd w:val="clear" w:color="auto" w:fill="9E1C1C" w:themeFill="accent6" w:themeFillShade="CC"/>
      </w:tcPr>
    </w:tblStylePr>
    <w:tblStylePr w:type="lastRow">
      <w:rPr>
        <w:b/>
        <w:bCs/>
        <w:color w:val="9E1C1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ECD" w:themeFill="accent5" w:themeFillTint="3F"/>
      </w:tcPr>
    </w:tblStylePr>
    <w:tblStylePr w:type="band1Horz">
      <w:tblPr/>
      <w:tcPr>
        <w:shd w:val="clear" w:color="auto" w:fill="FAE4D6"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BE7E7" w:themeFill="accent6" w:themeFillTint="19"/>
    </w:tcPr>
    <w:tblStylePr w:type="firstRow">
      <w:rPr>
        <w:b/>
        <w:bCs/>
        <w:color w:val="FFFFFF" w:themeColor="background1"/>
      </w:rPr>
      <w:tblPr/>
      <w:tcPr>
        <w:tcBorders>
          <w:bottom w:val="single" w:sz="12" w:space="0" w:color="FFFFFF" w:themeColor="background1"/>
        </w:tcBorders>
        <w:shd w:val="clear" w:color="auto" w:fill="CD5F17" w:themeFill="accent5" w:themeFillShade="CC"/>
      </w:tcPr>
    </w:tblStylePr>
    <w:tblStylePr w:type="lastRow">
      <w:rPr>
        <w:b/>
        <w:bCs/>
        <w:color w:val="CD5F17"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C4C4" w:themeFill="accent6" w:themeFillTint="3F"/>
      </w:tcPr>
    </w:tblStylePr>
    <w:tblStylePr w:type="band1Horz">
      <w:tblPr/>
      <w:tcPr>
        <w:shd w:val="clear" w:color="auto" w:fill="F6CFCF"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D2FB" w:themeFill="accent1" w:themeFillTint="33"/>
    </w:tcPr>
    <w:tblStylePr w:type="firstRow">
      <w:rPr>
        <w:b/>
        <w:bCs/>
      </w:rPr>
      <w:tblPr/>
      <w:tcPr>
        <w:shd w:val="clear" w:color="auto" w:fill="63A6F7" w:themeFill="accent1" w:themeFillTint="66"/>
      </w:tcPr>
    </w:tblStylePr>
    <w:tblStylePr w:type="lastRow">
      <w:rPr>
        <w:b/>
        <w:bCs/>
        <w:color w:val="000000" w:themeColor="text1"/>
      </w:rPr>
      <w:tblPr/>
      <w:tcPr>
        <w:shd w:val="clear" w:color="auto" w:fill="63A6F7" w:themeFill="accent1" w:themeFillTint="66"/>
      </w:tcPr>
    </w:tblStylePr>
    <w:tblStylePr w:type="firstCol">
      <w:rPr>
        <w:color w:val="FFFFFF" w:themeColor="background1"/>
      </w:rPr>
      <w:tblPr/>
      <w:tcPr>
        <w:shd w:val="clear" w:color="auto" w:fill="032348" w:themeFill="accent1" w:themeFillShade="BF"/>
      </w:tcPr>
    </w:tblStylePr>
    <w:tblStylePr w:type="lastCol">
      <w:rPr>
        <w:color w:val="FFFFFF" w:themeColor="background1"/>
      </w:rPr>
      <w:tblPr/>
      <w:tcPr>
        <w:shd w:val="clear" w:color="auto" w:fill="032348" w:themeFill="accent1" w:themeFillShade="BF"/>
      </w:tcPr>
    </w:tblStylePr>
    <w:tblStylePr w:type="band1Vert">
      <w:tblPr/>
      <w:tcPr>
        <w:shd w:val="clear" w:color="auto" w:fill="3D91F5" w:themeFill="accent1" w:themeFillTint="7F"/>
      </w:tcPr>
    </w:tblStylePr>
    <w:tblStylePr w:type="band1Horz">
      <w:tblPr/>
      <w:tcPr>
        <w:shd w:val="clear" w:color="auto" w:fill="3D91F5"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C1EC" w:themeFill="accent2" w:themeFillTint="33"/>
    </w:tcPr>
    <w:tblStylePr w:type="firstRow">
      <w:rPr>
        <w:b/>
        <w:bCs/>
      </w:rPr>
      <w:tblPr/>
      <w:tcPr>
        <w:shd w:val="clear" w:color="auto" w:fill="F484DA" w:themeFill="accent2" w:themeFillTint="66"/>
      </w:tcPr>
    </w:tblStylePr>
    <w:tblStylePr w:type="lastRow">
      <w:rPr>
        <w:b/>
        <w:bCs/>
        <w:color w:val="000000" w:themeColor="text1"/>
      </w:rPr>
      <w:tblPr/>
      <w:tcPr>
        <w:shd w:val="clear" w:color="auto" w:fill="F484DA" w:themeFill="accent2" w:themeFillTint="66"/>
      </w:tcPr>
    </w:tblStylePr>
    <w:tblStylePr w:type="firstCol">
      <w:rPr>
        <w:color w:val="FFFFFF" w:themeColor="background1"/>
      </w:rPr>
      <w:tblPr/>
      <w:tcPr>
        <w:shd w:val="clear" w:color="auto" w:fill="7B0A60" w:themeFill="accent2" w:themeFillShade="BF"/>
      </w:tcPr>
    </w:tblStylePr>
    <w:tblStylePr w:type="lastCol">
      <w:rPr>
        <w:color w:val="FFFFFF" w:themeColor="background1"/>
      </w:rPr>
      <w:tblPr/>
      <w:tcPr>
        <w:shd w:val="clear" w:color="auto" w:fill="7B0A60" w:themeFill="accent2" w:themeFillShade="BF"/>
      </w:tcPr>
    </w:tblStylePr>
    <w:tblStylePr w:type="band1Vert">
      <w:tblPr/>
      <w:tcPr>
        <w:shd w:val="clear" w:color="auto" w:fill="F266D1" w:themeFill="accent2" w:themeFillTint="7F"/>
      </w:tcPr>
    </w:tblStylePr>
    <w:tblStylePr w:type="band1Horz">
      <w:tblPr/>
      <w:tcPr>
        <w:shd w:val="clear" w:color="auto" w:fill="F266D1"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3F7EC" w:themeFill="accent3" w:themeFillTint="33"/>
    </w:tcPr>
    <w:tblStylePr w:type="firstRow">
      <w:rPr>
        <w:b/>
        <w:bCs/>
      </w:rPr>
      <w:tblPr/>
      <w:tcPr>
        <w:shd w:val="clear" w:color="auto" w:fill="87EFDA" w:themeFill="accent3" w:themeFillTint="66"/>
      </w:tcPr>
    </w:tblStylePr>
    <w:tblStylePr w:type="lastRow">
      <w:rPr>
        <w:b/>
        <w:bCs/>
        <w:color w:val="000000" w:themeColor="text1"/>
      </w:rPr>
      <w:tblPr/>
      <w:tcPr>
        <w:shd w:val="clear" w:color="auto" w:fill="87EFDA" w:themeFill="accent3" w:themeFillTint="66"/>
      </w:tcPr>
    </w:tblStylePr>
    <w:tblStylePr w:type="firstCol">
      <w:rPr>
        <w:color w:val="FFFFFF" w:themeColor="background1"/>
      </w:rPr>
      <w:tblPr/>
      <w:tcPr>
        <w:shd w:val="clear" w:color="auto" w:fill="0F705C" w:themeFill="accent3" w:themeFillShade="BF"/>
      </w:tcPr>
    </w:tblStylePr>
    <w:tblStylePr w:type="lastCol">
      <w:rPr>
        <w:color w:val="FFFFFF" w:themeColor="background1"/>
      </w:rPr>
      <w:tblPr/>
      <w:tcPr>
        <w:shd w:val="clear" w:color="auto" w:fill="0F705C" w:themeFill="accent3" w:themeFillShade="BF"/>
      </w:tcPr>
    </w:tblStylePr>
    <w:tblStylePr w:type="band1Vert">
      <w:tblPr/>
      <w:tcPr>
        <w:shd w:val="clear" w:color="auto" w:fill="69EBD1" w:themeFill="accent3" w:themeFillTint="7F"/>
      </w:tcPr>
    </w:tblStylePr>
    <w:tblStylePr w:type="band1Horz">
      <w:tblPr/>
      <w:tcPr>
        <w:shd w:val="clear" w:color="auto" w:fill="69EBD1"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F4C9" w:themeFill="accent4" w:themeFillTint="33"/>
    </w:tcPr>
    <w:tblStylePr w:type="firstRow">
      <w:rPr>
        <w:b/>
        <w:bCs/>
      </w:rPr>
      <w:tblPr/>
      <w:tcPr>
        <w:shd w:val="clear" w:color="auto" w:fill="C6EA93" w:themeFill="accent4" w:themeFillTint="66"/>
      </w:tcPr>
    </w:tblStylePr>
    <w:tblStylePr w:type="lastRow">
      <w:rPr>
        <w:b/>
        <w:bCs/>
        <w:color w:val="000000" w:themeColor="text1"/>
      </w:rPr>
      <w:tblPr/>
      <w:tcPr>
        <w:shd w:val="clear" w:color="auto" w:fill="C6EA93" w:themeFill="accent4" w:themeFillTint="66"/>
      </w:tcPr>
    </w:tblStylePr>
    <w:tblStylePr w:type="firstCol">
      <w:rPr>
        <w:color w:val="FFFFFF" w:themeColor="background1"/>
      </w:rPr>
      <w:tblPr/>
      <w:tcPr>
        <w:shd w:val="clear" w:color="auto" w:fill="4F7617" w:themeFill="accent4" w:themeFillShade="BF"/>
      </w:tcPr>
    </w:tblStylePr>
    <w:tblStylePr w:type="lastCol">
      <w:rPr>
        <w:color w:val="FFFFFF" w:themeColor="background1"/>
      </w:rPr>
      <w:tblPr/>
      <w:tcPr>
        <w:shd w:val="clear" w:color="auto" w:fill="4F7617" w:themeFill="accent4" w:themeFillShade="BF"/>
      </w:tcPr>
    </w:tblStylePr>
    <w:tblStylePr w:type="band1Vert">
      <w:tblPr/>
      <w:tcPr>
        <w:shd w:val="clear" w:color="auto" w:fill="B8E479" w:themeFill="accent4" w:themeFillTint="7F"/>
      </w:tcPr>
    </w:tblStylePr>
    <w:tblStylePr w:type="band1Horz">
      <w:tblPr/>
      <w:tcPr>
        <w:shd w:val="clear" w:color="auto" w:fill="B8E479"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4D6" w:themeFill="accent5" w:themeFillTint="33"/>
    </w:tcPr>
    <w:tblStylePr w:type="firstRow">
      <w:rPr>
        <w:b/>
        <w:bCs/>
      </w:rPr>
      <w:tblPr/>
      <w:tcPr>
        <w:shd w:val="clear" w:color="auto" w:fill="F5CAAE" w:themeFill="accent5" w:themeFillTint="66"/>
      </w:tcPr>
    </w:tblStylePr>
    <w:tblStylePr w:type="lastRow">
      <w:rPr>
        <w:b/>
        <w:bCs/>
        <w:color w:val="000000" w:themeColor="text1"/>
      </w:rPr>
      <w:tblPr/>
      <w:tcPr>
        <w:shd w:val="clear" w:color="auto" w:fill="F5CAAE" w:themeFill="accent5" w:themeFillTint="66"/>
      </w:tcPr>
    </w:tblStylePr>
    <w:tblStylePr w:type="firstCol">
      <w:rPr>
        <w:color w:val="FFFFFF" w:themeColor="background1"/>
      </w:rPr>
      <w:tblPr/>
      <w:tcPr>
        <w:shd w:val="clear" w:color="auto" w:fill="C05916" w:themeFill="accent5" w:themeFillShade="BF"/>
      </w:tcPr>
    </w:tblStylePr>
    <w:tblStylePr w:type="lastCol">
      <w:rPr>
        <w:color w:val="FFFFFF" w:themeColor="background1"/>
      </w:rPr>
      <w:tblPr/>
      <w:tcPr>
        <w:shd w:val="clear" w:color="auto" w:fill="C05916" w:themeFill="accent5" w:themeFillShade="BF"/>
      </w:tcPr>
    </w:tblStylePr>
    <w:tblStylePr w:type="band1Vert">
      <w:tblPr/>
      <w:tcPr>
        <w:shd w:val="clear" w:color="auto" w:fill="F3BD9B" w:themeFill="accent5" w:themeFillTint="7F"/>
      </w:tcPr>
    </w:tblStylePr>
    <w:tblStylePr w:type="band1Horz">
      <w:tblPr/>
      <w:tcPr>
        <w:shd w:val="clear" w:color="auto" w:fill="F3BD9B"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6CFCF" w:themeFill="accent6" w:themeFillTint="33"/>
    </w:tcPr>
    <w:tblStylePr w:type="firstRow">
      <w:rPr>
        <w:b/>
        <w:bCs/>
      </w:rPr>
      <w:tblPr/>
      <w:tcPr>
        <w:shd w:val="clear" w:color="auto" w:fill="EEA0A0" w:themeFill="accent6" w:themeFillTint="66"/>
      </w:tcPr>
    </w:tblStylePr>
    <w:tblStylePr w:type="lastRow">
      <w:rPr>
        <w:b/>
        <w:bCs/>
        <w:color w:val="000000" w:themeColor="text1"/>
      </w:rPr>
      <w:tblPr/>
      <w:tcPr>
        <w:shd w:val="clear" w:color="auto" w:fill="EEA0A0" w:themeFill="accent6" w:themeFillTint="66"/>
      </w:tcPr>
    </w:tblStylePr>
    <w:tblStylePr w:type="firstCol">
      <w:rPr>
        <w:color w:val="FFFFFF" w:themeColor="background1"/>
      </w:rPr>
      <w:tblPr/>
      <w:tcPr>
        <w:shd w:val="clear" w:color="auto" w:fill="941A1A" w:themeFill="accent6" w:themeFillShade="BF"/>
      </w:tcPr>
    </w:tblStylePr>
    <w:tblStylePr w:type="lastCol">
      <w:rPr>
        <w:color w:val="FFFFFF" w:themeColor="background1"/>
      </w:rPr>
      <w:tblPr/>
      <w:tcPr>
        <w:shd w:val="clear" w:color="auto" w:fill="941A1A" w:themeFill="accent6" w:themeFillShade="BF"/>
      </w:tcPr>
    </w:tblStylePr>
    <w:tblStylePr w:type="band1Vert">
      <w:tblPr/>
      <w:tcPr>
        <w:shd w:val="clear" w:color="auto" w:fill="EA898A" w:themeFill="accent6" w:themeFillTint="7F"/>
      </w:tcPr>
    </w:tblStylePr>
    <w:tblStylePr w:type="band1Horz">
      <w:tblPr/>
      <w:tcPr>
        <w:shd w:val="clear" w:color="auto" w:fill="EA898A" w:themeFill="accent6" w:themeFillTint="7F"/>
      </w:tcPr>
    </w:tblStylePr>
  </w:style>
  <w:style w:type="paragraph" w:styleId="NormalWeb">
    <w:name w:val="Normal (Web)"/>
    <w:basedOn w:val="Normal"/>
    <w:uiPriority w:val="99"/>
    <w:semiHidden/>
    <w:unhideWhenUsed/>
    <w:rsid w:val="00F03D3A"/>
    <w:pPr>
      <w:spacing w:after="200" w:line="276" w:lineRule="auto"/>
      <w:jc w:val="left"/>
    </w:pPr>
    <w:rPr>
      <w:rFonts w:ascii="Times New Roman" w:hAnsi="Times New Roman" w:cs="Times New Roman"/>
      <w:sz w:val="24"/>
      <w:szCs w:val="24"/>
    </w:rPr>
  </w:style>
  <w:style w:type="paragraph" w:customStyle="1" w:styleId="w7sjnrxzl6krnffuzhqe">
    <w:name w:val="w7sjnrxzl6krnffuzhqe"/>
    <w:basedOn w:val="Normal"/>
    <w:uiPriority w:val="99"/>
    <w:semiHidden/>
    <w:rsid w:val="00F03D3A"/>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F03D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aace.org.uk" TargetMode="External"/><Relationship Id="rId13" Type="http://schemas.openxmlformats.org/officeDocument/2006/relationships/hyperlink" Target="https://www.kingsfund.org.uk/" TargetMode="External"/><Relationship Id="rId3" Type="http://schemas.openxmlformats.org/officeDocument/2006/relationships/styles" Target="styles.xml"/><Relationship Id="rId7" Type="http://schemas.openxmlformats.org/officeDocument/2006/relationships/hyperlink" Target="https://www.sja.org.uk" TargetMode="External"/><Relationship Id="rId12" Type="http://schemas.openxmlformats.org/officeDocument/2006/relationships/hyperlink" Target="https://www.england.nhs.uk/long-term-pla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dcross.org.uk" TargetMode="External"/><Relationship Id="rId11" Type="http://schemas.openxmlformats.org/officeDocument/2006/relationships/hyperlink" Target="https://www.nhs.uk/nhs-services/hospita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gland.nhs.uk" TargetMode="External"/><Relationship Id="rId4" Type="http://schemas.openxmlformats.org/officeDocument/2006/relationships/settings" Target="settings.xml"/><Relationship Id="rId9" Type="http://schemas.openxmlformats.org/officeDocument/2006/relationships/hyperlink" Target="https://www.cqc.org.uk" TargetMode="External"/><Relationship Id="rId14" Type="http://schemas.openxmlformats.org/officeDocument/2006/relationships/fontTable" Target="fontTable.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1384</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cher miles</cp:lastModifiedBy>
  <cp:revision>22</cp:revision>
  <dcterms:created xsi:type="dcterms:W3CDTF">2013-12-23T23:15:00Z</dcterms:created>
  <dcterms:modified xsi:type="dcterms:W3CDTF">2026-03-26T13:01:00Z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0760cb6d-f0dc-4ff8-a53b-a649a2f7611a</vt:lpwstr>
  </property>
</Properties>
</file>