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8E22C" w14:textId="77777777" w:rsidR="00EA2D6B" w:rsidRPr="00EA2D6B" w:rsidRDefault="00EA2D6B" w:rsidP="00EA2D6B">
      <w:pPr>
        <w:spacing w:after="225" w:line="240" w:lineRule="auto"/>
        <w:outlineLvl w:val="0"/>
        <w:rPr>
          <w:rFonts w:ascii="Open Sans" w:eastAsia="Times New Roman" w:hAnsi="Open Sans" w:cs="Open Sans"/>
          <w:color w:val="303030"/>
          <w:kern w:val="36"/>
          <w:sz w:val="53"/>
          <w:szCs w:val="53"/>
          <w14:ligatures w14:val="none"/>
        </w:rPr>
      </w:pPr>
      <w:r w:rsidRPr="00EA2D6B">
        <w:rPr>
          <w:rFonts w:ascii="Open Sans" w:eastAsia="Times New Roman" w:hAnsi="Open Sans" w:cs="Open Sans"/>
          <w:color w:val="303030"/>
          <w:kern w:val="36"/>
          <w:sz w:val="53"/>
          <w:szCs w:val="53"/>
          <w14:ligatures w14:val="none"/>
        </w:rPr>
        <w:t>Health and safety legislation</w:t>
      </w:r>
    </w:p>
    <w:p w14:paraId="64098228" w14:textId="77777777" w:rsidR="00EA2D6B" w:rsidRPr="00EA2D6B" w:rsidRDefault="00EA2D6B" w:rsidP="00EA2D6B">
      <w:pPr>
        <w:spacing w:after="225" w:line="240" w:lineRule="auto"/>
        <w:outlineLvl w:val="1"/>
        <w:rPr>
          <w:rFonts w:ascii="Open Sans" w:eastAsia="Times New Roman" w:hAnsi="Open Sans" w:cs="Open Sans"/>
          <w:color w:val="0099FF"/>
          <w:kern w:val="0"/>
          <w:sz w:val="42"/>
          <w:szCs w:val="42"/>
          <w14:ligatures w14:val="none"/>
        </w:rPr>
      </w:pPr>
      <w:r w:rsidRPr="00EA2D6B">
        <w:rPr>
          <w:rFonts w:ascii="Open Sans" w:eastAsia="Times New Roman" w:hAnsi="Open Sans" w:cs="Open Sans"/>
          <w:color w:val="0099FF"/>
          <w:kern w:val="0"/>
          <w:sz w:val="42"/>
          <w:szCs w:val="42"/>
          <w14:ligatures w14:val="none"/>
        </w:rPr>
        <w:t>Overview for social care</w:t>
      </w:r>
    </w:p>
    <w:p w14:paraId="5BD32001"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This introduction to health and safety has been developed to assist in promoting dignity in social care.</w:t>
      </w:r>
    </w:p>
    <w:p w14:paraId="4D7FC0A5" w14:textId="77777777" w:rsidR="00EA2D6B" w:rsidRPr="00EA2D6B" w:rsidRDefault="00EA2D6B" w:rsidP="00EA2D6B">
      <w:pPr>
        <w:spacing w:after="0"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 xml:space="preserve">Safe practice is very important when providing care. There are </w:t>
      </w:r>
      <w:proofErr w:type="gramStart"/>
      <w:r w:rsidRPr="00EA2D6B">
        <w:rPr>
          <w:rFonts w:ascii="Open Sans" w:eastAsia="Times New Roman" w:hAnsi="Open Sans" w:cs="Open Sans"/>
          <w:kern w:val="0"/>
          <w14:ligatures w14:val="none"/>
        </w:rPr>
        <w:t>a number of</w:t>
      </w:r>
      <w:proofErr w:type="gramEnd"/>
      <w:r w:rsidRPr="00EA2D6B">
        <w:rPr>
          <w:rFonts w:ascii="Open Sans" w:eastAsia="Times New Roman" w:hAnsi="Open Sans" w:cs="Open Sans"/>
          <w:kern w:val="0"/>
          <w14:ligatures w14:val="none"/>
        </w:rPr>
        <w:t xml:space="preserve"> legislative measures and regulations to support health and safety at work. These are intended to protect people in work, those using services and the wider public. The </w:t>
      </w:r>
      <w:hyperlink r:id="rId5" w:tgtFrame="_blank" w:tooltip="Opens in a new window" w:history="1">
        <w:r w:rsidRPr="00EA2D6B">
          <w:rPr>
            <w:rFonts w:ascii="inherit" w:eastAsia="Times New Roman" w:hAnsi="inherit" w:cs="Open Sans"/>
            <w:b/>
            <w:bCs/>
            <w:color w:val="00539F"/>
            <w:kern w:val="0"/>
            <w:bdr w:val="none" w:sz="0" w:space="0" w:color="auto" w:frame="1"/>
            <w14:ligatures w14:val="none"/>
          </w:rPr>
          <w:t>Health and Safety Executive</w:t>
        </w:r>
      </w:hyperlink>
      <w:r w:rsidRPr="00EA2D6B">
        <w:rPr>
          <w:rFonts w:ascii="Open Sans" w:eastAsia="Times New Roman" w:hAnsi="Open Sans" w:cs="Open Sans"/>
          <w:kern w:val="0"/>
          <w14:ligatures w14:val="none"/>
        </w:rPr>
        <w:t> (HSE), local authority Trading Standards and the </w:t>
      </w:r>
      <w:hyperlink r:id="rId6" w:tgtFrame="_blank" w:tooltip="Opens in a new window" w:history="1">
        <w:r w:rsidRPr="00EA2D6B">
          <w:rPr>
            <w:rFonts w:ascii="inherit" w:eastAsia="Times New Roman" w:hAnsi="inherit" w:cs="Open Sans"/>
            <w:b/>
            <w:bCs/>
            <w:color w:val="00539F"/>
            <w:kern w:val="0"/>
            <w:bdr w:val="none" w:sz="0" w:space="0" w:color="auto" w:frame="1"/>
            <w14:ligatures w14:val="none"/>
          </w:rPr>
          <w:t>Care Quality Commission</w:t>
        </w:r>
      </w:hyperlink>
      <w:r w:rsidRPr="00EA2D6B">
        <w:rPr>
          <w:rFonts w:ascii="Open Sans" w:eastAsia="Times New Roman" w:hAnsi="Open Sans" w:cs="Open Sans"/>
          <w:kern w:val="0"/>
          <w14:ligatures w14:val="none"/>
        </w:rPr>
        <w:t> (CQC) can all bring prosecutions against care providers who breach health and safety standards.</w:t>
      </w:r>
    </w:p>
    <w:p w14:paraId="390E6491" w14:textId="77777777" w:rsidR="00EA2D6B" w:rsidRPr="00EA2D6B" w:rsidRDefault="00EA2D6B" w:rsidP="00EA2D6B">
      <w:pPr>
        <w:spacing w:before="120" w:after="225" w:line="240" w:lineRule="auto"/>
        <w:outlineLvl w:val="1"/>
        <w:rPr>
          <w:rFonts w:ascii="Open Sans" w:eastAsia="Times New Roman" w:hAnsi="Open Sans" w:cs="Open Sans"/>
          <w:color w:val="0099FF"/>
          <w:kern w:val="0"/>
          <w:sz w:val="42"/>
          <w:szCs w:val="42"/>
          <w14:ligatures w14:val="none"/>
        </w:rPr>
      </w:pPr>
      <w:r w:rsidRPr="00EA2D6B">
        <w:rPr>
          <w:rFonts w:ascii="Open Sans" w:eastAsia="Times New Roman" w:hAnsi="Open Sans" w:cs="Open Sans"/>
          <w:color w:val="0099FF"/>
          <w:kern w:val="0"/>
          <w:sz w:val="42"/>
          <w:szCs w:val="42"/>
          <w14:ligatures w14:val="none"/>
        </w:rPr>
        <w:t>Health and safety legislation and regulations</w:t>
      </w:r>
    </w:p>
    <w:p w14:paraId="7834D45B"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Health and Safety at Work Act 1974</w:t>
      </w:r>
    </w:p>
    <w:p w14:paraId="1DC3A46B"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The Act covers a wide range of issues relating to workplace health, safety and welfare across different sectors. Statutory instruments have developed to support the implementation of the Act and provide an interface with European regulations. The HSE holds enforcement powers which can result in unlimited fines and prison sentences. Employees have a general obligation under the Act to take care of others and cooperate with employers’ health and safety requirements.</w:t>
      </w:r>
    </w:p>
    <w:p w14:paraId="75874C00" w14:textId="77777777" w:rsidR="00EA2D6B" w:rsidRPr="00EA2D6B" w:rsidRDefault="00EA2D6B" w:rsidP="00EA2D6B">
      <w:pPr>
        <w:spacing w:after="0" w:line="336" w:lineRule="atLeast"/>
        <w:rPr>
          <w:rFonts w:ascii="Open Sans" w:eastAsia="Times New Roman" w:hAnsi="Open Sans" w:cs="Open Sans"/>
          <w:kern w:val="0"/>
          <w14:ligatures w14:val="none"/>
        </w:rPr>
      </w:pPr>
      <w:proofErr w:type="gramStart"/>
      <w:r w:rsidRPr="00EA2D6B">
        <w:rPr>
          <w:rFonts w:ascii="Open Sans" w:eastAsia="Times New Roman" w:hAnsi="Open Sans" w:cs="Open Sans"/>
          <w:kern w:val="0"/>
          <w14:ligatures w14:val="none"/>
        </w:rPr>
        <w:t>In light of</w:t>
      </w:r>
      <w:proofErr w:type="gramEnd"/>
      <w:r w:rsidRPr="00EA2D6B">
        <w:rPr>
          <w:rFonts w:ascii="Open Sans" w:eastAsia="Times New Roman" w:hAnsi="Open Sans" w:cs="Open Sans"/>
          <w:kern w:val="0"/>
          <w14:ligatures w14:val="none"/>
        </w:rPr>
        <w:t xml:space="preserve"> the coronavirus pandemic, there are additional procedures to follow. Please see </w:t>
      </w:r>
      <w:hyperlink r:id="rId7" w:tgtFrame="_blank" w:tooltip="Opens in a new window" w:history="1">
        <w:r w:rsidRPr="00EA2D6B">
          <w:rPr>
            <w:rFonts w:ascii="inherit" w:eastAsia="Times New Roman" w:hAnsi="inherit" w:cs="Open Sans"/>
            <w:b/>
            <w:bCs/>
            <w:color w:val="00539F"/>
            <w:kern w:val="0"/>
            <w:bdr w:val="none" w:sz="0" w:space="0" w:color="auto" w:frame="1"/>
            <w14:ligatures w14:val="none"/>
          </w:rPr>
          <w:t>COVID-19 supplement to the infection prevention and control resource for adult social care on Gov.UK</w:t>
        </w:r>
      </w:hyperlink>
      <w:r w:rsidRPr="00EA2D6B">
        <w:rPr>
          <w:rFonts w:ascii="Open Sans" w:eastAsia="Times New Roman" w:hAnsi="Open Sans" w:cs="Open Sans"/>
          <w:kern w:val="0"/>
          <w14:ligatures w14:val="none"/>
        </w:rPr>
        <w:t>.</w:t>
      </w:r>
    </w:p>
    <w:p w14:paraId="627B7F81"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Manual Handling Operations Regulations 1992 (amended 2002)</w:t>
      </w:r>
    </w:p>
    <w:p w14:paraId="36D75A18"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Manual handling is a major issue for care providers as people with limited mobility need to be assisted safely to move and transfer. It is important this is done in a way that respects the dignity of the individual. While employers are required to ensure that they comply with the regulatory framework, this does not mean that an individual's human rights can be disregarded.</w:t>
      </w:r>
    </w:p>
    <w:p w14:paraId="7EA82993"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 xml:space="preserve">What is required is a balanced approach that reduces risks for workers while at the same time maintaining the dignity, privacy and autonomy of those they are caring for. The challenge of lifting a very heavy person, for example, must be </w:t>
      </w:r>
      <w:r w:rsidRPr="00EA2D6B">
        <w:rPr>
          <w:rFonts w:ascii="Open Sans" w:eastAsia="Times New Roman" w:hAnsi="Open Sans" w:cs="Open Sans"/>
          <w:kern w:val="0"/>
          <w14:ligatures w14:val="none"/>
        </w:rPr>
        <w:lastRenderedPageBreak/>
        <w:t xml:space="preserve">solved not ignored. For example, a county council, concerned for the health of its employees, imposed a blanket ban on manual lifting of people using services. Unfortunately, this resulted in certain people not receiving the community care to which they were entitled. The court held that the guidelines on manual lifting did not prohibit manual handling of people, nor operate a cut-off above which they would be too heavy to lift manually. Failure to lift heavy people could leave them stuck in a bath or on a </w:t>
      </w:r>
      <w:proofErr w:type="gramStart"/>
      <w:r w:rsidRPr="00EA2D6B">
        <w:rPr>
          <w:rFonts w:ascii="Open Sans" w:eastAsia="Times New Roman" w:hAnsi="Open Sans" w:cs="Open Sans"/>
          <w:kern w:val="0"/>
          <w14:ligatures w14:val="none"/>
        </w:rPr>
        <w:t>lavatory, or</w:t>
      </w:r>
      <w:proofErr w:type="gramEnd"/>
      <w:r w:rsidRPr="00EA2D6B">
        <w:rPr>
          <w:rFonts w:ascii="Open Sans" w:eastAsia="Times New Roman" w:hAnsi="Open Sans" w:cs="Open Sans"/>
          <w:kern w:val="0"/>
          <w14:ligatures w14:val="none"/>
        </w:rPr>
        <w:t xml:space="preserve"> suffering from bedsores. This created a potential breach of Article 3 of the HRA (the right not to be subject to inhuman or degrading treatment). Care workers' rights to a safe working environment must be respected, but these require safe working practices to be devised, not blanket bans that restrict levels of service [R v East Sussex County Council (2003)].</w:t>
      </w:r>
    </w:p>
    <w:p w14:paraId="144FEAF6" w14:textId="77777777" w:rsidR="00EA2D6B" w:rsidRPr="00EA2D6B" w:rsidRDefault="00EA2D6B" w:rsidP="00EA2D6B">
      <w:pPr>
        <w:numPr>
          <w:ilvl w:val="0"/>
          <w:numId w:val="1"/>
        </w:numPr>
        <w:spacing w:after="0" w:line="240" w:lineRule="auto"/>
        <w:rPr>
          <w:rFonts w:ascii="inherit" w:eastAsia="Times New Roman" w:hAnsi="inherit" w:cs="Times New Roman"/>
          <w:kern w:val="0"/>
          <w14:ligatures w14:val="none"/>
        </w:rPr>
      </w:pPr>
      <w:hyperlink r:id="rId8" w:tgtFrame="_blank" w:tooltip="Opens in a new window" w:history="1">
        <w:r w:rsidRPr="00EA2D6B">
          <w:rPr>
            <w:rFonts w:ascii="inherit" w:eastAsia="Times New Roman" w:hAnsi="inherit" w:cs="Times New Roman"/>
            <w:b/>
            <w:bCs/>
            <w:color w:val="00539F"/>
            <w:kern w:val="0"/>
            <w:bdr w:val="none" w:sz="0" w:space="0" w:color="auto" w:frame="1"/>
            <w14:ligatures w14:val="none"/>
          </w:rPr>
          <w:t>Manual handling guidance</w:t>
        </w:r>
      </w:hyperlink>
      <w:r w:rsidRPr="00EA2D6B">
        <w:rPr>
          <w:rFonts w:ascii="inherit" w:eastAsia="Times New Roman" w:hAnsi="inherit" w:cs="Times New Roman"/>
          <w:kern w:val="0"/>
          <w14:ligatures w14:val="none"/>
        </w:rPr>
        <w:t> (HSE)</w:t>
      </w:r>
    </w:p>
    <w:p w14:paraId="58F58AE6"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Control of Substances Hazardous to Health 2002</w:t>
      </w:r>
    </w:p>
    <w:p w14:paraId="5EDE87D9"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In the care sector these regulations may apply to cleaning materials and medications that may be dangerous if not used properly. Care providers must protect staff and service users from harm by ensuring that potentially dangerous substances are safely stored and that staff that use them are properly trained to do so.</w:t>
      </w:r>
    </w:p>
    <w:p w14:paraId="1A0E780F"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Reporting of Injuries, Diseases and Dangerous Occurrences Regulations 1995</w:t>
      </w:r>
    </w:p>
    <w:p w14:paraId="3820A454"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Employers, the self-employed and ‘responsible persons’ (people in control of work premises) have an obligation to report death or serious workplace accidents, occupational diseases and specified dangerous occurrences (near misses) to the HSE.</w:t>
      </w:r>
    </w:p>
    <w:p w14:paraId="574CEBED" w14:textId="77777777" w:rsidR="00EA2D6B" w:rsidRPr="00EA2D6B" w:rsidRDefault="00EA2D6B" w:rsidP="00EA2D6B">
      <w:pPr>
        <w:numPr>
          <w:ilvl w:val="0"/>
          <w:numId w:val="2"/>
        </w:numPr>
        <w:spacing w:after="0" w:line="240" w:lineRule="auto"/>
        <w:rPr>
          <w:rFonts w:ascii="inherit" w:eastAsia="Times New Roman" w:hAnsi="inherit" w:cs="Times New Roman"/>
          <w:kern w:val="0"/>
          <w14:ligatures w14:val="none"/>
        </w:rPr>
      </w:pPr>
      <w:hyperlink r:id="rId9" w:tgtFrame="_blank" w:tooltip="Opens in a new window" w:history="1">
        <w:r w:rsidRPr="00EA2D6B">
          <w:rPr>
            <w:rFonts w:ascii="inherit" w:eastAsia="Times New Roman" w:hAnsi="inherit" w:cs="Times New Roman"/>
            <w:b/>
            <w:bCs/>
            <w:color w:val="00539F"/>
            <w:kern w:val="0"/>
            <w:bdr w:val="none" w:sz="0" w:space="0" w:color="auto" w:frame="1"/>
            <w14:ligatures w14:val="none"/>
          </w:rPr>
          <w:t>RIDDOR</w:t>
        </w:r>
      </w:hyperlink>
      <w:r w:rsidRPr="00EA2D6B">
        <w:rPr>
          <w:rFonts w:ascii="inherit" w:eastAsia="Times New Roman" w:hAnsi="inherit" w:cs="Times New Roman"/>
          <w:kern w:val="0"/>
          <w14:ligatures w14:val="none"/>
        </w:rPr>
        <w:t> (HSE)</w:t>
      </w:r>
    </w:p>
    <w:p w14:paraId="3D03D2E4"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Health and Safety (First Aid) Regulations 1981</w:t>
      </w:r>
    </w:p>
    <w:p w14:paraId="56BE4EF7"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Employers must ensure that first aid equipment and trained first-aiders are present in the workplace and that employees are aware of first aid arrangements.</w:t>
      </w:r>
    </w:p>
    <w:p w14:paraId="5DE84746" w14:textId="77777777" w:rsidR="00EA2D6B" w:rsidRPr="00EA2D6B" w:rsidRDefault="00EA2D6B" w:rsidP="00EA2D6B">
      <w:pPr>
        <w:numPr>
          <w:ilvl w:val="0"/>
          <w:numId w:val="3"/>
        </w:numPr>
        <w:spacing w:after="0" w:line="240" w:lineRule="auto"/>
        <w:rPr>
          <w:rFonts w:ascii="inherit" w:eastAsia="Times New Roman" w:hAnsi="inherit" w:cs="Times New Roman"/>
          <w:kern w:val="0"/>
          <w14:ligatures w14:val="none"/>
        </w:rPr>
      </w:pPr>
      <w:hyperlink r:id="rId10" w:tgtFrame="_blank" w:tooltip="Opens in a new window" w:history="1">
        <w:r w:rsidRPr="00EA2D6B">
          <w:rPr>
            <w:rFonts w:ascii="inherit" w:eastAsia="Times New Roman" w:hAnsi="inherit" w:cs="Times New Roman"/>
            <w:b/>
            <w:bCs/>
            <w:color w:val="00539F"/>
            <w:kern w:val="0"/>
            <w:bdr w:val="none" w:sz="0" w:space="0" w:color="auto" w:frame="1"/>
            <w14:ligatures w14:val="none"/>
          </w:rPr>
          <w:t>Code of Practice</w:t>
        </w:r>
      </w:hyperlink>
      <w:r w:rsidRPr="00EA2D6B">
        <w:rPr>
          <w:rFonts w:ascii="inherit" w:eastAsia="Times New Roman" w:hAnsi="inherit" w:cs="Times New Roman"/>
          <w:kern w:val="0"/>
          <w14:ligatures w14:val="none"/>
        </w:rPr>
        <w:t> (HSE)</w:t>
      </w:r>
    </w:p>
    <w:p w14:paraId="330337B3"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Food Safety Act 1990, Food Safety (General Food Hygiene) Regulations 1995 and Food Safety (Temperature Control) Regulations 1995</w:t>
      </w:r>
    </w:p>
    <w:p w14:paraId="1D7C9DC1"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lastRenderedPageBreak/>
        <w:t>The Food Safety Act covers the preparation, storage and service of food and requires the registration of food businesses whether they are run for profit or not. A 'food business' includes canteens, clubs and care homes. The CQC requires that care services ensure that the food and drink they provide is handled, stored, prepared and delivered in a way that meets the requirements of the Act. The local authority is responsible for enforcement through environmental health and Trading Standards. The Food Standards Agency (FSA) can intervene where local authorities fail to meet the requirements and in emergency situations.</w:t>
      </w:r>
    </w:p>
    <w:p w14:paraId="50BCB2C7" w14:textId="77777777" w:rsidR="00EA2D6B" w:rsidRPr="00EA2D6B" w:rsidRDefault="00EA2D6B" w:rsidP="00EA2D6B">
      <w:pPr>
        <w:numPr>
          <w:ilvl w:val="0"/>
          <w:numId w:val="4"/>
        </w:numPr>
        <w:spacing w:after="0" w:line="240" w:lineRule="auto"/>
        <w:rPr>
          <w:rFonts w:ascii="inherit" w:eastAsia="Times New Roman" w:hAnsi="inherit" w:cs="Times New Roman"/>
          <w:kern w:val="0"/>
          <w14:ligatures w14:val="none"/>
        </w:rPr>
      </w:pPr>
      <w:hyperlink r:id="rId11" w:tgtFrame="_blank" w:tooltip="Opens in a new window" w:history="1">
        <w:r w:rsidRPr="00EA2D6B">
          <w:rPr>
            <w:rFonts w:ascii="inherit" w:eastAsia="Times New Roman" w:hAnsi="inherit" w:cs="Times New Roman"/>
            <w:b/>
            <w:bCs/>
            <w:color w:val="00539F"/>
            <w:kern w:val="0"/>
            <w:bdr w:val="none" w:sz="0" w:space="0" w:color="auto" w:frame="1"/>
            <w14:ligatures w14:val="none"/>
          </w:rPr>
          <w:t>Guide for businesses</w:t>
        </w:r>
      </w:hyperlink>
      <w:r w:rsidRPr="00EA2D6B">
        <w:rPr>
          <w:rFonts w:ascii="inherit" w:eastAsia="Times New Roman" w:hAnsi="inherit" w:cs="Times New Roman"/>
          <w:kern w:val="0"/>
          <w14:ligatures w14:val="none"/>
        </w:rPr>
        <w:t> (Food Standards Agency)</w:t>
      </w:r>
    </w:p>
    <w:p w14:paraId="722368F0" w14:textId="77777777" w:rsidR="00EA2D6B" w:rsidRPr="00EA2D6B" w:rsidRDefault="00EA2D6B" w:rsidP="00EA2D6B">
      <w:pPr>
        <w:spacing w:before="120" w:after="225" w:line="240" w:lineRule="auto"/>
        <w:outlineLvl w:val="1"/>
        <w:rPr>
          <w:rFonts w:ascii="Open Sans" w:eastAsia="Times New Roman" w:hAnsi="Open Sans" w:cs="Open Sans"/>
          <w:color w:val="0099FF"/>
          <w:kern w:val="0"/>
          <w:sz w:val="42"/>
          <w:szCs w:val="42"/>
          <w14:ligatures w14:val="none"/>
        </w:rPr>
      </w:pPr>
      <w:r w:rsidRPr="00EA2D6B">
        <w:rPr>
          <w:rFonts w:ascii="Open Sans" w:eastAsia="Times New Roman" w:hAnsi="Open Sans" w:cs="Open Sans"/>
          <w:color w:val="0099FF"/>
          <w:kern w:val="0"/>
          <w:sz w:val="42"/>
          <w:szCs w:val="42"/>
          <w14:ligatures w14:val="none"/>
        </w:rPr>
        <w:t>Quality in care</w:t>
      </w:r>
    </w:p>
    <w:p w14:paraId="537DA790" w14:textId="77777777" w:rsidR="00EA2D6B" w:rsidRPr="00EA2D6B" w:rsidRDefault="00EA2D6B" w:rsidP="00EA2D6B">
      <w:pPr>
        <w:spacing w:after="0"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The Care Quality Commission (CQC) is the health and social care regulator. It has published guidance for compliance with the </w:t>
      </w:r>
      <w:hyperlink r:id="rId12" w:tgtFrame="_blank" w:tooltip="Opens in a new window" w:history="1">
        <w:r w:rsidRPr="00EA2D6B">
          <w:rPr>
            <w:rFonts w:ascii="inherit" w:eastAsia="Times New Roman" w:hAnsi="inherit" w:cs="Open Sans"/>
            <w:b/>
            <w:bCs/>
            <w:color w:val="00539F"/>
            <w:kern w:val="0"/>
            <w:bdr w:val="none" w:sz="0" w:space="0" w:color="auto" w:frame="1"/>
            <w14:ligatures w14:val="none"/>
          </w:rPr>
          <w:t>Essential Standards of Quality and Safety</w:t>
        </w:r>
      </w:hyperlink>
      <w:r w:rsidRPr="00EA2D6B">
        <w:rPr>
          <w:rFonts w:ascii="Open Sans" w:eastAsia="Times New Roman" w:hAnsi="Open Sans" w:cs="Open Sans"/>
          <w:kern w:val="0"/>
          <w14:ligatures w14:val="none"/>
        </w:rPr>
        <w:t>. However, personal assistants paid for through direct payments and personalised budgets and day services are unregulated.</w:t>
      </w:r>
    </w:p>
    <w:p w14:paraId="2267894D" w14:textId="77777777" w:rsidR="00041F9B" w:rsidRDefault="00041F9B"/>
    <w:sectPr w:rsidR="00041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44440"/>
    <w:multiLevelType w:val="multilevel"/>
    <w:tmpl w:val="F89C3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752410"/>
    <w:multiLevelType w:val="multilevel"/>
    <w:tmpl w:val="84A06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1A82FEA"/>
    <w:multiLevelType w:val="multilevel"/>
    <w:tmpl w:val="C0762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6D108B"/>
    <w:multiLevelType w:val="multilevel"/>
    <w:tmpl w:val="89480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95101027">
    <w:abstractNumId w:val="3"/>
  </w:num>
  <w:num w:numId="2" w16cid:durableId="208080238">
    <w:abstractNumId w:val="1"/>
  </w:num>
  <w:num w:numId="3" w16cid:durableId="162472382">
    <w:abstractNumId w:val="2"/>
  </w:num>
  <w:num w:numId="4" w16cid:durableId="1579287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D6B"/>
    <w:rsid w:val="00041F9B"/>
    <w:rsid w:val="00A46337"/>
    <w:rsid w:val="00EA2D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F1941"/>
  <w15:chartTrackingRefBased/>
  <w15:docId w15:val="{8F2590B9-61A3-4F3D-90C7-97D37135E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D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2D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2D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2D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2D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2D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D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D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D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D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2D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2D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2D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2D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2D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D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D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D6B"/>
    <w:rPr>
      <w:rFonts w:eastAsiaTheme="majorEastAsia" w:cstheme="majorBidi"/>
      <w:color w:val="272727" w:themeColor="text1" w:themeTint="D8"/>
    </w:rPr>
  </w:style>
  <w:style w:type="paragraph" w:styleId="Title">
    <w:name w:val="Title"/>
    <w:basedOn w:val="Normal"/>
    <w:next w:val="Normal"/>
    <w:link w:val="TitleChar"/>
    <w:uiPriority w:val="10"/>
    <w:qFormat/>
    <w:rsid w:val="00EA2D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D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D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D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D6B"/>
    <w:pPr>
      <w:spacing w:before="160"/>
      <w:jc w:val="center"/>
    </w:pPr>
    <w:rPr>
      <w:i/>
      <w:iCs/>
      <w:color w:val="404040" w:themeColor="text1" w:themeTint="BF"/>
    </w:rPr>
  </w:style>
  <w:style w:type="character" w:customStyle="1" w:styleId="QuoteChar">
    <w:name w:val="Quote Char"/>
    <w:basedOn w:val="DefaultParagraphFont"/>
    <w:link w:val="Quote"/>
    <w:uiPriority w:val="29"/>
    <w:rsid w:val="00EA2D6B"/>
    <w:rPr>
      <w:i/>
      <w:iCs/>
      <w:color w:val="404040" w:themeColor="text1" w:themeTint="BF"/>
    </w:rPr>
  </w:style>
  <w:style w:type="paragraph" w:styleId="ListParagraph">
    <w:name w:val="List Paragraph"/>
    <w:basedOn w:val="Normal"/>
    <w:uiPriority w:val="34"/>
    <w:qFormat/>
    <w:rsid w:val="00EA2D6B"/>
    <w:pPr>
      <w:ind w:left="720"/>
      <w:contextualSpacing/>
    </w:pPr>
  </w:style>
  <w:style w:type="character" w:styleId="IntenseEmphasis">
    <w:name w:val="Intense Emphasis"/>
    <w:basedOn w:val="DefaultParagraphFont"/>
    <w:uiPriority w:val="21"/>
    <w:qFormat/>
    <w:rsid w:val="00EA2D6B"/>
    <w:rPr>
      <w:i/>
      <w:iCs/>
      <w:color w:val="0F4761" w:themeColor="accent1" w:themeShade="BF"/>
    </w:rPr>
  </w:style>
  <w:style w:type="paragraph" w:styleId="IntenseQuote">
    <w:name w:val="Intense Quote"/>
    <w:basedOn w:val="Normal"/>
    <w:next w:val="Normal"/>
    <w:link w:val="IntenseQuoteChar"/>
    <w:uiPriority w:val="30"/>
    <w:qFormat/>
    <w:rsid w:val="00EA2D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2D6B"/>
    <w:rPr>
      <w:i/>
      <w:iCs/>
      <w:color w:val="0F4761" w:themeColor="accent1" w:themeShade="BF"/>
    </w:rPr>
  </w:style>
  <w:style w:type="character" w:styleId="IntenseReference">
    <w:name w:val="Intense Reference"/>
    <w:basedOn w:val="DefaultParagraphFont"/>
    <w:uiPriority w:val="32"/>
    <w:qFormat/>
    <w:rsid w:val="00EA2D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099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e.gov.uk/pubns/indg143.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infection-prevention-and-control-in-adult-social-care-covid-19-supplement/covid-19-supplement-to-the-infection-prevention-and-control-resource-for-adult-social-care" TargetMode="External"/><Relationship Id="rId12" Type="http://schemas.openxmlformats.org/officeDocument/2006/relationships/hyperlink" Target="http://www.cqc.org.uk/sites/default/files/documents/gac_-_dec_2011_updat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qc.org.uk/" TargetMode="External"/><Relationship Id="rId11" Type="http://schemas.openxmlformats.org/officeDocument/2006/relationships/hyperlink" Target="https://www.food.gov.uk/business-guidance" TargetMode="External"/><Relationship Id="rId5" Type="http://schemas.openxmlformats.org/officeDocument/2006/relationships/hyperlink" Target="http://www.hse.gov.uk/index.htm" TargetMode="External"/><Relationship Id="rId10" Type="http://schemas.openxmlformats.org/officeDocument/2006/relationships/hyperlink" Target="http://www.hse.gov.uk/pubns/books/l74.htm" TargetMode="External"/><Relationship Id="rId4" Type="http://schemas.openxmlformats.org/officeDocument/2006/relationships/webSettings" Target="webSettings.xml"/><Relationship Id="rId9" Type="http://schemas.openxmlformats.org/officeDocument/2006/relationships/hyperlink" Target="http://www.hse.gov.uk/riddo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878</Words>
  <Characters>5011</Characters>
  <Application>Microsoft Office Word</Application>
  <DocSecurity>0</DocSecurity>
  <Lines>41</Lines>
  <Paragraphs>11</Paragraphs>
  <ScaleCrop>false</ScaleCrop>
  <Company/>
  <LinksUpToDate>false</LinksUpToDate>
  <CharactersWithSpaces>5878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Howells-Johnson</dc:creator>
  <cp:keywords/>
  <dc:description/>
  <cp:lastModifiedBy>Janet Howells-Johnson</cp:lastModifiedBy>
  <cp:revision>1</cp:revision>
  <dcterms:created xsi:type="dcterms:W3CDTF">2023-12-13T12:40:00Z</dcterms:created>
  <dcterms:modified xsi:type="dcterms:W3CDTF">2023-12-13T12:40:00Z</dcterms:modified>
</cp:coreProperties>
</file>