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F413AB" w14:textId="51BD6F80" w:rsidR="002528F9" w:rsidRPr="0009603D" w:rsidRDefault="0025386C" w:rsidP="0025386C">
      <w:pPr>
        <w:jc w:val="center"/>
        <w:rPr>
          <w:rFonts w:cstheme="minorHAnsi"/>
          <w:b/>
          <w:sz w:val="24"/>
          <w:u w:val="single"/>
        </w:rPr>
      </w:pPr>
      <w:bookmarkStart w:id="0" w:name="_Hlk514415389"/>
      <w:r w:rsidRPr="0009603D">
        <w:rPr>
          <w:rFonts w:cstheme="minorHAnsi"/>
          <w:b/>
          <w:sz w:val="24"/>
          <w:u w:val="single"/>
        </w:rPr>
        <w:t>4. Would you judge the Spartans as pious or manipulative when religion intersected with politics (domestic or interpolis)?</w:t>
      </w:r>
    </w:p>
    <w:p w14:paraId="6B6B6D65" w14:textId="7EBA578E" w:rsidR="0025386C" w:rsidRPr="0009603D" w:rsidRDefault="0025386C" w:rsidP="0025386C">
      <w:pPr>
        <w:spacing w:after="0"/>
        <w:jc w:val="center"/>
        <w:rPr>
          <w:rFonts w:cstheme="minorHAnsi"/>
          <w:sz w:val="24"/>
        </w:rPr>
      </w:pPr>
      <w:r w:rsidRPr="0009603D">
        <w:rPr>
          <w:rFonts w:cstheme="minorHAnsi"/>
          <w:sz w:val="24"/>
        </w:rPr>
        <w:t>Sparta: An extraordinary city Exam May 2018</w:t>
      </w:r>
    </w:p>
    <w:p w14:paraId="19065516" w14:textId="60A390BE" w:rsidR="0025386C" w:rsidRPr="0009603D" w:rsidRDefault="0025386C" w:rsidP="0025386C">
      <w:pPr>
        <w:spacing w:after="0"/>
        <w:jc w:val="center"/>
        <w:rPr>
          <w:rFonts w:cstheme="minorHAnsi"/>
          <w:sz w:val="24"/>
        </w:rPr>
      </w:pPr>
      <w:r w:rsidRPr="0009603D">
        <w:rPr>
          <w:rFonts w:cstheme="minorHAnsi"/>
          <w:sz w:val="24"/>
        </w:rPr>
        <w:t>By Tamara Bowie</w:t>
      </w:r>
      <w:r w:rsidR="00D773AD">
        <w:rPr>
          <w:rFonts w:cstheme="minorHAnsi"/>
          <w:sz w:val="24"/>
        </w:rPr>
        <w:tab/>
      </w:r>
      <w:r w:rsidRPr="0009603D">
        <w:rPr>
          <w:rFonts w:cstheme="minorHAnsi"/>
          <w:sz w:val="24"/>
        </w:rPr>
        <w:t>1601293</w:t>
      </w:r>
    </w:p>
    <w:p w14:paraId="75C59357" w14:textId="37B258E8" w:rsidR="0025386C" w:rsidRPr="0009603D" w:rsidRDefault="0025386C" w:rsidP="0025386C">
      <w:pPr>
        <w:spacing w:after="0"/>
        <w:jc w:val="center"/>
        <w:rPr>
          <w:rFonts w:cstheme="minorHAnsi"/>
          <w:sz w:val="24"/>
        </w:rPr>
      </w:pPr>
    </w:p>
    <w:p w14:paraId="22C27D37" w14:textId="74C26702" w:rsidR="004A057F" w:rsidRPr="0009603D" w:rsidRDefault="00B162F6" w:rsidP="00B162F6">
      <w:pPr>
        <w:spacing w:after="0"/>
        <w:rPr>
          <w:rFonts w:cstheme="minorHAnsi"/>
          <w:sz w:val="24"/>
        </w:rPr>
      </w:pPr>
      <w:r w:rsidRPr="0009603D">
        <w:rPr>
          <w:rFonts w:cstheme="minorHAnsi"/>
          <w:sz w:val="24"/>
        </w:rPr>
        <w:t>The purpose of this paper is to determine whether the Spartans would be judged as pious or manipulative whe</w:t>
      </w:r>
      <w:r w:rsidR="0043506F" w:rsidRPr="0009603D">
        <w:rPr>
          <w:rFonts w:cstheme="minorHAnsi"/>
          <w:sz w:val="24"/>
        </w:rPr>
        <w:t>re</w:t>
      </w:r>
      <w:r w:rsidRPr="0009603D">
        <w:rPr>
          <w:rFonts w:cstheme="minorHAnsi"/>
          <w:sz w:val="24"/>
        </w:rPr>
        <w:t xml:space="preserve"> religion intersected with interpolis politics. Due to the nature of the Spartans as a military state, Sparta’s political interactions with other polis in Greece can be categorised as preventing immediate impending conflict, resolving current conflict or as a pre-emptive measure to avoid future conflict. </w:t>
      </w:r>
      <w:r w:rsidR="0043506F" w:rsidRPr="0009603D">
        <w:rPr>
          <w:rFonts w:cstheme="minorHAnsi"/>
          <w:sz w:val="24"/>
        </w:rPr>
        <w:t xml:space="preserve">The primary argument this paper will present is that the Spartans were a balance between pious and manipulative working on the idea that in the public cult, piety was absolute however in times of conflict those lines became </w:t>
      </w:r>
      <w:bookmarkStart w:id="1" w:name="_GoBack"/>
      <w:bookmarkEnd w:id="1"/>
      <w:r w:rsidR="0043506F" w:rsidRPr="0009603D">
        <w:rPr>
          <w:rFonts w:cstheme="minorHAnsi"/>
          <w:sz w:val="24"/>
        </w:rPr>
        <w:t xml:space="preserve">blurred and the manipulation of religious situations to better suit the situation becomes clearer. </w:t>
      </w:r>
      <w:r w:rsidR="005A760B" w:rsidRPr="0009603D">
        <w:rPr>
          <w:rFonts w:cstheme="minorHAnsi"/>
          <w:sz w:val="24"/>
        </w:rPr>
        <w:t>To</w:t>
      </w:r>
      <w:r w:rsidR="004A057F" w:rsidRPr="0009603D">
        <w:rPr>
          <w:rFonts w:cstheme="minorHAnsi"/>
          <w:sz w:val="24"/>
        </w:rPr>
        <w:t xml:space="preserve"> discuss the accuracy of these statements, this paper will look at instances of religious and political actions taken by the Spartan state in relation to other polis of Greece and determine whether the instance can be attributed to piety of the people involved or a result of their manipulation. </w:t>
      </w:r>
    </w:p>
    <w:p w14:paraId="60F69DA1" w14:textId="700A0486" w:rsidR="005A760B" w:rsidRPr="0009603D" w:rsidRDefault="005A760B" w:rsidP="00B162F6">
      <w:pPr>
        <w:spacing w:after="0"/>
        <w:rPr>
          <w:rFonts w:cstheme="minorHAnsi"/>
          <w:sz w:val="24"/>
        </w:rPr>
      </w:pPr>
    </w:p>
    <w:p w14:paraId="1F7A692A" w14:textId="4E6A489C" w:rsidR="003178D6" w:rsidRPr="0009603D" w:rsidRDefault="00015EFB" w:rsidP="00B162F6">
      <w:pPr>
        <w:spacing w:after="0"/>
        <w:rPr>
          <w:rFonts w:cstheme="minorHAnsi"/>
          <w:sz w:val="24"/>
        </w:rPr>
      </w:pPr>
      <w:r w:rsidRPr="0009603D">
        <w:rPr>
          <w:rFonts w:cstheme="minorHAnsi"/>
          <w:sz w:val="24"/>
        </w:rPr>
        <w:t>The first aspect this paper will discuss is the overall effect that Religion had on politics and by extension, conflict.</w:t>
      </w:r>
      <w:r w:rsidR="00733AE0" w:rsidRPr="0009603D">
        <w:rPr>
          <w:rFonts w:cstheme="minorHAnsi"/>
          <w:sz w:val="24"/>
        </w:rPr>
        <w:t xml:space="preserve"> Generals across Greece valued the input of the Oracles before </w:t>
      </w:r>
      <w:r w:rsidR="003178D6" w:rsidRPr="0009603D">
        <w:rPr>
          <w:rFonts w:cstheme="minorHAnsi"/>
          <w:sz w:val="24"/>
        </w:rPr>
        <w:t>marching to battle as well as the seers that would interpret signs in the field. Positive signs and results from the Oracles have a positive effect on the soldiers of the army</w:t>
      </w:r>
      <w:r w:rsidR="000B2DD4" w:rsidRPr="0009603D">
        <w:rPr>
          <w:rFonts w:cstheme="minorHAnsi"/>
          <w:sz w:val="24"/>
        </w:rPr>
        <w:t>, in some cases bestowing blessings of the Gods, such as the blessing of Apollo the Delphic oracle bestowed to the Spartans in 431</w:t>
      </w:r>
      <w:r w:rsidR="000B2DD4" w:rsidRPr="0009603D">
        <w:rPr>
          <w:rStyle w:val="FootnoteReference"/>
          <w:rFonts w:cstheme="minorHAnsi"/>
          <w:sz w:val="24"/>
        </w:rPr>
        <w:footnoteReference w:id="1"/>
      </w:r>
      <w:r w:rsidR="003178D6" w:rsidRPr="0009603D">
        <w:rPr>
          <w:rFonts w:cstheme="minorHAnsi"/>
          <w:sz w:val="24"/>
        </w:rPr>
        <w:t>, boosting morale and as a result, the soldiers would fight harder, an example of positive omens effecting combat is the earthquake Ages believed was a sign from the gods supporting them as they had already crossed the border into the Argives</w:t>
      </w:r>
      <w:r w:rsidR="003178D6" w:rsidRPr="0009603D">
        <w:rPr>
          <w:rStyle w:val="FootnoteReference"/>
          <w:rFonts w:cstheme="minorHAnsi"/>
          <w:sz w:val="24"/>
        </w:rPr>
        <w:footnoteReference w:id="2"/>
      </w:r>
      <w:r w:rsidR="003178D6" w:rsidRPr="0009603D">
        <w:rPr>
          <w:rFonts w:cstheme="minorHAnsi"/>
          <w:sz w:val="24"/>
        </w:rPr>
        <w:t>, the interpretation of the signs can be influenced by the person interpreting them, as with this example, if the earthquake occurred before the army had crossed the border it could be interpreted as a sign not to do so, this shows that signs can have the opposite effect, if a sign is negative it can negatively impact the soldiers performance in battle and change the plans of the generals entirely, for example, Agis sent his army home after unfavourable omens</w:t>
      </w:r>
      <w:r w:rsidR="003178D6" w:rsidRPr="0009603D">
        <w:rPr>
          <w:rStyle w:val="FootnoteReference"/>
          <w:rFonts w:cstheme="minorHAnsi"/>
          <w:sz w:val="24"/>
        </w:rPr>
        <w:footnoteReference w:id="3"/>
      </w:r>
      <w:r w:rsidR="003178D6" w:rsidRPr="0009603D">
        <w:rPr>
          <w:rFonts w:cstheme="minorHAnsi"/>
          <w:sz w:val="24"/>
        </w:rPr>
        <w:t>.</w:t>
      </w:r>
      <w:r w:rsidR="000B2DD4" w:rsidRPr="0009603D">
        <w:rPr>
          <w:rFonts w:cstheme="minorHAnsi"/>
          <w:sz w:val="24"/>
        </w:rPr>
        <w:t xml:space="preserve"> Another example is armies being dismissed after storms and poor sacrifices</w:t>
      </w:r>
      <w:r w:rsidR="000B2DD4" w:rsidRPr="0009603D">
        <w:rPr>
          <w:rStyle w:val="FootnoteReference"/>
          <w:rFonts w:cstheme="minorHAnsi"/>
          <w:sz w:val="24"/>
        </w:rPr>
        <w:footnoteReference w:id="4"/>
      </w:r>
      <w:r w:rsidR="000B2DD4" w:rsidRPr="0009603D">
        <w:rPr>
          <w:rFonts w:cstheme="minorHAnsi"/>
          <w:sz w:val="24"/>
        </w:rPr>
        <w:t>.</w:t>
      </w:r>
      <w:r w:rsidR="003178D6" w:rsidRPr="0009603D">
        <w:rPr>
          <w:rFonts w:cstheme="minorHAnsi"/>
          <w:sz w:val="24"/>
        </w:rPr>
        <w:t xml:space="preserve"> There are some issues presented with this, primarily the impiety of commanders ignoring the signs entirely or manipulating the oracles or the seer to ensure they get a result that supports their own agenda. There is also the idea that the interpreters may be bias or simply make a mistake.</w:t>
      </w:r>
    </w:p>
    <w:p w14:paraId="3B35AEB1" w14:textId="157B7EC4" w:rsidR="00606741" w:rsidRPr="0009603D" w:rsidRDefault="00606741" w:rsidP="00B162F6">
      <w:pPr>
        <w:spacing w:after="0"/>
        <w:rPr>
          <w:rFonts w:cstheme="minorHAnsi"/>
          <w:sz w:val="24"/>
        </w:rPr>
      </w:pPr>
    </w:p>
    <w:p w14:paraId="3DBADD1A" w14:textId="3C00DB01" w:rsidR="00606741" w:rsidRPr="0009603D" w:rsidRDefault="000B55AB" w:rsidP="00B162F6">
      <w:pPr>
        <w:spacing w:after="0"/>
        <w:rPr>
          <w:rFonts w:cstheme="minorHAnsi"/>
          <w:sz w:val="24"/>
        </w:rPr>
      </w:pPr>
      <w:r w:rsidRPr="0009603D">
        <w:rPr>
          <w:rFonts w:cstheme="minorHAnsi"/>
          <w:sz w:val="24"/>
        </w:rPr>
        <w:t>The first instance</w:t>
      </w:r>
      <w:r w:rsidR="00015EFB" w:rsidRPr="0009603D">
        <w:rPr>
          <w:rFonts w:cstheme="minorHAnsi"/>
          <w:sz w:val="24"/>
        </w:rPr>
        <w:t xml:space="preserve"> this paper will discuss</w:t>
      </w:r>
      <w:r w:rsidR="000B2DD4" w:rsidRPr="0009603D">
        <w:rPr>
          <w:rFonts w:cstheme="minorHAnsi"/>
          <w:sz w:val="24"/>
        </w:rPr>
        <w:t xml:space="preserve"> is</w:t>
      </w:r>
      <w:r w:rsidR="00606741" w:rsidRPr="0009603D">
        <w:rPr>
          <w:rFonts w:cstheme="minorHAnsi"/>
          <w:sz w:val="24"/>
        </w:rPr>
        <w:t xml:space="preserve"> the </w:t>
      </w:r>
      <w:r w:rsidR="00AD5E1F" w:rsidRPr="0009603D">
        <w:rPr>
          <w:rFonts w:cstheme="minorHAnsi"/>
          <w:sz w:val="24"/>
        </w:rPr>
        <w:t xml:space="preserve">ascension of Ageosilous </w:t>
      </w:r>
      <w:r w:rsidR="0031190A" w:rsidRPr="0009603D">
        <w:rPr>
          <w:rFonts w:cstheme="minorHAnsi"/>
          <w:sz w:val="24"/>
        </w:rPr>
        <w:t xml:space="preserve">and the incident of the lame King. </w:t>
      </w:r>
      <w:r w:rsidR="007025D7" w:rsidRPr="0009603D">
        <w:rPr>
          <w:rFonts w:cstheme="minorHAnsi"/>
          <w:sz w:val="24"/>
        </w:rPr>
        <w:t xml:space="preserve">As the second in line to succession, Ageosilous went through his military </w:t>
      </w:r>
      <w:r w:rsidR="007025D7" w:rsidRPr="0009603D">
        <w:rPr>
          <w:rFonts w:cstheme="minorHAnsi"/>
          <w:sz w:val="24"/>
        </w:rPr>
        <w:lastRenderedPageBreak/>
        <w:t>training in the Agoge. When the oracle prophesised Sparta would fall to misfortune if their King was lame, Lysander manipulated the prophecy to extort the rumours of his nephew being an illegitimate child and thus the ruler the prophecy warned against</w:t>
      </w:r>
      <w:r w:rsidR="00EF2C2C" w:rsidRPr="0009603D">
        <w:rPr>
          <w:rStyle w:val="FootnoteReference"/>
          <w:rFonts w:cstheme="minorHAnsi"/>
          <w:sz w:val="24"/>
        </w:rPr>
        <w:footnoteReference w:id="5"/>
      </w:r>
      <w:r w:rsidR="007025D7" w:rsidRPr="0009603D">
        <w:rPr>
          <w:rFonts w:cstheme="minorHAnsi"/>
          <w:sz w:val="24"/>
        </w:rPr>
        <w:t>. The political manipulation of this allowed Lysander to install a ruler endorsed by himself</w:t>
      </w:r>
      <w:r w:rsidR="00E700DC" w:rsidRPr="0009603D">
        <w:rPr>
          <w:rFonts w:cstheme="minorHAnsi"/>
          <w:sz w:val="24"/>
        </w:rPr>
        <w:t>, in this case Ageosilous</w:t>
      </w:r>
      <w:r w:rsidR="007025D7" w:rsidRPr="0009603D">
        <w:rPr>
          <w:rFonts w:cstheme="minorHAnsi"/>
          <w:sz w:val="24"/>
        </w:rPr>
        <w:t>. The result of this was military success during the Corinthian War. However, it is discussed that political decisions made in Asia Minor left Sparta isolated from potential allied polis in Greece</w:t>
      </w:r>
      <w:r w:rsidR="00EF2C2C" w:rsidRPr="0009603D">
        <w:rPr>
          <w:rStyle w:val="FootnoteReference"/>
          <w:rFonts w:cstheme="minorHAnsi"/>
          <w:sz w:val="24"/>
        </w:rPr>
        <w:footnoteReference w:id="6"/>
      </w:r>
      <w:r w:rsidR="007025D7" w:rsidRPr="0009603D">
        <w:rPr>
          <w:rFonts w:cstheme="minorHAnsi"/>
          <w:sz w:val="24"/>
        </w:rPr>
        <w:t>.</w:t>
      </w:r>
      <w:r w:rsidR="00D773AD">
        <w:rPr>
          <w:rFonts w:cstheme="minorHAnsi"/>
          <w:sz w:val="24"/>
        </w:rPr>
        <w:t xml:space="preserve"> In this instance this paper would determine that </w:t>
      </w:r>
      <w:r w:rsidR="000F4050">
        <w:rPr>
          <w:rFonts w:cstheme="minorHAnsi"/>
          <w:sz w:val="24"/>
        </w:rPr>
        <w:t>the</w:t>
      </w:r>
      <w:r w:rsidR="00D773AD">
        <w:rPr>
          <w:rFonts w:cstheme="minorHAnsi"/>
          <w:sz w:val="24"/>
        </w:rPr>
        <w:t xml:space="preserve"> actions were manipulative over pious</w:t>
      </w:r>
      <w:r w:rsidR="000F4050">
        <w:rPr>
          <w:rFonts w:cstheme="minorHAnsi"/>
          <w:sz w:val="24"/>
        </w:rPr>
        <w:t>, however it was the manipulation of a single man and not the state as a whole which this paper determines is a contributing factor worthy of discussion however, the fact that Lysander was able to do this with some success suggests a level of corruptibility within the Spartan state in matters of politics and religion</w:t>
      </w:r>
      <w:r w:rsidR="00D773AD">
        <w:rPr>
          <w:rFonts w:cstheme="minorHAnsi"/>
          <w:sz w:val="24"/>
        </w:rPr>
        <w:t>.</w:t>
      </w:r>
    </w:p>
    <w:p w14:paraId="25811368" w14:textId="0F8AD8BA" w:rsidR="00EF2C2C" w:rsidRPr="0009603D" w:rsidRDefault="00EF2C2C" w:rsidP="00B162F6">
      <w:pPr>
        <w:spacing w:after="0"/>
        <w:rPr>
          <w:rFonts w:cstheme="minorHAnsi"/>
          <w:sz w:val="24"/>
        </w:rPr>
      </w:pPr>
    </w:p>
    <w:p w14:paraId="6B16B1DE" w14:textId="7E120A6F" w:rsidR="00DD7145" w:rsidRPr="0009603D" w:rsidRDefault="00EC17C3" w:rsidP="00B162F6">
      <w:pPr>
        <w:spacing w:after="0"/>
        <w:rPr>
          <w:rFonts w:cstheme="minorHAnsi"/>
          <w:sz w:val="24"/>
        </w:rPr>
      </w:pPr>
      <w:r>
        <w:rPr>
          <w:rFonts w:cstheme="minorHAnsi"/>
          <w:sz w:val="24"/>
        </w:rPr>
        <w:t xml:space="preserve">Before discussing the next section of instances where politics and religion appear correlating, this paper must first discuss what it means by a loophole. In the instance of this paper it refers to the extortion of an ambiguous statement from the oracles, for example, or using their religious commitments in order to serve a political agenda. </w:t>
      </w:r>
      <w:r w:rsidR="00EF2C2C" w:rsidRPr="0009603D">
        <w:rPr>
          <w:rFonts w:cstheme="minorHAnsi"/>
          <w:sz w:val="24"/>
        </w:rPr>
        <w:t xml:space="preserve">A more well-known example of religious manipulation can be seen in the Sparta general’s extortion of loopholes. The incident of Leonidas and the three hundred at Thermopylae </w:t>
      </w:r>
      <w:r w:rsidR="0004608A" w:rsidRPr="0009603D">
        <w:rPr>
          <w:rFonts w:cstheme="minorHAnsi"/>
          <w:sz w:val="24"/>
        </w:rPr>
        <w:t xml:space="preserve">during the second Peloponnesian war, </w:t>
      </w:r>
      <w:r w:rsidR="00EF2C2C" w:rsidRPr="0009603D">
        <w:rPr>
          <w:rFonts w:cstheme="minorHAnsi"/>
          <w:sz w:val="24"/>
        </w:rPr>
        <w:t xml:space="preserve">shows the Oracle of Delphi telling Leonidas that </w:t>
      </w:r>
      <w:r w:rsidR="0004608A" w:rsidRPr="0009603D">
        <w:rPr>
          <w:rFonts w:cstheme="minorHAnsi"/>
          <w:sz w:val="24"/>
        </w:rPr>
        <w:t>Sparta would fall to the Persians or that the city would mourn a King from Herakles’ line</w:t>
      </w:r>
      <w:r w:rsidR="0004608A" w:rsidRPr="0009603D">
        <w:rPr>
          <w:rStyle w:val="FootnoteReference"/>
          <w:rFonts w:cstheme="minorHAnsi"/>
          <w:sz w:val="24"/>
        </w:rPr>
        <w:footnoteReference w:id="7"/>
      </w:r>
      <w:r w:rsidR="0004608A" w:rsidRPr="0009603D">
        <w:rPr>
          <w:rFonts w:cstheme="minorHAnsi"/>
          <w:sz w:val="24"/>
        </w:rPr>
        <w:t xml:space="preserve">. The religious festival, </w:t>
      </w:r>
      <w:proofErr w:type="spellStart"/>
      <w:r w:rsidR="0004608A" w:rsidRPr="0009603D">
        <w:rPr>
          <w:rFonts w:cstheme="minorHAnsi"/>
          <w:sz w:val="24"/>
        </w:rPr>
        <w:t>Carneia</w:t>
      </w:r>
      <w:proofErr w:type="spellEnd"/>
      <w:r w:rsidR="0004608A" w:rsidRPr="0009603D">
        <w:rPr>
          <w:rFonts w:cstheme="minorHAnsi"/>
          <w:sz w:val="24"/>
        </w:rPr>
        <w:t xml:space="preserve">, taking place at the time prevented the full army marching from Sparta to defend the pass at Thermopylae however, Leonidas interpreted this that he could take an expeditionary force of three hundred without violating the </w:t>
      </w:r>
      <w:r w:rsidR="0038251C" w:rsidRPr="0009603D">
        <w:rPr>
          <w:rFonts w:cstheme="minorHAnsi"/>
          <w:sz w:val="24"/>
        </w:rPr>
        <w:t>terms of the festival while</w:t>
      </w:r>
      <w:r w:rsidR="0085397F" w:rsidRPr="0009603D">
        <w:rPr>
          <w:rFonts w:cstheme="minorHAnsi"/>
          <w:sz w:val="24"/>
        </w:rPr>
        <w:t xml:space="preserve"> preventing the fall of Sparta the oracle had prophesised</w:t>
      </w:r>
      <w:r w:rsidR="0004608A" w:rsidRPr="0009603D">
        <w:rPr>
          <w:rFonts w:cstheme="minorHAnsi"/>
          <w:sz w:val="24"/>
        </w:rPr>
        <w:t xml:space="preserve">. </w:t>
      </w:r>
      <w:r w:rsidR="00EF2C2C" w:rsidRPr="0009603D">
        <w:rPr>
          <w:rFonts w:cstheme="minorHAnsi"/>
          <w:sz w:val="24"/>
        </w:rPr>
        <w:t xml:space="preserve"> </w:t>
      </w:r>
      <w:r w:rsidR="0004608A" w:rsidRPr="0009603D">
        <w:rPr>
          <w:rFonts w:cstheme="minorHAnsi"/>
          <w:sz w:val="24"/>
        </w:rPr>
        <w:t xml:space="preserve">His actions and the death of the three hundred, as well as the Thebans that accompanied them, ensured the rise of the full Spartan army and its allies to repel the Persians. This shows both piety in the respect that he didn’t wish to violate the terms of the festival however it also shows the ease at which in times of conflict the interpretation of the prophecies can be seen in a way that serves wider political and militaristic aims. </w:t>
      </w:r>
      <w:r w:rsidR="00DD7145" w:rsidRPr="0009603D">
        <w:rPr>
          <w:rFonts w:cstheme="minorHAnsi"/>
          <w:sz w:val="24"/>
        </w:rPr>
        <w:t xml:space="preserve">When considering religious festivals as a political and militaristic issue, their piety can also be used against them. When Demaratus, King of Sparta, went into exile in Persia he advised the Persian empire to attack the Peloponnese during the </w:t>
      </w:r>
      <w:proofErr w:type="spellStart"/>
      <w:r w:rsidR="00DD7145" w:rsidRPr="0009603D">
        <w:rPr>
          <w:rFonts w:cstheme="minorHAnsi"/>
          <w:sz w:val="24"/>
        </w:rPr>
        <w:t>Karnea</w:t>
      </w:r>
      <w:proofErr w:type="spellEnd"/>
      <w:r w:rsidR="00DD7145" w:rsidRPr="0009603D">
        <w:rPr>
          <w:rFonts w:cstheme="minorHAnsi"/>
          <w:sz w:val="24"/>
        </w:rPr>
        <w:t xml:space="preserve"> as this would prevent both the Spartans and the Dorians from fighting</w:t>
      </w:r>
      <w:r w:rsidR="0085397F" w:rsidRPr="0009603D">
        <w:rPr>
          <w:rStyle w:val="FootnoteReference"/>
          <w:rFonts w:cstheme="minorHAnsi"/>
          <w:sz w:val="24"/>
        </w:rPr>
        <w:footnoteReference w:id="8"/>
      </w:r>
      <w:r w:rsidR="00DD7145" w:rsidRPr="0009603D">
        <w:rPr>
          <w:rFonts w:cstheme="minorHAnsi"/>
          <w:sz w:val="24"/>
        </w:rPr>
        <w:t xml:space="preserve">. </w:t>
      </w:r>
    </w:p>
    <w:p w14:paraId="61373B1F" w14:textId="1EE3F78B" w:rsidR="0004608A" w:rsidRPr="0009603D" w:rsidRDefault="0004608A" w:rsidP="00B162F6">
      <w:pPr>
        <w:spacing w:after="0"/>
        <w:rPr>
          <w:rFonts w:cstheme="minorHAnsi"/>
          <w:sz w:val="24"/>
        </w:rPr>
      </w:pPr>
    </w:p>
    <w:p w14:paraId="2A9C5CD3" w14:textId="5D216E8C" w:rsidR="0004608A" w:rsidRPr="0009603D" w:rsidRDefault="0004608A" w:rsidP="00B162F6">
      <w:pPr>
        <w:spacing w:after="0"/>
        <w:rPr>
          <w:rFonts w:cstheme="minorHAnsi"/>
          <w:sz w:val="24"/>
        </w:rPr>
      </w:pPr>
      <w:r w:rsidRPr="0009603D">
        <w:rPr>
          <w:rFonts w:cstheme="minorHAnsi"/>
          <w:sz w:val="24"/>
        </w:rPr>
        <w:t>A second example of manipulating loopholes can be seen in Cleomenes I invasion of Argos. When he conquered a sacred grove of Argos</w:t>
      </w:r>
      <w:r w:rsidR="00C7135D" w:rsidRPr="0009603D">
        <w:rPr>
          <w:rFonts w:cstheme="minorHAnsi"/>
          <w:sz w:val="24"/>
        </w:rPr>
        <w:t xml:space="preserve"> in 494BC</w:t>
      </w:r>
      <w:r w:rsidR="00C7135D" w:rsidRPr="0009603D">
        <w:rPr>
          <w:rStyle w:val="FootnoteReference"/>
          <w:rFonts w:cstheme="minorHAnsi"/>
          <w:sz w:val="24"/>
        </w:rPr>
        <w:footnoteReference w:id="9"/>
      </w:r>
      <w:r w:rsidRPr="0009603D">
        <w:rPr>
          <w:rFonts w:cstheme="minorHAnsi"/>
          <w:sz w:val="24"/>
        </w:rPr>
        <w:t>, the Oracle’s prophecy stated he would take over Argos, he determined that the grove was as far as she meant and then took his army home</w:t>
      </w:r>
      <w:r w:rsidR="00C7135D" w:rsidRPr="0009603D">
        <w:rPr>
          <w:rStyle w:val="FootnoteReference"/>
          <w:rFonts w:cstheme="minorHAnsi"/>
          <w:sz w:val="24"/>
        </w:rPr>
        <w:footnoteReference w:id="10"/>
      </w:r>
      <w:r w:rsidRPr="0009603D">
        <w:rPr>
          <w:rFonts w:cstheme="minorHAnsi"/>
          <w:sz w:val="24"/>
        </w:rPr>
        <w:t xml:space="preserve">. The political implications of this is that Cleomenes may have felt that further conquest was to no benefit of the state, as well as claiming a sacred area in religious </w:t>
      </w:r>
      <w:r w:rsidRPr="0009603D">
        <w:rPr>
          <w:rFonts w:cstheme="minorHAnsi"/>
          <w:sz w:val="24"/>
        </w:rPr>
        <w:lastRenderedPageBreak/>
        <w:t>terms they had taken an important location</w:t>
      </w:r>
      <w:r w:rsidR="00C7135D" w:rsidRPr="0009603D">
        <w:rPr>
          <w:rFonts w:cstheme="minorHAnsi"/>
          <w:sz w:val="24"/>
        </w:rPr>
        <w:t>, Argos and Sparta would remain as enemy states for years after this event</w:t>
      </w:r>
      <w:r w:rsidRPr="0009603D">
        <w:rPr>
          <w:rFonts w:cstheme="minorHAnsi"/>
          <w:sz w:val="24"/>
        </w:rPr>
        <w:t xml:space="preserve">. This </w:t>
      </w:r>
      <w:r w:rsidR="00C7135D" w:rsidRPr="0009603D">
        <w:rPr>
          <w:rFonts w:cstheme="minorHAnsi"/>
          <w:sz w:val="24"/>
        </w:rPr>
        <w:t>be</w:t>
      </w:r>
      <w:r w:rsidR="0085397F" w:rsidRPr="0009603D">
        <w:rPr>
          <w:rFonts w:cstheme="minorHAnsi"/>
          <w:sz w:val="24"/>
        </w:rPr>
        <w:t>ing</w:t>
      </w:r>
      <w:r w:rsidRPr="0009603D">
        <w:rPr>
          <w:rFonts w:cstheme="minorHAnsi"/>
          <w:sz w:val="24"/>
        </w:rPr>
        <w:t xml:space="preserve"> manipulative of the religious </w:t>
      </w:r>
      <w:r w:rsidR="00C7135D" w:rsidRPr="0009603D">
        <w:rPr>
          <w:rFonts w:cstheme="minorHAnsi"/>
          <w:sz w:val="24"/>
        </w:rPr>
        <w:t xml:space="preserve">institution of Sparta and well as politically damaging. </w:t>
      </w:r>
    </w:p>
    <w:p w14:paraId="0157D9F7" w14:textId="58566597" w:rsidR="00C7135D" w:rsidRPr="0009603D" w:rsidRDefault="00C7135D" w:rsidP="00B162F6">
      <w:pPr>
        <w:spacing w:after="0"/>
        <w:rPr>
          <w:rFonts w:cstheme="minorHAnsi"/>
          <w:sz w:val="24"/>
        </w:rPr>
      </w:pPr>
    </w:p>
    <w:p w14:paraId="058439EF" w14:textId="1E058833" w:rsidR="00C7135D" w:rsidRPr="0009603D" w:rsidRDefault="00C7135D" w:rsidP="00B162F6">
      <w:pPr>
        <w:spacing w:after="0"/>
        <w:rPr>
          <w:rFonts w:cstheme="minorHAnsi"/>
          <w:sz w:val="24"/>
        </w:rPr>
      </w:pPr>
      <w:r w:rsidRPr="0009603D">
        <w:rPr>
          <w:rFonts w:cstheme="minorHAnsi"/>
          <w:sz w:val="24"/>
        </w:rPr>
        <w:t xml:space="preserve">The damage the invasion did to the political relationship between Argos and Sparta can be seen years later when after the peace of </w:t>
      </w:r>
      <w:proofErr w:type="spellStart"/>
      <w:r w:rsidRPr="0009603D">
        <w:rPr>
          <w:rFonts w:cstheme="minorHAnsi"/>
          <w:sz w:val="24"/>
        </w:rPr>
        <w:t>Nikias</w:t>
      </w:r>
      <w:proofErr w:type="spellEnd"/>
      <w:r w:rsidRPr="0009603D">
        <w:rPr>
          <w:rFonts w:cstheme="minorHAnsi"/>
          <w:sz w:val="24"/>
        </w:rPr>
        <w:t>, a peace treaty signed between Athens and Sparta in 421</w:t>
      </w:r>
      <w:r w:rsidRPr="0009603D">
        <w:rPr>
          <w:rStyle w:val="FootnoteReference"/>
          <w:rFonts w:cstheme="minorHAnsi"/>
          <w:sz w:val="24"/>
        </w:rPr>
        <w:footnoteReference w:id="11"/>
      </w:r>
      <w:r w:rsidRPr="0009603D">
        <w:rPr>
          <w:rFonts w:cstheme="minorHAnsi"/>
          <w:sz w:val="24"/>
        </w:rPr>
        <w:t xml:space="preserve">, when Athens allied with Argos in the </w:t>
      </w:r>
      <w:r w:rsidR="00446146" w:rsidRPr="0009603D">
        <w:rPr>
          <w:rFonts w:cstheme="minorHAnsi"/>
          <w:sz w:val="24"/>
        </w:rPr>
        <w:t xml:space="preserve">Delian </w:t>
      </w:r>
      <w:r w:rsidRPr="0009603D">
        <w:rPr>
          <w:rFonts w:cstheme="minorHAnsi"/>
          <w:sz w:val="24"/>
        </w:rPr>
        <w:t>League, a coalition of allied states against Sparta. When political disputes over land allocations broke down the treaty it was formally abandoned in 414BC</w:t>
      </w:r>
      <w:r w:rsidRPr="0009603D">
        <w:rPr>
          <w:rStyle w:val="FootnoteReference"/>
          <w:rFonts w:cstheme="minorHAnsi"/>
          <w:sz w:val="24"/>
        </w:rPr>
        <w:footnoteReference w:id="12"/>
      </w:r>
      <w:r w:rsidRPr="0009603D">
        <w:rPr>
          <w:rFonts w:cstheme="minorHAnsi"/>
          <w:sz w:val="24"/>
        </w:rPr>
        <w:t xml:space="preserve">. </w:t>
      </w:r>
      <w:r w:rsidR="00446146" w:rsidRPr="0009603D">
        <w:rPr>
          <w:rFonts w:cstheme="minorHAnsi"/>
          <w:sz w:val="24"/>
        </w:rPr>
        <w:t>Athens allied with Argos and Sparta saw this as a breach of the terms of the treaty.</w:t>
      </w:r>
    </w:p>
    <w:p w14:paraId="675036F5" w14:textId="0B5951FD" w:rsidR="0025386C" w:rsidRPr="0009603D" w:rsidRDefault="0025386C" w:rsidP="0025386C">
      <w:pPr>
        <w:spacing w:after="0"/>
        <w:jc w:val="center"/>
        <w:rPr>
          <w:rFonts w:cstheme="minorHAnsi"/>
          <w:sz w:val="24"/>
        </w:rPr>
      </w:pPr>
    </w:p>
    <w:p w14:paraId="0C0859E2" w14:textId="0FC1DF19" w:rsidR="0025386C" w:rsidRPr="0009603D" w:rsidRDefault="00446146" w:rsidP="00446146">
      <w:pPr>
        <w:spacing w:after="0"/>
        <w:rPr>
          <w:rFonts w:cstheme="minorHAnsi"/>
          <w:sz w:val="24"/>
        </w:rPr>
      </w:pPr>
      <w:r w:rsidRPr="0009603D">
        <w:rPr>
          <w:rFonts w:cstheme="minorHAnsi"/>
          <w:sz w:val="24"/>
        </w:rPr>
        <w:t xml:space="preserve">Further manipulation of religious instances can be seen when the Spartans refused to aid </w:t>
      </w:r>
      <w:r w:rsidR="009B63DD" w:rsidRPr="0009603D">
        <w:rPr>
          <w:rFonts w:cstheme="minorHAnsi"/>
          <w:sz w:val="24"/>
        </w:rPr>
        <w:t>at Marathon due to the moon cycle, when the Athenians sent their messenger to ask for aid, the Spartans “resolved to send help to the Athenians, but they could not do this immediately, for they were unwilling to break the law”</w:t>
      </w:r>
      <w:r w:rsidR="009B63DD" w:rsidRPr="0009603D">
        <w:rPr>
          <w:rStyle w:val="FootnoteReference"/>
          <w:rFonts w:cstheme="minorHAnsi"/>
          <w:sz w:val="24"/>
        </w:rPr>
        <w:footnoteReference w:id="13"/>
      </w:r>
      <w:r w:rsidR="009B63DD" w:rsidRPr="0009603D">
        <w:rPr>
          <w:rFonts w:cstheme="minorHAnsi"/>
          <w:sz w:val="24"/>
        </w:rPr>
        <w:t xml:space="preserve"> due to it being the ninth day of the “rising month”</w:t>
      </w:r>
      <w:r w:rsidR="009B63DD" w:rsidRPr="0009603D">
        <w:rPr>
          <w:rStyle w:val="FootnoteReference"/>
          <w:rFonts w:cstheme="minorHAnsi"/>
          <w:sz w:val="24"/>
        </w:rPr>
        <w:footnoteReference w:id="14"/>
      </w:r>
      <w:r w:rsidR="009B63DD" w:rsidRPr="0009603D">
        <w:rPr>
          <w:rFonts w:cstheme="minorHAnsi"/>
          <w:sz w:val="24"/>
        </w:rPr>
        <w:t xml:space="preserve"> the Spartan army couldn’t march to war until the moon was full.</w:t>
      </w:r>
      <w:r w:rsidR="00972D88" w:rsidRPr="0009603D">
        <w:rPr>
          <w:rFonts w:cstheme="minorHAnsi"/>
          <w:sz w:val="24"/>
        </w:rPr>
        <w:t xml:space="preserve"> This can show piety while maintaining their political obligations to assist allies however, there is an argument presented that the Spartans wished to avoid marching a large force out of Sparta as it provided the opportunity for the Helots to revolt</w:t>
      </w:r>
      <w:r w:rsidR="00B9259C" w:rsidRPr="0009603D">
        <w:rPr>
          <w:rFonts w:cstheme="minorHAnsi"/>
          <w:sz w:val="24"/>
        </w:rPr>
        <w:t>, showing they are able to take advantage of the fact their religious obligations gave them a feasible excuse</w:t>
      </w:r>
      <w:r w:rsidR="00171A95">
        <w:rPr>
          <w:rFonts w:cstheme="minorHAnsi"/>
          <w:sz w:val="24"/>
        </w:rPr>
        <w:t>, depending upon which argument this point will make the Spartan state could be taken as both manipulative and pious in scenarios concerning politics and religion</w:t>
      </w:r>
      <w:r w:rsidR="00972D88" w:rsidRPr="0009603D">
        <w:rPr>
          <w:rFonts w:cstheme="minorHAnsi"/>
          <w:sz w:val="24"/>
        </w:rPr>
        <w:t>.</w:t>
      </w:r>
    </w:p>
    <w:p w14:paraId="4E9058F5" w14:textId="12B18E17" w:rsidR="00EF2D87" w:rsidRPr="0009603D" w:rsidRDefault="00EF2D87" w:rsidP="00446146">
      <w:pPr>
        <w:spacing w:after="0"/>
        <w:rPr>
          <w:rFonts w:cstheme="minorHAnsi"/>
          <w:sz w:val="24"/>
        </w:rPr>
      </w:pPr>
    </w:p>
    <w:p w14:paraId="40A4CF17" w14:textId="6475F124" w:rsidR="00EF2D87" w:rsidRPr="0009603D" w:rsidRDefault="00EF2D87" w:rsidP="00446146">
      <w:pPr>
        <w:spacing w:after="0"/>
        <w:rPr>
          <w:rFonts w:cstheme="minorHAnsi"/>
          <w:sz w:val="24"/>
        </w:rPr>
      </w:pPr>
      <w:r w:rsidRPr="0009603D">
        <w:rPr>
          <w:rFonts w:cstheme="minorHAnsi"/>
          <w:sz w:val="24"/>
        </w:rPr>
        <w:t xml:space="preserve">Perhaps one of the most interesting topics of discussion </w:t>
      </w:r>
      <w:r w:rsidR="00FF2295" w:rsidRPr="0009603D">
        <w:rPr>
          <w:rFonts w:cstheme="minorHAnsi"/>
          <w:sz w:val="24"/>
        </w:rPr>
        <w:t>for this paper is the Spartans moving the bones of Orestes</w:t>
      </w:r>
      <w:r w:rsidR="00666DE9" w:rsidRPr="0009603D">
        <w:rPr>
          <w:rFonts w:cstheme="minorHAnsi"/>
          <w:sz w:val="24"/>
        </w:rPr>
        <w:t>. In Herodotus’ works he tells of the Oracle of Delphi foretelling the Spartans could not defeat the Tegeans until they moved the bones o</w:t>
      </w:r>
      <w:r w:rsidR="0085397F" w:rsidRPr="0009603D">
        <w:rPr>
          <w:rFonts w:cstheme="minorHAnsi"/>
          <w:sz w:val="24"/>
        </w:rPr>
        <w:t>f</w:t>
      </w:r>
      <w:r w:rsidR="00666DE9" w:rsidRPr="0009603D">
        <w:rPr>
          <w:rFonts w:cstheme="minorHAnsi"/>
          <w:sz w:val="24"/>
        </w:rPr>
        <w:t xml:space="preserve"> Orestes to Sparta</w:t>
      </w:r>
      <w:r w:rsidR="00666DE9" w:rsidRPr="0009603D">
        <w:rPr>
          <w:rStyle w:val="FootnoteReference"/>
          <w:rFonts w:cstheme="minorHAnsi"/>
          <w:sz w:val="24"/>
        </w:rPr>
        <w:footnoteReference w:id="15"/>
      </w:r>
      <w:r w:rsidR="00666DE9" w:rsidRPr="0009603D">
        <w:rPr>
          <w:rFonts w:cstheme="minorHAnsi"/>
          <w:sz w:val="24"/>
        </w:rPr>
        <w:t>. The political implications were that the Tegeans were ‘worsened’ for it and this led to the Tegeans suing for peace with the Spartans, avoiding larger conflict</w:t>
      </w:r>
      <w:r w:rsidR="00666DE9" w:rsidRPr="0009603D">
        <w:rPr>
          <w:rStyle w:val="FootnoteReference"/>
          <w:rFonts w:cstheme="minorHAnsi"/>
          <w:sz w:val="24"/>
        </w:rPr>
        <w:footnoteReference w:id="16"/>
      </w:r>
      <w:r w:rsidR="00666DE9" w:rsidRPr="0009603D">
        <w:rPr>
          <w:rFonts w:cstheme="minorHAnsi"/>
          <w:sz w:val="24"/>
        </w:rPr>
        <w:t>. The religious connotations of the bones of Orestes meant that the Spartans being in possession of them provided them with leverage over them and being able to politically manoeuvre them into a scenario much more beneficial to the Spartans</w:t>
      </w:r>
      <w:r w:rsidR="00171A95">
        <w:rPr>
          <w:rFonts w:cstheme="minorHAnsi"/>
          <w:sz w:val="24"/>
        </w:rPr>
        <w:t>. This paper would make the argument that in this instance, the Spartans were manipulative. They followed the word of the oracle which originally makes them appear pious. However, in</w:t>
      </w:r>
      <w:r w:rsidR="00994DC3">
        <w:rPr>
          <w:rFonts w:cstheme="minorHAnsi"/>
          <w:sz w:val="24"/>
        </w:rPr>
        <w:t xml:space="preserve"> this case it is a situation where by doing so they ensured victory with little actual combat. The reason this can be misleading is that this paper was taking the stance that the Spartans, as a military state, often had politics and conflict as one in the same, in this instance at least it appears that the Spartans were more politically tactful than in the instances previously discussed in this paper, leading to a firmer </w:t>
      </w:r>
      <w:r w:rsidR="00994DC3">
        <w:rPr>
          <w:rFonts w:cstheme="minorHAnsi"/>
          <w:sz w:val="24"/>
        </w:rPr>
        <w:lastRenderedPageBreak/>
        <w:t>conclusion that the Spartans were manipulative where religious instances aligned with politics</w:t>
      </w:r>
      <w:r w:rsidR="00666DE9" w:rsidRPr="0009603D">
        <w:rPr>
          <w:rFonts w:cstheme="minorHAnsi"/>
          <w:sz w:val="24"/>
        </w:rPr>
        <w:t>.</w:t>
      </w:r>
    </w:p>
    <w:p w14:paraId="7C023DBE" w14:textId="7D07AC90" w:rsidR="000B2DD4" w:rsidRPr="0009603D" w:rsidRDefault="000B2DD4" w:rsidP="00446146">
      <w:pPr>
        <w:spacing w:after="0"/>
        <w:rPr>
          <w:rFonts w:cstheme="minorHAnsi"/>
          <w:sz w:val="24"/>
        </w:rPr>
      </w:pPr>
    </w:p>
    <w:p w14:paraId="1201B58F" w14:textId="1BB0DA61" w:rsidR="00D773AD" w:rsidRDefault="00A51A83" w:rsidP="00D05151">
      <w:pPr>
        <w:spacing w:after="0"/>
        <w:rPr>
          <w:rFonts w:cstheme="minorHAnsi"/>
          <w:sz w:val="24"/>
        </w:rPr>
      </w:pPr>
      <w:r w:rsidRPr="0009603D">
        <w:rPr>
          <w:rFonts w:cstheme="minorHAnsi"/>
          <w:sz w:val="24"/>
        </w:rPr>
        <w:t xml:space="preserve">In conclusion, the purpose of this paper was to judge whether the Spartans were pious or manipulative when religion intersected with politics. This paper has determined that politics in a military state such as Sparta go hand in hand with the conflict of that state with another polis. It had identified that a normal state in times of peace will be prone to piety, however in times of conflict this line does shift, in a state constantly ready for war however this appears to be the norm. While Sparta attempts to follow the laws and traditions set out by the </w:t>
      </w:r>
      <w:r w:rsidR="008F507A" w:rsidRPr="0009603D">
        <w:rPr>
          <w:rFonts w:cstheme="minorHAnsi"/>
          <w:sz w:val="24"/>
        </w:rPr>
        <w:t xml:space="preserve">Oracles and by extension the will of the Gods as well as the commitments of their religious festivals, Spartan Kings and generals do not appear to be above manipulating the scenario to better suit their intentions of desires. The ambiguity of the prophecies as well as the loopholes identifiable in the laws of their festivals enable a certain degree of leeway in the way in which the Kings and officials conduct the affairs of the state. However, this leads this paper to the conclusion that the Spartans </w:t>
      </w:r>
      <w:r w:rsidR="006C33C3" w:rsidRPr="0009603D">
        <w:rPr>
          <w:rFonts w:cstheme="minorHAnsi"/>
          <w:sz w:val="24"/>
        </w:rPr>
        <w:t>can be</w:t>
      </w:r>
      <w:r w:rsidR="008F507A" w:rsidRPr="0009603D">
        <w:rPr>
          <w:rFonts w:cstheme="minorHAnsi"/>
          <w:sz w:val="24"/>
        </w:rPr>
        <w:t xml:space="preserve"> more manipulative</w:t>
      </w:r>
      <w:r w:rsidR="006C33C3" w:rsidRPr="0009603D">
        <w:rPr>
          <w:rFonts w:cstheme="minorHAnsi"/>
          <w:sz w:val="24"/>
        </w:rPr>
        <w:t xml:space="preserve"> than pious</w:t>
      </w:r>
      <w:r w:rsidR="008F507A" w:rsidRPr="0009603D">
        <w:rPr>
          <w:rFonts w:cstheme="minorHAnsi"/>
          <w:sz w:val="24"/>
        </w:rPr>
        <w:t xml:space="preserve"> in events where their religious duties intersect with politics and by extension conflict in the Peloponnese.</w:t>
      </w:r>
    </w:p>
    <w:p w14:paraId="6AB68F15" w14:textId="789BFC48" w:rsidR="00994DC3" w:rsidRDefault="00994DC3" w:rsidP="00D05151">
      <w:pPr>
        <w:spacing w:after="0"/>
        <w:rPr>
          <w:rFonts w:cstheme="minorHAnsi"/>
          <w:sz w:val="24"/>
        </w:rPr>
      </w:pPr>
    </w:p>
    <w:p w14:paraId="132A4654" w14:textId="57D8B4D8" w:rsidR="00994DC3" w:rsidRDefault="00994DC3" w:rsidP="00D05151">
      <w:pPr>
        <w:spacing w:after="0"/>
        <w:rPr>
          <w:rFonts w:cstheme="minorHAnsi"/>
          <w:sz w:val="24"/>
        </w:rPr>
      </w:pPr>
    </w:p>
    <w:p w14:paraId="2F9EA261" w14:textId="73C829E5" w:rsidR="00994DC3" w:rsidRDefault="00994DC3" w:rsidP="00D05151">
      <w:pPr>
        <w:spacing w:after="0"/>
        <w:rPr>
          <w:rFonts w:cstheme="minorHAnsi"/>
          <w:sz w:val="24"/>
        </w:rPr>
      </w:pPr>
    </w:p>
    <w:p w14:paraId="60FC1B0B" w14:textId="42A661B8" w:rsidR="00994DC3" w:rsidRDefault="00994DC3" w:rsidP="00D05151">
      <w:pPr>
        <w:spacing w:after="0"/>
        <w:rPr>
          <w:rFonts w:cstheme="minorHAnsi"/>
          <w:sz w:val="24"/>
        </w:rPr>
      </w:pPr>
    </w:p>
    <w:p w14:paraId="03FF98D4" w14:textId="7F96AD57" w:rsidR="00994DC3" w:rsidRDefault="00994DC3" w:rsidP="00D05151">
      <w:pPr>
        <w:spacing w:after="0"/>
        <w:rPr>
          <w:rFonts w:cstheme="minorHAnsi"/>
          <w:sz w:val="24"/>
        </w:rPr>
      </w:pPr>
    </w:p>
    <w:p w14:paraId="5284E8E0" w14:textId="4FE6C665" w:rsidR="00994DC3" w:rsidRDefault="00994DC3" w:rsidP="00D05151">
      <w:pPr>
        <w:spacing w:after="0"/>
        <w:rPr>
          <w:rFonts w:cstheme="minorHAnsi"/>
          <w:sz w:val="24"/>
        </w:rPr>
      </w:pPr>
    </w:p>
    <w:p w14:paraId="6355F58B" w14:textId="73B9C210" w:rsidR="00994DC3" w:rsidRDefault="00994DC3" w:rsidP="00D05151">
      <w:pPr>
        <w:spacing w:after="0"/>
        <w:rPr>
          <w:rFonts w:cstheme="minorHAnsi"/>
          <w:sz w:val="24"/>
        </w:rPr>
      </w:pPr>
    </w:p>
    <w:p w14:paraId="3856E795" w14:textId="78FF1E0F" w:rsidR="00994DC3" w:rsidRDefault="00994DC3" w:rsidP="00D05151">
      <w:pPr>
        <w:spacing w:after="0"/>
        <w:rPr>
          <w:rFonts w:cstheme="minorHAnsi"/>
          <w:sz w:val="24"/>
        </w:rPr>
      </w:pPr>
    </w:p>
    <w:p w14:paraId="6E312AF8" w14:textId="6F4A604E" w:rsidR="00994DC3" w:rsidRDefault="00994DC3" w:rsidP="00D05151">
      <w:pPr>
        <w:spacing w:after="0"/>
        <w:rPr>
          <w:rFonts w:cstheme="minorHAnsi"/>
          <w:sz w:val="24"/>
        </w:rPr>
      </w:pPr>
    </w:p>
    <w:p w14:paraId="135D860D" w14:textId="05EC61FD" w:rsidR="00994DC3" w:rsidRDefault="00994DC3" w:rsidP="00D05151">
      <w:pPr>
        <w:spacing w:after="0"/>
        <w:rPr>
          <w:rFonts w:cstheme="minorHAnsi"/>
          <w:sz w:val="24"/>
        </w:rPr>
      </w:pPr>
    </w:p>
    <w:p w14:paraId="5877E267" w14:textId="0A356BCD" w:rsidR="00994DC3" w:rsidRDefault="00994DC3" w:rsidP="00D05151">
      <w:pPr>
        <w:spacing w:after="0"/>
        <w:rPr>
          <w:rFonts w:cstheme="minorHAnsi"/>
          <w:sz w:val="24"/>
        </w:rPr>
      </w:pPr>
    </w:p>
    <w:p w14:paraId="3E755DE8" w14:textId="37A05D3B" w:rsidR="00994DC3" w:rsidRDefault="00994DC3" w:rsidP="00D05151">
      <w:pPr>
        <w:spacing w:after="0"/>
        <w:rPr>
          <w:rFonts w:cstheme="minorHAnsi"/>
          <w:sz w:val="24"/>
        </w:rPr>
      </w:pPr>
    </w:p>
    <w:p w14:paraId="1E257302" w14:textId="1DB9CDA6" w:rsidR="00994DC3" w:rsidRDefault="00994DC3" w:rsidP="00D05151">
      <w:pPr>
        <w:spacing w:after="0"/>
        <w:rPr>
          <w:rFonts w:cstheme="minorHAnsi"/>
          <w:sz w:val="24"/>
        </w:rPr>
      </w:pPr>
    </w:p>
    <w:p w14:paraId="7C131C70" w14:textId="0436EB4E" w:rsidR="00994DC3" w:rsidRDefault="00994DC3" w:rsidP="00D05151">
      <w:pPr>
        <w:spacing w:after="0"/>
        <w:rPr>
          <w:rFonts w:cstheme="minorHAnsi"/>
          <w:sz w:val="24"/>
        </w:rPr>
      </w:pPr>
    </w:p>
    <w:p w14:paraId="49EDB121" w14:textId="3EB115C1" w:rsidR="00994DC3" w:rsidRDefault="00994DC3" w:rsidP="00D05151">
      <w:pPr>
        <w:spacing w:after="0"/>
        <w:rPr>
          <w:rFonts w:cstheme="minorHAnsi"/>
          <w:sz w:val="24"/>
        </w:rPr>
      </w:pPr>
    </w:p>
    <w:p w14:paraId="2A9C73FE" w14:textId="4F1A99CF" w:rsidR="00994DC3" w:rsidRDefault="00994DC3" w:rsidP="00D05151">
      <w:pPr>
        <w:spacing w:after="0"/>
        <w:rPr>
          <w:rFonts w:cstheme="minorHAnsi"/>
          <w:sz w:val="24"/>
        </w:rPr>
      </w:pPr>
    </w:p>
    <w:p w14:paraId="4A8B7F6D" w14:textId="64A461A5" w:rsidR="00994DC3" w:rsidRDefault="00994DC3" w:rsidP="00D05151">
      <w:pPr>
        <w:spacing w:after="0"/>
        <w:rPr>
          <w:rFonts w:cstheme="minorHAnsi"/>
          <w:sz w:val="24"/>
        </w:rPr>
      </w:pPr>
    </w:p>
    <w:p w14:paraId="1142EA1C" w14:textId="4F1BEE9E" w:rsidR="00994DC3" w:rsidRDefault="00994DC3" w:rsidP="00D05151">
      <w:pPr>
        <w:spacing w:after="0"/>
        <w:rPr>
          <w:rFonts w:cstheme="minorHAnsi"/>
          <w:sz w:val="24"/>
        </w:rPr>
      </w:pPr>
    </w:p>
    <w:p w14:paraId="7D9DF0F2" w14:textId="2F31740B" w:rsidR="00994DC3" w:rsidRDefault="00994DC3" w:rsidP="00D05151">
      <w:pPr>
        <w:spacing w:after="0"/>
        <w:rPr>
          <w:rFonts w:cstheme="minorHAnsi"/>
          <w:sz w:val="24"/>
        </w:rPr>
      </w:pPr>
    </w:p>
    <w:p w14:paraId="173D94DA" w14:textId="30843448" w:rsidR="00994DC3" w:rsidRDefault="00994DC3" w:rsidP="00D05151">
      <w:pPr>
        <w:spacing w:after="0"/>
        <w:rPr>
          <w:rFonts w:cstheme="minorHAnsi"/>
          <w:sz w:val="24"/>
        </w:rPr>
      </w:pPr>
    </w:p>
    <w:p w14:paraId="5AD673C3" w14:textId="7023F639" w:rsidR="00994DC3" w:rsidRDefault="00994DC3" w:rsidP="00D05151">
      <w:pPr>
        <w:spacing w:after="0"/>
        <w:rPr>
          <w:rFonts w:cstheme="minorHAnsi"/>
          <w:sz w:val="24"/>
        </w:rPr>
      </w:pPr>
    </w:p>
    <w:p w14:paraId="2EA9E89C" w14:textId="474D84E9" w:rsidR="00994DC3" w:rsidRDefault="00994DC3" w:rsidP="00D05151">
      <w:pPr>
        <w:spacing w:after="0"/>
        <w:rPr>
          <w:rFonts w:cstheme="minorHAnsi"/>
          <w:sz w:val="24"/>
        </w:rPr>
      </w:pPr>
    </w:p>
    <w:p w14:paraId="03F0A921" w14:textId="4294F93B" w:rsidR="00994DC3" w:rsidRDefault="00994DC3" w:rsidP="00D05151">
      <w:pPr>
        <w:spacing w:after="0"/>
        <w:rPr>
          <w:rFonts w:cstheme="minorHAnsi"/>
          <w:sz w:val="24"/>
        </w:rPr>
      </w:pPr>
    </w:p>
    <w:p w14:paraId="682A26A5" w14:textId="34197C75" w:rsidR="00994DC3" w:rsidRDefault="00994DC3" w:rsidP="00D05151">
      <w:pPr>
        <w:spacing w:after="0"/>
        <w:rPr>
          <w:rFonts w:cstheme="minorHAnsi"/>
          <w:sz w:val="24"/>
        </w:rPr>
      </w:pPr>
    </w:p>
    <w:p w14:paraId="50C8594A" w14:textId="31163BFB" w:rsidR="00994DC3" w:rsidRDefault="00994DC3" w:rsidP="00D05151">
      <w:pPr>
        <w:spacing w:after="0"/>
        <w:rPr>
          <w:rFonts w:cstheme="minorHAnsi"/>
          <w:sz w:val="24"/>
        </w:rPr>
      </w:pPr>
    </w:p>
    <w:p w14:paraId="3D07ECB1" w14:textId="74101A57" w:rsidR="00994DC3" w:rsidRDefault="00994DC3" w:rsidP="00D05151">
      <w:pPr>
        <w:spacing w:after="0"/>
        <w:rPr>
          <w:rFonts w:cstheme="minorHAnsi"/>
          <w:sz w:val="24"/>
        </w:rPr>
      </w:pPr>
    </w:p>
    <w:p w14:paraId="28CF65DB" w14:textId="37834BEA" w:rsidR="00994DC3" w:rsidRDefault="00994DC3" w:rsidP="00D05151">
      <w:pPr>
        <w:spacing w:after="0"/>
        <w:rPr>
          <w:rFonts w:cstheme="minorHAnsi"/>
          <w:sz w:val="24"/>
        </w:rPr>
      </w:pPr>
    </w:p>
    <w:p w14:paraId="4304232E" w14:textId="10C66704" w:rsidR="00994DC3" w:rsidRDefault="00994DC3" w:rsidP="00D05151">
      <w:pPr>
        <w:spacing w:after="0"/>
        <w:rPr>
          <w:rFonts w:cstheme="minorHAnsi"/>
          <w:sz w:val="24"/>
        </w:rPr>
      </w:pPr>
    </w:p>
    <w:p w14:paraId="266ACCFC" w14:textId="6A46B2CA" w:rsidR="00994DC3" w:rsidRDefault="00994DC3" w:rsidP="00D05151">
      <w:pPr>
        <w:spacing w:after="0"/>
        <w:rPr>
          <w:rFonts w:cstheme="minorHAnsi"/>
          <w:sz w:val="24"/>
        </w:rPr>
      </w:pPr>
    </w:p>
    <w:p w14:paraId="78C1A0B0" w14:textId="373E750D" w:rsidR="00994DC3" w:rsidRDefault="00994DC3" w:rsidP="00D05151">
      <w:pPr>
        <w:spacing w:after="0"/>
        <w:rPr>
          <w:rFonts w:cstheme="minorHAnsi"/>
          <w:sz w:val="24"/>
        </w:rPr>
      </w:pPr>
    </w:p>
    <w:p w14:paraId="1E30CFA6" w14:textId="27DE30C5" w:rsidR="0025386C" w:rsidRPr="0009603D" w:rsidRDefault="00D05151" w:rsidP="00D05151">
      <w:pPr>
        <w:spacing w:after="0"/>
        <w:rPr>
          <w:rFonts w:cstheme="minorHAnsi"/>
          <w:b/>
          <w:sz w:val="24"/>
          <w:u w:val="single"/>
        </w:rPr>
      </w:pPr>
      <w:r w:rsidRPr="0009603D">
        <w:rPr>
          <w:rFonts w:cstheme="minorHAnsi"/>
          <w:b/>
          <w:sz w:val="24"/>
          <w:u w:val="single"/>
        </w:rPr>
        <w:t>Bibliography</w:t>
      </w:r>
    </w:p>
    <w:p w14:paraId="368EF4DA" w14:textId="2554140E" w:rsidR="00D05151" w:rsidRPr="0009603D" w:rsidRDefault="00D05151" w:rsidP="00D05151">
      <w:pPr>
        <w:spacing w:after="0"/>
        <w:rPr>
          <w:rFonts w:cstheme="minorHAnsi"/>
          <w:b/>
          <w:sz w:val="24"/>
          <w:u w:val="single"/>
        </w:rPr>
      </w:pPr>
    </w:p>
    <w:p w14:paraId="25923428" w14:textId="4FE21279" w:rsidR="00D05151" w:rsidRPr="0009603D" w:rsidRDefault="00D05151" w:rsidP="00D05151">
      <w:pPr>
        <w:spacing w:after="0"/>
        <w:rPr>
          <w:rFonts w:cstheme="minorHAnsi"/>
          <w:b/>
          <w:sz w:val="24"/>
        </w:rPr>
      </w:pPr>
      <w:r w:rsidRPr="0009603D">
        <w:rPr>
          <w:rFonts w:cstheme="minorHAnsi"/>
          <w:b/>
          <w:sz w:val="24"/>
        </w:rPr>
        <w:t>Ancient Sources</w:t>
      </w:r>
    </w:p>
    <w:p w14:paraId="2EEDDA94"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Herodotus and </w:t>
      </w:r>
      <w:proofErr w:type="spellStart"/>
      <w:r w:rsidRPr="0009603D">
        <w:rPr>
          <w:rFonts w:eastAsia="Times New Roman" w:cstheme="minorHAnsi"/>
          <w:color w:val="000000"/>
          <w:sz w:val="24"/>
          <w:szCs w:val="24"/>
          <w:lang w:val="en" w:eastAsia="en-GB"/>
        </w:rPr>
        <w:t>Blakeney</w:t>
      </w:r>
      <w:proofErr w:type="spellEnd"/>
      <w:r w:rsidRPr="0009603D">
        <w:rPr>
          <w:rFonts w:eastAsia="Times New Roman" w:cstheme="minorHAnsi"/>
          <w:color w:val="000000"/>
          <w:sz w:val="24"/>
          <w:szCs w:val="24"/>
          <w:lang w:val="en" w:eastAsia="en-GB"/>
        </w:rPr>
        <w:t xml:space="preserve">, E. (1912). </w:t>
      </w:r>
      <w:r w:rsidRPr="0009603D">
        <w:rPr>
          <w:rFonts w:eastAsia="Times New Roman" w:cstheme="minorHAnsi"/>
          <w:i/>
          <w:iCs/>
          <w:color w:val="000000"/>
          <w:sz w:val="24"/>
          <w:szCs w:val="24"/>
          <w:lang w:val="en" w:eastAsia="en-GB"/>
        </w:rPr>
        <w:t>The History of Herodotus</w:t>
      </w:r>
      <w:r w:rsidRPr="0009603D">
        <w:rPr>
          <w:rFonts w:eastAsia="Times New Roman" w:cstheme="minorHAnsi"/>
          <w:color w:val="000000"/>
          <w:sz w:val="24"/>
          <w:szCs w:val="24"/>
          <w:lang w:val="en" w:eastAsia="en-GB"/>
        </w:rPr>
        <w:t xml:space="preserve">. 2nd </w:t>
      </w:r>
      <w:proofErr w:type="gramStart"/>
      <w:r w:rsidRPr="0009603D">
        <w:rPr>
          <w:rFonts w:eastAsia="Times New Roman" w:cstheme="minorHAnsi"/>
          <w:color w:val="000000"/>
          <w:sz w:val="24"/>
          <w:szCs w:val="24"/>
          <w:lang w:val="en" w:eastAsia="en-GB"/>
        </w:rPr>
        <w:t>ed</w:t>
      </w:r>
      <w:proofErr w:type="gramEnd"/>
      <w:r w:rsidRPr="0009603D">
        <w:rPr>
          <w:rFonts w:eastAsia="Times New Roman" w:cstheme="minorHAnsi"/>
          <w:color w:val="000000"/>
          <w:sz w:val="24"/>
          <w:szCs w:val="24"/>
          <w:lang w:val="en" w:eastAsia="en-GB"/>
        </w:rPr>
        <w:t>. New York: J. M. Dent &amp; Sons Ltd.</w:t>
      </w:r>
    </w:p>
    <w:p w14:paraId="2601CF1B"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Pausanias and Taylor, T. (1794). </w:t>
      </w:r>
      <w:r w:rsidRPr="0009603D">
        <w:rPr>
          <w:rFonts w:eastAsia="Times New Roman" w:cstheme="minorHAnsi"/>
          <w:i/>
          <w:iCs/>
          <w:color w:val="000000"/>
          <w:sz w:val="24"/>
          <w:szCs w:val="24"/>
          <w:lang w:val="en" w:eastAsia="en-GB"/>
        </w:rPr>
        <w:t>The description of Greece</w:t>
      </w:r>
      <w:r w:rsidRPr="0009603D">
        <w:rPr>
          <w:rFonts w:eastAsia="Times New Roman" w:cstheme="minorHAnsi"/>
          <w:color w:val="000000"/>
          <w:sz w:val="24"/>
          <w:szCs w:val="24"/>
          <w:lang w:val="en" w:eastAsia="en-GB"/>
        </w:rPr>
        <w:t xml:space="preserve">. London: Printed for R. </w:t>
      </w:r>
      <w:proofErr w:type="spellStart"/>
      <w:r w:rsidRPr="0009603D">
        <w:rPr>
          <w:rFonts w:eastAsia="Times New Roman" w:cstheme="minorHAnsi"/>
          <w:color w:val="000000"/>
          <w:sz w:val="24"/>
          <w:szCs w:val="24"/>
          <w:lang w:val="en" w:eastAsia="en-GB"/>
        </w:rPr>
        <w:t>Faulder</w:t>
      </w:r>
      <w:proofErr w:type="spellEnd"/>
      <w:r w:rsidRPr="0009603D">
        <w:rPr>
          <w:rFonts w:eastAsia="Times New Roman" w:cstheme="minorHAnsi"/>
          <w:color w:val="000000"/>
          <w:sz w:val="24"/>
          <w:szCs w:val="24"/>
          <w:lang w:val="en" w:eastAsia="en-GB"/>
        </w:rPr>
        <w:t>.</w:t>
      </w:r>
    </w:p>
    <w:p w14:paraId="078D4833" w14:textId="77777777" w:rsidR="00DC79DE" w:rsidRPr="0009603D" w:rsidRDefault="00DC79DE" w:rsidP="00DC79DE">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Plutarch. (1764). </w:t>
      </w:r>
      <w:r w:rsidRPr="0009603D">
        <w:rPr>
          <w:rFonts w:eastAsia="Times New Roman" w:cstheme="minorHAnsi"/>
          <w:i/>
          <w:iCs/>
          <w:color w:val="000000"/>
          <w:sz w:val="24"/>
          <w:szCs w:val="24"/>
          <w:lang w:val="en" w:eastAsia="en-GB"/>
        </w:rPr>
        <w:t>Select lives by Plutarch</w:t>
      </w:r>
      <w:r w:rsidRPr="0009603D">
        <w:rPr>
          <w:rFonts w:eastAsia="Times New Roman" w:cstheme="minorHAnsi"/>
          <w:color w:val="000000"/>
          <w:sz w:val="24"/>
          <w:szCs w:val="24"/>
          <w:lang w:val="en" w:eastAsia="en-GB"/>
        </w:rPr>
        <w:t>. Edinburgh: Printed by A. Donaldson and J. Reid. For Alexander Donaldson, and sold at his shops in London and Edinburgh.</w:t>
      </w:r>
    </w:p>
    <w:p w14:paraId="2213D761"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Thucydides. </w:t>
      </w:r>
      <w:proofErr w:type="gramStart"/>
      <w:r w:rsidRPr="0009603D">
        <w:rPr>
          <w:rFonts w:eastAsia="Times New Roman" w:cstheme="minorHAnsi"/>
          <w:color w:val="000000"/>
          <w:sz w:val="24"/>
          <w:szCs w:val="24"/>
          <w:lang w:val="en" w:eastAsia="en-GB"/>
        </w:rPr>
        <w:t>and</w:t>
      </w:r>
      <w:proofErr w:type="gramEnd"/>
      <w:r w:rsidRPr="0009603D">
        <w:rPr>
          <w:rFonts w:eastAsia="Times New Roman" w:cstheme="minorHAnsi"/>
          <w:color w:val="000000"/>
          <w:sz w:val="24"/>
          <w:szCs w:val="24"/>
          <w:lang w:val="en" w:eastAsia="en-GB"/>
        </w:rPr>
        <w:t xml:space="preserve"> Rhodes, P. (1998). </w:t>
      </w:r>
      <w:r w:rsidRPr="0009603D">
        <w:rPr>
          <w:rFonts w:eastAsia="Times New Roman" w:cstheme="minorHAnsi"/>
          <w:i/>
          <w:iCs/>
          <w:color w:val="000000"/>
          <w:sz w:val="24"/>
          <w:szCs w:val="24"/>
          <w:lang w:val="en" w:eastAsia="en-GB"/>
        </w:rPr>
        <w:t>History IV.-V.24</w:t>
      </w:r>
      <w:r w:rsidRPr="0009603D">
        <w:rPr>
          <w:rFonts w:eastAsia="Times New Roman" w:cstheme="minorHAnsi"/>
          <w:color w:val="000000"/>
          <w:sz w:val="24"/>
          <w:szCs w:val="24"/>
          <w:lang w:val="en" w:eastAsia="en-GB"/>
        </w:rPr>
        <w:t xml:space="preserve">. Warminster: </w:t>
      </w:r>
      <w:proofErr w:type="spellStart"/>
      <w:r w:rsidRPr="0009603D">
        <w:rPr>
          <w:rFonts w:eastAsia="Times New Roman" w:cstheme="minorHAnsi"/>
          <w:color w:val="000000"/>
          <w:sz w:val="24"/>
          <w:szCs w:val="24"/>
          <w:lang w:val="en" w:eastAsia="en-GB"/>
        </w:rPr>
        <w:t>Aris</w:t>
      </w:r>
      <w:proofErr w:type="spellEnd"/>
      <w:r w:rsidRPr="0009603D">
        <w:rPr>
          <w:rFonts w:eastAsia="Times New Roman" w:cstheme="minorHAnsi"/>
          <w:color w:val="000000"/>
          <w:sz w:val="24"/>
          <w:szCs w:val="24"/>
          <w:lang w:val="en" w:eastAsia="en-GB"/>
        </w:rPr>
        <w:t xml:space="preserve"> &amp; Phillips.</w:t>
      </w:r>
    </w:p>
    <w:p w14:paraId="6E3A675F" w14:textId="77777777" w:rsidR="0009603D" w:rsidRPr="0009603D" w:rsidRDefault="0009603D" w:rsidP="0009603D">
      <w:pPr>
        <w:shd w:val="clear" w:color="auto" w:fill="FFFFFF"/>
        <w:spacing w:line="240" w:lineRule="auto"/>
        <w:rPr>
          <w:rFonts w:eastAsia="Times New Roman" w:cstheme="minorHAnsi"/>
          <w:color w:val="000000"/>
          <w:sz w:val="24"/>
          <w:szCs w:val="24"/>
          <w:lang w:val="en" w:eastAsia="en-GB"/>
        </w:rPr>
      </w:pPr>
      <w:proofErr w:type="gramStart"/>
      <w:r w:rsidRPr="0009603D">
        <w:rPr>
          <w:rFonts w:eastAsia="Times New Roman" w:cstheme="minorHAnsi"/>
          <w:color w:val="000000"/>
          <w:sz w:val="24"/>
          <w:szCs w:val="24"/>
          <w:lang w:val="en" w:eastAsia="en-GB"/>
        </w:rPr>
        <w:t>Thucydides.,</w:t>
      </w:r>
      <w:proofErr w:type="gramEnd"/>
      <w:r w:rsidRPr="0009603D">
        <w:rPr>
          <w:rFonts w:eastAsia="Times New Roman" w:cstheme="minorHAnsi"/>
          <w:color w:val="000000"/>
          <w:sz w:val="24"/>
          <w:szCs w:val="24"/>
          <w:lang w:val="en" w:eastAsia="en-GB"/>
        </w:rPr>
        <w:t xml:space="preserve"> Warner, R. and Finley, M. (1972). </w:t>
      </w:r>
      <w:r w:rsidRPr="0009603D">
        <w:rPr>
          <w:rFonts w:eastAsia="Times New Roman" w:cstheme="minorHAnsi"/>
          <w:i/>
          <w:iCs/>
          <w:color w:val="000000"/>
          <w:sz w:val="24"/>
          <w:szCs w:val="24"/>
          <w:lang w:val="en" w:eastAsia="en-GB"/>
        </w:rPr>
        <w:t>History of the Peloponnesian War</w:t>
      </w:r>
      <w:r w:rsidRPr="0009603D">
        <w:rPr>
          <w:rFonts w:eastAsia="Times New Roman" w:cstheme="minorHAnsi"/>
          <w:color w:val="000000"/>
          <w:sz w:val="24"/>
          <w:szCs w:val="24"/>
          <w:lang w:val="en" w:eastAsia="en-GB"/>
        </w:rPr>
        <w:t xml:space="preserve">. </w:t>
      </w:r>
      <w:proofErr w:type="spellStart"/>
      <w:r w:rsidRPr="0009603D">
        <w:rPr>
          <w:rFonts w:eastAsia="Times New Roman" w:cstheme="minorHAnsi"/>
          <w:color w:val="000000"/>
          <w:sz w:val="24"/>
          <w:szCs w:val="24"/>
          <w:lang w:val="en" w:eastAsia="en-GB"/>
        </w:rPr>
        <w:t>Harmondsworth</w:t>
      </w:r>
      <w:proofErr w:type="spellEnd"/>
      <w:r w:rsidRPr="0009603D">
        <w:rPr>
          <w:rFonts w:eastAsia="Times New Roman" w:cstheme="minorHAnsi"/>
          <w:color w:val="000000"/>
          <w:sz w:val="24"/>
          <w:szCs w:val="24"/>
          <w:lang w:val="en" w:eastAsia="en-GB"/>
        </w:rPr>
        <w:t>, Eng.: Penguin Books.</w:t>
      </w:r>
    </w:p>
    <w:p w14:paraId="2EEB8A85" w14:textId="1D2DCCA3" w:rsidR="00D05151" w:rsidRPr="0009603D" w:rsidRDefault="00D05151" w:rsidP="00D05151">
      <w:pPr>
        <w:spacing w:after="0"/>
        <w:rPr>
          <w:rFonts w:cstheme="minorHAnsi"/>
          <w:b/>
          <w:sz w:val="24"/>
        </w:rPr>
      </w:pPr>
    </w:p>
    <w:p w14:paraId="672C6764" w14:textId="663B2854" w:rsidR="0009603D" w:rsidRPr="0009603D" w:rsidRDefault="00D05151" w:rsidP="0009603D">
      <w:pPr>
        <w:spacing w:after="0"/>
        <w:rPr>
          <w:rFonts w:cstheme="minorHAnsi"/>
          <w:b/>
          <w:sz w:val="24"/>
        </w:rPr>
      </w:pPr>
      <w:r w:rsidRPr="0009603D">
        <w:rPr>
          <w:rFonts w:cstheme="minorHAnsi"/>
          <w:b/>
          <w:sz w:val="24"/>
        </w:rPr>
        <w:t>Modern Scholarship</w:t>
      </w:r>
      <w:bookmarkEnd w:id="0"/>
    </w:p>
    <w:p w14:paraId="5D126D0B"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proofErr w:type="spellStart"/>
      <w:r w:rsidRPr="0009603D">
        <w:rPr>
          <w:rFonts w:eastAsia="Times New Roman" w:cstheme="minorHAnsi"/>
          <w:color w:val="000000"/>
          <w:sz w:val="24"/>
          <w:szCs w:val="24"/>
          <w:lang w:val="en" w:eastAsia="en-GB"/>
        </w:rPr>
        <w:t>Burkert</w:t>
      </w:r>
      <w:proofErr w:type="spellEnd"/>
      <w:r w:rsidRPr="0009603D">
        <w:rPr>
          <w:rFonts w:eastAsia="Times New Roman" w:cstheme="minorHAnsi"/>
          <w:color w:val="000000"/>
          <w:sz w:val="24"/>
          <w:szCs w:val="24"/>
          <w:lang w:val="en" w:eastAsia="en-GB"/>
        </w:rPr>
        <w:t xml:space="preserve">, W. and </w:t>
      </w:r>
      <w:proofErr w:type="spellStart"/>
      <w:r w:rsidRPr="0009603D">
        <w:rPr>
          <w:rFonts w:eastAsia="Times New Roman" w:cstheme="minorHAnsi"/>
          <w:color w:val="000000"/>
          <w:sz w:val="24"/>
          <w:szCs w:val="24"/>
          <w:lang w:val="en" w:eastAsia="en-GB"/>
        </w:rPr>
        <w:t>Raffan</w:t>
      </w:r>
      <w:proofErr w:type="spellEnd"/>
      <w:r w:rsidRPr="0009603D">
        <w:rPr>
          <w:rFonts w:eastAsia="Times New Roman" w:cstheme="minorHAnsi"/>
          <w:color w:val="000000"/>
          <w:sz w:val="24"/>
          <w:szCs w:val="24"/>
          <w:lang w:val="en" w:eastAsia="en-GB"/>
        </w:rPr>
        <w:t xml:space="preserve">, J. (2013). </w:t>
      </w:r>
      <w:r w:rsidRPr="0009603D">
        <w:rPr>
          <w:rFonts w:eastAsia="Times New Roman" w:cstheme="minorHAnsi"/>
          <w:i/>
          <w:iCs/>
          <w:color w:val="000000"/>
          <w:sz w:val="24"/>
          <w:szCs w:val="24"/>
          <w:lang w:val="en" w:eastAsia="en-GB"/>
        </w:rPr>
        <w:t>Greek Religion</w:t>
      </w:r>
      <w:r w:rsidRPr="0009603D">
        <w:rPr>
          <w:rFonts w:eastAsia="Times New Roman" w:cstheme="minorHAnsi"/>
          <w:color w:val="000000"/>
          <w:sz w:val="24"/>
          <w:szCs w:val="24"/>
          <w:lang w:val="en" w:eastAsia="en-GB"/>
        </w:rPr>
        <w:t>. Hoboken: Wiley.</w:t>
      </w:r>
    </w:p>
    <w:p w14:paraId="26EE2E57"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Buxton, R. (2009). </w:t>
      </w:r>
      <w:r w:rsidRPr="0009603D">
        <w:rPr>
          <w:rFonts w:eastAsia="Times New Roman" w:cstheme="minorHAnsi"/>
          <w:i/>
          <w:iCs/>
          <w:color w:val="000000"/>
          <w:sz w:val="24"/>
          <w:szCs w:val="24"/>
          <w:lang w:val="en" w:eastAsia="en-GB"/>
        </w:rPr>
        <w:t>Oxford readings in Greek religion</w:t>
      </w:r>
      <w:r w:rsidRPr="0009603D">
        <w:rPr>
          <w:rFonts w:eastAsia="Times New Roman" w:cstheme="minorHAnsi"/>
          <w:color w:val="000000"/>
          <w:sz w:val="24"/>
          <w:szCs w:val="24"/>
          <w:lang w:val="en" w:eastAsia="en-GB"/>
        </w:rPr>
        <w:t>. New York: Oxford University Press.</w:t>
      </w:r>
    </w:p>
    <w:p w14:paraId="05B6C185"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Huxley, G. (1979). </w:t>
      </w:r>
      <w:r w:rsidRPr="0009603D">
        <w:rPr>
          <w:rFonts w:eastAsia="Times New Roman" w:cstheme="minorHAnsi"/>
          <w:i/>
          <w:iCs/>
          <w:color w:val="000000"/>
          <w:sz w:val="24"/>
          <w:szCs w:val="24"/>
          <w:lang w:val="en" w:eastAsia="en-GB"/>
        </w:rPr>
        <w:t>Bones for Orestes</w:t>
      </w:r>
      <w:r w:rsidRPr="0009603D">
        <w:rPr>
          <w:rFonts w:eastAsia="Times New Roman" w:cstheme="minorHAnsi"/>
          <w:color w:val="000000"/>
          <w:sz w:val="24"/>
          <w:szCs w:val="24"/>
          <w:lang w:val="en" w:eastAsia="en-GB"/>
        </w:rPr>
        <w:t>. Durham, N.C.</w:t>
      </w:r>
    </w:p>
    <w:p w14:paraId="4F2AD1F9"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Kagan, D. (2004). </w:t>
      </w:r>
      <w:r w:rsidRPr="0009603D">
        <w:rPr>
          <w:rFonts w:eastAsia="Times New Roman" w:cstheme="minorHAnsi"/>
          <w:i/>
          <w:iCs/>
          <w:color w:val="000000"/>
          <w:sz w:val="24"/>
          <w:szCs w:val="24"/>
          <w:lang w:val="en" w:eastAsia="en-GB"/>
        </w:rPr>
        <w:t>The Peloponnesian War</w:t>
      </w:r>
      <w:r w:rsidRPr="0009603D">
        <w:rPr>
          <w:rFonts w:eastAsia="Times New Roman" w:cstheme="minorHAnsi"/>
          <w:color w:val="000000"/>
          <w:sz w:val="24"/>
          <w:szCs w:val="24"/>
          <w:lang w:val="en" w:eastAsia="en-GB"/>
        </w:rPr>
        <w:t>. New York: Penguin Books, pp.197-209.</w:t>
      </w:r>
    </w:p>
    <w:p w14:paraId="38C62250"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P. Neilson, M. (1969). </w:t>
      </w:r>
      <w:r w:rsidRPr="0009603D">
        <w:rPr>
          <w:rFonts w:eastAsia="Times New Roman" w:cstheme="minorHAnsi"/>
          <w:i/>
          <w:iCs/>
          <w:color w:val="000000"/>
          <w:sz w:val="24"/>
          <w:szCs w:val="24"/>
          <w:lang w:val="en" w:eastAsia="en-GB"/>
        </w:rPr>
        <w:t>Greek Piety</w:t>
      </w:r>
      <w:r w:rsidRPr="0009603D">
        <w:rPr>
          <w:rFonts w:eastAsia="Times New Roman" w:cstheme="minorHAnsi"/>
          <w:color w:val="000000"/>
          <w:sz w:val="24"/>
          <w:szCs w:val="24"/>
          <w:lang w:val="en" w:eastAsia="en-GB"/>
        </w:rPr>
        <w:t>. New York: Oxford University Press.</w:t>
      </w:r>
    </w:p>
    <w:p w14:paraId="5CB51DE4" w14:textId="77777777" w:rsidR="0009603D" w:rsidRPr="0009603D" w:rsidRDefault="0009603D" w:rsidP="0009603D">
      <w:pPr>
        <w:shd w:val="clear" w:color="auto" w:fill="FFFFFF"/>
        <w:spacing w:after="150" w:line="240" w:lineRule="auto"/>
        <w:rPr>
          <w:rFonts w:eastAsia="Times New Roman" w:cstheme="minorHAnsi"/>
          <w:color w:val="000000"/>
          <w:sz w:val="24"/>
          <w:szCs w:val="24"/>
          <w:lang w:val="en" w:eastAsia="en-GB"/>
        </w:rPr>
      </w:pPr>
      <w:r w:rsidRPr="0009603D">
        <w:rPr>
          <w:rFonts w:eastAsia="Times New Roman" w:cstheme="minorHAnsi"/>
          <w:color w:val="000000"/>
          <w:sz w:val="24"/>
          <w:szCs w:val="24"/>
          <w:lang w:val="en" w:eastAsia="en-GB"/>
        </w:rPr>
        <w:t xml:space="preserve">Rice, D. and </w:t>
      </w:r>
      <w:proofErr w:type="spellStart"/>
      <w:r w:rsidRPr="0009603D">
        <w:rPr>
          <w:rFonts w:eastAsia="Times New Roman" w:cstheme="minorHAnsi"/>
          <w:color w:val="000000"/>
          <w:sz w:val="24"/>
          <w:szCs w:val="24"/>
          <w:lang w:val="en" w:eastAsia="en-GB"/>
        </w:rPr>
        <w:t>Stambaugh</w:t>
      </w:r>
      <w:proofErr w:type="spellEnd"/>
      <w:r w:rsidRPr="0009603D">
        <w:rPr>
          <w:rFonts w:eastAsia="Times New Roman" w:cstheme="minorHAnsi"/>
          <w:color w:val="000000"/>
          <w:sz w:val="24"/>
          <w:szCs w:val="24"/>
          <w:lang w:val="en" w:eastAsia="en-GB"/>
        </w:rPr>
        <w:t xml:space="preserve">, J. (2009). </w:t>
      </w:r>
      <w:r w:rsidRPr="0009603D">
        <w:rPr>
          <w:rFonts w:eastAsia="Times New Roman" w:cstheme="minorHAnsi"/>
          <w:i/>
          <w:iCs/>
          <w:color w:val="000000"/>
          <w:sz w:val="24"/>
          <w:szCs w:val="24"/>
          <w:lang w:val="en" w:eastAsia="en-GB"/>
        </w:rPr>
        <w:t>Sources for the study of Greek religion</w:t>
      </w:r>
      <w:r w:rsidRPr="0009603D">
        <w:rPr>
          <w:rFonts w:eastAsia="Times New Roman" w:cstheme="minorHAnsi"/>
          <w:color w:val="000000"/>
          <w:sz w:val="24"/>
          <w:szCs w:val="24"/>
          <w:lang w:val="en" w:eastAsia="en-GB"/>
        </w:rPr>
        <w:t>. Missoula, Mont.: Society of Biblical Literature.</w:t>
      </w:r>
    </w:p>
    <w:p w14:paraId="1C80BED9" w14:textId="77777777" w:rsidR="0009603D" w:rsidRPr="0009603D" w:rsidRDefault="0009603D" w:rsidP="0025386C">
      <w:pPr>
        <w:spacing w:after="0"/>
        <w:jc w:val="center"/>
        <w:rPr>
          <w:rFonts w:cstheme="minorHAnsi"/>
          <w:sz w:val="24"/>
        </w:rPr>
      </w:pPr>
    </w:p>
    <w:sectPr w:rsidR="0009603D" w:rsidRPr="0009603D" w:rsidSect="0025386C">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7CA4A5F" w14:textId="77777777" w:rsidR="00E03585" w:rsidRDefault="00E03585" w:rsidP="0025386C">
      <w:pPr>
        <w:spacing w:after="0" w:line="240" w:lineRule="auto"/>
      </w:pPr>
      <w:r>
        <w:separator/>
      </w:r>
    </w:p>
  </w:endnote>
  <w:endnote w:type="continuationSeparator" w:id="0">
    <w:p w14:paraId="1E6A79EA" w14:textId="77777777" w:rsidR="00E03585" w:rsidRDefault="00E03585" w:rsidP="00253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65B15" w14:textId="14876395" w:rsidR="0025386C" w:rsidRDefault="0025386C">
    <w:pPr>
      <w:pStyle w:val="Footer"/>
    </w:pPr>
    <w:r>
      <w:t>Tamara Bowie</w:t>
    </w:r>
    <w:r>
      <w:tab/>
    </w:r>
    <w:r>
      <w:tab/>
      <w:t>1601293</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D11B51" w14:textId="77777777" w:rsidR="00E03585" w:rsidRDefault="00E03585" w:rsidP="0025386C">
      <w:pPr>
        <w:spacing w:after="0" w:line="240" w:lineRule="auto"/>
      </w:pPr>
      <w:r>
        <w:separator/>
      </w:r>
    </w:p>
  </w:footnote>
  <w:footnote w:type="continuationSeparator" w:id="0">
    <w:p w14:paraId="58CD5340" w14:textId="77777777" w:rsidR="00E03585" w:rsidRDefault="00E03585" w:rsidP="0025386C">
      <w:pPr>
        <w:spacing w:after="0" w:line="240" w:lineRule="auto"/>
      </w:pPr>
      <w:r>
        <w:continuationSeparator/>
      </w:r>
    </w:p>
  </w:footnote>
  <w:footnote w:id="1">
    <w:p w14:paraId="5E706475" w14:textId="643D15BA" w:rsidR="000B2DD4" w:rsidRDefault="000B2DD4">
      <w:pPr>
        <w:pStyle w:val="FootnoteText"/>
      </w:pPr>
      <w:r>
        <w:rPr>
          <w:rStyle w:val="FootnoteReference"/>
        </w:rPr>
        <w:footnoteRef/>
      </w:r>
      <w:r>
        <w:t xml:space="preserve"> Thuc.103</w:t>
      </w:r>
    </w:p>
  </w:footnote>
  <w:footnote w:id="2">
    <w:p w14:paraId="321F0D5C" w14:textId="5F0F837E" w:rsidR="003178D6" w:rsidRDefault="003178D6">
      <w:pPr>
        <w:pStyle w:val="FootnoteText"/>
      </w:pPr>
      <w:r>
        <w:rPr>
          <w:rStyle w:val="FootnoteReference"/>
        </w:rPr>
        <w:footnoteRef/>
      </w:r>
      <w:r>
        <w:t xml:space="preserve"> Thuc.5.55</w:t>
      </w:r>
    </w:p>
  </w:footnote>
  <w:footnote w:id="3">
    <w:p w14:paraId="3DBFB1F3" w14:textId="04D093C3" w:rsidR="003178D6" w:rsidRDefault="003178D6">
      <w:pPr>
        <w:pStyle w:val="FootnoteText"/>
      </w:pPr>
      <w:r>
        <w:rPr>
          <w:rStyle w:val="FootnoteReference"/>
        </w:rPr>
        <w:footnoteRef/>
      </w:r>
      <w:r>
        <w:t xml:space="preserve"> Thuc.5.54</w:t>
      </w:r>
    </w:p>
  </w:footnote>
  <w:footnote w:id="4">
    <w:p w14:paraId="18FDB54B" w14:textId="6E129A31" w:rsidR="000B2DD4" w:rsidRDefault="000B2DD4">
      <w:pPr>
        <w:pStyle w:val="FootnoteText"/>
      </w:pPr>
      <w:r>
        <w:rPr>
          <w:rStyle w:val="FootnoteReference"/>
        </w:rPr>
        <w:footnoteRef/>
      </w:r>
      <w:r>
        <w:t xml:space="preserve"> Thuc.4.7</w:t>
      </w:r>
    </w:p>
  </w:footnote>
  <w:footnote w:id="5">
    <w:p w14:paraId="4BEFBACF" w14:textId="5C8D912A" w:rsidR="00EF2C2C" w:rsidRPr="00EF2C2C" w:rsidRDefault="00EF2C2C">
      <w:pPr>
        <w:pStyle w:val="FootnoteText"/>
      </w:pPr>
      <w:r>
        <w:rPr>
          <w:rStyle w:val="FootnoteReference"/>
        </w:rPr>
        <w:footnoteRef/>
      </w:r>
      <w:r>
        <w:t xml:space="preserve"> Plut.</w:t>
      </w:r>
      <w:r>
        <w:rPr>
          <w:i/>
        </w:rPr>
        <w:t>Ages.</w:t>
      </w:r>
      <w:r>
        <w:t>3</w:t>
      </w:r>
    </w:p>
  </w:footnote>
  <w:footnote w:id="6">
    <w:p w14:paraId="29857A6D" w14:textId="0FDE96B7" w:rsidR="00EF2C2C" w:rsidRPr="00EF2C2C" w:rsidRDefault="00EF2C2C">
      <w:pPr>
        <w:pStyle w:val="FootnoteText"/>
      </w:pPr>
      <w:r>
        <w:rPr>
          <w:rStyle w:val="FootnoteReference"/>
        </w:rPr>
        <w:footnoteRef/>
      </w:r>
      <w:r>
        <w:t xml:space="preserve"> Plut.</w:t>
      </w:r>
      <w:r>
        <w:rPr>
          <w:i/>
        </w:rPr>
        <w:t>Ages.</w:t>
      </w:r>
      <w:r>
        <w:t>3</w:t>
      </w:r>
    </w:p>
  </w:footnote>
  <w:footnote w:id="7">
    <w:p w14:paraId="4520F8FB" w14:textId="3D370783" w:rsidR="0004608A" w:rsidRDefault="0004608A">
      <w:pPr>
        <w:pStyle w:val="FootnoteText"/>
      </w:pPr>
      <w:r>
        <w:rPr>
          <w:rStyle w:val="FootnoteReference"/>
        </w:rPr>
        <w:footnoteRef/>
      </w:r>
      <w:r>
        <w:t xml:space="preserve"> Herodotus 7.220</w:t>
      </w:r>
    </w:p>
  </w:footnote>
  <w:footnote w:id="8">
    <w:p w14:paraId="386A4DA0" w14:textId="6E367F75" w:rsidR="0085397F" w:rsidRDefault="0085397F">
      <w:pPr>
        <w:pStyle w:val="FootnoteText"/>
      </w:pPr>
      <w:r>
        <w:rPr>
          <w:rStyle w:val="FootnoteReference"/>
        </w:rPr>
        <w:footnoteRef/>
      </w:r>
      <w:r>
        <w:t xml:space="preserve"> </w:t>
      </w:r>
      <w:r w:rsidR="007242EB">
        <w:t>Herodotus 7.3</w:t>
      </w:r>
    </w:p>
  </w:footnote>
  <w:footnote w:id="9">
    <w:p w14:paraId="0A8AA6F8" w14:textId="5734FA41" w:rsidR="00C7135D" w:rsidRDefault="00C7135D">
      <w:pPr>
        <w:pStyle w:val="FootnoteText"/>
      </w:pPr>
      <w:r>
        <w:rPr>
          <w:rStyle w:val="FootnoteReference"/>
        </w:rPr>
        <w:footnoteRef/>
      </w:r>
      <w:r w:rsidR="007242EB">
        <w:t xml:space="preserve"> Herodotus.</w:t>
      </w:r>
      <w:r>
        <w:t xml:space="preserve"> 7.148</w:t>
      </w:r>
    </w:p>
  </w:footnote>
  <w:footnote w:id="10">
    <w:p w14:paraId="7962AFB7" w14:textId="0700B2FA" w:rsidR="00C7135D" w:rsidRPr="00C7135D" w:rsidRDefault="00C7135D">
      <w:pPr>
        <w:pStyle w:val="FootnoteText"/>
      </w:pPr>
      <w:r>
        <w:rPr>
          <w:rStyle w:val="FootnoteReference"/>
        </w:rPr>
        <w:footnoteRef/>
      </w:r>
      <w:r w:rsidR="007242EB">
        <w:t xml:space="preserve"> Paus.3.4.1</w:t>
      </w:r>
    </w:p>
  </w:footnote>
  <w:footnote w:id="11">
    <w:p w14:paraId="18110F0D" w14:textId="26F357F5" w:rsidR="00C7135D" w:rsidRPr="00C7135D" w:rsidRDefault="00C7135D">
      <w:pPr>
        <w:pStyle w:val="FootnoteText"/>
      </w:pPr>
      <w:r>
        <w:rPr>
          <w:rStyle w:val="FootnoteReference"/>
        </w:rPr>
        <w:footnoteRef/>
      </w:r>
      <w:r w:rsidR="007242EB">
        <w:t xml:space="preserve"> Thucydides,</w:t>
      </w:r>
      <w:r>
        <w:t>5, 13-24</w:t>
      </w:r>
    </w:p>
  </w:footnote>
  <w:footnote w:id="12">
    <w:p w14:paraId="58A07A47" w14:textId="186F6D36" w:rsidR="00C7135D" w:rsidRPr="00C7135D" w:rsidRDefault="00C7135D">
      <w:pPr>
        <w:pStyle w:val="FootnoteText"/>
      </w:pPr>
      <w:r>
        <w:rPr>
          <w:rStyle w:val="FootnoteReference"/>
        </w:rPr>
        <w:footnoteRef/>
      </w:r>
      <w:r w:rsidR="007242EB">
        <w:t xml:space="preserve"> </w:t>
      </w:r>
      <w:proofErr w:type="spellStart"/>
      <w:r w:rsidR="007242EB">
        <w:t>Kagan</w:t>
      </w:r>
      <w:proofErr w:type="spellEnd"/>
      <w:r w:rsidR="007242EB">
        <w:t>, 2004</w:t>
      </w:r>
    </w:p>
  </w:footnote>
  <w:footnote w:id="13">
    <w:p w14:paraId="367EF736" w14:textId="4AA795E6" w:rsidR="009B63DD" w:rsidRDefault="009B63DD">
      <w:pPr>
        <w:pStyle w:val="FootnoteText"/>
      </w:pPr>
      <w:r>
        <w:rPr>
          <w:rStyle w:val="FootnoteReference"/>
        </w:rPr>
        <w:footnoteRef/>
      </w:r>
      <w:r>
        <w:t xml:space="preserve"> Herodotus, 6.106-7</w:t>
      </w:r>
    </w:p>
  </w:footnote>
  <w:footnote w:id="14">
    <w:p w14:paraId="0437AF3C" w14:textId="051BBCDA" w:rsidR="009B63DD" w:rsidRDefault="009B63DD">
      <w:pPr>
        <w:pStyle w:val="FootnoteText"/>
      </w:pPr>
      <w:r>
        <w:rPr>
          <w:rStyle w:val="FootnoteReference"/>
        </w:rPr>
        <w:footnoteRef/>
      </w:r>
      <w:r>
        <w:t xml:space="preserve"> Herodotus, 6.106-7</w:t>
      </w:r>
    </w:p>
  </w:footnote>
  <w:footnote w:id="15">
    <w:p w14:paraId="702A5E64" w14:textId="7C8E0392" w:rsidR="00666DE9" w:rsidRDefault="00666DE9">
      <w:pPr>
        <w:pStyle w:val="FootnoteText"/>
      </w:pPr>
      <w:r>
        <w:rPr>
          <w:rStyle w:val="FootnoteReference"/>
        </w:rPr>
        <w:footnoteRef/>
      </w:r>
      <w:r>
        <w:t xml:space="preserve"> Herodotus </w:t>
      </w:r>
    </w:p>
  </w:footnote>
  <w:footnote w:id="16">
    <w:p w14:paraId="45547DAC" w14:textId="1E2E981B" w:rsidR="00666DE9" w:rsidRDefault="00666DE9">
      <w:pPr>
        <w:pStyle w:val="FootnoteText"/>
      </w:pPr>
      <w:r>
        <w:rPr>
          <w:rStyle w:val="FootnoteReference"/>
        </w:rPr>
        <w:footnoteRef/>
      </w:r>
      <w:r w:rsidR="007242EB">
        <w:t xml:space="preserve"> (Huxley 1979)</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4B622" w14:textId="3FCA55DB" w:rsidR="0025386C" w:rsidRPr="0025386C" w:rsidRDefault="0025386C" w:rsidP="0025386C">
    <w:pPr>
      <w:jc w:val="center"/>
      <w:rPr>
        <w:sz w:val="24"/>
      </w:rPr>
    </w:pPr>
    <w:r>
      <w:rPr>
        <w:sz w:val="24"/>
      </w:rPr>
      <w:t>Sparta: An extraordinary city Exam May 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386C"/>
    <w:rsid w:val="00015EFB"/>
    <w:rsid w:val="0004608A"/>
    <w:rsid w:val="00047E4B"/>
    <w:rsid w:val="00071DEC"/>
    <w:rsid w:val="0009603D"/>
    <w:rsid w:val="000B2DD4"/>
    <w:rsid w:val="000B55AB"/>
    <w:rsid w:val="000F4050"/>
    <w:rsid w:val="001451FE"/>
    <w:rsid w:val="00171A95"/>
    <w:rsid w:val="00186027"/>
    <w:rsid w:val="0025386C"/>
    <w:rsid w:val="00264907"/>
    <w:rsid w:val="002E4905"/>
    <w:rsid w:val="0031190A"/>
    <w:rsid w:val="003178D6"/>
    <w:rsid w:val="00376CA2"/>
    <w:rsid w:val="0038251C"/>
    <w:rsid w:val="003D4E09"/>
    <w:rsid w:val="0042349F"/>
    <w:rsid w:val="0043506F"/>
    <w:rsid w:val="00446146"/>
    <w:rsid w:val="00464A63"/>
    <w:rsid w:val="004A057F"/>
    <w:rsid w:val="004B5699"/>
    <w:rsid w:val="005A760B"/>
    <w:rsid w:val="005E406C"/>
    <w:rsid w:val="00606741"/>
    <w:rsid w:val="00666DE9"/>
    <w:rsid w:val="006C33C3"/>
    <w:rsid w:val="007025D7"/>
    <w:rsid w:val="007242EB"/>
    <w:rsid w:val="00733AE0"/>
    <w:rsid w:val="00757BE8"/>
    <w:rsid w:val="007E352C"/>
    <w:rsid w:val="00820C72"/>
    <w:rsid w:val="0085397F"/>
    <w:rsid w:val="008973E9"/>
    <w:rsid w:val="008F507A"/>
    <w:rsid w:val="00972D88"/>
    <w:rsid w:val="00994DC3"/>
    <w:rsid w:val="009B63DD"/>
    <w:rsid w:val="009D073F"/>
    <w:rsid w:val="00A04E83"/>
    <w:rsid w:val="00A51A83"/>
    <w:rsid w:val="00AD5E1F"/>
    <w:rsid w:val="00AF1A88"/>
    <w:rsid w:val="00B162F6"/>
    <w:rsid w:val="00B9259C"/>
    <w:rsid w:val="00C7135D"/>
    <w:rsid w:val="00CE04BF"/>
    <w:rsid w:val="00CF279C"/>
    <w:rsid w:val="00D05151"/>
    <w:rsid w:val="00D71D87"/>
    <w:rsid w:val="00D773AD"/>
    <w:rsid w:val="00DC79DE"/>
    <w:rsid w:val="00DD7145"/>
    <w:rsid w:val="00DF6AB6"/>
    <w:rsid w:val="00E03585"/>
    <w:rsid w:val="00E6495F"/>
    <w:rsid w:val="00E700DC"/>
    <w:rsid w:val="00EC17C3"/>
    <w:rsid w:val="00EF2C2C"/>
    <w:rsid w:val="00EF2D87"/>
    <w:rsid w:val="00F603B3"/>
    <w:rsid w:val="00FF2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E7028"/>
  <w15:chartTrackingRefBased/>
  <w15:docId w15:val="{AE5139B5-8817-4BE4-8088-737A89642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0960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38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86C"/>
  </w:style>
  <w:style w:type="paragraph" w:styleId="Footer">
    <w:name w:val="footer"/>
    <w:basedOn w:val="Normal"/>
    <w:link w:val="FooterChar"/>
    <w:uiPriority w:val="99"/>
    <w:unhideWhenUsed/>
    <w:rsid w:val="002538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86C"/>
  </w:style>
  <w:style w:type="paragraph" w:styleId="FootnoteText">
    <w:name w:val="footnote text"/>
    <w:basedOn w:val="Normal"/>
    <w:link w:val="FootnoteTextChar"/>
    <w:uiPriority w:val="99"/>
    <w:semiHidden/>
    <w:unhideWhenUsed/>
    <w:rsid w:val="00EF2C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F2C2C"/>
    <w:rPr>
      <w:sz w:val="20"/>
      <w:szCs w:val="20"/>
    </w:rPr>
  </w:style>
  <w:style w:type="character" w:styleId="FootnoteReference">
    <w:name w:val="footnote reference"/>
    <w:basedOn w:val="DefaultParagraphFont"/>
    <w:uiPriority w:val="99"/>
    <w:semiHidden/>
    <w:unhideWhenUsed/>
    <w:rsid w:val="00EF2C2C"/>
    <w:rPr>
      <w:vertAlign w:val="superscript"/>
    </w:rPr>
  </w:style>
  <w:style w:type="character" w:customStyle="1" w:styleId="Heading2Char">
    <w:name w:val="Heading 2 Char"/>
    <w:basedOn w:val="DefaultParagraphFont"/>
    <w:link w:val="Heading2"/>
    <w:uiPriority w:val="9"/>
    <w:rsid w:val="0009603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9603D"/>
    <w:pPr>
      <w:spacing w:after="15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785744">
      <w:bodyDiv w:val="1"/>
      <w:marLeft w:val="0"/>
      <w:marRight w:val="0"/>
      <w:marTop w:val="0"/>
      <w:marBottom w:val="0"/>
      <w:divBdr>
        <w:top w:val="none" w:sz="0" w:space="0" w:color="auto"/>
        <w:left w:val="none" w:sz="0" w:space="0" w:color="auto"/>
        <w:bottom w:val="none" w:sz="0" w:space="0" w:color="auto"/>
        <w:right w:val="none" w:sz="0" w:space="0" w:color="auto"/>
      </w:divBdr>
      <w:divsChild>
        <w:div w:id="312224193">
          <w:marLeft w:val="0"/>
          <w:marRight w:val="0"/>
          <w:marTop w:val="0"/>
          <w:marBottom w:val="0"/>
          <w:divBdr>
            <w:top w:val="none" w:sz="0" w:space="0" w:color="auto"/>
            <w:left w:val="none" w:sz="0" w:space="0" w:color="auto"/>
            <w:bottom w:val="none" w:sz="0" w:space="0" w:color="auto"/>
            <w:right w:val="none" w:sz="0" w:space="0" w:color="auto"/>
          </w:divBdr>
          <w:divsChild>
            <w:div w:id="995760307">
              <w:marLeft w:val="0"/>
              <w:marRight w:val="0"/>
              <w:marTop w:val="0"/>
              <w:marBottom w:val="0"/>
              <w:divBdr>
                <w:top w:val="none" w:sz="0" w:space="0" w:color="auto"/>
                <w:left w:val="none" w:sz="0" w:space="0" w:color="auto"/>
                <w:bottom w:val="none" w:sz="0" w:space="0" w:color="auto"/>
                <w:right w:val="none" w:sz="0" w:space="0" w:color="auto"/>
              </w:divBdr>
              <w:divsChild>
                <w:div w:id="422267787">
                  <w:marLeft w:val="-225"/>
                  <w:marRight w:val="-225"/>
                  <w:marTop w:val="0"/>
                  <w:marBottom w:val="0"/>
                  <w:divBdr>
                    <w:top w:val="none" w:sz="0" w:space="0" w:color="auto"/>
                    <w:left w:val="none" w:sz="0" w:space="0" w:color="auto"/>
                    <w:bottom w:val="none" w:sz="0" w:space="0" w:color="auto"/>
                    <w:right w:val="none" w:sz="0" w:space="0" w:color="auto"/>
                  </w:divBdr>
                  <w:divsChild>
                    <w:div w:id="2073578222">
                      <w:marLeft w:val="0"/>
                      <w:marRight w:val="0"/>
                      <w:marTop w:val="0"/>
                      <w:marBottom w:val="0"/>
                      <w:divBdr>
                        <w:top w:val="none" w:sz="0" w:space="0" w:color="auto"/>
                        <w:left w:val="none" w:sz="0" w:space="0" w:color="auto"/>
                        <w:bottom w:val="none" w:sz="0" w:space="0" w:color="auto"/>
                        <w:right w:val="none" w:sz="0" w:space="0" w:color="auto"/>
                      </w:divBdr>
                      <w:divsChild>
                        <w:div w:id="1074201807">
                          <w:marLeft w:val="0"/>
                          <w:marRight w:val="0"/>
                          <w:marTop w:val="0"/>
                          <w:marBottom w:val="0"/>
                          <w:divBdr>
                            <w:top w:val="none" w:sz="0" w:space="0" w:color="auto"/>
                            <w:left w:val="none" w:sz="0" w:space="0" w:color="auto"/>
                            <w:bottom w:val="none" w:sz="0" w:space="0" w:color="auto"/>
                            <w:right w:val="none" w:sz="0" w:space="0" w:color="auto"/>
                          </w:divBdr>
                          <w:divsChild>
                            <w:div w:id="259992123">
                              <w:marLeft w:val="0"/>
                              <w:marRight w:val="0"/>
                              <w:marTop w:val="0"/>
                              <w:marBottom w:val="0"/>
                              <w:divBdr>
                                <w:top w:val="none" w:sz="0" w:space="0" w:color="auto"/>
                                <w:left w:val="none" w:sz="0" w:space="0" w:color="auto"/>
                                <w:bottom w:val="none" w:sz="0" w:space="0" w:color="auto"/>
                                <w:right w:val="none" w:sz="0" w:space="0" w:color="auto"/>
                              </w:divBdr>
                              <w:divsChild>
                                <w:div w:id="438569975">
                                  <w:marLeft w:val="300"/>
                                  <w:marRight w:val="300"/>
                                  <w:marTop w:val="300"/>
                                  <w:marBottom w:val="300"/>
                                  <w:divBdr>
                                    <w:top w:val="single" w:sz="6" w:space="31" w:color="D4D4D4"/>
                                    <w:left w:val="single" w:sz="6" w:space="31" w:color="D4D4D4"/>
                                    <w:bottom w:val="single" w:sz="6" w:space="31" w:color="D4D4D4"/>
                                    <w:right w:val="single" w:sz="6" w:space="31" w:color="D4D4D4"/>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ED6956-B346-4B4F-855F-1A2EF506E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Pages>
  <Words>1934</Words>
  <Characters>9637</Characters>
  <Application>Microsoft Office Word</Application>
  <DocSecurity>0</DocSecurity>
  <Lines>155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Bowie</dc:creator>
  <cp:keywords/>
  <dc:description/>
  <cp:lastModifiedBy>Tamara Bowie (1601293)</cp:lastModifiedBy>
  <cp:revision>11</cp:revision>
  <dcterms:created xsi:type="dcterms:W3CDTF">2018-05-18T13:11:00Z</dcterms:created>
  <dcterms:modified xsi:type="dcterms:W3CDTF">2018-05-18T13:44:00Z</dcterms:modified>
</cp:coreProperties>
</file>