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F9699" w14:textId="3366E02E" w:rsidR="00614841" w:rsidRDefault="00614841" w:rsidP="00103BB7">
      <w:pPr>
        <w:jc w:val="both"/>
        <w:rPr>
          <w:rFonts w:ascii="Times New Roman" w:hAnsi="Times New Roman" w:cs="Times New Roman"/>
        </w:rPr>
      </w:pPr>
      <w:r>
        <w:rPr>
          <w:rFonts w:ascii="Times New Roman" w:hAnsi="Times New Roman" w:cs="Times New Roman"/>
        </w:rPr>
        <w:t>Rachel Owen- 1801974</w:t>
      </w:r>
    </w:p>
    <w:p w14:paraId="16BFFFED" w14:textId="26E525A3" w:rsidR="008A1F67" w:rsidRDefault="008A1F67" w:rsidP="00103BB7">
      <w:pPr>
        <w:jc w:val="both"/>
        <w:rPr>
          <w:rFonts w:ascii="Times New Roman" w:hAnsi="Times New Roman" w:cs="Times New Roman"/>
        </w:rPr>
      </w:pPr>
      <w:r>
        <w:rPr>
          <w:rFonts w:ascii="Times New Roman" w:hAnsi="Times New Roman" w:cs="Times New Roman"/>
        </w:rPr>
        <w:t xml:space="preserve">Title: The </w:t>
      </w:r>
      <w:r w:rsidR="007D45B2">
        <w:rPr>
          <w:rFonts w:ascii="Times New Roman" w:hAnsi="Times New Roman" w:cs="Times New Roman"/>
        </w:rPr>
        <w:t>Death</w:t>
      </w:r>
      <w:r>
        <w:rPr>
          <w:rFonts w:ascii="Times New Roman" w:hAnsi="Times New Roman" w:cs="Times New Roman"/>
        </w:rPr>
        <w:t xml:space="preserve"> and</w:t>
      </w:r>
      <w:r w:rsidR="007D45B2">
        <w:rPr>
          <w:rFonts w:ascii="Times New Roman" w:hAnsi="Times New Roman" w:cs="Times New Roman"/>
        </w:rPr>
        <w:t xml:space="preserve"> Holy Relics of </w:t>
      </w:r>
      <w:r>
        <w:rPr>
          <w:rFonts w:ascii="Times New Roman" w:hAnsi="Times New Roman" w:cs="Times New Roman"/>
        </w:rPr>
        <w:t xml:space="preserve">St Kenelm </w:t>
      </w:r>
    </w:p>
    <w:p w14:paraId="0CB30B72" w14:textId="6DCE19C8" w:rsidR="00614841" w:rsidRDefault="00BE45C3" w:rsidP="00103BB7">
      <w:pPr>
        <w:jc w:val="both"/>
        <w:rPr>
          <w:rFonts w:ascii="Times New Roman" w:hAnsi="Times New Roman" w:cs="Times New Roman"/>
          <w:b/>
          <w:bCs/>
          <w:u w:val="single"/>
        </w:rPr>
      </w:pPr>
      <w:r w:rsidRPr="00BE45C3">
        <w:rPr>
          <w:rFonts w:ascii="Times New Roman" w:hAnsi="Times New Roman" w:cs="Times New Roman"/>
          <w:b/>
          <w:bCs/>
          <w:u w:val="single"/>
        </w:rPr>
        <w:t xml:space="preserve">Introduction </w:t>
      </w:r>
    </w:p>
    <w:p w14:paraId="56008223" w14:textId="327B0E57" w:rsidR="00AF7783" w:rsidRDefault="00AF7783" w:rsidP="00103BB7">
      <w:pPr>
        <w:jc w:val="both"/>
        <w:rPr>
          <w:rFonts w:ascii="Times New Roman" w:hAnsi="Times New Roman" w:cs="Times New Roman"/>
        </w:rPr>
      </w:pPr>
      <w:r>
        <w:rPr>
          <w:rFonts w:ascii="Times New Roman" w:hAnsi="Times New Roman" w:cs="Times New Roman"/>
        </w:rPr>
        <w:t xml:space="preserve">The classification of a saint does not solely apply </w:t>
      </w:r>
      <w:r w:rsidR="001C0E16">
        <w:rPr>
          <w:rFonts w:ascii="Times New Roman" w:hAnsi="Times New Roman" w:cs="Times New Roman"/>
        </w:rPr>
        <w:t xml:space="preserve">to religious beings that have been martyred for their beliefs, but rather a being who God performs miracles through. </w:t>
      </w:r>
      <w:r w:rsidR="00663D20">
        <w:rPr>
          <w:rFonts w:ascii="Times New Roman" w:hAnsi="Times New Roman" w:cs="Times New Roman"/>
        </w:rPr>
        <w:t>Saintly relics</w:t>
      </w:r>
      <w:r w:rsidR="004163A1">
        <w:rPr>
          <w:rFonts w:ascii="Times New Roman" w:hAnsi="Times New Roman" w:cs="Times New Roman"/>
        </w:rPr>
        <w:t xml:space="preserve"> are the means of which these holy miracles are carried out. They</w:t>
      </w:r>
      <w:r w:rsidR="00663D20">
        <w:rPr>
          <w:rFonts w:ascii="Times New Roman" w:hAnsi="Times New Roman" w:cs="Times New Roman"/>
        </w:rPr>
        <w:t xml:space="preserve"> can be classified by three categories: 1) a body part of the saint; 2) artifacts used by the saint; 3) an object that has come into contact with the </w:t>
      </w:r>
      <w:r w:rsidR="004A5574">
        <w:rPr>
          <w:rFonts w:ascii="Times New Roman" w:hAnsi="Times New Roman" w:cs="Times New Roman"/>
        </w:rPr>
        <w:t>saint’s</w:t>
      </w:r>
      <w:r w:rsidR="00663D20">
        <w:rPr>
          <w:rFonts w:ascii="Times New Roman" w:hAnsi="Times New Roman" w:cs="Times New Roman"/>
        </w:rPr>
        <w:t xml:space="preserve"> body or </w:t>
      </w:r>
      <w:r w:rsidR="007F4C62">
        <w:rPr>
          <w:rFonts w:ascii="Times New Roman" w:hAnsi="Times New Roman" w:cs="Times New Roman"/>
        </w:rPr>
        <w:t xml:space="preserve">an </w:t>
      </w:r>
      <w:r w:rsidR="00663D20">
        <w:rPr>
          <w:rFonts w:ascii="Times New Roman" w:hAnsi="Times New Roman" w:cs="Times New Roman"/>
        </w:rPr>
        <w:t>artifact</w:t>
      </w:r>
      <w:r w:rsidR="004A5574">
        <w:rPr>
          <w:rFonts w:ascii="Times New Roman" w:hAnsi="Times New Roman" w:cs="Times New Roman"/>
        </w:rPr>
        <w:t xml:space="preserve"> belonging to them. These relics are treated with the utmost respect as they are perceived as </w:t>
      </w:r>
      <w:r w:rsidR="007F4C62">
        <w:rPr>
          <w:rFonts w:ascii="Times New Roman" w:hAnsi="Times New Roman" w:cs="Times New Roman"/>
        </w:rPr>
        <w:t xml:space="preserve">an </w:t>
      </w:r>
      <w:r w:rsidR="004A5574">
        <w:rPr>
          <w:rFonts w:ascii="Times New Roman" w:hAnsi="Times New Roman" w:cs="Times New Roman"/>
        </w:rPr>
        <w:t>extension of the Holy Spirit</w:t>
      </w:r>
      <w:r w:rsidR="007F4C62">
        <w:rPr>
          <w:rFonts w:ascii="Times New Roman" w:hAnsi="Times New Roman" w:cs="Times New Roman"/>
        </w:rPr>
        <w:t xml:space="preserve"> gifted by God. There are often o</w:t>
      </w:r>
      <w:r w:rsidR="00B6090D">
        <w:rPr>
          <w:rFonts w:ascii="Times New Roman" w:hAnsi="Times New Roman" w:cs="Times New Roman"/>
        </w:rPr>
        <w:t>bjections made</w:t>
      </w:r>
      <w:r w:rsidR="007F4C62">
        <w:rPr>
          <w:rFonts w:ascii="Times New Roman" w:hAnsi="Times New Roman" w:cs="Times New Roman"/>
        </w:rPr>
        <w:t xml:space="preserve"> to</w:t>
      </w:r>
      <w:r w:rsidR="00B6090D">
        <w:rPr>
          <w:rFonts w:ascii="Times New Roman" w:hAnsi="Times New Roman" w:cs="Times New Roman"/>
        </w:rPr>
        <w:t>wards</w:t>
      </w:r>
      <w:r w:rsidR="007F4C62">
        <w:rPr>
          <w:rFonts w:ascii="Times New Roman" w:hAnsi="Times New Roman" w:cs="Times New Roman"/>
        </w:rPr>
        <w:t xml:space="preserve"> the </w:t>
      </w:r>
      <w:r w:rsidR="00367A68">
        <w:rPr>
          <w:rFonts w:ascii="Times New Roman" w:hAnsi="Times New Roman" w:cs="Times New Roman"/>
        </w:rPr>
        <w:t xml:space="preserve">specialised </w:t>
      </w:r>
      <w:r w:rsidR="00B6090D">
        <w:rPr>
          <w:rFonts w:ascii="Times New Roman" w:hAnsi="Times New Roman" w:cs="Times New Roman"/>
        </w:rPr>
        <w:t>treatment of saintly relics, references are often made to the sin of worshipping false idols. However, honouring the saints and their possessions is not the same as offering worship; worship is reserved for God but honoured through</w:t>
      </w:r>
      <w:r w:rsidR="00367A68">
        <w:rPr>
          <w:rFonts w:ascii="Times New Roman" w:hAnsi="Times New Roman" w:cs="Times New Roman"/>
        </w:rPr>
        <w:t xml:space="preserve"> respecting</w:t>
      </w:r>
      <w:r w:rsidR="00B6090D">
        <w:rPr>
          <w:rFonts w:ascii="Times New Roman" w:hAnsi="Times New Roman" w:cs="Times New Roman"/>
        </w:rPr>
        <w:t xml:space="preserve"> </w:t>
      </w:r>
      <w:r w:rsidR="004163A1">
        <w:rPr>
          <w:rFonts w:ascii="Times New Roman" w:hAnsi="Times New Roman" w:cs="Times New Roman"/>
        </w:rPr>
        <w:t xml:space="preserve">the </w:t>
      </w:r>
      <w:r w:rsidR="00B6090D">
        <w:rPr>
          <w:rFonts w:ascii="Times New Roman" w:hAnsi="Times New Roman" w:cs="Times New Roman"/>
        </w:rPr>
        <w:t xml:space="preserve">saints and </w:t>
      </w:r>
      <w:r w:rsidR="004163A1">
        <w:rPr>
          <w:rFonts w:ascii="Times New Roman" w:hAnsi="Times New Roman" w:cs="Times New Roman"/>
        </w:rPr>
        <w:t xml:space="preserve">their </w:t>
      </w:r>
      <w:r w:rsidR="00B6090D">
        <w:rPr>
          <w:rFonts w:ascii="Times New Roman" w:hAnsi="Times New Roman" w:cs="Times New Roman"/>
        </w:rPr>
        <w:t>holy relics.</w:t>
      </w:r>
      <w:r w:rsidR="007D45B2">
        <w:rPr>
          <w:rStyle w:val="FootnoteReference"/>
          <w:rFonts w:ascii="Times New Roman" w:hAnsi="Times New Roman" w:cs="Times New Roman"/>
        </w:rPr>
        <w:footnoteReference w:id="1"/>
      </w:r>
    </w:p>
    <w:p w14:paraId="6FFB0E89" w14:textId="7BA26258" w:rsidR="00323AC6" w:rsidRPr="00BE45C3" w:rsidRDefault="00394B15" w:rsidP="00103BB7">
      <w:pPr>
        <w:jc w:val="both"/>
        <w:rPr>
          <w:rFonts w:ascii="Times New Roman" w:hAnsi="Times New Roman" w:cs="Times New Roman"/>
        </w:rPr>
      </w:pPr>
      <w:r>
        <w:rPr>
          <w:rFonts w:ascii="Times New Roman" w:hAnsi="Times New Roman" w:cs="Times New Roman"/>
        </w:rPr>
        <w:t xml:space="preserve">St Kenelm became the Anglo-Saxon King of Mercia at age seven after his father, Kenulf died. His story draws parallels to other royal child martyrs who were murdered by relatives for political gain. </w:t>
      </w:r>
      <w:r w:rsidR="00323AC6">
        <w:rPr>
          <w:rFonts w:ascii="Times New Roman" w:hAnsi="Times New Roman" w:cs="Times New Roman"/>
        </w:rPr>
        <w:t xml:space="preserve">The story of St Kenelm contains numerous accounts of miracles occurring just before and immediately after his death. </w:t>
      </w:r>
      <w:r w:rsidR="002B6E39">
        <w:rPr>
          <w:rFonts w:ascii="Times New Roman" w:hAnsi="Times New Roman" w:cs="Times New Roman"/>
        </w:rPr>
        <w:t>The body of St Kenelm is a condu</w:t>
      </w:r>
      <w:r w:rsidR="004163A1">
        <w:rPr>
          <w:rFonts w:ascii="Times New Roman" w:hAnsi="Times New Roman" w:cs="Times New Roman"/>
        </w:rPr>
        <w:t>it</w:t>
      </w:r>
      <w:r w:rsidR="002B6E39">
        <w:rPr>
          <w:rFonts w:ascii="Times New Roman" w:hAnsi="Times New Roman" w:cs="Times New Roman"/>
        </w:rPr>
        <w:t xml:space="preserve"> for miracles of premonition, healing and revealing the truth of his death, in addition to cursing the wrong doers in his story.</w:t>
      </w:r>
      <w:r w:rsidR="002B6E39">
        <w:rPr>
          <w:rStyle w:val="FootnoteReference"/>
          <w:rFonts w:ascii="Times New Roman" w:hAnsi="Times New Roman" w:cs="Times New Roman"/>
        </w:rPr>
        <w:footnoteReference w:id="2"/>
      </w:r>
    </w:p>
    <w:p w14:paraId="2D50F6C5" w14:textId="77777777" w:rsidR="00103BB7" w:rsidRDefault="00103BB7" w:rsidP="00103BB7">
      <w:pPr>
        <w:jc w:val="both"/>
        <w:rPr>
          <w:rFonts w:ascii="Times New Roman" w:hAnsi="Times New Roman" w:cs="Times New Roman"/>
          <w:b/>
          <w:bCs/>
          <w:u w:val="single"/>
        </w:rPr>
      </w:pPr>
    </w:p>
    <w:p w14:paraId="3283D41E" w14:textId="4368FA23" w:rsidR="00BE45C3" w:rsidRDefault="00BE45C3" w:rsidP="00103BB7">
      <w:pPr>
        <w:jc w:val="both"/>
        <w:rPr>
          <w:rFonts w:ascii="Times New Roman" w:hAnsi="Times New Roman" w:cs="Times New Roman"/>
          <w:b/>
          <w:bCs/>
          <w:u w:val="single"/>
        </w:rPr>
      </w:pPr>
      <w:r w:rsidRPr="00BE45C3">
        <w:rPr>
          <w:rFonts w:ascii="Times New Roman" w:hAnsi="Times New Roman" w:cs="Times New Roman"/>
          <w:b/>
          <w:bCs/>
          <w:u w:val="single"/>
        </w:rPr>
        <w:t xml:space="preserve">St Kenelm </w:t>
      </w:r>
    </w:p>
    <w:p w14:paraId="2042AD5B" w14:textId="010EEA75" w:rsidR="00394B15" w:rsidRDefault="00D40F15" w:rsidP="00103BB7">
      <w:pPr>
        <w:jc w:val="both"/>
        <w:rPr>
          <w:rFonts w:ascii="Times New Roman" w:hAnsi="Times New Roman" w:cs="Times New Roman"/>
        </w:rPr>
      </w:pPr>
      <w:r>
        <w:rPr>
          <w:rFonts w:ascii="Times New Roman" w:hAnsi="Times New Roman" w:cs="Times New Roman"/>
        </w:rPr>
        <w:t xml:space="preserve">St Kenelm had an older sister, Quendrith, who </w:t>
      </w:r>
      <w:r w:rsidR="004163A1">
        <w:rPr>
          <w:rFonts w:ascii="Times New Roman" w:hAnsi="Times New Roman" w:cs="Times New Roman"/>
        </w:rPr>
        <w:t>longed for</w:t>
      </w:r>
      <w:r>
        <w:rPr>
          <w:rFonts w:ascii="Times New Roman" w:hAnsi="Times New Roman" w:cs="Times New Roman"/>
        </w:rPr>
        <w:t xml:space="preserve"> the throne. In an attempt to become Queen, she gives </w:t>
      </w:r>
      <w:r w:rsidR="0049490C">
        <w:rPr>
          <w:rFonts w:ascii="Times New Roman" w:hAnsi="Times New Roman" w:cs="Times New Roman"/>
        </w:rPr>
        <w:t xml:space="preserve">St </w:t>
      </w:r>
      <w:r>
        <w:rPr>
          <w:rFonts w:ascii="Times New Roman" w:hAnsi="Times New Roman" w:cs="Times New Roman"/>
        </w:rPr>
        <w:t>Kenelm a cup of poison, which God does not allow to take effect. After this initial attempt on his life</w:t>
      </w:r>
      <w:r w:rsidR="00F51A42">
        <w:rPr>
          <w:rFonts w:ascii="Times New Roman" w:hAnsi="Times New Roman" w:cs="Times New Roman"/>
        </w:rPr>
        <w:t>,</w:t>
      </w:r>
      <w:r>
        <w:rPr>
          <w:rFonts w:ascii="Times New Roman" w:hAnsi="Times New Roman" w:cs="Times New Roman"/>
        </w:rPr>
        <w:t xml:space="preserve"> </w:t>
      </w:r>
      <w:r w:rsidR="0049490C">
        <w:rPr>
          <w:rFonts w:ascii="Times New Roman" w:hAnsi="Times New Roman" w:cs="Times New Roman"/>
        </w:rPr>
        <w:t xml:space="preserve">St </w:t>
      </w:r>
      <w:r w:rsidR="00BA3B54">
        <w:rPr>
          <w:rFonts w:ascii="Times New Roman" w:hAnsi="Times New Roman" w:cs="Times New Roman"/>
        </w:rPr>
        <w:t>Kenelm had a premonitory dream of a grand tree that he was climbing being cut down by his closest companion while he is helpless near the top</w:t>
      </w:r>
      <w:r w:rsidR="00173641">
        <w:rPr>
          <w:rFonts w:ascii="Times New Roman" w:hAnsi="Times New Roman" w:cs="Times New Roman"/>
        </w:rPr>
        <w:t xml:space="preserve">, before he can fall, he miraculously </w:t>
      </w:r>
      <w:r w:rsidR="004163A1">
        <w:rPr>
          <w:rFonts w:ascii="Times New Roman" w:hAnsi="Times New Roman" w:cs="Times New Roman"/>
        </w:rPr>
        <w:t>metamorphosizes</w:t>
      </w:r>
      <w:r w:rsidR="00173641">
        <w:rPr>
          <w:rFonts w:ascii="Times New Roman" w:hAnsi="Times New Roman" w:cs="Times New Roman"/>
        </w:rPr>
        <w:t xml:space="preserve"> into a white dove and flies to heaven. Awakening from the dream, the young king is confused and confides in his wet nurse who tells him the dream prophesises his death.</w:t>
      </w:r>
      <w:r>
        <w:rPr>
          <w:rStyle w:val="FootnoteReference"/>
          <w:rFonts w:ascii="Times New Roman" w:hAnsi="Times New Roman" w:cs="Times New Roman"/>
        </w:rPr>
        <w:footnoteReference w:id="3"/>
      </w:r>
    </w:p>
    <w:p w14:paraId="1ECF13FE" w14:textId="7DC30D84" w:rsidR="00394B15" w:rsidRDefault="00173641" w:rsidP="00103BB7">
      <w:pPr>
        <w:jc w:val="both"/>
        <w:rPr>
          <w:rFonts w:ascii="Times New Roman" w:hAnsi="Times New Roman" w:cs="Times New Roman"/>
        </w:rPr>
      </w:pPr>
      <w:r>
        <w:rPr>
          <w:rFonts w:ascii="Times New Roman" w:hAnsi="Times New Roman" w:cs="Times New Roman"/>
        </w:rPr>
        <w:t>After her failed effort</w:t>
      </w:r>
      <w:r w:rsidR="00161EE4">
        <w:rPr>
          <w:rFonts w:ascii="Times New Roman" w:hAnsi="Times New Roman" w:cs="Times New Roman"/>
        </w:rPr>
        <w:t>s, Quendrith</w:t>
      </w:r>
      <w:r>
        <w:rPr>
          <w:rFonts w:ascii="Times New Roman" w:hAnsi="Times New Roman" w:cs="Times New Roman"/>
        </w:rPr>
        <w:t xml:space="preserve"> recruits her lover Askebert as a </w:t>
      </w:r>
      <w:r w:rsidR="00D40F15">
        <w:rPr>
          <w:rFonts w:ascii="Times New Roman" w:hAnsi="Times New Roman" w:cs="Times New Roman"/>
        </w:rPr>
        <w:t>henchman</w:t>
      </w:r>
      <w:r w:rsidR="004163A1">
        <w:rPr>
          <w:rFonts w:ascii="Times New Roman" w:hAnsi="Times New Roman" w:cs="Times New Roman"/>
        </w:rPr>
        <w:t xml:space="preserve"> in her plan to kill St Kenelm and take the throne. Askebert</w:t>
      </w:r>
      <w:r>
        <w:rPr>
          <w:rFonts w:ascii="Times New Roman" w:hAnsi="Times New Roman" w:cs="Times New Roman"/>
        </w:rPr>
        <w:t xml:space="preserve"> is in the unique position of being </w:t>
      </w:r>
      <w:r w:rsidR="0049490C">
        <w:rPr>
          <w:rFonts w:ascii="Times New Roman" w:hAnsi="Times New Roman" w:cs="Times New Roman"/>
        </w:rPr>
        <w:t xml:space="preserve">St </w:t>
      </w:r>
      <w:r>
        <w:rPr>
          <w:rFonts w:ascii="Times New Roman" w:hAnsi="Times New Roman" w:cs="Times New Roman"/>
        </w:rPr>
        <w:t>Kenelm’s</w:t>
      </w:r>
      <w:r w:rsidR="00161EE4">
        <w:rPr>
          <w:rFonts w:ascii="Times New Roman" w:hAnsi="Times New Roman" w:cs="Times New Roman"/>
        </w:rPr>
        <w:t xml:space="preserve"> personal</w:t>
      </w:r>
      <w:r>
        <w:rPr>
          <w:rFonts w:ascii="Times New Roman" w:hAnsi="Times New Roman" w:cs="Times New Roman"/>
        </w:rPr>
        <w:t xml:space="preserve"> tutor.</w:t>
      </w:r>
      <w:r w:rsidR="00D40F15">
        <w:rPr>
          <w:rFonts w:ascii="Times New Roman" w:hAnsi="Times New Roman" w:cs="Times New Roman"/>
        </w:rPr>
        <w:t xml:space="preserve"> Utilizing his advantage in a position of trust with the king,</w:t>
      </w:r>
      <w:r w:rsidR="00F51A42">
        <w:rPr>
          <w:rFonts w:ascii="Times New Roman" w:hAnsi="Times New Roman" w:cs="Times New Roman"/>
        </w:rPr>
        <w:t xml:space="preserve"> he tells </w:t>
      </w:r>
      <w:r w:rsidR="00161EE4">
        <w:rPr>
          <w:rFonts w:ascii="Times New Roman" w:hAnsi="Times New Roman" w:cs="Times New Roman"/>
        </w:rPr>
        <w:t>him</w:t>
      </w:r>
      <w:r w:rsidR="00F51A42">
        <w:rPr>
          <w:rFonts w:ascii="Times New Roman" w:hAnsi="Times New Roman" w:cs="Times New Roman"/>
        </w:rPr>
        <w:t xml:space="preserve"> the dream</w:t>
      </w:r>
      <w:r w:rsidR="00161EE4">
        <w:rPr>
          <w:rFonts w:ascii="Times New Roman" w:hAnsi="Times New Roman" w:cs="Times New Roman"/>
        </w:rPr>
        <w:t xml:space="preserve"> has no</w:t>
      </w:r>
      <w:r w:rsidR="00F51A42">
        <w:rPr>
          <w:rFonts w:ascii="Times New Roman" w:hAnsi="Times New Roman" w:cs="Times New Roman"/>
        </w:rPr>
        <w:t xml:space="preserve"> mean</w:t>
      </w:r>
      <w:r w:rsidR="00161EE4">
        <w:rPr>
          <w:rFonts w:ascii="Times New Roman" w:hAnsi="Times New Roman" w:cs="Times New Roman"/>
        </w:rPr>
        <w:t>ing</w:t>
      </w:r>
      <w:r w:rsidR="00F51A42">
        <w:rPr>
          <w:rFonts w:ascii="Times New Roman" w:hAnsi="Times New Roman" w:cs="Times New Roman"/>
        </w:rPr>
        <w:t xml:space="preserve"> and</w:t>
      </w:r>
      <w:r w:rsidR="00D40F15">
        <w:rPr>
          <w:rFonts w:ascii="Times New Roman" w:hAnsi="Times New Roman" w:cs="Times New Roman"/>
        </w:rPr>
        <w:t xml:space="preserve"> takes </w:t>
      </w:r>
      <w:r w:rsidR="0049490C">
        <w:rPr>
          <w:rFonts w:ascii="Times New Roman" w:hAnsi="Times New Roman" w:cs="Times New Roman"/>
        </w:rPr>
        <w:t xml:space="preserve">St </w:t>
      </w:r>
      <w:r w:rsidR="00D40F15">
        <w:rPr>
          <w:rFonts w:ascii="Times New Roman" w:hAnsi="Times New Roman" w:cs="Times New Roman"/>
        </w:rPr>
        <w:t>Ken</w:t>
      </w:r>
      <w:r w:rsidR="0083018C">
        <w:rPr>
          <w:rFonts w:ascii="Times New Roman" w:hAnsi="Times New Roman" w:cs="Times New Roman"/>
        </w:rPr>
        <w:t>el</w:t>
      </w:r>
      <w:r w:rsidR="00D40F15">
        <w:rPr>
          <w:rFonts w:ascii="Times New Roman" w:hAnsi="Times New Roman" w:cs="Times New Roman"/>
        </w:rPr>
        <w:t>m into the for</w:t>
      </w:r>
      <w:r w:rsidR="00DD7584">
        <w:rPr>
          <w:rFonts w:ascii="Times New Roman" w:hAnsi="Times New Roman" w:cs="Times New Roman"/>
        </w:rPr>
        <w:t>est for a “hunting session”</w:t>
      </w:r>
      <w:r w:rsidR="00F51A42">
        <w:rPr>
          <w:rFonts w:ascii="Times New Roman" w:hAnsi="Times New Roman" w:cs="Times New Roman"/>
        </w:rPr>
        <w:t xml:space="preserve"> as a distraction</w:t>
      </w:r>
      <w:r w:rsidR="00DD7584">
        <w:rPr>
          <w:rFonts w:ascii="Times New Roman" w:hAnsi="Times New Roman" w:cs="Times New Roman"/>
        </w:rPr>
        <w:t xml:space="preserve">. In their solitude, he cuts the young boys throat, severing his head; it was said that even after certain death </w:t>
      </w:r>
      <w:r w:rsidR="0049490C">
        <w:rPr>
          <w:rFonts w:ascii="Times New Roman" w:hAnsi="Times New Roman" w:cs="Times New Roman"/>
        </w:rPr>
        <w:t xml:space="preserve">St </w:t>
      </w:r>
      <w:r w:rsidR="00DD7584">
        <w:rPr>
          <w:rFonts w:ascii="Times New Roman" w:hAnsi="Times New Roman" w:cs="Times New Roman"/>
        </w:rPr>
        <w:t>Kenelm showed signs of life by catching his own decapitated head. Askebert digs a pit and buries the kings’ body where no one will find it. Upon returning to the kingdom, Quendrith has become Queen and</w:t>
      </w:r>
      <w:r w:rsidR="00161EE4">
        <w:rPr>
          <w:rFonts w:ascii="Times New Roman" w:hAnsi="Times New Roman" w:cs="Times New Roman"/>
        </w:rPr>
        <w:t xml:space="preserve"> she</w:t>
      </w:r>
      <w:r w:rsidR="00DD7584">
        <w:rPr>
          <w:rFonts w:ascii="Times New Roman" w:hAnsi="Times New Roman" w:cs="Times New Roman"/>
        </w:rPr>
        <w:t xml:space="preserve"> later banned the </w:t>
      </w:r>
      <w:r w:rsidR="00DD7584">
        <w:rPr>
          <w:rFonts w:ascii="Times New Roman" w:hAnsi="Times New Roman" w:cs="Times New Roman"/>
        </w:rPr>
        <w:lastRenderedPageBreak/>
        <w:t xml:space="preserve">mention of </w:t>
      </w:r>
      <w:r w:rsidR="0049490C">
        <w:rPr>
          <w:rFonts w:ascii="Times New Roman" w:hAnsi="Times New Roman" w:cs="Times New Roman"/>
        </w:rPr>
        <w:t xml:space="preserve">St </w:t>
      </w:r>
      <w:r w:rsidR="00DD7584">
        <w:rPr>
          <w:rFonts w:ascii="Times New Roman" w:hAnsi="Times New Roman" w:cs="Times New Roman"/>
        </w:rPr>
        <w:t>Kenelm’s name in hopes of rid</w:t>
      </w:r>
      <w:r w:rsidR="004163A1">
        <w:rPr>
          <w:rFonts w:ascii="Times New Roman" w:hAnsi="Times New Roman" w:cs="Times New Roman"/>
        </w:rPr>
        <w:t>d</w:t>
      </w:r>
      <w:r w:rsidR="00DD7584">
        <w:rPr>
          <w:rFonts w:ascii="Times New Roman" w:hAnsi="Times New Roman" w:cs="Times New Roman"/>
        </w:rPr>
        <w:t>ing all memory of her brother</w:t>
      </w:r>
      <w:r w:rsidR="004163A1">
        <w:rPr>
          <w:rFonts w:ascii="Times New Roman" w:hAnsi="Times New Roman" w:cs="Times New Roman"/>
        </w:rPr>
        <w:t xml:space="preserve"> from the kingdom</w:t>
      </w:r>
      <w:r w:rsidR="00161EE4">
        <w:rPr>
          <w:rFonts w:ascii="Times New Roman" w:hAnsi="Times New Roman" w:cs="Times New Roman"/>
        </w:rPr>
        <w:t>, solidifying her position as Queen</w:t>
      </w:r>
      <w:r w:rsidR="00DD7584">
        <w:rPr>
          <w:rFonts w:ascii="Times New Roman" w:hAnsi="Times New Roman" w:cs="Times New Roman"/>
        </w:rPr>
        <w:t>.</w:t>
      </w:r>
      <w:r w:rsidR="00DD7584">
        <w:rPr>
          <w:rStyle w:val="FootnoteReference"/>
          <w:rFonts w:ascii="Times New Roman" w:hAnsi="Times New Roman" w:cs="Times New Roman"/>
        </w:rPr>
        <w:footnoteReference w:id="4"/>
      </w:r>
    </w:p>
    <w:p w14:paraId="63946110" w14:textId="2A32B441" w:rsidR="001220FD" w:rsidRDefault="001220FD" w:rsidP="00103BB7">
      <w:pPr>
        <w:jc w:val="both"/>
        <w:rPr>
          <w:rFonts w:ascii="Times New Roman" w:hAnsi="Times New Roman" w:cs="Times New Roman"/>
        </w:rPr>
      </w:pPr>
      <w:r>
        <w:rPr>
          <w:rFonts w:ascii="Times New Roman" w:hAnsi="Times New Roman" w:cs="Times New Roman"/>
        </w:rPr>
        <w:t xml:space="preserve">Quendrith’s murderous plan works for a time, </w:t>
      </w:r>
      <w:r w:rsidR="00161EE4">
        <w:rPr>
          <w:rFonts w:ascii="Times New Roman" w:hAnsi="Times New Roman" w:cs="Times New Roman"/>
        </w:rPr>
        <w:t>until</w:t>
      </w:r>
      <w:r>
        <w:rPr>
          <w:rFonts w:ascii="Times New Roman" w:hAnsi="Times New Roman" w:cs="Times New Roman"/>
        </w:rPr>
        <w:t xml:space="preserve"> the miracles start to occur. First, a cow that wanders near the pit where </w:t>
      </w:r>
      <w:r w:rsidR="0049490C">
        <w:rPr>
          <w:rFonts w:ascii="Times New Roman" w:hAnsi="Times New Roman" w:cs="Times New Roman"/>
        </w:rPr>
        <w:t xml:space="preserve">St </w:t>
      </w:r>
      <w:r>
        <w:rPr>
          <w:rFonts w:ascii="Times New Roman" w:hAnsi="Times New Roman" w:cs="Times New Roman"/>
        </w:rPr>
        <w:t>Kenelm’s body is buried</w:t>
      </w:r>
      <w:r w:rsidR="004163A1">
        <w:rPr>
          <w:rFonts w:ascii="Times New Roman" w:hAnsi="Times New Roman" w:cs="Times New Roman"/>
        </w:rPr>
        <w:t>,</w:t>
      </w:r>
      <w:r>
        <w:rPr>
          <w:rFonts w:ascii="Times New Roman" w:hAnsi="Times New Roman" w:cs="Times New Roman"/>
        </w:rPr>
        <w:t xml:space="preserve"> returns to the kingdom with a miraculous amount of milk to expel. Second, a white dove flies to the Pope’s altar in Rome with a detailed letter of where</w:t>
      </w:r>
      <w:r w:rsidR="0049490C">
        <w:rPr>
          <w:rFonts w:ascii="Times New Roman" w:hAnsi="Times New Roman" w:cs="Times New Roman"/>
        </w:rPr>
        <w:t xml:space="preserve"> St</w:t>
      </w:r>
      <w:r>
        <w:rPr>
          <w:rFonts w:ascii="Times New Roman" w:hAnsi="Times New Roman" w:cs="Times New Roman"/>
        </w:rPr>
        <w:t xml:space="preserve"> Kenelm’s body is located</w:t>
      </w:r>
      <w:r w:rsidR="00161EE4">
        <w:rPr>
          <w:rFonts w:ascii="Times New Roman" w:hAnsi="Times New Roman" w:cs="Times New Roman"/>
        </w:rPr>
        <w:t xml:space="preserve">; mirroring the white dove St Kenelm </w:t>
      </w:r>
      <w:r w:rsidR="004163A1">
        <w:rPr>
          <w:rFonts w:ascii="Times New Roman" w:hAnsi="Times New Roman" w:cs="Times New Roman"/>
        </w:rPr>
        <w:t>metamorphosizes</w:t>
      </w:r>
      <w:r w:rsidR="004163A1">
        <w:rPr>
          <w:rFonts w:ascii="Times New Roman" w:hAnsi="Times New Roman" w:cs="Times New Roman"/>
        </w:rPr>
        <w:t xml:space="preserve"> </w:t>
      </w:r>
      <w:r w:rsidR="00161EE4">
        <w:rPr>
          <w:rFonts w:ascii="Times New Roman" w:hAnsi="Times New Roman" w:cs="Times New Roman"/>
        </w:rPr>
        <w:t xml:space="preserve">into in the dream he experienced before his death. </w:t>
      </w:r>
      <w:r>
        <w:rPr>
          <w:rFonts w:ascii="Times New Roman" w:hAnsi="Times New Roman" w:cs="Times New Roman"/>
        </w:rPr>
        <w:t xml:space="preserve">The Pope sends an investigative team headed by the Archbishop </w:t>
      </w:r>
      <w:r w:rsidR="0049490C">
        <w:rPr>
          <w:rFonts w:ascii="Times New Roman" w:hAnsi="Times New Roman" w:cs="Times New Roman"/>
        </w:rPr>
        <w:t>of Canterbury to recover the</w:t>
      </w:r>
      <w:r w:rsidR="00161EE4">
        <w:rPr>
          <w:rFonts w:ascii="Times New Roman" w:hAnsi="Times New Roman" w:cs="Times New Roman"/>
        </w:rPr>
        <w:t xml:space="preserve"> king’s</w:t>
      </w:r>
      <w:r w:rsidR="0049490C">
        <w:rPr>
          <w:rFonts w:ascii="Times New Roman" w:hAnsi="Times New Roman" w:cs="Times New Roman"/>
        </w:rPr>
        <w:t xml:space="preserve"> body and lay it to rest in its rightful place</w:t>
      </w:r>
      <w:r w:rsidR="00891EBB">
        <w:rPr>
          <w:rFonts w:ascii="Times New Roman" w:hAnsi="Times New Roman" w:cs="Times New Roman"/>
        </w:rPr>
        <w:t xml:space="preserve"> of Winchcombe Abbey</w:t>
      </w:r>
      <w:r w:rsidR="0049490C">
        <w:rPr>
          <w:rFonts w:ascii="Times New Roman" w:hAnsi="Times New Roman" w:cs="Times New Roman"/>
        </w:rPr>
        <w:t xml:space="preserve">. When St Kenelm’s </w:t>
      </w:r>
      <w:r w:rsidR="00F04C74">
        <w:rPr>
          <w:rFonts w:ascii="Times New Roman" w:hAnsi="Times New Roman" w:cs="Times New Roman"/>
        </w:rPr>
        <w:t>body is pulled from the pit, water springs from the earth and flows into stream</w:t>
      </w:r>
      <w:r w:rsidR="00C12A97">
        <w:rPr>
          <w:rFonts w:ascii="Times New Roman" w:hAnsi="Times New Roman" w:cs="Times New Roman"/>
        </w:rPr>
        <w:t>;</w:t>
      </w:r>
      <w:r w:rsidR="00F04C74">
        <w:rPr>
          <w:rFonts w:ascii="Times New Roman" w:hAnsi="Times New Roman" w:cs="Times New Roman"/>
        </w:rPr>
        <w:t xml:space="preserve"> </w:t>
      </w:r>
      <w:r w:rsidR="00C12A97">
        <w:rPr>
          <w:rFonts w:ascii="Times New Roman" w:hAnsi="Times New Roman" w:cs="Times New Roman"/>
        </w:rPr>
        <w:t>t</w:t>
      </w:r>
      <w:r w:rsidR="00F04C74">
        <w:rPr>
          <w:rFonts w:ascii="Times New Roman" w:hAnsi="Times New Roman" w:cs="Times New Roman"/>
        </w:rPr>
        <w:t xml:space="preserve">he water later became known for its healing qualities and a well-head was placed on the spot. </w:t>
      </w:r>
      <w:r w:rsidR="001C3FE5">
        <w:rPr>
          <w:rFonts w:ascii="Times New Roman" w:hAnsi="Times New Roman" w:cs="Times New Roman"/>
        </w:rPr>
        <w:t>As the monks travel to Queen Quendrith’s kingdom, they grow tired and stop to rest. Another spring emerges near where the monks lay the coffin</w:t>
      </w:r>
      <w:r w:rsidR="00735AFD">
        <w:rPr>
          <w:rFonts w:ascii="Times New Roman" w:hAnsi="Times New Roman" w:cs="Times New Roman"/>
        </w:rPr>
        <w:t xml:space="preserve"> holding</w:t>
      </w:r>
      <w:r w:rsidR="001C3FE5">
        <w:rPr>
          <w:rFonts w:ascii="Times New Roman" w:hAnsi="Times New Roman" w:cs="Times New Roman"/>
        </w:rPr>
        <w:t xml:space="preserve"> St Kenelm’s remains, </w:t>
      </w:r>
      <w:r w:rsidR="00C12A97">
        <w:rPr>
          <w:rFonts w:ascii="Times New Roman" w:hAnsi="Times New Roman" w:cs="Times New Roman"/>
        </w:rPr>
        <w:t>as an extension of the spring that emerged from his grave. A</w:t>
      </w:r>
      <w:r w:rsidR="001C3FE5">
        <w:rPr>
          <w:rFonts w:ascii="Times New Roman" w:hAnsi="Times New Roman" w:cs="Times New Roman"/>
        </w:rPr>
        <w:t>fter drinking the waters from the spring, the monks feel rejuvenated and continue traveling</w:t>
      </w:r>
      <w:r w:rsidR="00C12A97">
        <w:rPr>
          <w:rFonts w:ascii="Times New Roman" w:hAnsi="Times New Roman" w:cs="Times New Roman"/>
        </w:rPr>
        <w:t xml:space="preserve"> to the Abbey</w:t>
      </w:r>
      <w:r w:rsidR="001C3FE5">
        <w:rPr>
          <w:rFonts w:ascii="Times New Roman" w:hAnsi="Times New Roman" w:cs="Times New Roman"/>
        </w:rPr>
        <w:t>.</w:t>
      </w:r>
      <w:r w:rsidR="001C3FE5">
        <w:rPr>
          <w:rStyle w:val="FootnoteReference"/>
          <w:rFonts w:ascii="Times New Roman" w:hAnsi="Times New Roman" w:cs="Times New Roman"/>
        </w:rPr>
        <w:footnoteReference w:id="5"/>
      </w:r>
      <w:r w:rsidR="001C3FE5">
        <w:rPr>
          <w:rFonts w:ascii="Times New Roman" w:hAnsi="Times New Roman" w:cs="Times New Roman"/>
        </w:rPr>
        <w:t xml:space="preserve"> </w:t>
      </w:r>
    </w:p>
    <w:p w14:paraId="36BFFAA9" w14:textId="69F8DA2C" w:rsidR="00152593" w:rsidRDefault="00A409EA" w:rsidP="00103BB7">
      <w:pPr>
        <w:jc w:val="both"/>
        <w:rPr>
          <w:rFonts w:ascii="Times New Roman" w:hAnsi="Times New Roman" w:cs="Times New Roman"/>
        </w:rPr>
      </w:pPr>
      <w:r>
        <w:rPr>
          <w:rFonts w:ascii="Times New Roman" w:hAnsi="Times New Roman" w:cs="Times New Roman"/>
        </w:rPr>
        <w:t>Upon the monk’s arrival in the kingdom, the bells rang in celebration of the kings remains being recovered and brought to rest peacefully. Queen Quendrith heard the bells and asked why they were being rang, when told her brothers body had been recovered, she attempted to cast a curse on his body and the monks carrying it. The curse rebounded causing her eyes to fall from her head, Queen Quendrith and Askebert later died and their bodies were thrown into a pit, just as they had done with St Kenelm.</w:t>
      </w:r>
      <w:r>
        <w:rPr>
          <w:rStyle w:val="FootnoteReference"/>
          <w:rFonts w:ascii="Times New Roman" w:hAnsi="Times New Roman" w:cs="Times New Roman"/>
        </w:rPr>
        <w:footnoteReference w:id="6"/>
      </w:r>
    </w:p>
    <w:p w14:paraId="0B6882A7" w14:textId="77777777" w:rsidR="00103BB7" w:rsidRDefault="00103BB7" w:rsidP="00103BB7">
      <w:pPr>
        <w:jc w:val="both"/>
        <w:rPr>
          <w:rFonts w:ascii="Times New Roman" w:hAnsi="Times New Roman" w:cs="Times New Roman"/>
          <w:b/>
          <w:bCs/>
          <w:u w:val="single"/>
        </w:rPr>
      </w:pPr>
    </w:p>
    <w:p w14:paraId="71168CB1" w14:textId="762F309A" w:rsidR="00181397" w:rsidRDefault="00181397" w:rsidP="00103BB7">
      <w:pPr>
        <w:jc w:val="both"/>
        <w:rPr>
          <w:rFonts w:ascii="Times New Roman" w:hAnsi="Times New Roman" w:cs="Times New Roman"/>
          <w:b/>
          <w:bCs/>
          <w:u w:val="single"/>
        </w:rPr>
      </w:pPr>
      <w:r>
        <w:rPr>
          <w:rFonts w:ascii="Times New Roman" w:hAnsi="Times New Roman" w:cs="Times New Roman"/>
          <w:b/>
          <w:bCs/>
          <w:u w:val="single"/>
        </w:rPr>
        <w:t xml:space="preserve">Saintly relics and Holy wells </w:t>
      </w:r>
    </w:p>
    <w:p w14:paraId="28D41A2C" w14:textId="42A86F0C" w:rsidR="00334939" w:rsidRDefault="00252B82" w:rsidP="00103BB7">
      <w:pPr>
        <w:jc w:val="both"/>
        <w:rPr>
          <w:rFonts w:ascii="Times New Roman" w:hAnsi="Times New Roman" w:cs="Times New Roman"/>
        </w:rPr>
      </w:pPr>
      <w:r>
        <w:rPr>
          <w:rFonts w:ascii="Times New Roman" w:hAnsi="Times New Roman" w:cs="Times New Roman"/>
        </w:rPr>
        <w:t>The remains of St Kenelm were treated with great respect by the monks as they associated the miracles that occurred around his body to be a reflection of the holiness of his soul.</w:t>
      </w:r>
      <w:r w:rsidR="00917400">
        <w:rPr>
          <w:rStyle w:val="FootnoteReference"/>
          <w:rFonts w:ascii="Times New Roman" w:hAnsi="Times New Roman" w:cs="Times New Roman"/>
        </w:rPr>
        <w:footnoteReference w:id="7"/>
      </w:r>
      <w:r>
        <w:rPr>
          <w:rFonts w:ascii="Times New Roman" w:hAnsi="Times New Roman" w:cs="Times New Roman"/>
        </w:rPr>
        <w:t xml:space="preserve"> St Kenelm was a child whose soul would have been</w:t>
      </w:r>
      <w:r w:rsidR="00917400">
        <w:rPr>
          <w:rFonts w:ascii="Times New Roman" w:hAnsi="Times New Roman" w:cs="Times New Roman"/>
        </w:rPr>
        <w:t xml:space="preserve"> innocent and</w:t>
      </w:r>
      <w:r>
        <w:rPr>
          <w:rFonts w:ascii="Times New Roman" w:hAnsi="Times New Roman" w:cs="Times New Roman"/>
        </w:rPr>
        <w:t xml:space="preserve"> pure, God offering </w:t>
      </w:r>
      <w:r w:rsidR="000D2039">
        <w:rPr>
          <w:rFonts w:ascii="Times New Roman" w:hAnsi="Times New Roman" w:cs="Times New Roman"/>
        </w:rPr>
        <w:t>miracles of healing from</w:t>
      </w:r>
      <w:r w:rsidR="00896F0A">
        <w:rPr>
          <w:rFonts w:ascii="Times New Roman" w:hAnsi="Times New Roman" w:cs="Times New Roman"/>
        </w:rPr>
        <w:t xml:space="preserve"> his sister</w:t>
      </w:r>
      <w:r w:rsidR="000D2039">
        <w:rPr>
          <w:rFonts w:ascii="Times New Roman" w:hAnsi="Times New Roman" w:cs="Times New Roman"/>
        </w:rPr>
        <w:t xml:space="preserve"> Quendrith’s poison</w:t>
      </w:r>
      <w:r w:rsidR="00896F0A">
        <w:rPr>
          <w:rFonts w:ascii="Times New Roman" w:hAnsi="Times New Roman" w:cs="Times New Roman"/>
        </w:rPr>
        <w:t>ing attempt</w:t>
      </w:r>
      <w:r w:rsidR="00334939">
        <w:rPr>
          <w:rFonts w:ascii="Times New Roman" w:hAnsi="Times New Roman" w:cs="Times New Roman"/>
        </w:rPr>
        <w:t>,</w:t>
      </w:r>
      <w:r w:rsidR="000D2039">
        <w:rPr>
          <w:rFonts w:ascii="Times New Roman" w:hAnsi="Times New Roman" w:cs="Times New Roman"/>
        </w:rPr>
        <w:t xml:space="preserve"> or premonitions of Askebert’s betrayal </w:t>
      </w:r>
      <w:r w:rsidR="004D7942">
        <w:rPr>
          <w:rFonts w:ascii="Times New Roman" w:hAnsi="Times New Roman" w:cs="Times New Roman"/>
        </w:rPr>
        <w:t>appear as preventative efforts to preserve the young king’s life.</w:t>
      </w:r>
      <w:r w:rsidR="006067D8">
        <w:rPr>
          <w:rFonts w:ascii="Times New Roman" w:hAnsi="Times New Roman" w:cs="Times New Roman"/>
        </w:rPr>
        <w:t xml:space="preserve"> The Holy Spirit appears to have been overtly present in St Kenelm given he continued to show signs of life after death by catching his own </w:t>
      </w:r>
      <w:r w:rsidR="00896F0A">
        <w:rPr>
          <w:rFonts w:ascii="Times New Roman" w:hAnsi="Times New Roman" w:cs="Times New Roman"/>
        </w:rPr>
        <w:t>decapitated head and the miracles that followed contact with the pit he was buried in.</w:t>
      </w:r>
      <w:r w:rsidR="00896F0A">
        <w:rPr>
          <w:rStyle w:val="FootnoteReference"/>
          <w:rFonts w:ascii="Times New Roman" w:hAnsi="Times New Roman" w:cs="Times New Roman"/>
        </w:rPr>
        <w:footnoteReference w:id="8"/>
      </w:r>
      <w:r w:rsidR="00334939">
        <w:rPr>
          <w:rFonts w:ascii="Times New Roman" w:hAnsi="Times New Roman" w:cs="Times New Roman"/>
        </w:rPr>
        <w:t xml:space="preserve"> </w:t>
      </w:r>
    </w:p>
    <w:p w14:paraId="6C15A500" w14:textId="3A6065C2" w:rsidR="007D13E0" w:rsidRDefault="00334939" w:rsidP="00103BB7">
      <w:pPr>
        <w:jc w:val="both"/>
        <w:rPr>
          <w:rFonts w:ascii="Times New Roman" w:hAnsi="Times New Roman" w:cs="Times New Roman"/>
        </w:rPr>
      </w:pPr>
      <w:r>
        <w:rPr>
          <w:rFonts w:ascii="Times New Roman" w:hAnsi="Times New Roman" w:cs="Times New Roman"/>
        </w:rPr>
        <w:t xml:space="preserve">The cow that comes into contact with a third-class relic of the burial pit where St </w:t>
      </w:r>
      <w:r w:rsidR="00030D3B">
        <w:rPr>
          <w:rFonts w:ascii="Times New Roman" w:hAnsi="Times New Roman" w:cs="Times New Roman"/>
        </w:rPr>
        <w:t>Kenelm’s</w:t>
      </w:r>
      <w:r>
        <w:rPr>
          <w:rFonts w:ascii="Times New Roman" w:hAnsi="Times New Roman" w:cs="Times New Roman"/>
        </w:rPr>
        <w:t xml:space="preserve"> body was hidden, provides the miracle of abnormally large amounts of milk being produced. The white dove that finds its way</w:t>
      </w:r>
      <w:r w:rsidR="007D13E0">
        <w:rPr>
          <w:rFonts w:ascii="Times New Roman" w:hAnsi="Times New Roman" w:cs="Times New Roman"/>
        </w:rPr>
        <w:t xml:space="preserve"> to</w:t>
      </w:r>
      <w:r>
        <w:rPr>
          <w:rFonts w:ascii="Times New Roman" w:hAnsi="Times New Roman" w:cs="Times New Roman"/>
        </w:rPr>
        <w:t xml:space="preserve"> The Pope in Rome</w:t>
      </w:r>
      <w:r w:rsidR="007D13E0">
        <w:rPr>
          <w:rFonts w:ascii="Times New Roman" w:hAnsi="Times New Roman" w:cs="Times New Roman"/>
        </w:rPr>
        <w:t xml:space="preserve"> was said to have taken flight as St Kenelm’s throat was cut, this could classify as a first- or third-class encounter with a holy relic. The symbolism of the dove links back to the </w:t>
      </w:r>
      <w:r w:rsidR="007D13E0">
        <w:rPr>
          <w:rFonts w:ascii="Times New Roman" w:hAnsi="Times New Roman" w:cs="Times New Roman"/>
        </w:rPr>
        <w:t>premonitory</w:t>
      </w:r>
      <w:r w:rsidR="007D13E0">
        <w:rPr>
          <w:rFonts w:ascii="Times New Roman" w:hAnsi="Times New Roman" w:cs="Times New Roman"/>
        </w:rPr>
        <w:t xml:space="preserve"> dream before his death; St Kenelm’s spirit is the white dove, pure and innocent, the grand tree symbolises the life he might have lived as the Anglo-Saxon king of Mercia, his closest </w:t>
      </w:r>
      <w:r w:rsidR="007D13E0">
        <w:rPr>
          <w:rFonts w:ascii="Times New Roman" w:hAnsi="Times New Roman" w:cs="Times New Roman"/>
        </w:rPr>
        <w:lastRenderedPageBreak/>
        <w:t xml:space="preserve">companion being the perpetrator of the chopping down of the tree is </w:t>
      </w:r>
      <w:r w:rsidR="00443064">
        <w:rPr>
          <w:rFonts w:ascii="Times New Roman" w:hAnsi="Times New Roman" w:cs="Times New Roman"/>
        </w:rPr>
        <w:t xml:space="preserve">Askebert, </w:t>
      </w:r>
      <w:r w:rsidR="007D13E0">
        <w:rPr>
          <w:rFonts w:ascii="Times New Roman" w:hAnsi="Times New Roman" w:cs="Times New Roman"/>
        </w:rPr>
        <w:t>his personal tutor and according to varied accounts, his foster-father.</w:t>
      </w:r>
      <w:r w:rsidR="007D24E7">
        <w:rPr>
          <w:rStyle w:val="FootnoteReference"/>
          <w:rFonts w:ascii="Times New Roman" w:hAnsi="Times New Roman" w:cs="Times New Roman"/>
        </w:rPr>
        <w:footnoteReference w:id="9"/>
      </w:r>
    </w:p>
    <w:p w14:paraId="763343A7" w14:textId="3B186C5C" w:rsidR="00C12A97" w:rsidRDefault="007D24E7" w:rsidP="00103BB7">
      <w:pPr>
        <w:jc w:val="both"/>
        <w:rPr>
          <w:rFonts w:ascii="Times New Roman" w:hAnsi="Times New Roman" w:cs="Times New Roman"/>
        </w:rPr>
      </w:pPr>
      <w:r>
        <w:rPr>
          <w:rFonts w:ascii="Times New Roman" w:hAnsi="Times New Roman" w:cs="Times New Roman"/>
        </w:rPr>
        <w:t>The s</w:t>
      </w:r>
      <w:r w:rsidR="00334939">
        <w:rPr>
          <w:rFonts w:ascii="Times New Roman" w:hAnsi="Times New Roman" w:cs="Times New Roman"/>
        </w:rPr>
        <w:t>pring</w:t>
      </w:r>
      <w:r>
        <w:rPr>
          <w:rFonts w:ascii="Times New Roman" w:hAnsi="Times New Roman" w:cs="Times New Roman"/>
        </w:rPr>
        <w:t>s that appear after contact with the first-class relic of St Kenelm’s body are</w:t>
      </w:r>
      <w:r w:rsidR="00334939">
        <w:rPr>
          <w:rFonts w:ascii="Times New Roman" w:hAnsi="Times New Roman" w:cs="Times New Roman"/>
        </w:rPr>
        <w:t xml:space="preserve"> </w:t>
      </w:r>
      <w:r>
        <w:rPr>
          <w:rFonts w:ascii="Times New Roman" w:hAnsi="Times New Roman" w:cs="Times New Roman"/>
        </w:rPr>
        <w:t>manifestations of miracles in healing.</w:t>
      </w:r>
      <w:r w:rsidR="00334939">
        <w:rPr>
          <w:rFonts w:ascii="Times New Roman" w:hAnsi="Times New Roman" w:cs="Times New Roman"/>
        </w:rPr>
        <w:t xml:space="preserve"> </w:t>
      </w:r>
      <w:r>
        <w:rPr>
          <w:rFonts w:ascii="Times New Roman" w:hAnsi="Times New Roman" w:cs="Times New Roman"/>
        </w:rPr>
        <w:t xml:space="preserve">The </w:t>
      </w:r>
      <w:r w:rsidR="00334939">
        <w:rPr>
          <w:rFonts w:ascii="Times New Roman" w:hAnsi="Times New Roman" w:cs="Times New Roman"/>
        </w:rPr>
        <w:t>creation of holy well</w:t>
      </w:r>
      <w:r>
        <w:rPr>
          <w:rFonts w:ascii="Times New Roman" w:hAnsi="Times New Roman" w:cs="Times New Roman"/>
        </w:rPr>
        <w:t>s mirrors the healing that God bestowed upon St Kenelm after Quendrith attempted to poison him. It is a common theme in the stories of</w:t>
      </w:r>
      <w:r w:rsidR="00420B9E">
        <w:rPr>
          <w:rFonts w:ascii="Times New Roman" w:hAnsi="Times New Roman" w:cs="Times New Roman"/>
        </w:rPr>
        <w:t xml:space="preserve"> saints remains being transported over long journeys, that</w:t>
      </w:r>
      <w:r>
        <w:rPr>
          <w:rFonts w:ascii="Times New Roman" w:hAnsi="Times New Roman" w:cs="Times New Roman"/>
        </w:rPr>
        <w:t xml:space="preserve"> springs appear to alleviate the thirst and weariness of the monks who </w:t>
      </w:r>
      <w:r w:rsidR="00420B9E">
        <w:rPr>
          <w:rFonts w:ascii="Times New Roman" w:hAnsi="Times New Roman" w:cs="Times New Roman"/>
        </w:rPr>
        <w:t xml:space="preserve">are </w:t>
      </w:r>
      <w:r>
        <w:rPr>
          <w:rFonts w:ascii="Times New Roman" w:hAnsi="Times New Roman" w:cs="Times New Roman"/>
        </w:rPr>
        <w:t>carr</w:t>
      </w:r>
      <w:r w:rsidR="00420B9E">
        <w:rPr>
          <w:rFonts w:ascii="Times New Roman" w:hAnsi="Times New Roman" w:cs="Times New Roman"/>
        </w:rPr>
        <w:t>ying them</w:t>
      </w:r>
      <w:r>
        <w:rPr>
          <w:rFonts w:ascii="Times New Roman" w:hAnsi="Times New Roman" w:cs="Times New Roman"/>
        </w:rPr>
        <w:t>.</w:t>
      </w:r>
      <w:r w:rsidR="00420B9E">
        <w:rPr>
          <w:rStyle w:val="FootnoteReference"/>
          <w:rFonts w:ascii="Times New Roman" w:hAnsi="Times New Roman" w:cs="Times New Roman"/>
        </w:rPr>
        <w:footnoteReference w:id="10"/>
      </w:r>
      <w:r w:rsidR="00420B9E">
        <w:rPr>
          <w:rFonts w:ascii="Times New Roman" w:hAnsi="Times New Roman" w:cs="Times New Roman"/>
        </w:rPr>
        <w:t xml:space="preserve"> Both springs that erupted after contact with St Kenelm’s body were said to have</w:t>
      </w:r>
      <w:r w:rsidR="00443064">
        <w:rPr>
          <w:rFonts w:ascii="Times New Roman" w:hAnsi="Times New Roman" w:cs="Times New Roman"/>
        </w:rPr>
        <w:t xml:space="preserve"> possessed</w:t>
      </w:r>
      <w:r w:rsidR="00420B9E">
        <w:rPr>
          <w:rFonts w:ascii="Times New Roman" w:hAnsi="Times New Roman" w:cs="Times New Roman"/>
        </w:rPr>
        <w:t xml:space="preserve"> healing properties. The spring that appeared from the pit St Kenelm was buried in was later given a well-head, it was known to heal illness</w:t>
      </w:r>
      <w:r w:rsidR="00B27456">
        <w:rPr>
          <w:rFonts w:ascii="Times New Roman" w:hAnsi="Times New Roman" w:cs="Times New Roman"/>
        </w:rPr>
        <w:t xml:space="preserve"> and grant wishes</w:t>
      </w:r>
      <w:r w:rsidR="00420B9E">
        <w:rPr>
          <w:rFonts w:ascii="Times New Roman" w:hAnsi="Times New Roman" w:cs="Times New Roman"/>
        </w:rPr>
        <w:t xml:space="preserve"> through consuming its waters</w:t>
      </w:r>
      <w:r w:rsidR="00B27456">
        <w:rPr>
          <w:rFonts w:ascii="Times New Roman" w:hAnsi="Times New Roman" w:cs="Times New Roman"/>
        </w:rPr>
        <w:t xml:space="preserve"> and spinning around several times, the</w:t>
      </w:r>
      <w:r w:rsidR="004B3033">
        <w:rPr>
          <w:rFonts w:ascii="Times New Roman" w:hAnsi="Times New Roman" w:cs="Times New Roman"/>
        </w:rPr>
        <w:t>n</w:t>
      </w:r>
      <w:r w:rsidR="00B27456">
        <w:rPr>
          <w:rFonts w:ascii="Times New Roman" w:hAnsi="Times New Roman" w:cs="Times New Roman"/>
        </w:rPr>
        <w:t xml:space="preserve"> expressing your wish</w:t>
      </w:r>
      <w:r w:rsidR="00420B9E">
        <w:rPr>
          <w:rFonts w:ascii="Times New Roman" w:hAnsi="Times New Roman" w:cs="Times New Roman"/>
        </w:rPr>
        <w:t>. The second spring that appeared when the monks grew tired gave them immediate relief to continue their travels to Winchcombe Abbey.</w:t>
      </w:r>
      <w:r w:rsidR="00420B9E">
        <w:rPr>
          <w:rStyle w:val="FootnoteReference"/>
          <w:rFonts w:ascii="Times New Roman" w:hAnsi="Times New Roman" w:cs="Times New Roman"/>
        </w:rPr>
        <w:footnoteReference w:id="11"/>
      </w:r>
      <w:r w:rsidR="00B27456">
        <w:rPr>
          <w:rFonts w:ascii="Times New Roman" w:hAnsi="Times New Roman" w:cs="Times New Roman"/>
        </w:rPr>
        <w:t xml:space="preserve"> Holy wells are supposedly conduits for the moon and her powers to be brought to earth through the reflection in</w:t>
      </w:r>
      <w:r w:rsidR="004B3033">
        <w:rPr>
          <w:rFonts w:ascii="Times New Roman" w:hAnsi="Times New Roman" w:cs="Times New Roman"/>
        </w:rPr>
        <w:t xml:space="preserve"> their</w:t>
      </w:r>
      <w:r w:rsidR="00B27456">
        <w:rPr>
          <w:rFonts w:ascii="Times New Roman" w:hAnsi="Times New Roman" w:cs="Times New Roman"/>
        </w:rPr>
        <w:t xml:space="preserve"> waters. </w:t>
      </w:r>
      <w:r w:rsidR="004B3033">
        <w:rPr>
          <w:rFonts w:ascii="Times New Roman" w:hAnsi="Times New Roman" w:cs="Times New Roman"/>
        </w:rPr>
        <w:t>Wells</w:t>
      </w:r>
      <w:r w:rsidR="00B27456">
        <w:rPr>
          <w:rFonts w:ascii="Times New Roman" w:hAnsi="Times New Roman" w:cs="Times New Roman"/>
        </w:rPr>
        <w:t xml:space="preserve"> were </w:t>
      </w:r>
      <w:r w:rsidR="00443064">
        <w:rPr>
          <w:rFonts w:ascii="Times New Roman" w:hAnsi="Times New Roman" w:cs="Times New Roman"/>
        </w:rPr>
        <w:t xml:space="preserve">often </w:t>
      </w:r>
      <w:r w:rsidR="00B27456">
        <w:rPr>
          <w:rFonts w:ascii="Times New Roman" w:hAnsi="Times New Roman" w:cs="Times New Roman"/>
        </w:rPr>
        <w:t xml:space="preserve">the only form of health care for the poor communities, drinking and bathing in these holy wells was common practice and </w:t>
      </w:r>
      <w:r w:rsidR="00443064">
        <w:rPr>
          <w:rFonts w:ascii="Times New Roman" w:hAnsi="Times New Roman" w:cs="Times New Roman"/>
        </w:rPr>
        <w:t>according to</w:t>
      </w:r>
      <w:r w:rsidR="00B27456">
        <w:rPr>
          <w:rFonts w:ascii="Times New Roman" w:hAnsi="Times New Roman" w:cs="Times New Roman"/>
        </w:rPr>
        <w:t xml:space="preserve"> a variety of sources</w:t>
      </w:r>
      <w:r w:rsidR="00443064">
        <w:rPr>
          <w:rFonts w:ascii="Times New Roman" w:hAnsi="Times New Roman" w:cs="Times New Roman"/>
        </w:rPr>
        <w:t>,</w:t>
      </w:r>
      <w:r w:rsidR="00B27456">
        <w:rPr>
          <w:rFonts w:ascii="Times New Roman" w:hAnsi="Times New Roman" w:cs="Times New Roman"/>
        </w:rPr>
        <w:t xml:space="preserve"> did take effect. When water from these wells was </w:t>
      </w:r>
      <w:r w:rsidR="006B30CB">
        <w:rPr>
          <w:rFonts w:ascii="Times New Roman" w:hAnsi="Times New Roman" w:cs="Times New Roman"/>
        </w:rPr>
        <w:t>tested,</w:t>
      </w:r>
      <w:r w:rsidR="00B27456">
        <w:rPr>
          <w:rFonts w:ascii="Times New Roman" w:hAnsi="Times New Roman" w:cs="Times New Roman"/>
        </w:rPr>
        <w:t xml:space="preserve"> they were found to contain minerals known to be effective in the treatment of common ailments of the medieval time period like rickets, rheumatism</w:t>
      </w:r>
      <w:r w:rsidR="006B30CB">
        <w:rPr>
          <w:rFonts w:ascii="Times New Roman" w:hAnsi="Times New Roman" w:cs="Times New Roman"/>
        </w:rPr>
        <w:t>, skin diseases etc.</w:t>
      </w:r>
      <w:r w:rsidR="006B30CB">
        <w:rPr>
          <w:rStyle w:val="FootnoteReference"/>
          <w:rFonts w:ascii="Times New Roman" w:hAnsi="Times New Roman" w:cs="Times New Roman"/>
        </w:rPr>
        <w:footnoteReference w:id="12"/>
      </w:r>
      <w:r w:rsidR="004B3033">
        <w:rPr>
          <w:rFonts w:ascii="Times New Roman" w:hAnsi="Times New Roman" w:cs="Times New Roman"/>
        </w:rPr>
        <w:t xml:space="preserve"> The spring that formed for the monks could have contained minerals such as </w:t>
      </w:r>
      <w:r w:rsidR="00271B65">
        <w:rPr>
          <w:rFonts w:ascii="Times New Roman" w:hAnsi="Times New Roman" w:cs="Times New Roman"/>
        </w:rPr>
        <w:t>radon gas, they can appear in soil and water supplies through the natural decay process of uranium. When received in certain doses, radon gas can have the positive results of treating rheumatism, gout, skin disease, diabetes, asthma, gallstones and fatigue. Another mineral likely present in the spring is magnesium, this mineral is important for the regulating of bodily functions and can be easily absorbed through consuming or bathing in the waters containing it. Magnesium can produce energy and protein, and assist the heart, nerves and muscles in functioning properly.</w:t>
      </w:r>
      <w:r w:rsidR="00271B65">
        <w:rPr>
          <w:rStyle w:val="FootnoteReference"/>
          <w:rFonts w:ascii="Times New Roman" w:hAnsi="Times New Roman" w:cs="Times New Roman"/>
        </w:rPr>
        <w:footnoteReference w:id="13"/>
      </w:r>
      <w:r w:rsidR="00B868CD">
        <w:rPr>
          <w:rFonts w:ascii="Times New Roman" w:hAnsi="Times New Roman" w:cs="Times New Roman"/>
        </w:rPr>
        <w:t xml:space="preserve"> These minerals and of course</w:t>
      </w:r>
      <w:r w:rsidR="00443064">
        <w:rPr>
          <w:rFonts w:ascii="Times New Roman" w:hAnsi="Times New Roman" w:cs="Times New Roman"/>
        </w:rPr>
        <w:t>,</w:t>
      </w:r>
      <w:r w:rsidR="00B868CD">
        <w:rPr>
          <w:rFonts w:ascii="Times New Roman" w:hAnsi="Times New Roman" w:cs="Times New Roman"/>
        </w:rPr>
        <w:t xml:space="preserve"> rehydration is likely what provided the monks with the energy to continue their travels to Winchcombe Abbey. </w:t>
      </w:r>
    </w:p>
    <w:p w14:paraId="3C656733" w14:textId="39A06446" w:rsidR="00C12A97" w:rsidRPr="00C12A97" w:rsidRDefault="00B868CD" w:rsidP="00103BB7">
      <w:pPr>
        <w:jc w:val="both"/>
        <w:rPr>
          <w:rFonts w:ascii="Times New Roman" w:hAnsi="Times New Roman" w:cs="Times New Roman"/>
        </w:rPr>
      </w:pPr>
      <w:r>
        <w:rPr>
          <w:rFonts w:ascii="Times New Roman" w:hAnsi="Times New Roman" w:cs="Times New Roman"/>
        </w:rPr>
        <w:t>Although traditionally relics are means for the occurrence of miracles, they are sometimes also conduits for curses and the taking of lives. People who belittle saintly relics power or insult the saint they originate from commonly find themselves blinded or meet their death under suspicious circumstances.</w:t>
      </w:r>
      <w:r>
        <w:rPr>
          <w:rStyle w:val="FootnoteReference"/>
          <w:rFonts w:ascii="Times New Roman" w:hAnsi="Times New Roman" w:cs="Times New Roman"/>
        </w:rPr>
        <w:footnoteReference w:id="14"/>
      </w:r>
      <w:r>
        <w:rPr>
          <w:rFonts w:ascii="Times New Roman" w:hAnsi="Times New Roman" w:cs="Times New Roman"/>
        </w:rPr>
        <w:t xml:space="preserve">   The fate</w:t>
      </w:r>
      <w:r w:rsidR="007F3064">
        <w:rPr>
          <w:rFonts w:ascii="Times New Roman" w:hAnsi="Times New Roman" w:cs="Times New Roman"/>
        </w:rPr>
        <w:t>s of blindness and death</w:t>
      </w:r>
      <w:r>
        <w:rPr>
          <w:rFonts w:ascii="Times New Roman" w:hAnsi="Times New Roman" w:cs="Times New Roman"/>
        </w:rPr>
        <w:t xml:space="preserve"> that befell Queen</w:t>
      </w:r>
      <w:r w:rsidR="00C12A97">
        <w:rPr>
          <w:rFonts w:ascii="Times New Roman" w:hAnsi="Times New Roman" w:cs="Times New Roman"/>
        </w:rPr>
        <w:t xml:space="preserve"> Quendrith</w:t>
      </w:r>
      <w:r w:rsidR="007F3064">
        <w:rPr>
          <w:rFonts w:ascii="Times New Roman" w:hAnsi="Times New Roman" w:cs="Times New Roman"/>
        </w:rPr>
        <w:t xml:space="preserve"> and Askebert</w:t>
      </w:r>
      <w:r w:rsidR="00C12A97">
        <w:rPr>
          <w:rFonts w:ascii="Times New Roman" w:hAnsi="Times New Roman" w:cs="Times New Roman"/>
        </w:rPr>
        <w:t xml:space="preserve"> </w:t>
      </w:r>
      <w:r w:rsidR="00443064">
        <w:rPr>
          <w:rFonts w:ascii="Times New Roman" w:hAnsi="Times New Roman" w:cs="Times New Roman"/>
        </w:rPr>
        <w:t xml:space="preserve">are </w:t>
      </w:r>
      <w:r w:rsidR="007F3064">
        <w:rPr>
          <w:rFonts w:ascii="Times New Roman" w:hAnsi="Times New Roman" w:cs="Times New Roman"/>
        </w:rPr>
        <w:t>a prime example of the cursing of individuals that wish harm upon or disrespect saintly relics. Quendrith’s curse rebounding and striking her blind as her eyes fell from her head is a customary theme of punishment for those who disrespect saints.</w:t>
      </w:r>
      <w:r w:rsidR="007F3064">
        <w:rPr>
          <w:rStyle w:val="FootnoteReference"/>
          <w:rFonts w:ascii="Times New Roman" w:hAnsi="Times New Roman" w:cs="Times New Roman"/>
        </w:rPr>
        <w:footnoteReference w:id="15"/>
      </w:r>
      <w:r w:rsidR="007F3064">
        <w:rPr>
          <w:rFonts w:ascii="Times New Roman" w:hAnsi="Times New Roman" w:cs="Times New Roman"/>
        </w:rPr>
        <w:t xml:space="preserve"> Ophthalmic ailments were a common occurrence in the medieval period due to a lack of vitamin A in people’s diets, this imbalance often resulted in conditions like xerophthalmia.</w:t>
      </w:r>
      <w:r w:rsidR="004163A1">
        <w:rPr>
          <w:rStyle w:val="FootnoteReference"/>
          <w:rFonts w:ascii="Times New Roman" w:hAnsi="Times New Roman" w:cs="Times New Roman"/>
        </w:rPr>
        <w:footnoteReference w:id="16"/>
      </w:r>
    </w:p>
    <w:p w14:paraId="7AFBC3F8" w14:textId="77777777" w:rsidR="00103BB7" w:rsidRDefault="00103BB7" w:rsidP="00103BB7">
      <w:pPr>
        <w:ind w:left="720" w:hanging="720"/>
        <w:jc w:val="both"/>
        <w:rPr>
          <w:rFonts w:ascii="Times New Roman" w:hAnsi="Times New Roman" w:cs="Times New Roman"/>
          <w:b/>
          <w:bCs/>
          <w:u w:val="single"/>
        </w:rPr>
      </w:pPr>
    </w:p>
    <w:p w14:paraId="4EEC0FC6" w14:textId="3D66D097" w:rsidR="00103BB7" w:rsidRPr="00103BB7" w:rsidRDefault="00181397" w:rsidP="00103BB7">
      <w:pPr>
        <w:ind w:left="720" w:hanging="720"/>
        <w:jc w:val="both"/>
        <w:rPr>
          <w:rFonts w:ascii="Times New Roman" w:hAnsi="Times New Roman" w:cs="Times New Roman"/>
          <w:b/>
          <w:bCs/>
          <w:u w:val="single"/>
        </w:rPr>
      </w:pPr>
      <w:r>
        <w:rPr>
          <w:rFonts w:ascii="Times New Roman" w:hAnsi="Times New Roman" w:cs="Times New Roman"/>
          <w:b/>
          <w:bCs/>
          <w:u w:val="single"/>
        </w:rPr>
        <w:t>Conclusion</w:t>
      </w:r>
    </w:p>
    <w:p w14:paraId="246EE4AD" w14:textId="50EAA988" w:rsidR="009E2321" w:rsidRDefault="009E2321" w:rsidP="00103BB7">
      <w:pPr>
        <w:jc w:val="both"/>
        <w:rPr>
          <w:rFonts w:ascii="Times New Roman" w:hAnsi="Times New Roman" w:cs="Times New Roman"/>
        </w:rPr>
      </w:pPr>
      <w:r>
        <w:rPr>
          <w:rFonts w:ascii="Times New Roman" w:hAnsi="Times New Roman" w:cs="Times New Roman"/>
        </w:rPr>
        <w:t>Saintly relics are powerful objects that can often multipl</w:t>
      </w:r>
      <w:r w:rsidR="001B3BA8">
        <w:rPr>
          <w:rFonts w:ascii="Times New Roman" w:hAnsi="Times New Roman" w:cs="Times New Roman"/>
        </w:rPr>
        <w:t>y</w:t>
      </w:r>
      <w:r>
        <w:rPr>
          <w:rFonts w:ascii="Times New Roman" w:hAnsi="Times New Roman" w:cs="Times New Roman"/>
        </w:rPr>
        <w:t xml:space="preserve"> the plethora of relics belonging to a saint merely by coming into contact with the first-class relic, the saints body. Miracles of healing or</w:t>
      </w:r>
      <w:r w:rsidR="00103BB7">
        <w:rPr>
          <w:rFonts w:ascii="Times New Roman" w:hAnsi="Times New Roman" w:cs="Times New Roman"/>
        </w:rPr>
        <w:t xml:space="preserve"> </w:t>
      </w:r>
      <w:r>
        <w:rPr>
          <w:rFonts w:ascii="Times New Roman" w:hAnsi="Times New Roman" w:cs="Times New Roman"/>
        </w:rPr>
        <w:t xml:space="preserve">aid are often provided by these relics and </w:t>
      </w:r>
      <w:r w:rsidR="001B3BA8">
        <w:rPr>
          <w:rFonts w:ascii="Times New Roman" w:hAnsi="Times New Roman" w:cs="Times New Roman"/>
        </w:rPr>
        <w:t xml:space="preserve">are </w:t>
      </w:r>
      <w:r>
        <w:rPr>
          <w:rFonts w:ascii="Times New Roman" w:hAnsi="Times New Roman" w:cs="Times New Roman"/>
        </w:rPr>
        <w:t xml:space="preserve">perceived as tools used by God to bridge the gap between heaven </w:t>
      </w:r>
      <w:r>
        <w:rPr>
          <w:rFonts w:ascii="Times New Roman" w:hAnsi="Times New Roman" w:cs="Times New Roman"/>
        </w:rPr>
        <w:lastRenderedPageBreak/>
        <w:t>and earth</w:t>
      </w:r>
      <w:r w:rsidR="00103BB7">
        <w:rPr>
          <w:rFonts w:ascii="Times New Roman" w:hAnsi="Times New Roman" w:cs="Times New Roman"/>
        </w:rPr>
        <w:t>.</w:t>
      </w:r>
      <w:r w:rsidR="00103BB7">
        <w:rPr>
          <w:rStyle w:val="FootnoteReference"/>
          <w:rFonts w:ascii="Times New Roman" w:hAnsi="Times New Roman" w:cs="Times New Roman"/>
        </w:rPr>
        <w:footnoteReference w:id="17"/>
      </w:r>
      <w:r w:rsidR="00103BB7">
        <w:rPr>
          <w:rFonts w:ascii="Times New Roman" w:hAnsi="Times New Roman" w:cs="Times New Roman"/>
        </w:rPr>
        <w:t xml:space="preserve"> St Kenelm </w:t>
      </w:r>
      <w:r w:rsidR="00BC5280">
        <w:rPr>
          <w:rFonts w:ascii="Times New Roman" w:hAnsi="Times New Roman" w:cs="Times New Roman"/>
        </w:rPr>
        <w:t xml:space="preserve">was a royal child martyr who in having his life stolen at such a young age, became a </w:t>
      </w:r>
      <w:r w:rsidR="00CF50CD">
        <w:rPr>
          <w:rFonts w:ascii="Times New Roman" w:hAnsi="Times New Roman" w:cs="Times New Roman"/>
        </w:rPr>
        <w:t xml:space="preserve">divine </w:t>
      </w:r>
      <w:r w:rsidR="00BC5280">
        <w:rPr>
          <w:rFonts w:ascii="Times New Roman" w:hAnsi="Times New Roman" w:cs="Times New Roman"/>
        </w:rPr>
        <w:t xml:space="preserve">conduit for </w:t>
      </w:r>
      <w:r w:rsidR="001B3BA8">
        <w:rPr>
          <w:rFonts w:ascii="Times New Roman" w:hAnsi="Times New Roman" w:cs="Times New Roman"/>
        </w:rPr>
        <w:t xml:space="preserve">the </w:t>
      </w:r>
      <w:r w:rsidR="00BC5280">
        <w:rPr>
          <w:rFonts w:ascii="Times New Roman" w:hAnsi="Times New Roman" w:cs="Times New Roman"/>
        </w:rPr>
        <w:t>miracles of premonition, healing, and the cursing of the orchestrators of his death. Multiple relics were made through contact with his body, the blessed cow that came into contact with his grave, the white dove that carried the message to The Pope, the pit he was buried in transforming into a h</w:t>
      </w:r>
      <w:r w:rsidR="00CF50CD">
        <w:rPr>
          <w:rFonts w:ascii="Times New Roman" w:hAnsi="Times New Roman" w:cs="Times New Roman"/>
        </w:rPr>
        <w:t>oly</w:t>
      </w:r>
      <w:r w:rsidR="00BC5280">
        <w:rPr>
          <w:rFonts w:ascii="Times New Roman" w:hAnsi="Times New Roman" w:cs="Times New Roman"/>
        </w:rPr>
        <w:t xml:space="preserve"> and wishing well</w:t>
      </w:r>
      <w:r w:rsidR="00CF50CD">
        <w:rPr>
          <w:rFonts w:ascii="Times New Roman" w:hAnsi="Times New Roman" w:cs="Times New Roman"/>
        </w:rPr>
        <w:t>,</w:t>
      </w:r>
      <w:r w:rsidR="00BC5280">
        <w:rPr>
          <w:rFonts w:ascii="Times New Roman" w:hAnsi="Times New Roman" w:cs="Times New Roman"/>
        </w:rPr>
        <w:t xml:space="preserve"> and the secondary spring that emerged near his coffin that also held healing properties.</w:t>
      </w:r>
      <w:r w:rsidR="005C620A">
        <w:rPr>
          <w:rStyle w:val="FootnoteReference"/>
          <w:rFonts w:ascii="Times New Roman" w:hAnsi="Times New Roman" w:cs="Times New Roman"/>
        </w:rPr>
        <w:footnoteReference w:id="18"/>
      </w:r>
      <w:r w:rsidR="001B3BA8">
        <w:rPr>
          <w:rFonts w:ascii="Times New Roman" w:hAnsi="Times New Roman" w:cs="Times New Roman"/>
        </w:rPr>
        <w:t xml:space="preserve"> The rewarding of the monks who carried his remains in providing a spring for them to recover by, and the cursing of the orchestrators of his death through blinding and ultimately death, can be seen as divine judgement sent f</w:t>
      </w:r>
      <w:r w:rsidR="00CF50CD">
        <w:rPr>
          <w:rFonts w:ascii="Times New Roman" w:hAnsi="Times New Roman" w:cs="Times New Roman"/>
        </w:rPr>
        <w:t>or</w:t>
      </w:r>
      <w:r w:rsidR="001B3BA8">
        <w:rPr>
          <w:rFonts w:ascii="Times New Roman" w:hAnsi="Times New Roman" w:cs="Times New Roman"/>
        </w:rPr>
        <w:t>th by God.</w:t>
      </w:r>
      <w:r w:rsidR="001B3BA8">
        <w:rPr>
          <w:rStyle w:val="FootnoteReference"/>
          <w:rFonts w:ascii="Times New Roman" w:hAnsi="Times New Roman" w:cs="Times New Roman"/>
        </w:rPr>
        <w:footnoteReference w:id="19"/>
      </w:r>
      <w:r w:rsidR="001B3BA8">
        <w:rPr>
          <w:rFonts w:ascii="Times New Roman" w:hAnsi="Times New Roman" w:cs="Times New Roman"/>
        </w:rPr>
        <w:t xml:space="preserve"> </w:t>
      </w:r>
      <w:r w:rsidR="00191603">
        <w:rPr>
          <w:rFonts w:ascii="Times New Roman" w:hAnsi="Times New Roman" w:cs="Times New Roman"/>
        </w:rPr>
        <w:t xml:space="preserve">While some of the miracles that occurred due to the saintly relics of St Kenelm can be explained by purely natural means, such as the healing properties of minerals present in the water of holy wells. It cannot be denied that </w:t>
      </w:r>
      <w:r w:rsidR="0015412B">
        <w:rPr>
          <w:rFonts w:ascii="Times New Roman" w:hAnsi="Times New Roman" w:cs="Times New Roman"/>
        </w:rPr>
        <w:t>religious</w:t>
      </w:r>
      <w:r w:rsidR="00191603">
        <w:rPr>
          <w:rFonts w:ascii="Times New Roman" w:hAnsi="Times New Roman" w:cs="Times New Roman"/>
        </w:rPr>
        <w:t xml:space="preserve"> link to the holy spirit that resided in the young king, was the catalyst for the miracles</w:t>
      </w:r>
      <w:r w:rsidR="0015412B">
        <w:rPr>
          <w:rFonts w:ascii="Times New Roman" w:hAnsi="Times New Roman" w:cs="Times New Roman"/>
        </w:rPr>
        <w:t xml:space="preserve"> that took place</w:t>
      </w:r>
      <w:r w:rsidR="00191603">
        <w:rPr>
          <w:rFonts w:ascii="Times New Roman" w:hAnsi="Times New Roman" w:cs="Times New Roman"/>
        </w:rPr>
        <w:t>.</w:t>
      </w:r>
      <w:r w:rsidR="00191603">
        <w:rPr>
          <w:rStyle w:val="FootnoteReference"/>
          <w:rFonts w:ascii="Times New Roman" w:hAnsi="Times New Roman" w:cs="Times New Roman"/>
        </w:rPr>
        <w:footnoteReference w:id="20"/>
      </w:r>
      <w:r w:rsidR="00191603">
        <w:rPr>
          <w:rFonts w:ascii="Times New Roman" w:hAnsi="Times New Roman" w:cs="Times New Roman"/>
        </w:rPr>
        <w:t xml:space="preserve"> </w:t>
      </w:r>
      <w:r w:rsidR="001B3BA8">
        <w:rPr>
          <w:rFonts w:ascii="Times New Roman" w:hAnsi="Times New Roman" w:cs="Times New Roman"/>
        </w:rPr>
        <w:t>St Kenelm’s remains were placed in Winchcombe Abbey, Gloucestershire</w:t>
      </w:r>
      <w:r w:rsidR="00CF50CD">
        <w:rPr>
          <w:rFonts w:ascii="Times New Roman" w:hAnsi="Times New Roman" w:cs="Times New Roman"/>
        </w:rPr>
        <w:t>;</w:t>
      </w:r>
      <w:r w:rsidR="001B3BA8">
        <w:rPr>
          <w:rFonts w:ascii="Times New Roman" w:hAnsi="Times New Roman" w:cs="Times New Roman"/>
        </w:rPr>
        <w:t xml:space="preserve"> although the abbey no longer stands, two stone coffins can be found in St Peter’s parish church that are thought to hold the saintly relics of St Kenelm and his father Kenulf.</w:t>
      </w:r>
      <w:r w:rsidR="001B3BA8">
        <w:rPr>
          <w:rStyle w:val="FootnoteReference"/>
          <w:rFonts w:ascii="Times New Roman" w:hAnsi="Times New Roman" w:cs="Times New Roman"/>
        </w:rPr>
        <w:footnoteReference w:id="21"/>
      </w:r>
    </w:p>
    <w:p w14:paraId="60428B71" w14:textId="77777777" w:rsidR="00443064" w:rsidRDefault="00443064" w:rsidP="00103BB7">
      <w:pPr>
        <w:jc w:val="both"/>
        <w:rPr>
          <w:rFonts w:ascii="Times New Roman" w:hAnsi="Times New Roman" w:cs="Times New Roman"/>
          <w:b/>
          <w:bCs/>
          <w:u w:val="single"/>
        </w:rPr>
      </w:pPr>
    </w:p>
    <w:p w14:paraId="46BBD201" w14:textId="0235AD35" w:rsidR="00BE45C3" w:rsidRPr="00161EE4" w:rsidRDefault="00BE45C3" w:rsidP="00103BB7">
      <w:pPr>
        <w:jc w:val="both"/>
        <w:rPr>
          <w:rFonts w:ascii="Times New Roman" w:hAnsi="Times New Roman" w:cs="Times New Roman"/>
        </w:rPr>
      </w:pPr>
      <w:r w:rsidRPr="00BE45C3">
        <w:rPr>
          <w:rFonts w:ascii="Times New Roman" w:hAnsi="Times New Roman" w:cs="Times New Roman"/>
          <w:b/>
          <w:bCs/>
          <w:u w:val="single"/>
        </w:rPr>
        <w:t xml:space="preserve">Bibliography </w:t>
      </w:r>
    </w:p>
    <w:p w14:paraId="44C0322A" w14:textId="77777777" w:rsidR="00A409EA" w:rsidRPr="004D7942" w:rsidRDefault="00A409EA" w:rsidP="00103BB7">
      <w:pPr>
        <w:pStyle w:val="NormalWeb"/>
        <w:spacing w:before="0" w:beforeAutospacing="0" w:after="240" w:afterAutospacing="0" w:line="360" w:lineRule="auto"/>
        <w:ind w:left="720" w:hanging="720"/>
        <w:jc w:val="both"/>
        <w:rPr>
          <w:sz w:val="22"/>
          <w:szCs w:val="22"/>
        </w:rPr>
      </w:pPr>
      <w:r w:rsidRPr="004D7942">
        <w:rPr>
          <w:sz w:val="22"/>
          <w:szCs w:val="22"/>
        </w:rPr>
        <w:t xml:space="preserve">Boenig, R. ‘Chaucer and St. Kenelm’ </w:t>
      </w:r>
      <w:r w:rsidRPr="004D7942">
        <w:rPr>
          <w:i/>
          <w:iCs/>
          <w:sz w:val="22"/>
          <w:szCs w:val="22"/>
        </w:rPr>
        <w:t>Neophilologus</w:t>
      </w:r>
      <w:r w:rsidRPr="004D7942">
        <w:rPr>
          <w:sz w:val="22"/>
          <w:szCs w:val="22"/>
        </w:rPr>
        <w:t xml:space="preserve">, 84(1) (2000), p. 157–64 </w:t>
      </w:r>
    </w:p>
    <w:p w14:paraId="1C514BBA" w14:textId="77777777" w:rsidR="00A409EA" w:rsidRPr="004D7942" w:rsidRDefault="00A409EA" w:rsidP="00103BB7">
      <w:pPr>
        <w:jc w:val="both"/>
        <w:rPr>
          <w:rFonts w:ascii="Times New Roman" w:hAnsi="Times New Roman" w:cs="Times New Roman"/>
        </w:rPr>
      </w:pPr>
      <w:r w:rsidRPr="004D7942">
        <w:rPr>
          <w:rFonts w:ascii="Times New Roman" w:hAnsi="Times New Roman" w:cs="Times New Roman"/>
        </w:rPr>
        <w:t xml:space="preserve">Brett, C. ‘St Kenelm, St Melor and Anglo-Breton Contact from the Tenth to the Twelfth Centuries’ </w:t>
      </w:r>
      <w:r w:rsidRPr="004D7942">
        <w:rPr>
          <w:rFonts w:ascii="Times New Roman" w:hAnsi="Times New Roman" w:cs="Times New Roman"/>
          <w:i/>
          <w:iCs/>
        </w:rPr>
        <w:t>Anglo-Saxon EngRland</w:t>
      </w:r>
      <w:r w:rsidRPr="004D7942">
        <w:rPr>
          <w:rFonts w:ascii="Times New Roman" w:hAnsi="Times New Roman" w:cs="Times New Roman"/>
        </w:rPr>
        <w:t xml:space="preserve">, 47(1) (2018), p. 247–273 </w:t>
      </w:r>
    </w:p>
    <w:p w14:paraId="75D2E992" w14:textId="7CFE684C" w:rsidR="00A409EA" w:rsidRPr="004D7942" w:rsidRDefault="00A409EA" w:rsidP="00103BB7">
      <w:pPr>
        <w:pStyle w:val="NormalWeb"/>
        <w:spacing w:before="0" w:beforeAutospacing="0" w:after="240" w:afterAutospacing="0" w:line="360" w:lineRule="auto"/>
        <w:ind w:left="720" w:hanging="720"/>
        <w:jc w:val="both"/>
        <w:rPr>
          <w:sz w:val="22"/>
          <w:szCs w:val="22"/>
        </w:rPr>
      </w:pPr>
      <w:r w:rsidRPr="004D7942">
        <w:rPr>
          <w:sz w:val="22"/>
          <w:szCs w:val="22"/>
        </w:rPr>
        <w:t xml:space="preserve">Brown, B. D. ‘Robert of Gloucester’s Chronicle and the Life of St. Kenelm’ </w:t>
      </w:r>
      <w:r w:rsidRPr="004D7942">
        <w:rPr>
          <w:i/>
          <w:iCs/>
          <w:sz w:val="22"/>
          <w:szCs w:val="22"/>
        </w:rPr>
        <w:t>Modern Language Notes</w:t>
      </w:r>
      <w:r w:rsidRPr="004D7942">
        <w:rPr>
          <w:sz w:val="22"/>
          <w:szCs w:val="22"/>
        </w:rPr>
        <w:t xml:space="preserve">, 41(1) (1926), </w:t>
      </w:r>
      <w:r w:rsidR="004D7942" w:rsidRPr="004D7942">
        <w:rPr>
          <w:sz w:val="22"/>
          <w:szCs w:val="22"/>
        </w:rPr>
        <w:t xml:space="preserve">p. </w:t>
      </w:r>
      <w:r w:rsidRPr="004D7942">
        <w:rPr>
          <w:sz w:val="22"/>
          <w:szCs w:val="22"/>
        </w:rPr>
        <w:t xml:space="preserve">13–23 </w:t>
      </w:r>
    </w:p>
    <w:p w14:paraId="12540241" w14:textId="4977F525" w:rsidR="00917400" w:rsidRPr="004D7942" w:rsidRDefault="00917400" w:rsidP="00103BB7">
      <w:pPr>
        <w:spacing w:after="240" w:line="360" w:lineRule="auto"/>
        <w:ind w:left="720" w:hanging="720"/>
        <w:jc w:val="both"/>
        <w:rPr>
          <w:rFonts w:ascii="Times New Roman" w:eastAsia="Times New Roman" w:hAnsi="Times New Roman" w:cs="Times New Roman"/>
          <w:lang w:eastAsia="en-GB"/>
        </w:rPr>
      </w:pPr>
      <w:r w:rsidRPr="00917400">
        <w:rPr>
          <w:rFonts w:ascii="Times New Roman" w:eastAsia="Times New Roman" w:hAnsi="Times New Roman" w:cs="Times New Roman"/>
          <w:lang w:eastAsia="en-GB"/>
        </w:rPr>
        <w:t xml:space="preserve">Freeman, C. </w:t>
      </w:r>
      <w:r w:rsidRPr="004D7942">
        <w:rPr>
          <w:rFonts w:ascii="Times New Roman" w:eastAsia="Times New Roman" w:hAnsi="Times New Roman" w:cs="Times New Roman"/>
          <w:lang w:eastAsia="en-GB"/>
        </w:rPr>
        <w:t>(</w:t>
      </w:r>
      <w:r w:rsidRPr="00917400">
        <w:rPr>
          <w:rFonts w:ascii="Times New Roman" w:eastAsia="Times New Roman" w:hAnsi="Times New Roman" w:cs="Times New Roman"/>
          <w:lang w:eastAsia="en-GB"/>
        </w:rPr>
        <w:t>2012</w:t>
      </w:r>
      <w:r w:rsidRPr="004D7942">
        <w:rPr>
          <w:rFonts w:ascii="Times New Roman" w:eastAsia="Times New Roman" w:hAnsi="Times New Roman" w:cs="Times New Roman"/>
          <w:lang w:eastAsia="en-GB"/>
        </w:rPr>
        <w:t>)</w:t>
      </w:r>
      <w:r w:rsidRPr="00917400">
        <w:rPr>
          <w:rFonts w:ascii="Times New Roman" w:eastAsia="Times New Roman" w:hAnsi="Times New Roman" w:cs="Times New Roman"/>
          <w:lang w:eastAsia="en-GB"/>
        </w:rPr>
        <w:t xml:space="preserve"> </w:t>
      </w:r>
      <w:r w:rsidRPr="00917400">
        <w:rPr>
          <w:rFonts w:ascii="Times New Roman" w:eastAsia="Times New Roman" w:hAnsi="Times New Roman" w:cs="Times New Roman"/>
          <w:i/>
          <w:iCs/>
          <w:lang w:eastAsia="en-GB"/>
        </w:rPr>
        <w:t>Holy Bones, Holy Dust: How Relics Shaped the History of Medieval Europe</w:t>
      </w:r>
      <w:r w:rsidRPr="004D7942">
        <w:rPr>
          <w:rFonts w:ascii="Times New Roman" w:eastAsia="Times New Roman" w:hAnsi="Times New Roman" w:cs="Times New Roman"/>
          <w:i/>
          <w:iCs/>
          <w:lang w:eastAsia="en-GB"/>
        </w:rPr>
        <w:t>,</w:t>
      </w:r>
      <w:r w:rsidRPr="00917400">
        <w:rPr>
          <w:rFonts w:ascii="Times New Roman" w:eastAsia="Times New Roman" w:hAnsi="Times New Roman" w:cs="Times New Roman"/>
          <w:lang w:eastAsia="en-GB"/>
        </w:rPr>
        <w:t xml:space="preserve"> London: Yale University Press</w:t>
      </w:r>
    </w:p>
    <w:p w14:paraId="37577F6C" w14:textId="77777777" w:rsidR="00A409EA" w:rsidRPr="004D7942" w:rsidRDefault="00A409EA" w:rsidP="00103BB7">
      <w:pPr>
        <w:pStyle w:val="NormalWeb"/>
        <w:spacing w:before="0" w:beforeAutospacing="0" w:after="240" w:afterAutospacing="0" w:line="360" w:lineRule="auto"/>
        <w:ind w:left="720" w:hanging="720"/>
        <w:jc w:val="both"/>
        <w:rPr>
          <w:sz w:val="22"/>
          <w:szCs w:val="22"/>
        </w:rPr>
      </w:pPr>
      <w:r w:rsidRPr="004D7942">
        <w:rPr>
          <w:sz w:val="22"/>
          <w:szCs w:val="22"/>
        </w:rPr>
        <w:t xml:space="preserve">Protheroe, A. M. &amp; Lones, T. E. ‘Scraps of English Folklore, X. (Derbyshire and Worcestershire)’, </w:t>
      </w:r>
      <w:r w:rsidRPr="004D7942">
        <w:rPr>
          <w:i/>
          <w:iCs/>
          <w:sz w:val="22"/>
          <w:szCs w:val="22"/>
        </w:rPr>
        <w:t>Folklore</w:t>
      </w:r>
      <w:r w:rsidRPr="004D7942">
        <w:rPr>
          <w:sz w:val="22"/>
          <w:szCs w:val="22"/>
        </w:rPr>
        <w:t xml:space="preserve">, 36(1) (1925), p. 82–93 </w:t>
      </w:r>
    </w:p>
    <w:p w14:paraId="32C035F7" w14:textId="77777777" w:rsidR="00A409EA" w:rsidRPr="004D7942" w:rsidRDefault="00A409EA" w:rsidP="00103BB7">
      <w:pPr>
        <w:jc w:val="both"/>
        <w:rPr>
          <w:rFonts w:ascii="Times New Roman" w:hAnsi="Times New Roman" w:cs="Times New Roman"/>
        </w:rPr>
      </w:pPr>
      <w:r w:rsidRPr="004D7942">
        <w:rPr>
          <w:rFonts w:ascii="Times New Roman" w:hAnsi="Times New Roman" w:cs="Times New Roman"/>
        </w:rPr>
        <w:t>Stavish, O. ‘The History of Relics and Why They Matter’ The Writings of Cora Evans (The Mystical Humanity of Christ), 19 June 2018. Available at: &lt;https://www.coraevans.com/blog/article/the-history-of-relics-and-why-they-matter&gt; [Accessed 27 May 2021]</w:t>
      </w:r>
    </w:p>
    <w:p w14:paraId="7991B956" w14:textId="24BC912E" w:rsidR="00271B65" w:rsidRPr="00271B65" w:rsidRDefault="00271B65" w:rsidP="00103BB7">
      <w:pPr>
        <w:spacing w:after="240" w:line="360" w:lineRule="auto"/>
        <w:ind w:left="720" w:hanging="720"/>
        <w:jc w:val="both"/>
        <w:rPr>
          <w:rFonts w:ascii="Times New Roman" w:eastAsia="Times New Roman" w:hAnsi="Times New Roman" w:cs="Times New Roman"/>
          <w:lang w:eastAsia="en-GB"/>
        </w:rPr>
      </w:pPr>
      <w:r w:rsidRPr="00271B65">
        <w:rPr>
          <w:rFonts w:ascii="Times New Roman" w:eastAsia="Times New Roman" w:hAnsi="Times New Roman" w:cs="Times New Roman"/>
          <w:lang w:eastAsia="en-GB"/>
        </w:rPr>
        <w:t xml:space="preserve">Varner, Gary R. </w:t>
      </w:r>
      <w:r w:rsidR="00BF1813" w:rsidRPr="00BF1813">
        <w:rPr>
          <w:rFonts w:ascii="Times New Roman" w:eastAsia="Times New Roman" w:hAnsi="Times New Roman" w:cs="Times New Roman"/>
          <w:lang w:eastAsia="en-GB"/>
        </w:rPr>
        <w:t>(</w:t>
      </w:r>
      <w:r w:rsidRPr="00271B65">
        <w:rPr>
          <w:rFonts w:ascii="Times New Roman" w:eastAsia="Times New Roman" w:hAnsi="Times New Roman" w:cs="Times New Roman"/>
          <w:lang w:eastAsia="en-GB"/>
        </w:rPr>
        <w:t>2009</w:t>
      </w:r>
      <w:r w:rsidR="00BF1813" w:rsidRPr="00BF1813">
        <w:rPr>
          <w:rFonts w:ascii="Times New Roman" w:eastAsia="Times New Roman" w:hAnsi="Times New Roman" w:cs="Times New Roman"/>
          <w:lang w:eastAsia="en-GB"/>
        </w:rPr>
        <w:t>)</w:t>
      </w:r>
      <w:r w:rsidRPr="00271B65">
        <w:rPr>
          <w:rFonts w:ascii="Times New Roman" w:eastAsia="Times New Roman" w:hAnsi="Times New Roman" w:cs="Times New Roman"/>
          <w:lang w:eastAsia="en-GB"/>
        </w:rPr>
        <w:t xml:space="preserve"> </w:t>
      </w:r>
      <w:r w:rsidRPr="00271B65">
        <w:rPr>
          <w:rFonts w:ascii="Times New Roman" w:eastAsia="Times New Roman" w:hAnsi="Times New Roman" w:cs="Times New Roman"/>
          <w:i/>
          <w:iCs/>
          <w:lang w:eastAsia="en-GB"/>
        </w:rPr>
        <w:t>Sacred Wells: A Study in the History, Meaning, and Mythology of Holy Wells &amp; Waters</w:t>
      </w:r>
      <w:r w:rsidR="00BF1813" w:rsidRPr="00BF1813">
        <w:rPr>
          <w:rFonts w:ascii="Times New Roman" w:eastAsia="Times New Roman" w:hAnsi="Times New Roman" w:cs="Times New Roman"/>
          <w:i/>
          <w:iCs/>
          <w:lang w:eastAsia="en-GB"/>
        </w:rPr>
        <w:t>,</w:t>
      </w:r>
      <w:r w:rsidRPr="00271B65">
        <w:rPr>
          <w:rFonts w:ascii="Times New Roman" w:eastAsia="Times New Roman" w:hAnsi="Times New Roman" w:cs="Times New Roman"/>
          <w:lang w:eastAsia="en-GB"/>
        </w:rPr>
        <w:t xml:space="preserve"> New York: Algora Pub</w:t>
      </w:r>
    </w:p>
    <w:p w14:paraId="1170ED21" w14:textId="77777777" w:rsidR="00A409EA" w:rsidRPr="00A409EA" w:rsidRDefault="00A409EA" w:rsidP="00ED0027">
      <w:pPr>
        <w:rPr>
          <w:rFonts w:ascii="Times New Roman" w:hAnsi="Times New Roman" w:cs="Times New Roman"/>
          <w:b/>
          <w:bCs/>
        </w:rPr>
      </w:pPr>
    </w:p>
    <w:p w14:paraId="79FAEE43" w14:textId="77777777" w:rsidR="001C3FE5" w:rsidRPr="00D40F15" w:rsidRDefault="001C3FE5" w:rsidP="00ED0027">
      <w:pPr>
        <w:rPr>
          <w:rFonts w:ascii="Times New Roman" w:hAnsi="Times New Roman" w:cs="Times New Roman"/>
          <w:sz w:val="24"/>
          <w:szCs w:val="24"/>
        </w:rPr>
      </w:pPr>
    </w:p>
    <w:sectPr w:rsidR="001C3FE5" w:rsidRPr="00D40F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4D4D7F" w14:textId="77777777" w:rsidR="005B1F51" w:rsidRDefault="005B1F51" w:rsidP="007D45B2">
      <w:pPr>
        <w:spacing w:after="0" w:line="240" w:lineRule="auto"/>
      </w:pPr>
      <w:r>
        <w:separator/>
      </w:r>
    </w:p>
  </w:endnote>
  <w:endnote w:type="continuationSeparator" w:id="0">
    <w:p w14:paraId="6657F0DE" w14:textId="77777777" w:rsidR="005B1F51" w:rsidRDefault="005B1F51" w:rsidP="007D45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AC9B9B" w14:textId="77777777" w:rsidR="005B1F51" w:rsidRDefault="005B1F51" w:rsidP="007D45B2">
      <w:pPr>
        <w:spacing w:after="0" w:line="240" w:lineRule="auto"/>
      </w:pPr>
      <w:r>
        <w:separator/>
      </w:r>
    </w:p>
  </w:footnote>
  <w:footnote w:type="continuationSeparator" w:id="0">
    <w:p w14:paraId="07ADC1ED" w14:textId="77777777" w:rsidR="005B1F51" w:rsidRDefault="005B1F51" w:rsidP="007D45B2">
      <w:pPr>
        <w:spacing w:after="0" w:line="240" w:lineRule="auto"/>
      </w:pPr>
      <w:r>
        <w:continuationSeparator/>
      </w:r>
    </w:p>
  </w:footnote>
  <w:footnote w:id="1">
    <w:p w14:paraId="3167394B" w14:textId="30669AF1" w:rsidR="007D45B2" w:rsidRDefault="007D45B2" w:rsidP="00594DCB">
      <w:pPr>
        <w:pStyle w:val="NormalWeb"/>
        <w:spacing w:before="0" w:beforeAutospacing="0" w:after="240" w:afterAutospacing="0" w:line="360" w:lineRule="auto"/>
        <w:ind w:left="720" w:hanging="720"/>
      </w:pPr>
      <w:r>
        <w:rPr>
          <w:rStyle w:val="FootnoteReference"/>
        </w:rPr>
        <w:footnoteRef/>
      </w:r>
      <w:r>
        <w:t xml:space="preserve"> </w:t>
      </w:r>
      <w:r w:rsidRPr="00ED0027">
        <w:rPr>
          <w:sz w:val="20"/>
          <w:szCs w:val="20"/>
        </w:rPr>
        <w:t>O. Stavish</w:t>
      </w:r>
      <w:r w:rsidR="00ED0027" w:rsidRPr="00ED0027">
        <w:rPr>
          <w:sz w:val="20"/>
          <w:szCs w:val="20"/>
        </w:rPr>
        <w:t>.</w:t>
      </w:r>
      <w:r w:rsidRPr="00ED0027">
        <w:rPr>
          <w:sz w:val="20"/>
          <w:szCs w:val="20"/>
        </w:rPr>
        <w:t xml:space="preserve"> ‘The History of Relics and Why They Matter’ </w:t>
      </w:r>
      <w:r w:rsidRPr="00ED0027">
        <w:rPr>
          <w:i/>
          <w:iCs/>
          <w:sz w:val="20"/>
          <w:szCs w:val="20"/>
        </w:rPr>
        <w:t>The Writings of Cora Evans</w:t>
      </w:r>
      <w:r w:rsidRPr="00ED0027">
        <w:rPr>
          <w:sz w:val="20"/>
          <w:szCs w:val="20"/>
        </w:rPr>
        <w:t xml:space="preserve"> (The Mystical Humanity of Christ), 19 June</w:t>
      </w:r>
      <w:r w:rsidR="00ED0027" w:rsidRPr="00ED0027">
        <w:rPr>
          <w:sz w:val="20"/>
          <w:szCs w:val="20"/>
        </w:rPr>
        <w:t xml:space="preserve"> 2018. Available at: </w:t>
      </w:r>
      <w:r w:rsidRPr="00ED0027">
        <w:rPr>
          <w:sz w:val="20"/>
          <w:szCs w:val="20"/>
        </w:rPr>
        <w:t>&lt;https://www.coraevans.com/blog/article/the-history-of-relics-and-why-they-matter&gt; [</w:t>
      </w:r>
      <w:r w:rsidR="00ED0027" w:rsidRPr="00ED0027">
        <w:rPr>
          <w:sz w:val="20"/>
          <w:szCs w:val="20"/>
        </w:rPr>
        <w:t>A</w:t>
      </w:r>
      <w:r w:rsidRPr="00ED0027">
        <w:rPr>
          <w:sz w:val="20"/>
          <w:szCs w:val="20"/>
        </w:rPr>
        <w:t>ccessed 27 May 2021]</w:t>
      </w:r>
    </w:p>
  </w:footnote>
  <w:footnote w:id="2">
    <w:p w14:paraId="0DEEF51F" w14:textId="1733CBAA" w:rsidR="002B6E39" w:rsidRPr="00D40F15" w:rsidRDefault="002B6E39" w:rsidP="00D40F15">
      <w:pPr>
        <w:pStyle w:val="NormalWeb"/>
        <w:spacing w:before="0" w:beforeAutospacing="0" w:after="240" w:afterAutospacing="0" w:line="360" w:lineRule="auto"/>
        <w:ind w:left="720" w:hanging="720"/>
        <w:rPr>
          <w:sz w:val="20"/>
          <w:szCs w:val="20"/>
        </w:rPr>
      </w:pPr>
      <w:r>
        <w:rPr>
          <w:rStyle w:val="FootnoteReference"/>
        </w:rPr>
        <w:footnoteRef/>
      </w:r>
      <w:r>
        <w:t xml:space="preserve"> </w:t>
      </w:r>
      <w:r w:rsidRPr="00594DCB">
        <w:rPr>
          <w:sz w:val="20"/>
          <w:szCs w:val="20"/>
        </w:rPr>
        <w:t>A. M. Protheroe. &amp; T. E. Lones</w:t>
      </w:r>
      <w:r w:rsidR="00594DCB" w:rsidRPr="00594DCB">
        <w:rPr>
          <w:sz w:val="20"/>
          <w:szCs w:val="20"/>
        </w:rPr>
        <w:t>,</w:t>
      </w:r>
      <w:r w:rsidRPr="00594DCB">
        <w:rPr>
          <w:sz w:val="20"/>
          <w:szCs w:val="20"/>
        </w:rPr>
        <w:t xml:space="preserve"> ‘Scraps of English Folklore, X. (Derbyshire and Worcestershire)’ </w:t>
      </w:r>
      <w:r w:rsidRPr="00594DCB">
        <w:rPr>
          <w:i/>
          <w:iCs/>
          <w:sz w:val="20"/>
          <w:szCs w:val="20"/>
        </w:rPr>
        <w:t>Folklore</w:t>
      </w:r>
      <w:r w:rsidRPr="00594DCB">
        <w:rPr>
          <w:sz w:val="20"/>
          <w:szCs w:val="20"/>
        </w:rPr>
        <w:t>, 36(1) (1925)</w:t>
      </w:r>
      <w:r w:rsidR="00594DCB" w:rsidRPr="00594DCB">
        <w:rPr>
          <w:sz w:val="20"/>
          <w:szCs w:val="20"/>
        </w:rPr>
        <w:t>,</w:t>
      </w:r>
      <w:r w:rsidRPr="00594DCB">
        <w:rPr>
          <w:sz w:val="20"/>
          <w:szCs w:val="20"/>
        </w:rPr>
        <w:t xml:space="preserve"> 82–93 </w:t>
      </w:r>
      <w:r w:rsidR="00594DCB" w:rsidRPr="00594DCB">
        <w:rPr>
          <w:sz w:val="20"/>
          <w:szCs w:val="20"/>
        </w:rPr>
        <w:t xml:space="preserve">(p. 92) </w:t>
      </w:r>
    </w:p>
  </w:footnote>
  <w:footnote w:id="3">
    <w:p w14:paraId="55CA498E" w14:textId="30E22171" w:rsidR="00D40F15" w:rsidRDefault="00D40F15" w:rsidP="0083018C">
      <w:pPr>
        <w:pStyle w:val="NormalWeb"/>
        <w:spacing w:before="0" w:beforeAutospacing="0" w:after="240" w:afterAutospacing="0" w:line="360" w:lineRule="auto"/>
        <w:ind w:left="720" w:hanging="720"/>
      </w:pPr>
      <w:r>
        <w:rPr>
          <w:rStyle w:val="FootnoteReference"/>
        </w:rPr>
        <w:footnoteRef/>
      </w:r>
      <w:r>
        <w:t xml:space="preserve"> </w:t>
      </w:r>
      <w:r w:rsidRPr="00D40F15">
        <w:rPr>
          <w:sz w:val="20"/>
          <w:szCs w:val="20"/>
        </w:rPr>
        <w:t xml:space="preserve">C. Brett, ‘St Kenelm, St Melor and Anglo-Breton Contact from the Tenth to the Twelfth Centuries’ </w:t>
      </w:r>
      <w:r w:rsidRPr="00D40F15">
        <w:rPr>
          <w:i/>
          <w:iCs/>
          <w:sz w:val="20"/>
          <w:szCs w:val="20"/>
        </w:rPr>
        <w:t>Anglo-Saxon England</w:t>
      </w:r>
      <w:r w:rsidRPr="00D40F15">
        <w:rPr>
          <w:sz w:val="20"/>
          <w:szCs w:val="20"/>
        </w:rPr>
        <w:t>, 47(1) (2018), 247–73 (p. 247)</w:t>
      </w:r>
    </w:p>
  </w:footnote>
  <w:footnote w:id="4">
    <w:p w14:paraId="37CD30F5" w14:textId="3CB1F02A" w:rsidR="00DD7584" w:rsidRDefault="00DD7584">
      <w:pPr>
        <w:pStyle w:val="FootnoteText"/>
      </w:pPr>
      <w:r>
        <w:rPr>
          <w:rStyle w:val="FootnoteReference"/>
        </w:rPr>
        <w:footnoteRef/>
      </w:r>
      <w:r>
        <w:t xml:space="preserve"> </w:t>
      </w:r>
      <w:r w:rsidR="0083018C" w:rsidRPr="0083018C">
        <w:rPr>
          <w:rFonts w:ascii="Times New Roman" w:hAnsi="Times New Roman" w:cs="Times New Roman"/>
        </w:rPr>
        <w:t xml:space="preserve">Brett, </w:t>
      </w:r>
      <w:r w:rsidR="0083018C" w:rsidRPr="0083018C">
        <w:rPr>
          <w:rFonts w:ascii="Times New Roman" w:hAnsi="Times New Roman" w:cs="Times New Roman"/>
          <w:i/>
          <w:iCs/>
        </w:rPr>
        <w:t>St Kenelm, St Melor</w:t>
      </w:r>
      <w:r w:rsidR="0083018C" w:rsidRPr="0083018C">
        <w:rPr>
          <w:rFonts w:ascii="Times New Roman" w:hAnsi="Times New Roman" w:cs="Times New Roman"/>
        </w:rPr>
        <w:t>, p.248</w:t>
      </w:r>
    </w:p>
  </w:footnote>
  <w:footnote w:id="5">
    <w:p w14:paraId="54FFBF07" w14:textId="0A7505C2" w:rsidR="001C3FE5" w:rsidRDefault="001C3FE5" w:rsidP="00A409EA">
      <w:pPr>
        <w:pStyle w:val="NormalWeb"/>
        <w:spacing w:before="0" w:beforeAutospacing="0" w:after="240" w:afterAutospacing="0" w:line="360" w:lineRule="auto"/>
        <w:ind w:left="720" w:hanging="720"/>
      </w:pPr>
      <w:r>
        <w:rPr>
          <w:rStyle w:val="FootnoteReference"/>
        </w:rPr>
        <w:footnoteRef/>
      </w:r>
      <w:r>
        <w:t xml:space="preserve"> </w:t>
      </w:r>
      <w:r w:rsidRPr="001C3FE5">
        <w:rPr>
          <w:sz w:val="20"/>
          <w:szCs w:val="20"/>
        </w:rPr>
        <w:t xml:space="preserve">R. Boenig, ‘Chaucer and St. Kenelm’ </w:t>
      </w:r>
      <w:r w:rsidRPr="001C3FE5">
        <w:rPr>
          <w:i/>
          <w:iCs/>
          <w:sz w:val="20"/>
          <w:szCs w:val="20"/>
        </w:rPr>
        <w:t>Neophilologus</w:t>
      </w:r>
      <w:r w:rsidRPr="001C3FE5">
        <w:rPr>
          <w:sz w:val="20"/>
          <w:szCs w:val="20"/>
        </w:rPr>
        <w:t>, 84(1) (2000), 157–64 (p. 158-159)</w:t>
      </w:r>
    </w:p>
  </w:footnote>
  <w:footnote w:id="6">
    <w:p w14:paraId="0AD6B7C2" w14:textId="2A966C77" w:rsidR="00A409EA" w:rsidRDefault="00A409EA" w:rsidP="00917400">
      <w:pPr>
        <w:pStyle w:val="NormalWeb"/>
        <w:spacing w:before="0" w:beforeAutospacing="0" w:after="240" w:afterAutospacing="0" w:line="360" w:lineRule="auto"/>
        <w:ind w:left="720" w:hanging="720"/>
      </w:pPr>
      <w:r>
        <w:rPr>
          <w:rStyle w:val="FootnoteReference"/>
        </w:rPr>
        <w:footnoteRef/>
      </w:r>
      <w:r>
        <w:t xml:space="preserve"> </w:t>
      </w:r>
      <w:r w:rsidRPr="004D7942">
        <w:rPr>
          <w:sz w:val="20"/>
          <w:szCs w:val="20"/>
        </w:rPr>
        <w:t xml:space="preserve">B. D. Brown, ‘Robert of Gloucester’s Chronicle and the Life of St. Kenelm’ </w:t>
      </w:r>
      <w:r w:rsidRPr="004D7942">
        <w:rPr>
          <w:i/>
          <w:iCs/>
          <w:sz w:val="20"/>
          <w:szCs w:val="20"/>
        </w:rPr>
        <w:t>Modern Language Notes</w:t>
      </w:r>
      <w:r w:rsidRPr="004D7942">
        <w:rPr>
          <w:sz w:val="20"/>
          <w:szCs w:val="20"/>
        </w:rPr>
        <w:t>, 41(1) (1926), 13–23 (p. 14-15)</w:t>
      </w:r>
    </w:p>
  </w:footnote>
  <w:footnote w:id="7">
    <w:p w14:paraId="6F9BD2CB" w14:textId="450130B9" w:rsidR="00917400" w:rsidRPr="00896F0A" w:rsidRDefault="00917400" w:rsidP="00896F0A">
      <w:pPr>
        <w:pStyle w:val="NormalWeb"/>
        <w:spacing w:before="0" w:beforeAutospacing="0" w:after="240" w:afterAutospacing="0" w:line="360" w:lineRule="auto"/>
        <w:ind w:left="720" w:hanging="720"/>
        <w:rPr>
          <w:sz w:val="20"/>
          <w:szCs w:val="20"/>
        </w:rPr>
      </w:pPr>
      <w:r>
        <w:rPr>
          <w:rStyle w:val="FootnoteReference"/>
        </w:rPr>
        <w:footnoteRef/>
      </w:r>
      <w:r>
        <w:t xml:space="preserve"> </w:t>
      </w:r>
      <w:r w:rsidRPr="00917400">
        <w:rPr>
          <w:sz w:val="20"/>
          <w:szCs w:val="20"/>
        </w:rPr>
        <w:t xml:space="preserve">C. </w:t>
      </w:r>
      <w:r w:rsidRPr="00917400">
        <w:rPr>
          <w:sz w:val="20"/>
          <w:szCs w:val="20"/>
        </w:rPr>
        <w:t xml:space="preserve">Freeman, </w:t>
      </w:r>
      <w:r w:rsidRPr="00917400">
        <w:rPr>
          <w:i/>
          <w:iCs/>
          <w:sz w:val="20"/>
          <w:szCs w:val="20"/>
        </w:rPr>
        <w:t>Holy Bones, Holy Dust: How Relics Shaped the History of Medieval Europe</w:t>
      </w:r>
      <w:r w:rsidRPr="00917400">
        <w:rPr>
          <w:sz w:val="20"/>
          <w:szCs w:val="20"/>
        </w:rPr>
        <w:t xml:space="preserve"> (London: Yale University Press</w:t>
      </w:r>
      <w:r w:rsidRPr="00917400">
        <w:rPr>
          <w:sz w:val="20"/>
          <w:szCs w:val="20"/>
        </w:rPr>
        <w:t>, 2012</w:t>
      </w:r>
      <w:r w:rsidRPr="00917400">
        <w:rPr>
          <w:sz w:val="20"/>
          <w:szCs w:val="20"/>
        </w:rPr>
        <w:t>) p. 2</w:t>
      </w:r>
      <w:r w:rsidR="004D7942">
        <w:rPr>
          <w:sz w:val="20"/>
          <w:szCs w:val="20"/>
        </w:rPr>
        <w:t>91</w:t>
      </w:r>
    </w:p>
  </w:footnote>
  <w:footnote w:id="8">
    <w:p w14:paraId="239284D2" w14:textId="5206DAB3" w:rsidR="00896F0A" w:rsidRDefault="00896F0A">
      <w:pPr>
        <w:pStyle w:val="FootnoteText"/>
      </w:pPr>
      <w:r>
        <w:rPr>
          <w:rStyle w:val="FootnoteReference"/>
        </w:rPr>
        <w:footnoteRef/>
      </w:r>
      <w:r>
        <w:t xml:space="preserve"> </w:t>
      </w:r>
      <w:r w:rsidRPr="00896F0A">
        <w:rPr>
          <w:rFonts w:ascii="Times New Roman" w:hAnsi="Times New Roman" w:cs="Times New Roman"/>
        </w:rPr>
        <w:t xml:space="preserve">Boenig, </w:t>
      </w:r>
      <w:r w:rsidRPr="00896F0A">
        <w:rPr>
          <w:rFonts w:ascii="Times New Roman" w:hAnsi="Times New Roman" w:cs="Times New Roman"/>
          <w:i/>
          <w:iCs/>
        </w:rPr>
        <w:t>Chaucer and St Kenelm</w:t>
      </w:r>
      <w:r w:rsidRPr="00896F0A">
        <w:rPr>
          <w:rFonts w:ascii="Times New Roman" w:hAnsi="Times New Roman" w:cs="Times New Roman"/>
        </w:rPr>
        <w:t>, p. 158-159</w:t>
      </w:r>
    </w:p>
  </w:footnote>
  <w:footnote w:id="9">
    <w:p w14:paraId="4BC4E1CA" w14:textId="5ADD099E" w:rsidR="007D24E7" w:rsidRPr="007D24E7" w:rsidRDefault="007D24E7">
      <w:pPr>
        <w:pStyle w:val="FootnoteText"/>
        <w:rPr>
          <w:b/>
        </w:rPr>
      </w:pPr>
      <w:r>
        <w:rPr>
          <w:rStyle w:val="FootnoteReference"/>
        </w:rPr>
        <w:footnoteRef/>
      </w:r>
      <w:r>
        <w:t xml:space="preserve"> </w:t>
      </w:r>
      <w:r w:rsidRPr="007D24E7">
        <w:rPr>
          <w:rFonts w:ascii="Times New Roman" w:hAnsi="Times New Roman" w:cs="Times New Roman"/>
          <w:bCs/>
        </w:rPr>
        <w:t xml:space="preserve">Brett, </w:t>
      </w:r>
      <w:r w:rsidRPr="007D24E7">
        <w:rPr>
          <w:rFonts w:ascii="Times New Roman" w:hAnsi="Times New Roman" w:cs="Times New Roman"/>
          <w:bCs/>
          <w:i/>
          <w:iCs/>
        </w:rPr>
        <w:t>St Kenelm, St Melor</w:t>
      </w:r>
      <w:r w:rsidRPr="007D24E7">
        <w:rPr>
          <w:rFonts w:ascii="Times New Roman" w:hAnsi="Times New Roman" w:cs="Times New Roman"/>
          <w:bCs/>
        </w:rPr>
        <w:t>, p.247</w:t>
      </w:r>
    </w:p>
  </w:footnote>
  <w:footnote w:id="10">
    <w:p w14:paraId="1C719529" w14:textId="55657C3A" w:rsidR="00420B9E" w:rsidRDefault="00420B9E">
      <w:pPr>
        <w:pStyle w:val="FootnoteText"/>
      </w:pPr>
      <w:r>
        <w:rPr>
          <w:rStyle w:val="FootnoteReference"/>
        </w:rPr>
        <w:footnoteRef/>
      </w:r>
      <w:r>
        <w:t xml:space="preserve"> </w:t>
      </w:r>
      <w:r w:rsidRPr="007D24E7">
        <w:rPr>
          <w:rFonts w:ascii="Times New Roman" w:hAnsi="Times New Roman" w:cs="Times New Roman"/>
          <w:bCs/>
        </w:rPr>
        <w:t xml:space="preserve">Brett, </w:t>
      </w:r>
      <w:r w:rsidRPr="007D24E7">
        <w:rPr>
          <w:rFonts w:ascii="Times New Roman" w:hAnsi="Times New Roman" w:cs="Times New Roman"/>
          <w:bCs/>
          <w:i/>
          <w:iCs/>
        </w:rPr>
        <w:t>St Kenelm, St Melor</w:t>
      </w:r>
      <w:r w:rsidRPr="007D24E7">
        <w:rPr>
          <w:rFonts w:ascii="Times New Roman" w:hAnsi="Times New Roman" w:cs="Times New Roman"/>
          <w:bCs/>
        </w:rPr>
        <w:t>, p.247</w:t>
      </w:r>
    </w:p>
  </w:footnote>
  <w:footnote w:id="11">
    <w:p w14:paraId="3E0531CA" w14:textId="1583F202" w:rsidR="00420B9E" w:rsidRDefault="00420B9E">
      <w:pPr>
        <w:pStyle w:val="FootnoteText"/>
      </w:pPr>
      <w:r>
        <w:rPr>
          <w:rStyle w:val="FootnoteReference"/>
        </w:rPr>
        <w:footnoteRef/>
      </w:r>
      <w:r>
        <w:t xml:space="preserve"> </w:t>
      </w:r>
      <w:r w:rsidRPr="00B27456">
        <w:rPr>
          <w:rFonts w:ascii="Times New Roman" w:hAnsi="Times New Roman" w:cs="Times New Roman"/>
        </w:rPr>
        <w:t>Protheroe</w:t>
      </w:r>
      <w:r w:rsidRPr="00B27456">
        <w:rPr>
          <w:rFonts w:ascii="Times New Roman" w:hAnsi="Times New Roman" w:cs="Times New Roman"/>
        </w:rPr>
        <w:t xml:space="preserve"> &amp; Lones</w:t>
      </w:r>
      <w:r w:rsidRPr="00B27456">
        <w:rPr>
          <w:rFonts w:ascii="Times New Roman" w:hAnsi="Times New Roman" w:cs="Times New Roman"/>
          <w:i/>
          <w:iCs/>
        </w:rPr>
        <w:t>, Scraps of English Folklore</w:t>
      </w:r>
      <w:r w:rsidRPr="00B27456">
        <w:rPr>
          <w:rFonts w:ascii="Times New Roman" w:hAnsi="Times New Roman" w:cs="Times New Roman"/>
        </w:rPr>
        <w:t>, p.92</w:t>
      </w:r>
    </w:p>
  </w:footnote>
  <w:footnote w:id="12">
    <w:p w14:paraId="5277341C" w14:textId="679708E5" w:rsidR="006B30CB" w:rsidRDefault="006B30CB" w:rsidP="00103BB7">
      <w:pPr>
        <w:pStyle w:val="NormalWeb"/>
        <w:spacing w:before="0" w:beforeAutospacing="0" w:after="240" w:afterAutospacing="0" w:line="360" w:lineRule="auto"/>
        <w:ind w:left="720" w:hanging="720"/>
      </w:pPr>
      <w:r w:rsidRPr="00CF50CD">
        <w:rPr>
          <w:rStyle w:val="FootnoteReference"/>
          <w:sz w:val="20"/>
          <w:szCs w:val="20"/>
        </w:rPr>
        <w:footnoteRef/>
      </w:r>
      <w:r w:rsidRPr="00CF50CD">
        <w:rPr>
          <w:sz w:val="20"/>
          <w:szCs w:val="20"/>
        </w:rPr>
        <w:t xml:space="preserve"> </w:t>
      </w:r>
      <w:r w:rsidRPr="006B30CB">
        <w:rPr>
          <w:sz w:val="20"/>
          <w:szCs w:val="20"/>
        </w:rPr>
        <w:t>G. R.</w:t>
      </w:r>
      <w:r w:rsidRPr="006B30CB">
        <w:rPr>
          <w:sz w:val="20"/>
          <w:szCs w:val="20"/>
        </w:rPr>
        <w:t xml:space="preserve">Varner, </w:t>
      </w:r>
      <w:r w:rsidRPr="006B30CB">
        <w:rPr>
          <w:i/>
          <w:iCs/>
          <w:sz w:val="20"/>
          <w:szCs w:val="20"/>
        </w:rPr>
        <w:t>Sacred Wells: A Study in the History, Meaning, and Mythology of Holy Wells &amp; Waters</w:t>
      </w:r>
      <w:r w:rsidRPr="006B30CB">
        <w:rPr>
          <w:sz w:val="20"/>
          <w:szCs w:val="20"/>
        </w:rPr>
        <w:t xml:space="preserve"> (New York: Algora Pub</w:t>
      </w:r>
      <w:r w:rsidRPr="006B30CB">
        <w:rPr>
          <w:sz w:val="20"/>
          <w:szCs w:val="20"/>
        </w:rPr>
        <w:t>, 2009</w:t>
      </w:r>
      <w:r w:rsidRPr="006B30CB">
        <w:rPr>
          <w:sz w:val="20"/>
          <w:szCs w:val="20"/>
        </w:rPr>
        <w:t>) p. 1</w:t>
      </w:r>
      <w:r w:rsidRPr="006B30CB">
        <w:rPr>
          <w:sz w:val="20"/>
          <w:szCs w:val="20"/>
        </w:rPr>
        <w:t>07-109</w:t>
      </w:r>
    </w:p>
  </w:footnote>
  <w:footnote w:id="13">
    <w:p w14:paraId="6D8BA0E7" w14:textId="6277467D" w:rsidR="00271B65" w:rsidRDefault="00271B65">
      <w:pPr>
        <w:pStyle w:val="FootnoteText"/>
      </w:pPr>
      <w:r>
        <w:rPr>
          <w:rStyle w:val="FootnoteReference"/>
        </w:rPr>
        <w:footnoteRef/>
      </w:r>
      <w:r>
        <w:t xml:space="preserve"> </w:t>
      </w:r>
      <w:r w:rsidRPr="00271B65">
        <w:rPr>
          <w:rFonts w:ascii="Times New Roman" w:hAnsi="Times New Roman" w:cs="Times New Roman"/>
        </w:rPr>
        <w:t xml:space="preserve">Varner, </w:t>
      </w:r>
      <w:r w:rsidRPr="00271B65">
        <w:rPr>
          <w:rFonts w:ascii="Times New Roman" w:hAnsi="Times New Roman" w:cs="Times New Roman"/>
          <w:i/>
          <w:iCs/>
        </w:rPr>
        <w:t>Sacred Wells</w:t>
      </w:r>
      <w:r w:rsidRPr="00271B65">
        <w:rPr>
          <w:rFonts w:ascii="Times New Roman" w:hAnsi="Times New Roman" w:cs="Times New Roman"/>
        </w:rPr>
        <w:t>, p. 159-162</w:t>
      </w:r>
    </w:p>
  </w:footnote>
  <w:footnote w:id="14">
    <w:p w14:paraId="22C0B1B8" w14:textId="20C1037F" w:rsidR="00B868CD" w:rsidRDefault="00B868CD">
      <w:pPr>
        <w:pStyle w:val="FootnoteText"/>
      </w:pPr>
      <w:r>
        <w:rPr>
          <w:rStyle w:val="FootnoteReference"/>
        </w:rPr>
        <w:footnoteRef/>
      </w:r>
      <w:r>
        <w:t xml:space="preserve"> </w:t>
      </w:r>
      <w:r w:rsidRPr="00B868CD">
        <w:rPr>
          <w:rFonts w:ascii="Times New Roman" w:hAnsi="Times New Roman" w:cs="Times New Roman"/>
        </w:rPr>
        <w:t xml:space="preserve">Varner, </w:t>
      </w:r>
      <w:r w:rsidRPr="00B868CD">
        <w:rPr>
          <w:rFonts w:ascii="Times New Roman" w:hAnsi="Times New Roman" w:cs="Times New Roman"/>
          <w:i/>
          <w:iCs/>
        </w:rPr>
        <w:t>Sacred Wells</w:t>
      </w:r>
      <w:r w:rsidRPr="00B868CD">
        <w:rPr>
          <w:rFonts w:ascii="Times New Roman" w:hAnsi="Times New Roman" w:cs="Times New Roman"/>
        </w:rPr>
        <w:t>, p. 141</w:t>
      </w:r>
    </w:p>
  </w:footnote>
  <w:footnote w:id="15">
    <w:p w14:paraId="5634B8B7" w14:textId="23B9219A" w:rsidR="007F3064" w:rsidRDefault="007F3064">
      <w:pPr>
        <w:pStyle w:val="FootnoteText"/>
      </w:pPr>
      <w:r>
        <w:rPr>
          <w:rStyle w:val="FootnoteReference"/>
        </w:rPr>
        <w:footnoteRef/>
      </w:r>
      <w:r>
        <w:t xml:space="preserve"> </w:t>
      </w:r>
      <w:r w:rsidRPr="00896F0A">
        <w:rPr>
          <w:rFonts w:ascii="Times New Roman" w:hAnsi="Times New Roman" w:cs="Times New Roman"/>
        </w:rPr>
        <w:t xml:space="preserve">Boenig, </w:t>
      </w:r>
      <w:r w:rsidRPr="00896F0A">
        <w:rPr>
          <w:rFonts w:ascii="Times New Roman" w:hAnsi="Times New Roman" w:cs="Times New Roman"/>
          <w:i/>
          <w:iCs/>
        </w:rPr>
        <w:t>Chaucer and St Kenelm</w:t>
      </w:r>
      <w:r w:rsidRPr="00896F0A">
        <w:rPr>
          <w:rFonts w:ascii="Times New Roman" w:hAnsi="Times New Roman" w:cs="Times New Roman"/>
        </w:rPr>
        <w:t>, p. 158-159</w:t>
      </w:r>
    </w:p>
  </w:footnote>
  <w:footnote w:id="16">
    <w:p w14:paraId="34F455FF" w14:textId="10F719BD" w:rsidR="004163A1" w:rsidRDefault="004163A1">
      <w:pPr>
        <w:pStyle w:val="FootnoteText"/>
      </w:pPr>
      <w:r>
        <w:rPr>
          <w:rStyle w:val="FootnoteReference"/>
        </w:rPr>
        <w:footnoteRef/>
      </w:r>
      <w:r>
        <w:t xml:space="preserve"> </w:t>
      </w:r>
      <w:r w:rsidRPr="00B868CD">
        <w:rPr>
          <w:rFonts w:ascii="Times New Roman" w:hAnsi="Times New Roman" w:cs="Times New Roman"/>
        </w:rPr>
        <w:t xml:space="preserve">Varner, </w:t>
      </w:r>
      <w:r w:rsidRPr="00B868CD">
        <w:rPr>
          <w:rFonts w:ascii="Times New Roman" w:hAnsi="Times New Roman" w:cs="Times New Roman"/>
          <w:i/>
          <w:iCs/>
        </w:rPr>
        <w:t>Sacred Wells</w:t>
      </w:r>
      <w:r w:rsidRPr="00B868CD">
        <w:rPr>
          <w:rFonts w:ascii="Times New Roman" w:hAnsi="Times New Roman" w:cs="Times New Roman"/>
        </w:rPr>
        <w:t>, p. 1</w:t>
      </w:r>
      <w:r>
        <w:rPr>
          <w:rFonts w:ascii="Times New Roman" w:hAnsi="Times New Roman" w:cs="Times New Roman"/>
        </w:rPr>
        <w:t>10</w:t>
      </w:r>
    </w:p>
  </w:footnote>
  <w:footnote w:id="17">
    <w:p w14:paraId="24529D5F" w14:textId="56AC8A60" w:rsidR="00103BB7" w:rsidRDefault="00103BB7">
      <w:pPr>
        <w:pStyle w:val="FootnoteText"/>
      </w:pPr>
      <w:r>
        <w:rPr>
          <w:rStyle w:val="FootnoteReference"/>
        </w:rPr>
        <w:footnoteRef/>
      </w:r>
      <w:r>
        <w:t xml:space="preserve"> </w:t>
      </w:r>
      <w:r w:rsidRPr="00103BB7">
        <w:rPr>
          <w:rFonts w:ascii="Times New Roman" w:hAnsi="Times New Roman" w:cs="Times New Roman"/>
        </w:rPr>
        <w:t xml:space="preserve">Stavish, </w:t>
      </w:r>
      <w:r w:rsidRPr="00103BB7">
        <w:rPr>
          <w:rFonts w:ascii="Times New Roman" w:hAnsi="Times New Roman" w:cs="Times New Roman"/>
          <w:i/>
          <w:iCs/>
        </w:rPr>
        <w:t>The History of Relics</w:t>
      </w:r>
      <w:r>
        <w:rPr>
          <w:rFonts w:ascii="Times New Roman" w:hAnsi="Times New Roman" w:cs="Times New Roman"/>
          <w:i/>
          <w:iCs/>
        </w:rPr>
        <w:t>.</w:t>
      </w:r>
    </w:p>
  </w:footnote>
  <w:footnote w:id="18">
    <w:p w14:paraId="61016E4F" w14:textId="09E930A6" w:rsidR="005C620A" w:rsidRDefault="005C620A">
      <w:pPr>
        <w:pStyle w:val="FootnoteText"/>
      </w:pPr>
      <w:r>
        <w:rPr>
          <w:rStyle w:val="FootnoteReference"/>
        </w:rPr>
        <w:footnoteRef/>
      </w:r>
      <w:r>
        <w:t xml:space="preserve"> </w:t>
      </w:r>
      <w:r w:rsidRPr="00896F0A">
        <w:rPr>
          <w:rFonts w:ascii="Times New Roman" w:hAnsi="Times New Roman" w:cs="Times New Roman"/>
        </w:rPr>
        <w:t xml:space="preserve">Boenig, </w:t>
      </w:r>
      <w:r w:rsidRPr="00896F0A">
        <w:rPr>
          <w:rFonts w:ascii="Times New Roman" w:hAnsi="Times New Roman" w:cs="Times New Roman"/>
          <w:i/>
          <w:iCs/>
        </w:rPr>
        <w:t>Chaucer and St Kenelm</w:t>
      </w:r>
      <w:r w:rsidRPr="00896F0A">
        <w:rPr>
          <w:rFonts w:ascii="Times New Roman" w:hAnsi="Times New Roman" w:cs="Times New Roman"/>
        </w:rPr>
        <w:t>, p. 158-159</w:t>
      </w:r>
    </w:p>
  </w:footnote>
  <w:footnote w:id="19">
    <w:p w14:paraId="73864D50" w14:textId="157FD849" w:rsidR="001B3BA8" w:rsidRDefault="001B3BA8">
      <w:pPr>
        <w:pStyle w:val="FootnoteText"/>
      </w:pPr>
      <w:r>
        <w:rPr>
          <w:rStyle w:val="FootnoteReference"/>
        </w:rPr>
        <w:footnoteRef/>
      </w:r>
      <w:r>
        <w:t xml:space="preserve"> </w:t>
      </w:r>
      <w:r w:rsidRPr="00B868CD">
        <w:rPr>
          <w:rFonts w:ascii="Times New Roman" w:hAnsi="Times New Roman" w:cs="Times New Roman"/>
        </w:rPr>
        <w:t xml:space="preserve">Varner, </w:t>
      </w:r>
      <w:r w:rsidRPr="00B868CD">
        <w:rPr>
          <w:rFonts w:ascii="Times New Roman" w:hAnsi="Times New Roman" w:cs="Times New Roman"/>
          <w:i/>
          <w:iCs/>
        </w:rPr>
        <w:t>Sacred Wells</w:t>
      </w:r>
      <w:r w:rsidRPr="00B868CD">
        <w:rPr>
          <w:rFonts w:ascii="Times New Roman" w:hAnsi="Times New Roman" w:cs="Times New Roman"/>
        </w:rPr>
        <w:t>, p. 141</w:t>
      </w:r>
    </w:p>
  </w:footnote>
  <w:footnote w:id="20">
    <w:p w14:paraId="00D4C172" w14:textId="354942EC" w:rsidR="00191603" w:rsidRDefault="00191603">
      <w:pPr>
        <w:pStyle w:val="FootnoteText"/>
      </w:pPr>
      <w:r>
        <w:rPr>
          <w:rStyle w:val="FootnoteReference"/>
        </w:rPr>
        <w:footnoteRef/>
      </w:r>
      <w:r>
        <w:t xml:space="preserve"> </w:t>
      </w:r>
      <w:r w:rsidRPr="00B868CD">
        <w:rPr>
          <w:rFonts w:ascii="Times New Roman" w:hAnsi="Times New Roman" w:cs="Times New Roman"/>
        </w:rPr>
        <w:t xml:space="preserve">Varner, </w:t>
      </w:r>
      <w:r w:rsidRPr="00B868CD">
        <w:rPr>
          <w:rFonts w:ascii="Times New Roman" w:hAnsi="Times New Roman" w:cs="Times New Roman"/>
          <w:i/>
          <w:iCs/>
        </w:rPr>
        <w:t>Sacred Wells</w:t>
      </w:r>
      <w:r w:rsidRPr="00B868CD">
        <w:rPr>
          <w:rFonts w:ascii="Times New Roman" w:hAnsi="Times New Roman" w:cs="Times New Roman"/>
        </w:rPr>
        <w:t>, p. 1</w:t>
      </w:r>
    </w:p>
  </w:footnote>
  <w:footnote w:id="21">
    <w:p w14:paraId="05E2C712" w14:textId="41D664D5" w:rsidR="001B3BA8" w:rsidRDefault="001B3BA8">
      <w:pPr>
        <w:pStyle w:val="FootnoteText"/>
      </w:pPr>
      <w:r>
        <w:rPr>
          <w:rStyle w:val="FootnoteReference"/>
        </w:rPr>
        <w:footnoteRef/>
      </w:r>
      <w:r w:rsidRPr="001B3BA8">
        <w:rPr>
          <w:rFonts w:ascii="Times New Roman" w:hAnsi="Times New Roman" w:cs="Times New Roman"/>
        </w:rPr>
        <w:t xml:space="preserve"> Brown, </w:t>
      </w:r>
      <w:r w:rsidRPr="001B3BA8">
        <w:rPr>
          <w:rFonts w:ascii="Times New Roman" w:hAnsi="Times New Roman" w:cs="Times New Roman"/>
          <w:i/>
          <w:iCs/>
        </w:rPr>
        <w:t>Robert of Gloucester’s Chronicle</w:t>
      </w:r>
      <w:r w:rsidRPr="001B3BA8">
        <w:rPr>
          <w:rFonts w:ascii="Times New Roman" w:hAnsi="Times New Roman" w:cs="Times New Roman"/>
        </w:rPr>
        <w:t>, p. 14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841"/>
    <w:rsid w:val="00030D3B"/>
    <w:rsid w:val="000D2039"/>
    <w:rsid w:val="00103BB7"/>
    <w:rsid w:val="001220FD"/>
    <w:rsid w:val="00152593"/>
    <w:rsid w:val="0015412B"/>
    <w:rsid w:val="00161EE4"/>
    <w:rsid w:val="00173641"/>
    <w:rsid w:val="00181397"/>
    <w:rsid w:val="00191603"/>
    <w:rsid w:val="001B3BA8"/>
    <w:rsid w:val="001C0E16"/>
    <w:rsid w:val="001C3FE5"/>
    <w:rsid w:val="00204359"/>
    <w:rsid w:val="00252B82"/>
    <w:rsid w:val="00271B65"/>
    <w:rsid w:val="002B6E39"/>
    <w:rsid w:val="00323AC6"/>
    <w:rsid w:val="00334939"/>
    <w:rsid w:val="00367A68"/>
    <w:rsid w:val="00375483"/>
    <w:rsid w:val="00394B15"/>
    <w:rsid w:val="004163A1"/>
    <w:rsid w:val="00420B9E"/>
    <w:rsid w:val="00443064"/>
    <w:rsid w:val="0049490C"/>
    <w:rsid w:val="004A5574"/>
    <w:rsid w:val="004B3033"/>
    <w:rsid w:val="004D7942"/>
    <w:rsid w:val="00594DCB"/>
    <w:rsid w:val="005B1F51"/>
    <w:rsid w:val="005C620A"/>
    <w:rsid w:val="006067D8"/>
    <w:rsid w:val="00614841"/>
    <w:rsid w:val="00663D20"/>
    <w:rsid w:val="006B30CB"/>
    <w:rsid w:val="00735AFD"/>
    <w:rsid w:val="007D13E0"/>
    <w:rsid w:val="007D24E7"/>
    <w:rsid w:val="007D45B2"/>
    <w:rsid w:val="007F3064"/>
    <w:rsid w:val="007F4C62"/>
    <w:rsid w:val="0083018C"/>
    <w:rsid w:val="00891EBB"/>
    <w:rsid w:val="00896F0A"/>
    <w:rsid w:val="008A1F67"/>
    <w:rsid w:val="00917400"/>
    <w:rsid w:val="00983E81"/>
    <w:rsid w:val="009D1AED"/>
    <w:rsid w:val="009E2321"/>
    <w:rsid w:val="00A409EA"/>
    <w:rsid w:val="00AF7783"/>
    <w:rsid w:val="00B27456"/>
    <w:rsid w:val="00B6090D"/>
    <w:rsid w:val="00B868CD"/>
    <w:rsid w:val="00BA3B54"/>
    <w:rsid w:val="00BC5280"/>
    <w:rsid w:val="00BE45C3"/>
    <w:rsid w:val="00BF1813"/>
    <w:rsid w:val="00C12A97"/>
    <w:rsid w:val="00CC341A"/>
    <w:rsid w:val="00CF50CD"/>
    <w:rsid w:val="00D40F15"/>
    <w:rsid w:val="00DD7584"/>
    <w:rsid w:val="00ED0027"/>
    <w:rsid w:val="00F04C74"/>
    <w:rsid w:val="00F51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DC022"/>
  <w15:chartTrackingRefBased/>
  <w15:docId w15:val="{1DA1A5AE-8A82-4B6F-B653-866E06A6E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D45B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D45B2"/>
    <w:rPr>
      <w:sz w:val="20"/>
      <w:szCs w:val="20"/>
    </w:rPr>
  </w:style>
  <w:style w:type="character" w:styleId="FootnoteReference">
    <w:name w:val="footnote reference"/>
    <w:basedOn w:val="DefaultParagraphFont"/>
    <w:uiPriority w:val="99"/>
    <w:semiHidden/>
    <w:unhideWhenUsed/>
    <w:rsid w:val="007D45B2"/>
    <w:rPr>
      <w:vertAlign w:val="superscript"/>
    </w:rPr>
  </w:style>
  <w:style w:type="paragraph" w:styleId="NormalWeb">
    <w:name w:val="Normal (Web)"/>
    <w:basedOn w:val="Normal"/>
    <w:uiPriority w:val="99"/>
    <w:unhideWhenUsed/>
    <w:rsid w:val="007D45B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18548">
      <w:bodyDiv w:val="1"/>
      <w:marLeft w:val="0"/>
      <w:marRight w:val="0"/>
      <w:marTop w:val="0"/>
      <w:marBottom w:val="0"/>
      <w:divBdr>
        <w:top w:val="none" w:sz="0" w:space="0" w:color="auto"/>
        <w:left w:val="none" w:sz="0" w:space="0" w:color="auto"/>
        <w:bottom w:val="none" w:sz="0" w:space="0" w:color="auto"/>
        <w:right w:val="none" w:sz="0" w:space="0" w:color="auto"/>
      </w:divBdr>
      <w:divsChild>
        <w:div w:id="1875772233">
          <w:marLeft w:val="0"/>
          <w:marRight w:val="0"/>
          <w:marTop w:val="0"/>
          <w:marBottom w:val="0"/>
          <w:divBdr>
            <w:top w:val="none" w:sz="0" w:space="0" w:color="auto"/>
            <w:left w:val="none" w:sz="0" w:space="0" w:color="auto"/>
            <w:bottom w:val="none" w:sz="0" w:space="0" w:color="auto"/>
            <w:right w:val="none" w:sz="0" w:space="0" w:color="auto"/>
          </w:divBdr>
        </w:div>
      </w:divsChild>
    </w:div>
    <w:div w:id="312563587">
      <w:bodyDiv w:val="1"/>
      <w:marLeft w:val="0"/>
      <w:marRight w:val="0"/>
      <w:marTop w:val="0"/>
      <w:marBottom w:val="0"/>
      <w:divBdr>
        <w:top w:val="none" w:sz="0" w:space="0" w:color="auto"/>
        <w:left w:val="none" w:sz="0" w:space="0" w:color="auto"/>
        <w:bottom w:val="none" w:sz="0" w:space="0" w:color="auto"/>
        <w:right w:val="none" w:sz="0" w:space="0" w:color="auto"/>
      </w:divBdr>
      <w:divsChild>
        <w:div w:id="1306013219">
          <w:marLeft w:val="0"/>
          <w:marRight w:val="0"/>
          <w:marTop w:val="0"/>
          <w:marBottom w:val="0"/>
          <w:divBdr>
            <w:top w:val="none" w:sz="0" w:space="0" w:color="auto"/>
            <w:left w:val="none" w:sz="0" w:space="0" w:color="auto"/>
            <w:bottom w:val="none" w:sz="0" w:space="0" w:color="auto"/>
            <w:right w:val="none" w:sz="0" w:space="0" w:color="auto"/>
          </w:divBdr>
        </w:div>
      </w:divsChild>
    </w:div>
    <w:div w:id="347635483">
      <w:bodyDiv w:val="1"/>
      <w:marLeft w:val="0"/>
      <w:marRight w:val="0"/>
      <w:marTop w:val="0"/>
      <w:marBottom w:val="0"/>
      <w:divBdr>
        <w:top w:val="none" w:sz="0" w:space="0" w:color="auto"/>
        <w:left w:val="none" w:sz="0" w:space="0" w:color="auto"/>
        <w:bottom w:val="none" w:sz="0" w:space="0" w:color="auto"/>
        <w:right w:val="none" w:sz="0" w:space="0" w:color="auto"/>
      </w:divBdr>
      <w:divsChild>
        <w:div w:id="1399092009">
          <w:marLeft w:val="0"/>
          <w:marRight w:val="0"/>
          <w:marTop w:val="0"/>
          <w:marBottom w:val="0"/>
          <w:divBdr>
            <w:top w:val="none" w:sz="0" w:space="0" w:color="auto"/>
            <w:left w:val="none" w:sz="0" w:space="0" w:color="auto"/>
            <w:bottom w:val="none" w:sz="0" w:space="0" w:color="auto"/>
            <w:right w:val="none" w:sz="0" w:space="0" w:color="auto"/>
          </w:divBdr>
        </w:div>
      </w:divsChild>
    </w:div>
    <w:div w:id="506334800">
      <w:bodyDiv w:val="1"/>
      <w:marLeft w:val="0"/>
      <w:marRight w:val="0"/>
      <w:marTop w:val="0"/>
      <w:marBottom w:val="0"/>
      <w:divBdr>
        <w:top w:val="none" w:sz="0" w:space="0" w:color="auto"/>
        <w:left w:val="none" w:sz="0" w:space="0" w:color="auto"/>
        <w:bottom w:val="none" w:sz="0" w:space="0" w:color="auto"/>
        <w:right w:val="none" w:sz="0" w:space="0" w:color="auto"/>
      </w:divBdr>
      <w:divsChild>
        <w:div w:id="1700811923">
          <w:marLeft w:val="0"/>
          <w:marRight w:val="0"/>
          <w:marTop w:val="0"/>
          <w:marBottom w:val="0"/>
          <w:divBdr>
            <w:top w:val="none" w:sz="0" w:space="0" w:color="auto"/>
            <w:left w:val="none" w:sz="0" w:space="0" w:color="auto"/>
            <w:bottom w:val="none" w:sz="0" w:space="0" w:color="auto"/>
            <w:right w:val="none" w:sz="0" w:space="0" w:color="auto"/>
          </w:divBdr>
        </w:div>
      </w:divsChild>
    </w:div>
    <w:div w:id="753085220">
      <w:bodyDiv w:val="1"/>
      <w:marLeft w:val="0"/>
      <w:marRight w:val="0"/>
      <w:marTop w:val="0"/>
      <w:marBottom w:val="0"/>
      <w:divBdr>
        <w:top w:val="none" w:sz="0" w:space="0" w:color="auto"/>
        <w:left w:val="none" w:sz="0" w:space="0" w:color="auto"/>
        <w:bottom w:val="none" w:sz="0" w:space="0" w:color="auto"/>
        <w:right w:val="none" w:sz="0" w:space="0" w:color="auto"/>
      </w:divBdr>
      <w:divsChild>
        <w:div w:id="755713043">
          <w:marLeft w:val="0"/>
          <w:marRight w:val="0"/>
          <w:marTop w:val="0"/>
          <w:marBottom w:val="0"/>
          <w:divBdr>
            <w:top w:val="none" w:sz="0" w:space="0" w:color="auto"/>
            <w:left w:val="none" w:sz="0" w:space="0" w:color="auto"/>
            <w:bottom w:val="none" w:sz="0" w:space="0" w:color="auto"/>
            <w:right w:val="none" w:sz="0" w:space="0" w:color="auto"/>
          </w:divBdr>
        </w:div>
      </w:divsChild>
    </w:div>
    <w:div w:id="1229879167">
      <w:bodyDiv w:val="1"/>
      <w:marLeft w:val="0"/>
      <w:marRight w:val="0"/>
      <w:marTop w:val="0"/>
      <w:marBottom w:val="0"/>
      <w:divBdr>
        <w:top w:val="none" w:sz="0" w:space="0" w:color="auto"/>
        <w:left w:val="none" w:sz="0" w:space="0" w:color="auto"/>
        <w:bottom w:val="none" w:sz="0" w:space="0" w:color="auto"/>
        <w:right w:val="none" w:sz="0" w:space="0" w:color="auto"/>
      </w:divBdr>
      <w:divsChild>
        <w:div w:id="94256317">
          <w:marLeft w:val="0"/>
          <w:marRight w:val="0"/>
          <w:marTop w:val="0"/>
          <w:marBottom w:val="0"/>
          <w:divBdr>
            <w:top w:val="none" w:sz="0" w:space="0" w:color="auto"/>
            <w:left w:val="none" w:sz="0" w:space="0" w:color="auto"/>
            <w:bottom w:val="none" w:sz="0" w:space="0" w:color="auto"/>
            <w:right w:val="none" w:sz="0" w:space="0" w:color="auto"/>
          </w:divBdr>
        </w:div>
      </w:divsChild>
    </w:div>
    <w:div w:id="1615552015">
      <w:bodyDiv w:val="1"/>
      <w:marLeft w:val="0"/>
      <w:marRight w:val="0"/>
      <w:marTop w:val="0"/>
      <w:marBottom w:val="0"/>
      <w:divBdr>
        <w:top w:val="none" w:sz="0" w:space="0" w:color="auto"/>
        <w:left w:val="none" w:sz="0" w:space="0" w:color="auto"/>
        <w:bottom w:val="none" w:sz="0" w:space="0" w:color="auto"/>
        <w:right w:val="none" w:sz="0" w:space="0" w:color="auto"/>
      </w:divBdr>
      <w:divsChild>
        <w:div w:id="1303542878">
          <w:marLeft w:val="0"/>
          <w:marRight w:val="0"/>
          <w:marTop w:val="0"/>
          <w:marBottom w:val="0"/>
          <w:divBdr>
            <w:top w:val="none" w:sz="0" w:space="0" w:color="auto"/>
            <w:left w:val="none" w:sz="0" w:space="0" w:color="auto"/>
            <w:bottom w:val="none" w:sz="0" w:space="0" w:color="auto"/>
            <w:right w:val="none" w:sz="0" w:space="0" w:color="auto"/>
          </w:divBdr>
        </w:div>
      </w:divsChild>
    </w:div>
    <w:div w:id="1627420476">
      <w:bodyDiv w:val="1"/>
      <w:marLeft w:val="0"/>
      <w:marRight w:val="0"/>
      <w:marTop w:val="0"/>
      <w:marBottom w:val="0"/>
      <w:divBdr>
        <w:top w:val="none" w:sz="0" w:space="0" w:color="auto"/>
        <w:left w:val="none" w:sz="0" w:space="0" w:color="auto"/>
        <w:bottom w:val="none" w:sz="0" w:space="0" w:color="auto"/>
        <w:right w:val="none" w:sz="0" w:space="0" w:color="auto"/>
      </w:divBdr>
      <w:divsChild>
        <w:div w:id="1961955652">
          <w:marLeft w:val="0"/>
          <w:marRight w:val="0"/>
          <w:marTop w:val="0"/>
          <w:marBottom w:val="0"/>
          <w:divBdr>
            <w:top w:val="none" w:sz="0" w:space="0" w:color="auto"/>
            <w:left w:val="none" w:sz="0" w:space="0" w:color="auto"/>
            <w:bottom w:val="none" w:sz="0" w:space="0" w:color="auto"/>
            <w:right w:val="none" w:sz="0" w:space="0" w:color="auto"/>
          </w:divBdr>
        </w:div>
      </w:divsChild>
    </w:div>
    <w:div w:id="1812210970">
      <w:bodyDiv w:val="1"/>
      <w:marLeft w:val="0"/>
      <w:marRight w:val="0"/>
      <w:marTop w:val="0"/>
      <w:marBottom w:val="0"/>
      <w:divBdr>
        <w:top w:val="none" w:sz="0" w:space="0" w:color="auto"/>
        <w:left w:val="none" w:sz="0" w:space="0" w:color="auto"/>
        <w:bottom w:val="none" w:sz="0" w:space="0" w:color="auto"/>
        <w:right w:val="none" w:sz="0" w:space="0" w:color="auto"/>
      </w:divBdr>
      <w:divsChild>
        <w:div w:id="108166292">
          <w:marLeft w:val="0"/>
          <w:marRight w:val="0"/>
          <w:marTop w:val="0"/>
          <w:marBottom w:val="0"/>
          <w:divBdr>
            <w:top w:val="none" w:sz="0" w:space="0" w:color="auto"/>
            <w:left w:val="none" w:sz="0" w:space="0" w:color="auto"/>
            <w:bottom w:val="none" w:sz="0" w:space="0" w:color="auto"/>
            <w:right w:val="none" w:sz="0" w:space="0" w:color="auto"/>
          </w:divBdr>
        </w:div>
      </w:divsChild>
    </w:div>
    <w:div w:id="1886524777">
      <w:bodyDiv w:val="1"/>
      <w:marLeft w:val="0"/>
      <w:marRight w:val="0"/>
      <w:marTop w:val="0"/>
      <w:marBottom w:val="0"/>
      <w:divBdr>
        <w:top w:val="none" w:sz="0" w:space="0" w:color="auto"/>
        <w:left w:val="none" w:sz="0" w:space="0" w:color="auto"/>
        <w:bottom w:val="none" w:sz="0" w:space="0" w:color="auto"/>
        <w:right w:val="none" w:sz="0" w:space="0" w:color="auto"/>
      </w:divBdr>
      <w:divsChild>
        <w:div w:id="409073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70CBE6-E7F9-4DBE-BAC6-ADFC8622D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TotalTime>
  <Pages>4</Pages>
  <Words>1749</Words>
  <Characters>9974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19</cp:revision>
  <dcterms:created xsi:type="dcterms:W3CDTF">2021-05-28T01:06:00Z</dcterms:created>
  <dcterms:modified xsi:type="dcterms:W3CDTF">2021-05-28T18:18:00Z</dcterms:modified>
</cp:coreProperties>
</file>