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91125" w14:textId="77777777" w:rsidR="00E336C2" w:rsidRDefault="00000000">
      <w:pPr>
        <w:spacing w:line="360" w:lineRule="auto"/>
        <w:jc w:val="center"/>
        <w:rPr>
          <w:rFonts w:ascii="Arial" w:eastAsia="Arial" w:hAnsi="Arial" w:cs="Arial"/>
          <w:b/>
          <w:bCs/>
          <w:sz w:val="28"/>
          <w:szCs w:val="28"/>
        </w:rPr>
      </w:pPr>
      <w:r>
        <w:rPr>
          <w:noProof/>
        </w:rPr>
        <w:drawing>
          <wp:anchor distT="0" distB="0" distL="114300" distR="114300" simplePos="0" relativeHeight="251658240" behindDoc="0" locked="0" layoutInCell="1" hidden="0" allowOverlap="1" wp14:anchorId="0185E64F" wp14:editId="08E11A5A">
            <wp:simplePos x="0" y="0"/>
            <wp:positionH relativeFrom="column">
              <wp:posOffset>1138553</wp:posOffset>
            </wp:positionH>
            <wp:positionV relativeFrom="paragraph">
              <wp:posOffset>0</wp:posOffset>
            </wp:positionV>
            <wp:extent cx="3454400" cy="114554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54400" cy="1145540"/>
                    </a:xfrm>
                    <a:prstGeom prst="rect">
                      <a:avLst/>
                    </a:prstGeom>
                    <a:ln/>
                  </pic:spPr>
                </pic:pic>
              </a:graphicData>
            </a:graphic>
          </wp:anchor>
        </w:drawing>
      </w:r>
    </w:p>
    <w:p w14:paraId="1393B7BF" w14:textId="77777777"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Master of Business Administration</w:t>
      </w:r>
    </w:p>
    <w:p w14:paraId="24FCE52B" w14:textId="77777777"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Student Name:</w:t>
      </w:r>
      <w:r>
        <w:rPr>
          <w:rFonts w:ascii="Arial" w:eastAsia="Arial" w:hAnsi="Arial" w:cs="Arial"/>
          <w:sz w:val="28"/>
          <w:szCs w:val="28"/>
        </w:rPr>
        <w:t xml:space="preserve"> </w:t>
      </w:r>
      <w:r>
        <w:rPr>
          <w:rFonts w:ascii="Arial" w:eastAsia="Arial" w:hAnsi="Arial" w:cs="Arial"/>
          <w:b/>
          <w:bCs/>
          <w:sz w:val="28"/>
          <w:szCs w:val="28"/>
        </w:rPr>
        <w:t>Md Ashikur Rahman</w:t>
      </w:r>
    </w:p>
    <w:p w14:paraId="14F060BD" w14:textId="77777777" w:rsidR="00E336C2" w:rsidRDefault="00000000">
      <w:pPr>
        <w:spacing w:line="360" w:lineRule="auto"/>
        <w:jc w:val="center"/>
        <w:rPr>
          <w:rFonts w:ascii="Arial" w:eastAsia="Arial" w:hAnsi="Arial" w:cs="Arial"/>
          <w:sz w:val="28"/>
          <w:szCs w:val="28"/>
        </w:rPr>
      </w:pPr>
      <w:r>
        <w:rPr>
          <w:rFonts w:ascii="Arial" w:eastAsia="Arial" w:hAnsi="Arial" w:cs="Arial"/>
          <w:b/>
          <w:bCs/>
          <w:sz w:val="28"/>
          <w:szCs w:val="28"/>
        </w:rPr>
        <w:t>Student Number: 2421727</w:t>
      </w:r>
    </w:p>
    <w:p w14:paraId="64BBFC63" w14:textId="77777777"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Module code: LCMB7035</w:t>
      </w:r>
    </w:p>
    <w:p w14:paraId="1ACE57FB" w14:textId="77777777"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Module Name: Dissertation</w:t>
      </w:r>
    </w:p>
    <w:p w14:paraId="7911EEE1" w14:textId="77777777"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Title: “The Impact of Sustainability Initiatives on Consumer Perception in the Sportswear Industry: A Case Study of Adidas.”</w:t>
      </w:r>
    </w:p>
    <w:p w14:paraId="40061E81" w14:textId="77777777" w:rsidR="00E336C2" w:rsidRDefault="00E336C2">
      <w:pPr>
        <w:spacing w:line="360" w:lineRule="auto"/>
        <w:jc w:val="center"/>
        <w:rPr>
          <w:rFonts w:ascii="Arial" w:eastAsia="Arial" w:hAnsi="Arial" w:cs="Arial"/>
          <w:b/>
          <w:bCs/>
          <w:sz w:val="28"/>
          <w:szCs w:val="28"/>
        </w:rPr>
      </w:pPr>
    </w:p>
    <w:p w14:paraId="45CD22F0" w14:textId="6E9AD526" w:rsidR="00E336C2"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 xml:space="preserve">Words Count: </w:t>
      </w:r>
      <w:r w:rsidR="00DA6F4A">
        <w:rPr>
          <w:rFonts w:ascii="Arial" w:eastAsia="Arial" w:hAnsi="Arial" w:cs="Arial"/>
          <w:b/>
          <w:bCs/>
          <w:sz w:val="28"/>
          <w:szCs w:val="28"/>
        </w:rPr>
        <w:t>1</w:t>
      </w:r>
      <w:r w:rsidR="009A3145">
        <w:rPr>
          <w:rFonts w:ascii="Arial" w:eastAsia="Arial" w:hAnsi="Arial" w:cs="Arial"/>
          <w:b/>
          <w:bCs/>
          <w:sz w:val="28"/>
          <w:szCs w:val="28"/>
        </w:rPr>
        <w:t>5200</w:t>
      </w:r>
    </w:p>
    <w:p w14:paraId="69C2367D" w14:textId="77777777" w:rsidR="00E336C2" w:rsidRDefault="00000000">
      <w:pPr>
        <w:spacing w:line="278" w:lineRule="auto"/>
        <w:rPr>
          <w:rFonts w:ascii="Arial" w:eastAsia="Arial" w:hAnsi="Arial" w:cs="Arial"/>
          <w:b/>
          <w:bCs/>
          <w:sz w:val="28"/>
          <w:szCs w:val="28"/>
        </w:rPr>
        <w:sectPr w:rsidR="00E336C2">
          <w:pgSz w:w="11906" w:h="16838"/>
          <w:pgMar w:top="1440" w:right="1440" w:bottom="1440" w:left="1440" w:header="708" w:footer="708" w:gutter="0"/>
          <w:pgNumType w:start="1"/>
          <w:cols w:space="720"/>
        </w:sectPr>
      </w:pPr>
      <w:r>
        <w:br w:type="page"/>
      </w:r>
    </w:p>
    <w:p w14:paraId="5AB1496D" w14:textId="77777777" w:rsidR="00E336C2"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rPr>
      </w:pPr>
      <w:r>
        <w:rPr>
          <w:rFonts w:ascii="Arial" w:eastAsia="Arial" w:hAnsi="Arial" w:cs="Arial"/>
          <w:noProof/>
        </w:rPr>
        <w:lastRenderedPageBreak/>
        <w:drawing>
          <wp:inline distT="0" distB="0" distL="0" distR="0" wp14:anchorId="3EBCA445" wp14:editId="65F6CB89">
            <wp:extent cx="2844800" cy="1168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844800" cy="1168400"/>
                    </a:xfrm>
                    <a:prstGeom prst="rect">
                      <a:avLst/>
                    </a:prstGeom>
                    <a:ln/>
                  </pic:spPr>
                </pic:pic>
              </a:graphicData>
            </a:graphic>
          </wp:inline>
        </w:drawing>
      </w:r>
    </w:p>
    <w:p w14:paraId="5E5AC9A4" w14:textId="77777777" w:rsidR="00E336C2" w:rsidRDefault="00E336C2">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28"/>
          <w:szCs w:val="28"/>
        </w:rPr>
      </w:pPr>
    </w:p>
    <w:p w14:paraId="5BF679C2" w14:textId="77777777" w:rsidR="00E336C2"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Master’s Degrees by Examination and Dissertation</w:t>
      </w:r>
    </w:p>
    <w:p w14:paraId="19A9F7DF" w14:textId="77777777" w:rsidR="00E336C2"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Declaration Form</w:t>
      </w:r>
    </w:p>
    <w:p w14:paraId="2896EB2C" w14:textId="77777777" w:rsidR="00E336C2" w:rsidRDefault="00E336C2">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rPr>
      </w:pPr>
    </w:p>
    <w:p w14:paraId="40C8C390" w14:textId="77777777" w:rsidR="00E336C2"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I, Md Ashikur Rahman,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1033736" w14:textId="77777777" w:rsidR="00E336C2" w:rsidRDefault="00E336C2">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p>
    <w:p w14:paraId="236A12E6" w14:textId="77777777" w:rsidR="00E336C2"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Signature: Md Ashikur Rahman</w:t>
      </w:r>
    </w:p>
    <w:p w14:paraId="3763B3D5" w14:textId="765A6297" w:rsidR="00E336C2"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Date: 0</w:t>
      </w:r>
      <w:r w:rsidR="00A55D30">
        <w:rPr>
          <w:rFonts w:ascii="Arial" w:eastAsia="Arial" w:hAnsi="Arial" w:cs="Arial"/>
          <w:sz w:val="24"/>
          <w:szCs w:val="24"/>
        </w:rPr>
        <w:t>8</w:t>
      </w:r>
      <w:r>
        <w:rPr>
          <w:rFonts w:ascii="Arial" w:eastAsia="Arial" w:hAnsi="Arial" w:cs="Arial"/>
          <w:sz w:val="24"/>
          <w:szCs w:val="24"/>
        </w:rPr>
        <w:t>-0</w:t>
      </w:r>
      <w:r w:rsidR="00A27EE4">
        <w:rPr>
          <w:rFonts w:ascii="Arial" w:eastAsia="Arial" w:hAnsi="Arial" w:cs="Arial"/>
          <w:sz w:val="24"/>
          <w:szCs w:val="24"/>
        </w:rPr>
        <w:t>6</w:t>
      </w:r>
      <w:r>
        <w:rPr>
          <w:rFonts w:ascii="Arial" w:eastAsia="Arial" w:hAnsi="Arial" w:cs="Arial"/>
          <w:sz w:val="24"/>
          <w:szCs w:val="24"/>
        </w:rPr>
        <w:t>-2026</w:t>
      </w:r>
    </w:p>
    <w:p w14:paraId="06F6C7A7" w14:textId="77777777" w:rsidR="00E336C2" w:rsidRDefault="00E336C2">
      <w:pPr>
        <w:pBdr>
          <w:top w:val="single" w:sz="4" w:space="1" w:color="000000"/>
          <w:left w:val="single" w:sz="4" w:space="4" w:color="000000"/>
          <w:bottom w:val="single" w:sz="4" w:space="31" w:color="000000"/>
          <w:right w:val="single" w:sz="4" w:space="4" w:color="000000"/>
        </w:pBdr>
        <w:spacing w:after="120"/>
        <w:rPr>
          <w:rFonts w:ascii="Arial" w:eastAsia="Arial" w:hAnsi="Arial" w:cs="Arial"/>
        </w:rPr>
      </w:pPr>
    </w:p>
    <w:p w14:paraId="4455F9E8" w14:textId="77777777" w:rsidR="00E336C2" w:rsidRDefault="00E336C2">
      <w:pPr>
        <w:spacing w:line="360" w:lineRule="auto"/>
        <w:jc w:val="center"/>
        <w:rPr>
          <w:rFonts w:ascii="Arial" w:eastAsia="Arial" w:hAnsi="Arial" w:cs="Arial"/>
          <w:b/>
          <w:bCs/>
          <w:sz w:val="28"/>
          <w:szCs w:val="28"/>
        </w:rPr>
      </w:pPr>
    </w:p>
    <w:p w14:paraId="31610183" w14:textId="77777777" w:rsidR="00E336C2" w:rsidRDefault="00000000">
      <w:pPr>
        <w:spacing w:line="360" w:lineRule="auto"/>
        <w:rPr>
          <w:rFonts w:ascii="Arial" w:eastAsia="Arial" w:hAnsi="Arial" w:cs="Arial"/>
          <w:b/>
          <w:bCs/>
        </w:rPr>
      </w:pPr>
      <w:r>
        <w:br w:type="page"/>
      </w:r>
    </w:p>
    <w:p w14:paraId="7183DC53" w14:textId="77777777" w:rsidR="00E336C2" w:rsidRDefault="00000000">
      <w:pPr>
        <w:keepNext/>
        <w:keepLines/>
        <w:pBdr>
          <w:top w:val="nil"/>
          <w:left w:val="nil"/>
          <w:bottom w:val="nil"/>
          <w:right w:val="nil"/>
          <w:between w:val="nil"/>
        </w:pBdr>
        <w:spacing w:before="240" w:after="240"/>
        <w:jc w:val="center"/>
        <w:rPr>
          <w:rFonts w:ascii="Arial" w:eastAsia="Arial" w:hAnsi="Arial" w:cs="Arial"/>
          <w:b/>
          <w:bCs/>
          <w:color w:val="000000"/>
          <w:sz w:val="28"/>
          <w:szCs w:val="28"/>
          <w:u w:val="single"/>
        </w:rPr>
      </w:pPr>
      <w:r>
        <w:rPr>
          <w:rFonts w:ascii="Arial" w:eastAsia="Arial" w:hAnsi="Arial" w:cs="Arial"/>
          <w:b/>
          <w:bCs/>
          <w:color w:val="000000"/>
          <w:sz w:val="28"/>
          <w:szCs w:val="28"/>
          <w:u w:val="single"/>
        </w:rPr>
        <w:lastRenderedPageBreak/>
        <w:t>Table of Contents</w:t>
      </w:r>
    </w:p>
    <w:sdt>
      <w:sdtPr>
        <w:id w:val="1155108910"/>
        <w:docPartObj>
          <w:docPartGallery w:val="Table of Contents"/>
          <w:docPartUnique/>
        </w:docPartObj>
      </w:sdtPr>
      <w:sdtContent>
        <w:p w14:paraId="6AA83EE8" w14:textId="77777777" w:rsidR="00E336C2" w:rsidRDefault="00000000">
          <w:pPr>
            <w:widowControl w:val="0"/>
            <w:tabs>
              <w:tab w:val="right" w:leader="dot" w:pos="12000"/>
            </w:tabs>
            <w:spacing w:before="60" w:after="0" w:line="240" w:lineRule="auto"/>
            <w:rPr>
              <w:rFonts w:ascii="Arial" w:eastAsia="Arial" w:hAnsi="Arial" w:cs="Arial"/>
              <w:b/>
              <w:bCs/>
              <w:color w:val="000000"/>
            </w:rPr>
          </w:pPr>
          <w:r>
            <w:fldChar w:fldCharType="begin"/>
          </w:r>
          <w:r>
            <w:instrText xml:space="preserve"> TOC \h \u \z \t "Heading 1,1,Heading 2,2,Heading 3,3,"</w:instrText>
          </w:r>
          <w:r>
            <w:fldChar w:fldCharType="separate"/>
          </w:r>
          <w:hyperlink w:anchor="_hhcz8moz3m0r">
            <w:r>
              <w:rPr>
                <w:rFonts w:ascii="Arial" w:eastAsia="Arial" w:hAnsi="Arial" w:cs="Arial"/>
                <w:color w:val="000000"/>
                <w:sz w:val="24"/>
                <w:szCs w:val="24"/>
              </w:rPr>
              <w:t>Abstract</w:t>
            </w:r>
            <w:r>
              <w:rPr>
                <w:rFonts w:ascii="Arial" w:eastAsia="Arial" w:hAnsi="Arial" w:cs="Arial"/>
                <w:color w:val="000000"/>
                <w:sz w:val="24"/>
                <w:szCs w:val="24"/>
              </w:rPr>
              <w:tab/>
              <w:t>5</w:t>
            </w:r>
          </w:hyperlink>
        </w:p>
        <w:p w14:paraId="538233B4"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rrly8fa5x9h7">
            <w:r>
              <w:rPr>
                <w:rFonts w:ascii="Arial" w:eastAsia="Arial" w:hAnsi="Arial" w:cs="Arial"/>
                <w:color w:val="000000"/>
                <w:sz w:val="24"/>
                <w:szCs w:val="24"/>
              </w:rPr>
              <w:t>CHAPTER 1: INTRODUCTION</w:t>
            </w:r>
            <w:r>
              <w:rPr>
                <w:rFonts w:ascii="Arial" w:eastAsia="Arial" w:hAnsi="Arial" w:cs="Arial"/>
                <w:color w:val="000000"/>
                <w:sz w:val="24"/>
                <w:szCs w:val="24"/>
              </w:rPr>
              <w:tab/>
              <w:t>1</w:t>
            </w:r>
          </w:hyperlink>
        </w:p>
        <w:p w14:paraId="45067009"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ys23fnjq3tez">
            <w:r>
              <w:rPr>
                <w:rFonts w:ascii="Arial" w:eastAsia="Arial" w:hAnsi="Arial" w:cs="Arial"/>
                <w:color w:val="000000"/>
                <w:sz w:val="24"/>
                <w:szCs w:val="24"/>
              </w:rPr>
              <w:t>1.1 Problem Statement</w:t>
            </w:r>
            <w:r>
              <w:rPr>
                <w:rFonts w:ascii="Arial" w:eastAsia="Arial" w:hAnsi="Arial" w:cs="Arial"/>
                <w:color w:val="000000"/>
                <w:sz w:val="24"/>
                <w:szCs w:val="24"/>
              </w:rPr>
              <w:tab/>
              <w:t>2</w:t>
            </w:r>
          </w:hyperlink>
        </w:p>
        <w:p w14:paraId="2304D579"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b9jfrtq6uyuz">
            <w:r>
              <w:rPr>
                <w:rFonts w:ascii="Arial" w:eastAsia="Arial" w:hAnsi="Arial" w:cs="Arial"/>
                <w:color w:val="000000"/>
                <w:sz w:val="24"/>
                <w:szCs w:val="24"/>
              </w:rPr>
              <w:t>1.2 Research Aim &amp; Objectives</w:t>
            </w:r>
            <w:r>
              <w:rPr>
                <w:rFonts w:ascii="Arial" w:eastAsia="Arial" w:hAnsi="Arial" w:cs="Arial"/>
                <w:color w:val="000000"/>
                <w:sz w:val="24"/>
                <w:szCs w:val="24"/>
              </w:rPr>
              <w:tab/>
              <w:t>3</w:t>
            </w:r>
          </w:hyperlink>
        </w:p>
        <w:p w14:paraId="0B7E5262"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m318nn9i34h">
            <w:r>
              <w:rPr>
                <w:rFonts w:ascii="Arial" w:eastAsia="Arial" w:hAnsi="Arial" w:cs="Arial"/>
                <w:color w:val="000000"/>
                <w:sz w:val="24"/>
                <w:szCs w:val="24"/>
              </w:rPr>
              <w:t>1.3 Research Questions</w:t>
            </w:r>
            <w:r>
              <w:rPr>
                <w:rFonts w:ascii="Arial" w:eastAsia="Arial" w:hAnsi="Arial" w:cs="Arial"/>
                <w:color w:val="000000"/>
                <w:sz w:val="24"/>
                <w:szCs w:val="24"/>
              </w:rPr>
              <w:tab/>
              <w:t>3</w:t>
            </w:r>
          </w:hyperlink>
        </w:p>
        <w:p w14:paraId="082B41C3"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u36jnva9m2ev">
            <w:r>
              <w:rPr>
                <w:rFonts w:ascii="Arial" w:eastAsia="Arial" w:hAnsi="Arial" w:cs="Arial"/>
                <w:color w:val="000000"/>
                <w:sz w:val="24"/>
                <w:szCs w:val="24"/>
              </w:rPr>
              <w:t>1.4 Significance of the Study</w:t>
            </w:r>
            <w:r>
              <w:rPr>
                <w:rFonts w:ascii="Arial" w:eastAsia="Arial" w:hAnsi="Arial" w:cs="Arial"/>
                <w:color w:val="000000"/>
                <w:sz w:val="24"/>
                <w:szCs w:val="24"/>
              </w:rPr>
              <w:tab/>
              <w:t>4</w:t>
            </w:r>
          </w:hyperlink>
        </w:p>
        <w:p w14:paraId="7E86863D"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tifjvmf2e7bv">
            <w:r>
              <w:rPr>
                <w:rFonts w:ascii="Arial" w:eastAsia="Arial" w:hAnsi="Arial" w:cs="Arial"/>
                <w:color w:val="000000"/>
                <w:sz w:val="24"/>
                <w:szCs w:val="24"/>
              </w:rPr>
              <w:t>1.5 Brief Research Methodology</w:t>
            </w:r>
            <w:r>
              <w:rPr>
                <w:rFonts w:ascii="Arial" w:eastAsia="Arial" w:hAnsi="Arial" w:cs="Arial"/>
                <w:color w:val="000000"/>
                <w:sz w:val="24"/>
                <w:szCs w:val="24"/>
              </w:rPr>
              <w:tab/>
              <w:t>5</w:t>
            </w:r>
          </w:hyperlink>
        </w:p>
        <w:p w14:paraId="09D8DF67"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rjlp9bwzomxi">
            <w:r>
              <w:rPr>
                <w:rFonts w:ascii="Arial" w:eastAsia="Arial" w:hAnsi="Arial" w:cs="Arial"/>
                <w:color w:val="000000"/>
                <w:sz w:val="24"/>
                <w:szCs w:val="24"/>
              </w:rPr>
              <w:t>Chapter 2: Literature Review</w:t>
            </w:r>
            <w:r>
              <w:rPr>
                <w:rFonts w:ascii="Arial" w:eastAsia="Arial" w:hAnsi="Arial" w:cs="Arial"/>
                <w:color w:val="000000"/>
                <w:sz w:val="24"/>
                <w:szCs w:val="24"/>
              </w:rPr>
              <w:tab/>
              <w:t>7</w:t>
            </w:r>
          </w:hyperlink>
        </w:p>
        <w:p w14:paraId="5FFF3507"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p2xlwk4re21y">
            <w:r>
              <w:rPr>
                <w:rFonts w:ascii="Arial" w:eastAsia="Arial" w:hAnsi="Arial" w:cs="Arial"/>
                <w:color w:val="000000"/>
                <w:sz w:val="24"/>
                <w:szCs w:val="24"/>
              </w:rPr>
              <w:t>2.1 Sustainability in the Sportswear Industry</w:t>
            </w:r>
            <w:r>
              <w:rPr>
                <w:rFonts w:ascii="Arial" w:eastAsia="Arial" w:hAnsi="Arial" w:cs="Arial"/>
                <w:color w:val="000000"/>
                <w:sz w:val="24"/>
                <w:szCs w:val="24"/>
              </w:rPr>
              <w:tab/>
              <w:t>7</w:t>
            </w:r>
          </w:hyperlink>
        </w:p>
        <w:p w14:paraId="5CA239B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mmfugrb4276x">
            <w:r>
              <w:rPr>
                <w:rFonts w:ascii="Arial" w:eastAsia="Arial" w:hAnsi="Arial" w:cs="Arial"/>
                <w:color w:val="000000"/>
                <w:sz w:val="24"/>
                <w:szCs w:val="24"/>
              </w:rPr>
              <w:t>Adoption of Sustainability Initiatives</w:t>
            </w:r>
            <w:r>
              <w:rPr>
                <w:rFonts w:ascii="Arial" w:eastAsia="Arial" w:hAnsi="Arial" w:cs="Arial"/>
                <w:color w:val="000000"/>
                <w:sz w:val="24"/>
                <w:szCs w:val="24"/>
              </w:rPr>
              <w:tab/>
              <w:t>8</w:t>
            </w:r>
          </w:hyperlink>
        </w:p>
        <w:p w14:paraId="568DEC96"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fph0qspe8bhd">
            <w:r>
              <w:rPr>
                <w:rFonts w:ascii="Arial" w:eastAsia="Arial" w:hAnsi="Arial" w:cs="Arial"/>
                <w:color w:val="000000"/>
                <w:sz w:val="24"/>
                <w:szCs w:val="24"/>
              </w:rPr>
              <w:t>Trade-offs and Strategic Challenges.</w:t>
            </w:r>
            <w:r>
              <w:rPr>
                <w:rFonts w:ascii="Arial" w:eastAsia="Arial" w:hAnsi="Arial" w:cs="Arial"/>
                <w:color w:val="000000"/>
                <w:sz w:val="24"/>
                <w:szCs w:val="24"/>
              </w:rPr>
              <w:tab/>
              <w:t>8</w:t>
            </w:r>
          </w:hyperlink>
        </w:p>
        <w:p w14:paraId="1DBA2A09"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6dn8iaesa7c9">
            <w:r>
              <w:rPr>
                <w:rFonts w:ascii="Arial" w:eastAsia="Arial" w:hAnsi="Arial" w:cs="Arial"/>
                <w:color w:val="000000"/>
                <w:sz w:val="24"/>
                <w:szCs w:val="24"/>
              </w:rPr>
              <w:t>Critical Approach to Sustainability Practices.</w:t>
            </w:r>
            <w:r>
              <w:rPr>
                <w:rFonts w:ascii="Arial" w:eastAsia="Arial" w:hAnsi="Arial" w:cs="Arial"/>
                <w:color w:val="000000"/>
                <w:sz w:val="24"/>
                <w:szCs w:val="24"/>
              </w:rPr>
              <w:tab/>
              <w:t>9</w:t>
            </w:r>
          </w:hyperlink>
        </w:p>
        <w:p w14:paraId="09EB5232"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f99brhc6zjjv">
            <w:r>
              <w:rPr>
                <w:rFonts w:ascii="Arial" w:eastAsia="Arial" w:hAnsi="Arial" w:cs="Arial"/>
                <w:color w:val="000000"/>
                <w:sz w:val="24"/>
                <w:szCs w:val="24"/>
              </w:rPr>
              <w:t>2.2 CSR and Corporate Sustainability.</w:t>
            </w:r>
            <w:r>
              <w:rPr>
                <w:rFonts w:ascii="Arial" w:eastAsia="Arial" w:hAnsi="Arial" w:cs="Arial"/>
                <w:color w:val="000000"/>
                <w:sz w:val="24"/>
                <w:szCs w:val="24"/>
              </w:rPr>
              <w:tab/>
              <w:t>9</w:t>
            </w:r>
          </w:hyperlink>
        </w:p>
        <w:p w14:paraId="23BD011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tmackqxcuinm">
            <w:r>
              <w:rPr>
                <w:rFonts w:ascii="Arial" w:eastAsia="Arial" w:hAnsi="Arial" w:cs="Arial"/>
                <w:color w:val="000000"/>
                <w:sz w:val="24"/>
                <w:szCs w:val="24"/>
              </w:rPr>
              <w:t>2.3 Consumer Perception and Sustainable Consumption</w:t>
            </w:r>
            <w:r>
              <w:rPr>
                <w:rFonts w:ascii="Arial" w:eastAsia="Arial" w:hAnsi="Arial" w:cs="Arial"/>
                <w:color w:val="000000"/>
                <w:sz w:val="24"/>
                <w:szCs w:val="24"/>
              </w:rPr>
              <w:tab/>
              <w:t>11</w:t>
            </w:r>
          </w:hyperlink>
        </w:p>
        <w:p w14:paraId="24E06AD0"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jdwuok30yd1y">
            <w:r>
              <w:rPr>
                <w:rFonts w:ascii="Arial" w:eastAsia="Arial" w:hAnsi="Arial" w:cs="Arial"/>
                <w:color w:val="000000"/>
                <w:sz w:val="24"/>
                <w:szCs w:val="24"/>
              </w:rPr>
              <w:t>2.4 Sustainability and Brand Image</w:t>
            </w:r>
            <w:r>
              <w:rPr>
                <w:rFonts w:ascii="Arial" w:eastAsia="Arial" w:hAnsi="Arial" w:cs="Arial"/>
                <w:color w:val="000000"/>
                <w:sz w:val="24"/>
                <w:szCs w:val="24"/>
              </w:rPr>
              <w:tab/>
              <w:t>14</w:t>
            </w:r>
          </w:hyperlink>
        </w:p>
        <w:p w14:paraId="506E66A8"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i66eyy8zs2wm">
            <w:r>
              <w:rPr>
                <w:rFonts w:ascii="Arial" w:eastAsia="Arial" w:hAnsi="Arial" w:cs="Arial"/>
                <w:color w:val="000000"/>
                <w:sz w:val="24"/>
                <w:szCs w:val="24"/>
              </w:rPr>
              <w:t>2.5 Theoretical Frameworks</w:t>
            </w:r>
            <w:r>
              <w:rPr>
                <w:rFonts w:ascii="Arial" w:eastAsia="Arial" w:hAnsi="Arial" w:cs="Arial"/>
                <w:color w:val="000000"/>
                <w:sz w:val="24"/>
                <w:szCs w:val="24"/>
              </w:rPr>
              <w:tab/>
              <w:t>15</w:t>
            </w:r>
          </w:hyperlink>
        </w:p>
        <w:p w14:paraId="3665249B"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18ocgs8eh4z2">
            <w:r>
              <w:rPr>
                <w:rFonts w:ascii="Arial" w:eastAsia="Arial" w:hAnsi="Arial" w:cs="Arial"/>
                <w:color w:val="000000"/>
                <w:sz w:val="24"/>
                <w:szCs w:val="24"/>
              </w:rPr>
              <w:t>2.5.1 Stakeholder Theory</w:t>
            </w:r>
            <w:r>
              <w:rPr>
                <w:rFonts w:ascii="Arial" w:eastAsia="Arial" w:hAnsi="Arial" w:cs="Arial"/>
                <w:color w:val="000000"/>
                <w:sz w:val="24"/>
                <w:szCs w:val="24"/>
              </w:rPr>
              <w:tab/>
              <w:t>15</w:t>
            </w:r>
          </w:hyperlink>
        </w:p>
        <w:p w14:paraId="613A2586"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pfmxmlggmqea">
            <w:r>
              <w:rPr>
                <w:rFonts w:ascii="Arial" w:eastAsia="Arial" w:hAnsi="Arial" w:cs="Arial"/>
                <w:color w:val="000000"/>
                <w:sz w:val="24"/>
                <w:szCs w:val="24"/>
              </w:rPr>
              <w:t>2.5.2 Theory of Planned Behaviour (TPB)</w:t>
            </w:r>
            <w:r>
              <w:rPr>
                <w:rFonts w:ascii="Arial" w:eastAsia="Arial" w:hAnsi="Arial" w:cs="Arial"/>
                <w:color w:val="000000"/>
                <w:sz w:val="24"/>
                <w:szCs w:val="24"/>
              </w:rPr>
              <w:tab/>
              <w:t>16</w:t>
            </w:r>
          </w:hyperlink>
        </w:p>
        <w:p w14:paraId="0EBE7002"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sfeuoyrrigks">
            <w:r>
              <w:rPr>
                <w:rFonts w:ascii="Arial" w:eastAsia="Arial" w:hAnsi="Arial" w:cs="Arial"/>
                <w:color w:val="000000"/>
                <w:sz w:val="24"/>
                <w:szCs w:val="24"/>
              </w:rPr>
              <w:t>2.5.3 Sustainable Consumption Theory</w:t>
            </w:r>
            <w:r>
              <w:rPr>
                <w:rFonts w:ascii="Arial" w:eastAsia="Arial" w:hAnsi="Arial" w:cs="Arial"/>
                <w:color w:val="000000"/>
                <w:sz w:val="24"/>
                <w:szCs w:val="24"/>
              </w:rPr>
              <w:tab/>
              <w:t>16</w:t>
            </w:r>
          </w:hyperlink>
        </w:p>
        <w:p w14:paraId="3ADBA68A"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q9ik282sjkx">
            <w:r>
              <w:rPr>
                <w:rFonts w:ascii="Arial" w:eastAsia="Arial" w:hAnsi="Arial" w:cs="Arial"/>
                <w:color w:val="000000"/>
                <w:sz w:val="24"/>
                <w:szCs w:val="24"/>
              </w:rPr>
              <w:t>2.5.4 Green Marketing Theory</w:t>
            </w:r>
            <w:r>
              <w:rPr>
                <w:rFonts w:ascii="Arial" w:eastAsia="Arial" w:hAnsi="Arial" w:cs="Arial"/>
                <w:color w:val="000000"/>
                <w:sz w:val="24"/>
                <w:szCs w:val="24"/>
              </w:rPr>
              <w:tab/>
              <w:t>16</w:t>
            </w:r>
          </w:hyperlink>
        </w:p>
        <w:p w14:paraId="1790BD40"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w2hudo5i45rm">
            <w:r>
              <w:rPr>
                <w:rFonts w:ascii="Arial" w:eastAsia="Arial" w:hAnsi="Arial" w:cs="Arial"/>
                <w:color w:val="000000"/>
                <w:sz w:val="24"/>
                <w:szCs w:val="24"/>
              </w:rPr>
              <w:t>2.6 Academic Debate</w:t>
            </w:r>
            <w:r>
              <w:rPr>
                <w:rFonts w:ascii="Arial" w:eastAsia="Arial" w:hAnsi="Arial" w:cs="Arial"/>
                <w:color w:val="000000"/>
                <w:sz w:val="24"/>
                <w:szCs w:val="24"/>
              </w:rPr>
              <w:tab/>
              <w:t>17</w:t>
            </w:r>
          </w:hyperlink>
        </w:p>
        <w:p w14:paraId="26B8EDCF"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2fmk8928oz76">
            <w:r>
              <w:rPr>
                <w:rFonts w:ascii="Arial" w:eastAsia="Arial" w:hAnsi="Arial" w:cs="Arial"/>
                <w:color w:val="000000"/>
                <w:sz w:val="24"/>
                <w:szCs w:val="24"/>
              </w:rPr>
              <w:t>2.7 Past Empirical Studies</w:t>
            </w:r>
            <w:r>
              <w:rPr>
                <w:rFonts w:ascii="Arial" w:eastAsia="Arial" w:hAnsi="Arial" w:cs="Arial"/>
                <w:color w:val="000000"/>
                <w:sz w:val="24"/>
                <w:szCs w:val="24"/>
              </w:rPr>
              <w:tab/>
              <w:t>18</w:t>
            </w:r>
          </w:hyperlink>
        </w:p>
        <w:p w14:paraId="1F87E276"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japxmocc28d7">
            <w:r>
              <w:rPr>
                <w:rFonts w:ascii="Arial" w:eastAsia="Arial" w:hAnsi="Arial" w:cs="Arial"/>
                <w:color w:val="000000"/>
                <w:sz w:val="24"/>
                <w:szCs w:val="24"/>
              </w:rPr>
              <w:t>2.8 Conceptual Framework</w:t>
            </w:r>
            <w:r>
              <w:rPr>
                <w:rFonts w:ascii="Arial" w:eastAsia="Arial" w:hAnsi="Arial" w:cs="Arial"/>
                <w:color w:val="000000"/>
                <w:sz w:val="24"/>
                <w:szCs w:val="24"/>
              </w:rPr>
              <w:tab/>
              <w:t>19</w:t>
            </w:r>
          </w:hyperlink>
        </w:p>
        <w:p w14:paraId="3B078E8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ts7485hf3kwb">
            <w:r>
              <w:rPr>
                <w:rFonts w:ascii="Arial" w:eastAsia="Arial" w:hAnsi="Arial" w:cs="Arial"/>
                <w:color w:val="000000"/>
                <w:sz w:val="24"/>
                <w:szCs w:val="24"/>
              </w:rPr>
              <w:t>2.9 Research Gap</w:t>
            </w:r>
            <w:r>
              <w:rPr>
                <w:rFonts w:ascii="Arial" w:eastAsia="Arial" w:hAnsi="Arial" w:cs="Arial"/>
                <w:color w:val="000000"/>
                <w:sz w:val="24"/>
                <w:szCs w:val="24"/>
              </w:rPr>
              <w:tab/>
              <w:t>20</w:t>
            </w:r>
          </w:hyperlink>
        </w:p>
        <w:p w14:paraId="2BF48E37"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h5o37dsr4d4z">
            <w:r>
              <w:rPr>
                <w:rFonts w:ascii="Arial" w:eastAsia="Arial" w:hAnsi="Arial" w:cs="Arial"/>
                <w:color w:val="000000"/>
                <w:sz w:val="24"/>
                <w:szCs w:val="24"/>
              </w:rPr>
              <w:t>2.10 Conclusion</w:t>
            </w:r>
            <w:r>
              <w:rPr>
                <w:rFonts w:ascii="Arial" w:eastAsia="Arial" w:hAnsi="Arial" w:cs="Arial"/>
                <w:color w:val="000000"/>
                <w:sz w:val="24"/>
                <w:szCs w:val="24"/>
              </w:rPr>
              <w:tab/>
              <w:t>22</w:t>
            </w:r>
          </w:hyperlink>
        </w:p>
        <w:p w14:paraId="6000A966"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8z07dmydi379">
            <w:r>
              <w:rPr>
                <w:rFonts w:ascii="Arial" w:eastAsia="Arial" w:hAnsi="Arial" w:cs="Arial"/>
                <w:color w:val="000000"/>
                <w:sz w:val="24"/>
                <w:szCs w:val="24"/>
              </w:rPr>
              <w:t>CHAPTER 3: RESEARCH METHODOLOGY</w:t>
            </w:r>
            <w:r>
              <w:rPr>
                <w:rFonts w:ascii="Arial" w:eastAsia="Arial" w:hAnsi="Arial" w:cs="Arial"/>
                <w:color w:val="000000"/>
                <w:sz w:val="24"/>
                <w:szCs w:val="24"/>
              </w:rPr>
              <w:tab/>
              <w:t>23</w:t>
            </w:r>
          </w:hyperlink>
        </w:p>
        <w:p w14:paraId="146F8A98"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tbb8gevmz83c">
            <w:r>
              <w:rPr>
                <w:rFonts w:ascii="Arial" w:eastAsia="Arial" w:hAnsi="Arial" w:cs="Arial"/>
                <w:color w:val="000000"/>
                <w:sz w:val="24"/>
                <w:szCs w:val="24"/>
              </w:rPr>
              <w:t>3.1 Research Philosophy</w:t>
            </w:r>
            <w:r>
              <w:rPr>
                <w:rFonts w:ascii="Arial" w:eastAsia="Arial" w:hAnsi="Arial" w:cs="Arial"/>
                <w:color w:val="000000"/>
                <w:sz w:val="24"/>
                <w:szCs w:val="24"/>
              </w:rPr>
              <w:tab/>
              <w:t>23</w:t>
            </w:r>
          </w:hyperlink>
        </w:p>
        <w:p w14:paraId="1624A936"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mfdukqb387t">
            <w:r>
              <w:rPr>
                <w:rFonts w:ascii="Arial" w:eastAsia="Arial" w:hAnsi="Arial" w:cs="Arial"/>
                <w:color w:val="000000"/>
                <w:sz w:val="24"/>
                <w:szCs w:val="24"/>
              </w:rPr>
              <w:t>3.2 Research Approach</w:t>
            </w:r>
            <w:r>
              <w:rPr>
                <w:rFonts w:ascii="Arial" w:eastAsia="Arial" w:hAnsi="Arial" w:cs="Arial"/>
                <w:color w:val="000000"/>
                <w:sz w:val="24"/>
                <w:szCs w:val="24"/>
              </w:rPr>
              <w:tab/>
              <w:t>24</w:t>
            </w:r>
          </w:hyperlink>
        </w:p>
        <w:p w14:paraId="177C34BE"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o03bwo55x3li">
            <w:r>
              <w:rPr>
                <w:rFonts w:ascii="Arial" w:eastAsia="Arial" w:hAnsi="Arial" w:cs="Arial"/>
                <w:color w:val="000000"/>
                <w:sz w:val="24"/>
                <w:szCs w:val="24"/>
              </w:rPr>
              <w:t>3.3 Research Design</w:t>
            </w:r>
            <w:r>
              <w:rPr>
                <w:rFonts w:ascii="Arial" w:eastAsia="Arial" w:hAnsi="Arial" w:cs="Arial"/>
                <w:color w:val="000000"/>
                <w:sz w:val="24"/>
                <w:szCs w:val="24"/>
              </w:rPr>
              <w:tab/>
              <w:t>25</w:t>
            </w:r>
          </w:hyperlink>
        </w:p>
        <w:p w14:paraId="13001260"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ek5fxlm3e206">
            <w:r>
              <w:rPr>
                <w:rFonts w:ascii="Arial" w:eastAsia="Arial" w:hAnsi="Arial" w:cs="Arial"/>
                <w:color w:val="000000"/>
                <w:sz w:val="24"/>
                <w:szCs w:val="24"/>
              </w:rPr>
              <w:t>3.4 Research Strategy: Survey-Based Research</w:t>
            </w:r>
            <w:r>
              <w:rPr>
                <w:rFonts w:ascii="Arial" w:eastAsia="Arial" w:hAnsi="Arial" w:cs="Arial"/>
                <w:color w:val="000000"/>
                <w:sz w:val="24"/>
                <w:szCs w:val="24"/>
              </w:rPr>
              <w:tab/>
              <w:t>25</w:t>
            </w:r>
          </w:hyperlink>
        </w:p>
        <w:p w14:paraId="04CDACF1"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t8q60qil8ot2">
            <w:r>
              <w:rPr>
                <w:rFonts w:ascii="Arial" w:eastAsia="Arial" w:hAnsi="Arial" w:cs="Arial"/>
                <w:color w:val="000000"/>
                <w:sz w:val="24"/>
                <w:szCs w:val="24"/>
              </w:rPr>
              <w:t>3.4.1 How the Survey Was Conducted?</w:t>
            </w:r>
            <w:r>
              <w:rPr>
                <w:rFonts w:ascii="Arial" w:eastAsia="Arial" w:hAnsi="Arial" w:cs="Arial"/>
                <w:color w:val="000000"/>
                <w:sz w:val="24"/>
                <w:szCs w:val="24"/>
              </w:rPr>
              <w:tab/>
              <w:t>26</w:t>
            </w:r>
          </w:hyperlink>
        </w:p>
        <w:p w14:paraId="617058A4"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p3qpl2djgiht">
            <w:r>
              <w:rPr>
                <w:rFonts w:ascii="Arial" w:eastAsia="Arial" w:hAnsi="Arial" w:cs="Arial"/>
                <w:color w:val="000000"/>
                <w:sz w:val="24"/>
                <w:szCs w:val="24"/>
              </w:rPr>
              <w:t>3.4.2 Data Collection Process (Step-by-Step)</w:t>
            </w:r>
            <w:r>
              <w:rPr>
                <w:rFonts w:ascii="Arial" w:eastAsia="Arial" w:hAnsi="Arial" w:cs="Arial"/>
                <w:color w:val="000000"/>
                <w:sz w:val="24"/>
                <w:szCs w:val="24"/>
              </w:rPr>
              <w:tab/>
              <w:t>26</w:t>
            </w:r>
          </w:hyperlink>
        </w:p>
        <w:p w14:paraId="2E05632C"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p2r3r6wnv4kg">
            <w:r>
              <w:rPr>
                <w:rFonts w:ascii="Arial" w:eastAsia="Arial" w:hAnsi="Arial" w:cs="Arial"/>
                <w:color w:val="000000"/>
                <w:sz w:val="24"/>
                <w:szCs w:val="24"/>
              </w:rPr>
              <w:t>3.4.3 Why the Survey Method Was Chosen</w:t>
            </w:r>
            <w:r>
              <w:rPr>
                <w:rFonts w:ascii="Arial" w:eastAsia="Arial" w:hAnsi="Arial" w:cs="Arial"/>
                <w:color w:val="000000"/>
                <w:sz w:val="24"/>
                <w:szCs w:val="24"/>
              </w:rPr>
              <w:tab/>
              <w:t>28</w:t>
            </w:r>
          </w:hyperlink>
        </w:p>
        <w:p w14:paraId="1FBA4F6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lovvtegpvi7o">
            <w:r>
              <w:rPr>
                <w:rFonts w:ascii="Arial" w:eastAsia="Arial" w:hAnsi="Arial" w:cs="Arial"/>
                <w:color w:val="000000"/>
                <w:sz w:val="24"/>
                <w:szCs w:val="24"/>
              </w:rPr>
              <w:t>3.5 Sampling Strategy</w:t>
            </w:r>
            <w:r>
              <w:rPr>
                <w:rFonts w:ascii="Arial" w:eastAsia="Arial" w:hAnsi="Arial" w:cs="Arial"/>
                <w:color w:val="000000"/>
                <w:sz w:val="24"/>
                <w:szCs w:val="24"/>
              </w:rPr>
              <w:tab/>
              <w:t>29</w:t>
            </w:r>
          </w:hyperlink>
        </w:p>
        <w:p w14:paraId="4985C42A"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x557v1i3i3vj">
            <w:r>
              <w:rPr>
                <w:rFonts w:ascii="Arial" w:eastAsia="Arial" w:hAnsi="Arial" w:cs="Arial"/>
                <w:color w:val="000000"/>
                <w:sz w:val="24"/>
                <w:szCs w:val="24"/>
              </w:rPr>
              <w:t>3.5.1 Sampling Method</w:t>
            </w:r>
            <w:r>
              <w:rPr>
                <w:rFonts w:ascii="Arial" w:eastAsia="Arial" w:hAnsi="Arial" w:cs="Arial"/>
                <w:color w:val="000000"/>
                <w:sz w:val="24"/>
                <w:szCs w:val="24"/>
              </w:rPr>
              <w:tab/>
              <w:t>29</w:t>
            </w:r>
          </w:hyperlink>
        </w:p>
        <w:p w14:paraId="2BC3689C"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6j21us1cx5cw">
            <w:r>
              <w:rPr>
                <w:rFonts w:ascii="Arial" w:eastAsia="Arial" w:hAnsi="Arial" w:cs="Arial"/>
                <w:color w:val="000000"/>
                <w:sz w:val="24"/>
                <w:szCs w:val="24"/>
              </w:rPr>
              <w:t>3.5.2 Sample Size Justification</w:t>
            </w:r>
            <w:r>
              <w:rPr>
                <w:rFonts w:ascii="Arial" w:eastAsia="Arial" w:hAnsi="Arial" w:cs="Arial"/>
                <w:color w:val="000000"/>
                <w:sz w:val="24"/>
                <w:szCs w:val="24"/>
              </w:rPr>
              <w:tab/>
              <w:t>29</w:t>
            </w:r>
          </w:hyperlink>
        </w:p>
        <w:p w14:paraId="0290EAF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rp3x2oe3x0xl">
            <w:r>
              <w:rPr>
                <w:rFonts w:ascii="Arial" w:eastAsia="Arial" w:hAnsi="Arial" w:cs="Arial"/>
                <w:color w:val="000000"/>
                <w:sz w:val="24"/>
                <w:szCs w:val="24"/>
              </w:rPr>
              <w:t>3.6 Data collection and measurement.</w:t>
            </w:r>
            <w:r>
              <w:rPr>
                <w:rFonts w:ascii="Arial" w:eastAsia="Arial" w:hAnsi="Arial" w:cs="Arial"/>
                <w:color w:val="000000"/>
                <w:sz w:val="24"/>
                <w:szCs w:val="24"/>
              </w:rPr>
              <w:tab/>
              <w:t>30</w:t>
            </w:r>
          </w:hyperlink>
        </w:p>
        <w:p w14:paraId="0C9395E0"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im3gp9ok1cip">
            <w:r>
              <w:rPr>
                <w:rFonts w:ascii="Arial" w:eastAsia="Arial" w:hAnsi="Arial" w:cs="Arial"/>
                <w:color w:val="000000"/>
                <w:sz w:val="24"/>
                <w:szCs w:val="24"/>
              </w:rPr>
              <w:t>3.6.1 Questionnaire Structure ( Appendix B)</w:t>
            </w:r>
            <w:r>
              <w:rPr>
                <w:rFonts w:ascii="Arial" w:eastAsia="Arial" w:hAnsi="Arial" w:cs="Arial"/>
                <w:color w:val="000000"/>
                <w:sz w:val="24"/>
                <w:szCs w:val="24"/>
              </w:rPr>
              <w:tab/>
              <w:t>30</w:t>
            </w:r>
          </w:hyperlink>
        </w:p>
        <w:p w14:paraId="14E95B11"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w2satw5g8wcc">
            <w:r>
              <w:rPr>
                <w:rFonts w:ascii="Arial" w:eastAsia="Arial" w:hAnsi="Arial" w:cs="Arial"/>
                <w:color w:val="000000"/>
                <w:sz w:val="24"/>
                <w:szCs w:val="24"/>
              </w:rPr>
              <w:t>3.7 Variables and Measurement</w:t>
            </w:r>
            <w:r>
              <w:rPr>
                <w:rFonts w:ascii="Arial" w:eastAsia="Arial" w:hAnsi="Arial" w:cs="Arial"/>
                <w:color w:val="000000"/>
                <w:sz w:val="24"/>
                <w:szCs w:val="24"/>
              </w:rPr>
              <w:tab/>
              <w:t>31</w:t>
            </w:r>
          </w:hyperlink>
        </w:p>
        <w:p w14:paraId="5757577C"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r6w95sxpdqvp">
            <w:r>
              <w:rPr>
                <w:rFonts w:ascii="Arial" w:eastAsia="Arial" w:hAnsi="Arial" w:cs="Arial"/>
                <w:color w:val="000000"/>
              </w:rPr>
              <w:t>Table 3.4: Construct Operationalisation</w:t>
            </w:r>
            <w:r>
              <w:rPr>
                <w:rFonts w:ascii="Arial" w:eastAsia="Arial" w:hAnsi="Arial" w:cs="Arial"/>
                <w:color w:val="000000"/>
              </w:rPr>
              <w:tab/>
              <w:t>32</w:t>
            </w:r>
          </w:hyperlink>
        </w:p>
        <w:p w14:paraId="4CC4031B"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x4g38mq6blbw">
            <w:r>
              <w:rPr>
                <w:rFonts w:ascii="Arial" w:eastAsia="Arial" w:hAnsi="Arial" w:cs="Arial"/>
                <w:color w:val="000000"/>
                <w:sz w:val="24"/>
                <w:szCs w:val="24"/>
              </w:rPr>
              <w:t>3.8 Data Analysis Techniques</w:t>
            </w:r>
            <w:r>
              <w:rPr>
                <w:rFonts w:ascii="Arial" w:eastAsia="Arial" w:hAnsi="Arial" w:cs="Arial"/>
                <w:color w:val="000000"/>
                <w:sz w:val="24"/>
                <w:szCs w:val="24"/>
              </w:rPr>
              <w:tab/>
              <w:t>35</w:t>
            </w:r>
          </w:hyperlink>
        </w:p>
        <w:p w14:paraId="16B7F6E2"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2vaptfz27aae">
            <w:r>
              <w:rPr>
                <w:rFonts w:ascii="Arial" w:eastAsia="Arial" w:hAnsi="Arial" w:cs="Arial"/>
                <w:color w:val="000000"/>
              </w:rPr>
              <w:t>3.8.1 Analytical Model</w:t>
            </w:r>
            <w:r>
              <w:rPr>
                <w:rFonts w:ascii="Arial" w:eastAsia="Arial" w:hAnsi="Arial" w:cs="Arial"/>
                <w:color w:val="000000"/>
              </w:rPr>
              <w:tab/>
              <w:t>35</w:t>
            </w:r>
          </w:hyperlink>
        </w:p>
        <w:p w14:paraId="2A86E7F0"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n6tazpqxqqu2">
            <w:r>
              <w:rPr>
                <w:rFonts w:ascii="Arial" w:eastAsia="Arial" w:hAnsi="Arial" w:cs="Arial"/>
                <w:color w:val="000000"/>
              </w:rPr>
              <w:t>3.8.1 Research Hypotheses</w:t>
            </w:r>
            <w:r>
              <w:rPr>
                <w:rFonts w:ascii="Arial" w:eastAsia="Arial" w:hAnsi="Arial" w:cs="Arial"/>
                <w:color w:val="000000"/>
              </w:rPr>
              <w:tab/>
              <w:t>36</w:t>
            </w:r>
          </w:hyperlink>
        </w:p>
        <w:p w14:paraId="147C9FA2"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90y4hvlmtjtt">
            <w:r>
              <w:rPr>
                <w:rFonts w:ascii="Arial" w:eastAsia="Arial" w:hAnsi="Arial" w:cs="Arial"/>
                <w:color w:val="000000"/>
                <w:sz w:val="24"/>
                <w:szCs w:val="24"/>
              </w:rPr>
              <w:t>3.09 Reliability and Validity</w:t>
            </w:r>
            <w:r>
              <w:rPr>
                <w:rFonts w:ascii="Arial" w:eastAsia="Arial" w:hAnsi="Arial" w:cs="Arial"/>
                <w:color w:val="000000"/>
                <w:sz w:val="24"/>
                <w:szCs w:val="24"/>
              </w:rPr>
              <w:tab/>
              <w:t>36</w:t>
            </w:r>
          </w:hyperlink>
        </w:p>
        <w:p w14:paraId="0C04BB3C"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smvtwyqod1on">
            <w:r>
              <w:rPr>
                <w:rFonts w:ascii="Arial" w:eastAsia="Arial" w:hAnsi="Arial" w:cs="Arial"/>
                <w:color w:val="000000"/>
                <w:sz w:val="24"/>
                <w:szCs w:val="24"/>
              </w:rPr>
              <w:t>3.10 Ethical Considerations</w:t>
            </w:r>
            <w:r>
              <w:rPr>
                <w:rFonts w:ascii="Arial" w:eastAsia="Arial" w:hAnsi="Arial" w:cs="Arial"/>
                <w:color w:val="000000"/>
                <w:sz w:val="24"/>
                <w:szCs w:val="24"/>
              </w:rPr>
              <w:tab/>
              <w:t>37</w:t>
            </w:r>
          </w:hyperlink>
        </w:p>
        <w:p w14:paraId="2C8F94CF"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i2q3am4ysd6o">
            <w:r>
              <w:rPr>
                <w:rFonts w:ascii="Arial" w:eastAsia="Arial" w:hAnsi="Arial" w:cs="Arial"/>
                <w:color w:val="000000"/>
                <w:sz w:val="24"/>
                <w:szCs w:val="24"/>
              </w:rPr>
              <w:t>3.11 Limitations</w:t>
            </w:r>
            <w:r>
              <w:rPr>
                <w:rFonts w:ascii="Arial" w:eastAsia="Arial" w:hAnsi="Arial" w:cs="Arial"/>
                <w:color w:val="000000"/>
                <w:sz w:val="24"/>
                <w:szCs w:val="24"/>
              </w:rPr>
              <w:tab/>
              <w:t>38</w:t>
            </w:r>
          </w:hyperlink>
        </w:p>
        <w:p w14:paraId="1B4CA2E4"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oqzzb4ozpbyb">
            <w:r>
              <w:rPr>
                <w:rFonts w:ascii="Arial" w:eastAsia="Arial" w:hAnsi="Arial" w:cs="Arial"/>
                <w:color w:val="000000"/>
                <w:sz w:val="24"/>
                <w:szCs w:val="24"/>
              </w:rPr>
              <w:t>Chapter 4: FINDINGS AND ANALYSIS</w:t>
            </w:r>
            <w:r>
              <w:rPr>
                <w:rFonts w:ascii="Arial" w:eastAsia="Arial" w:hAnsi="Arial" w:cs="Arial"/>
                <w:color w:val="000000"/>
                <w:sz w:val="24"/>
                <w:szCs w:val="24"/>
              </w:rPr>
              <w:tab/>
              <w:t>40</w:t>
            </w:r>
          </w:hyperlink>
        </w:p>
        <w:p w14:paraId="6611C890"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tzsrstm1kugj">
            <w:r>
              <w:rPr>
                <w:rFonts w:ascii="Arial" w:eastAsia="Arial" w:hAnsi="Arial" w:cs="Arial"/>
                <w:color w:val="000000"/>
                <w:sz w:val="24"/>
                <w:szCs w:val="24"/>
              </w:rPr>
              <w:t>4.1 Demographic Profile of Respondents (Appendix C)</w:t>
            </w:r>
            <w:r>
              <w:rPr>
                <w:rFonts w:ascii="Arial" w:eastAsia="Arial" w:hAnsi="Arial" w:cs="Arial"/>
                <w:color w:val="000000"/>
                <w:sz w:val="24"/>
                <w:szCs w:val="24"/>
              </w:rPr>
              <w:tab/>
              <w:t>40</w:t>
            </w:r>
          </w:hyperlink>
        </w:p>
        <w:p w14:paraId="53481DF1"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89698p14p1ls">
            <w:r>
              <w:rPr>
                <w:rFonts w:ascii="Arial" w:eastAsia="Arial" w:hAnsi="Arial" w:cs="Arial"/>
                <w:color w:val="000000"/>
              </w:rPr>
              <w:t>Table 4.2: Reliability Analysis (Cronbach's Alpha)</w:t>
            </w:r>
            <w:r>
              <w:rPr>
                <w:rFonts w:ascii="Arial" w:eastAsia="Arial" w:hAnsi="Arial" w:cs="Arial"/>
                <w:color w:val="000000"/>
              </w:rPr>
              <w:tab/>
              <w:t>40</w:t>
            </w:r>
          </w:hyperlink>
        </w:p>
        <w:p w14:paraId="10B19A65"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uak17jaq8ago">
            <w:r>
              <w:rPr>
                <w:rFonts w:ascii="Arial" w:eastAsia="Arial" w:hAnsi="Arial" w:cs="Arial"/>
                <w:color w:val="000000"/>
                <w:sz w:val="24"/>
                <w:szCs w:val="24"/>
              </w:rPr>
              <w:t>4.3 Correlation Analysis</w:t>
            </w:r>
            <w:r>
              <w:rPr>
                <w:rFonts w:ascii="Arial" w:eastAsia="Arial" w:hAnsi="Arial" w:cs="Arial"/>
                <w:color w:val="000000"/>
                <w:sz w:val="24"/>
                <w:szCs w:val="24"/>
              </w:rPr>
              <w:tab/>
              <w:t>43</w:t>
            </w:r>
          </w:hyperlink>
        </w:p>
        <w:p w14:paraId="087CC121"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96q0dcx26r5n">
            <w:r>
              <w:rPr>
                <w:rFonts w:ascii="Arial" w:eastAsia="Arial" w:hAnsi="Arial" w:cs="Arial"/>
                <w:color w:val="000000"/>
                <w:sz w:val="24"/>
                <w:szCs w:val="24"/>
              </w:rPr>
              <w:t>4.4 Regression Analysis</w:t>
            </w:r>
            <w:r>
              <w:rPr>
                <w:rFonts w:ascii="Arial" w:eastAsia="Arial" w:hAnsi="Arial" w:cs="Arial"/>
                <w:color w:val="000000"/>
                <w:sz w:val="24"/>
                <w:szCs w:val="24"/>
              </w:rPr>
              <w:tab/>
              <w:t>45</w:t>
            </w:r>
          </w:hyperlink>
        </w:p>
        <w:p w14:paraId="3509B773"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qzydzyylu42n">
            <w:r>
              <w:rPr>
                <w:rFonts w:ascii="Arial" w:eastAsia="Arial" w:hAnsi="Arial" w:cs="Arial"/>
                <w:color w:val="000000"/>
              </w:rPr>
              <w:t>Model Summary</w:t>
            </w:r>
            <w:r>
              <w:rPr>
                <w:rFonts w:ascii="Arial" w:eastAsia="Arial" w:hAnsi="Arial" w:cs="Arial"/>
                <w:color w:val="000000"/>
              </w:rPr>
              <w:tab/>
              <w:t>45</w:t>
            </w:r>
          </w:hyperlink>
        </w:p>
        <w:p w14:paraId="50CF93EA"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sejgr1u1caiv">
            <w:r>
              <w:rPr>
                <w:rFonts w:ascii="Arial" w:eastAsia="Arial" w:hAnsi="Arial" w:cs="Arial"/>
                <w:color w:val="000000"/>
              </w:rPr>
              <w:t>Interpretation</w:t>
            </w:r>
            <w:r>
              <w:rPr>
                <w:rFonts w:ascii="Arial" w:eastAsia="Arial" w:hAnsi="Arial" w:cs="Arial"/>
                <w:color w:val="000000"/>
              </w:rPr>
              <w:tab/>
              <w:t>45</w:t>
            </w:r>
          </w:hyperlink>
        </w:p>
        <w:p w14:paraId="466A4961"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7imrtxk0xlfd">
            <w:r>
              <w:rPr>
                <w:rFonts w:ascii="Arial" w:eastAsia="Arial" w:hAnsi="Arial" w:cs="Arial"/>
                <w:color w:val="000000"/>
                <w:sz w:val="24"/>
                <w:szCs w:val="24"/>
              </w:rPr>
              <w:t>4.5 Summary of Key Findings</w:t>
            </w:r>
            <w:r>
              <w:rPr>
                <w:rFonts w:ascii="Arial" w:eastAsia="Arial" w:hAnsi="Arial" w:cs="Arial"/>
                <w:color w:val="000000"/>
                <w:sz w:val="24"/>
                <w:szCs w:val="24"/>
              </w:rPr>
              <w:tab/>
              <w:t>47</w:t>
            </w:r>
          </w:hyperlink>
        </w:p>
        <w:p w14:paraId="768DF21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444ezxa4x329">
            <w:r>
              <w:rPr>
                <w:rFonts w:ascii="Arial" w:eastAsia="Arial" w:hAnsi="Arial" w:cs="Arial"/>
                <w:color w:val="000000"/>
                <w:sz w:val="24"/>
                <w:szCs w:val="24"/>
              </w:rPr>
              <w:t>4.6 Chapter Summary</w:t>
            </w:r>
            <w:r>
              <w:rPr>
                <w:rFonts w:ascii="Arial" w:eastAsia="Arial" w:hAnsi="Arial" w:cs="Arial"/>
                <w:color w:val="000000"/>
                <w:sz w:val="24"/>
                <w:szCs w:val="24"/>
              </w:rPr>
              <w:tab/>
              <w:t>48</w:t>
            </w:r>
          </w:hyperlink>
        </w:p>
        <w:p w14:paraId="3E8E479C"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aqrknymm5mp8">
            <w:r>
              <w:rPr>
                <w:rFonts w:ascii="Arial" w:eastAsia="Arial" w:hAnsi="Arial" w:cs="Arial"/>
                <w:color w:val="000000"/>
                <w:sz w:val="24"/>
                <w:szCs w:val="24"/>
              </w:rPr>
              <w:t>CHAPTER 5: CONCLUSION &amp; RECOMMENDATIONS</w:t>
            </w:r>
            <w:r>
              <w:rPr>
                <w:rFonts w:ascii="Arial" w:eastAsia="Arial" w:hAnsi="Arial" w:cs="Arial"/>
                <w:color w:val="000000"/>
                <w:sz w:val="24"/>
                <w:szCs w:val="24"/>
              </w:rPr>
              <w:tab/>
              <w:t>50</w:t>
            </w:r>
          </w:hyperlink>
        </w:p>
        <w:p w14:paraId="735DF5EC"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nyuy19b1acto">
            <w:r>
              <w:rPr>
                <w:rFonts w:ascii="Arial" w:eastAsia="Arial" w:hAnsi="Arial" w:cs="Arial"/>
                <w:color w:val="000000"/>
                <w:sz w:val="24"/>
                <w:szCs w:val="24"/>
              </w:rPr>
              <w:t>5.1 Theoretical Implications</w:t>
            </w:r>
            <w:r>
              <w:rPr>
                <w:rFonts w:ascii="Arial" w:eastAsia="Arial" w:hAnsi="Arial" w:cs="Arial"/>
                <w:color w:val="000000"/>
                <w:sz w:val="24"/>
                <w:szCs w:val="24"/>
              </w:rPr>
              <w:tab/>
              <w:t>51</w:t>
            </w:r>
          </w:hyperlink>
        </w:p>
        <w:p w14:paraId="76B05F29"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oef23gp08gbo">
            <w:r>
              <w:rPr>
                <w:rFonts w:ascii="Arial" w:eastAsia="Arial" w:hAnsi="Arial" w:cs="Arial"/>
                <w:color w:val="000000"/>
              </w:rPr>
              <w:t>Sustainability–Trust Mechanism</w:t>
            </w:r>
            <w:r>
              <w:rPr>
                <w:rFonts w:ascii="Arial" w:eastAsia="Arial" w:hAnsi="Arial" w:cs="Arial"/>
                <w:color w:val="000000"/>
              </w:rPr>
              <w:tab/>
              <w:t>51</w:t>
            </w:r>
          </w:hyperlink>
        </w:p>
        <w:p w14:paraId="673F8E9F"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8xcxxi192mmf">
            <w:r>
              <w:rPr>
                <w:rFonts w:ascii="Arial" w:eastAsia="Arial" w:hAnsi="Arial" w:cs="Arial"/>
                <w:color w:val="000000"/>
              </w:rPr>
              <w:t>Contribution to Theory of Planned Behaviour (TPB)</w:t>
            </w:r>
            <w:r>
              <w:rPr>
                <w:rFonts w:ascii="Arial" w:eastAsia="Arial" w:hAnsi="Arial" w:cs="Arial"/>
                <w:color w:val="000000"/>
              </w:rPr>
              <w:tab/>
              <w:t>51</w:t>
            </w:r>
          </w:hyperlink>
        </w:p>
        <w:p w14:paraId="0C4F44CE"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3kg815jyod65">
            <w:r>
              <w:rPr>
                <w:rFonts w:ascii="Arial" w:eastAsia="Arial" w:hAnsi="Arial" w:cs="Arial"/>
                <w:color w:val="000000"/>
              </w:rPr>
              <w:t>Role of Brand Trust as a Mediator</w:t>
            </w:r>
            <w:r>
              <w:rPr>
                <w:rFonts w:ascii="Arial" w:eastAsia="Arial" w:hAnsi="Arial" w:cs="Arial"/>
                <w:color w:val="000000"/>
              </w:rPr>
              <w:tab/>
              <w:t>51</w:t>
            </w:r>
          </w:hyperlink>
        </w:p>
        <w:p w14:paraId="580F3A8C"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6b6o5uw9zgm2">
            <w:r>
              <w:rPr>
                <w:rFonts w:ascii="Arial" w:eastAsia="Arial" w:hAnsi="Arial" w:cs="Arial"/>
                <w:color w:val="000000"/>
              </w:rPr>
              <w:t>Brand Image Formation</w:t>
            </w:r>
            <w:r>
              <w:rPr>
                <w:rFonts w:ascii="Arial" w:eastAsia="Arial" w:hAnsi="Arial" w:cs="Arial"/>
                <w:color w:val="000000"/>
              </w:rPr>
              <w:tab/>
              <w:t>52</w:t>
            </w:r>
          </w:hyperlink>
        </w:p>
        <w:p w14:paraId="5B45F10A"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ewzir5q94gk">
            <w:r>
              <w:rPr>
                <w:rFonts w:ascii="Arial" w:eastAsia="Arial" w:hAnsi="Arial" w:cs="Arial"/>
                <w:color w:val="000000"/>
                <w:sz w:val="24"/>
                <w:szCs w:val="24"/>
              </w:rPr>
              <w:t>5.2 Managerial Implications</w:t>
            </w:r>
            <w:r>
              <w:rPr>
                <w:rFonts w:ascii="Arial" w:eastAsia="Arial" w:hAnsi="Arial" w:cs="Arial"/>
                <w:color w:val="000000"/>
                <w:sz w:val="24"/>
                <w:szCs w:val="24"/>
              </w:rPr>
              <w:tab/>
              <w:t>52</w:t>
            </w:r>
          </w:hyperlink>
        </w:p>
        <w:p w14:paraId="253CE0DB"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ueciy54skuy8">
            <w:r>
              <w:rPr>
                <w:rFonts w:ascii="Arial" w:eastAsia="Arial" w:hAnsi="Arial" w:cs="Arial"/>
                <w:color w:val="000000"/>
              </w:rPr>
              <w:t>1. Transparency Through Digital Technology</w:t>
            </w:r>
            <w:r>
              <w:rPr>
                <w:rFonts w:ascii="Arial" w:eastAsia="Arial" w:hAnsi="Arial" w:cs="Arial"/>
                <w:color w:val="000000"/>
              </w:rPr>
              <w:tab/>
              <w:t>52</w:t>
            </w:r>
          </w:hyperlink>
        </w:p>
        <w:p w14:paraId="2B8AEB54"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xqrgenf3pe6w">
            <w:r>
              <w:rPr>
                <w:rFonts w:ascii="Arial" w:eastAsia="Arial" w:hAnsi="Arial" w:cs="Arial"/>
                <w:color w:val="000000"/>
              </w:rPr>
              <w:t>2. Carbon Footprint Disclosure</w:t>
            </w:r>
            <w:r>
              <w:rPr>
                <w:rFonts w:ascii="Arial" w:eastAsia="Arial" w:hAnsi="Arial" w:cs="Arial"/>
                <w:color w:val="000000"/>
              </w:rPr>
              <w:tab/>
              <w:t>52</w:t>
            </w:r>
          </w:hyperlink>
        </w:p>
        <w:p w14:paraId="0B72D115"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3f8146cyc4vy">
            <w:r>
              <w:rPr>
                <w:rFonts w:ascii="Arial" w:eastAsia="Arial" w:hAnsi="Arial" w:cs="Arial"/>
                <w:color w:val="000000"/>
              </w:rPr>
              <w:t>3. Sustainable Product Segmentation</w:t>
            </w:r>
            <w:r>
              <w:rPr>
                <w:rFonts w:ascii="Arial" w:eastAsia="Arial" w:hAnsi="Arial" w:cs="Arial"/>
                <w:color w:val="000000"/>
              </w:rPr>
              <w:tab/>
              <w:t>53</w:t>
            </w:r>
          </w:hyperlink>
        </w:p>
        <w:p w14:paraId="4ECBC4C1"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jd8khoqnmw3k">
            <w:r>
              <w:rPr>
                <w:rFonts w:ascii="Arial" w:eastAsia="Arial" w:hAnsi="Arial" w:cs="Arial"/>
                <w:color w:val="000000"/>
              </w:rPr>
              <w:t>4. Gen Z Targeted Sustainability Campaigns</w:t>
            </w:r>
            <w:r>
              <w:rPr>
                <w:rFonts w:ascii="Arial" w:eastAsia="Arial" w:hAnsi="Arial" w:cs="Arial"/>
                <w:color w:val="000000"/>
              </w:rPr>
              <w:tab/>
              <w:t>53</w:t>
            </w:r>
          </w:hyperlink>
        </w:p>
        <w:p w14:paraId="7A480DCE"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474ifk8tojk2">
            <w:r>
              <w:rPr>
                <w:rFonts w:ascii="Arial" w:eastAsia="Arial" w:hAnsi="Arial" w:cs="Arial"/>
                <w:color w:val="000000"/>
              </w:rPr>
              <w:t>5. Addressing ESG Competition</w:t>
            </w:r>
            <w:r>
              <w:rPr>
                <w:rFonts w:ascii="Arial" w:eastAsia="Arial" w:hAnsi="Arial" w:cs="Arial"/>
                <w:color w:val="000000"/>
              </w:rPr>
              <w:tab/>
              <w:t>53</w:t>
            </w:r>
          </w:hyperlink>
        </w:p>
        <w:p w14:paraId="3946950B"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9lxfvrk4zc5w">
            <w:r>
              <w:rPr>
                <w:rFonts w:ascii="Arial" w:eastAsia="Arial" w:hAnsi="Arial" w:cs="Arial"/>
                <w:color w:val="000000"/>
                <w:sz w:val="24"/>
                <w:szCs w:val="24"/>
              </w:rPr>
              <w:t>5.4 Limitations</w:t>
            </w:r>
            <w:r>
              <w:rPr>
                <w:rFonts w:ascii="Arial" w:eastAsia="Arial" w:hAnsi="Arial" w:cs="Arial"/>
                <w:color w:val="000000"/>
                <w:sz w:val="24"/>
                <w:szCs w:val="24"/>
              </w:rPr>
              <w:tab/>
              <w:t>54</w:t>
            </w:r>
          </w:hyperlink>
        </w:p>
        <w:p w14:paraId="63D08E8D"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sp96z9lqagq1">
            <w:r>
              <w:rPr>
                <w:rFonts w:ascii="Arial" w:eastAsia="Arial" w:hAnsi="Arial" w:cs="Arial"/>
                <w:color w:val="000000"/>
                <w:sz w:val="24"/>
                <w:szCs w:val="24"/>
              </w:rPr>
              <w:t>5.5 Future Research</w:t>
            </w:r>
            <w:r>
              <w:rPr>
                <w:rFonts w:ascii="Arial" w:eastAsia="Arial" w:hAnsi="Arial" w:cs="Arial"/>
                <w:color w:val="000000"/>
                <w:sz w:val="24"/>
                <w:szCs w:val="24"/>
              </w:rPr>
              <w:tab/>
              <w:t>55</w:t>
            </w:r>
          </w:hyperlink>
        </w:p>
        <w:p w14:paraId="52F9A2F8"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9i31japg0vd9">
            <w:r>
              <w:rPr>
                <w:rFonts w:ascii="Arial" w:eastAsia="Arial" w:hAnsi="Arial" w:cs="Arial"/>
                <w:color w:val="000000"/>
              </w:rPr>
              <w:t>5.6 Strategic Insights</w:t>
            </w:r>
            <w:r>
              <w:rPr>
                <w:rFonts w:ascii="Arial" w:eastAsia="Arial" w:hAnsi="Arial" w:cs="Arial"/>
                <w:color w:val="000000"/>
              </w:rPr>
              <w:tab/>
              <w:t>56</w:t>
            </w:r>
          </w:hyperlink>
        </w:p>
        <w:p w14:paraId="4DEDE593"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95x6pfdc2iao">
            <w:r>
              <w:rPr>
                <w:rFonts w:ascii="Arial" w:eastAsia="Arial" w:hAnsi="Arial" w:cs="Arial"/>
                <w:color w:val="000000"/>
              </w:rPr>
              <w:t>Sustainability Fatigue</w:t>
            </w:r>
            <w:r>
              <w:rPr>
                <w:rFonts w:ascii="Arial" w:eastAsia="Arial" w:hAnsi="Arial" w:cs="Arial"/>
                <w:color w:val="000000"/>
              </w:rPr>
              <w:tab/>
              <w:t>56</w:t>
            </w:r>
          </w:hyperlink>
        </w:p>
        <w:p w14:paraId="3A8D1E4E"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1ev67hszyqf5">
            <w:r>
              <w:rPr>
                <w:rFonts w:ascii="Arial" w:eastAsia="Arial" w:hAnsi="Arial" w:cs="Arial"/>
                <w:color w:val="000000"/>
              </w:rPr>
              <w:t>Authenticity Risk</w:t>
            </w:r>
            <w:r>
              <w:rPr>
                <w:rFonts w:ascii="Arial" w:eastAsia="Arial" w:hAnsi="Arial" w:cs="Arial"/>
                <w:color w:val="000000"/>
              </w:rPr>
              <w:tab/>
              <w:t>56</w:t>
            </w:r>
          </w:hyperlink>
        </w:p>
        <w:p w14:paraId="52D0715F" w14:textId="77777777" w:rsidR="00E336C2" w:rsidRDefault="00000000">
          <w:pPr>
            <w:widowControl w:val="0"/>
            <w:tabs>
              <w:tab w:val="right" w:leader="dot" w:pos="12000"/>
            </w:tabs>
            <w:spacing w:before="60" w:after="0" w:line="240" w:lineRule="auto"/>
            <w:ind w:left="720"/>
            <w:rPr>
              <w:rFonts w:ascii="Arial" w:eastAsia="Arial" w:hAnsi="Arial" w:cs="Arial"/>
              <w:color w:val="000000"/>
            </w:rPr>
          </w:pPr>
          <w:hyperlink w:anchor="_jpcqorjlvi0f">
            <w:r>
              <w:rPr>
                <w:rFonts w:ascii="Arial" w:eastAsia="Arial" w:hAnsi="Arial" w:cs="Arial"/>
                <w:color w:val="000000"/>
              </w:rPr>
              <w:t>ESG Competition</w:t>
            </w:r>
            <w:r>
              <w:rPr>
                <w:rFonts w:ascii="Arial" w:eastAsia="Arial" w:hAnsi="Arial" w:cs="Arial"/>
                <w:color w:val="000000"/>
              </w:rPr>
              <w:tab/>
              <w:t>56</w:t>
            </w:r>
          </w:hyperlink>
        </w:p>
        <w:p w14:paraId="219A3DF4" w14:textId="77777777" w:rsidR="00E336C2" w:rsidRDefault="00000000">
          <w:pPr>
            <w:widowControl w:val="0"/>
            <w:tabs>
              <w:tab w:val="right" w:leader="dot" w:pos="12000"/>
            </w:tabs>
            <w:spacing w:before="60" w:after="0" w:line="240" w:lineRule="auto"/>
            <w:ind w:left="360"/>
            <w:rPr>
              <w:rFonts w:ascii="Arial" w:eastAsia="Arial" w:hAnsi="Arial" w:cs="Arial"/>
              <w:color w:val="000000"/>
            </w:rPr>
          </w:pPr>
          <w:hyperlink w:anchor="_5r4451t7dii9">
            <w:r>
              <w:rPr>
                <w:rFonts w:ascii="Arial" w:eastAsia="Arial" w:hAnsi="Arial" w:cs="Arial"/>
                <w:color w:val="000000"/>
              </w:rPr>
              <w:t>5.7 Final Conclusion</w:t>
            </w:r>
            <w:r>
              <w:rPr>
                <w:rFonts w:ascii="Arial" w:eastAsia="Arial" w:hAnsi="Arial" w:cs="Arial"/>
                <w:color w:val="000000"/>
              </w:rPr>
              <w:tab/>
              <w:t>57</w:t>
            </w:r>
          </w:hyperlink>
        </w:p>
        <w:p w14:paraId="35477775"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z64pvh6p04w3">
            <w:r>
              <w:rPr>
                <w:rFonts w:ascii="Arial" w:eastAsia="Arial" w:hAnsi="Arial" w:cs="Arial"/>
                <w:color w:val="000000"/>
                <w:sz w:val="24"/>
                <w:szCs w:val="24"/>
              </w:rPr>
              <w:t>References</w:t>
            </w:r>
            <w:r>
              <w:rPr>
                <w:rFonts w:ascii="Arial" w:eastAsia="Arial" w:hAnsi="Arial" w:cs="Arial"/>
                <w:color w:val="000000"/>
                <w:sz w:val="24"/>
                <w:szCs w:val="24"/>
              </w:rPr>
              <w:tab/>
              <w:t>58</w:t>
            </w:r>
          </w:hyperlink>
        </w:p>
        <w:p w14:paraId="11BE97BA"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8qycs5ifziyn">
            <w:r>
              <w:rPr>
                <w:rFonts w:ascii="Arial" w:eastAsia="Arial" w:hAnsi="Arial" w:cs="Arial"/>
                <w:color w:val="000000"/>
                <w:sz w:val="24"/>
                <w:szCs w:val="24"/>
              </w:rPr>
              <w:t>Appendix A:</w:t>
            </w:r>
            <w:r>
              <w:rPr>
                <w:rFonts w:ascii="Arial" w:eastAsia="Arial" w:hAnsi="Arial" w:cs="Arial"/>
                <w:color w:val="000000"/>
                <w:sz w:val="24"/>
                <w:szCs w:val="24"/>
              </w:rPr>
              <w:tab/>
              <w:t>62</w:t>
            </w:r>
          </w:hyperlink>
        </w:p>
        <w:p w14:paraId="57CF7457"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igst18k0rz3k">
            <w:r>
              <w:rPr>
                <w:rFonts w:ascii="Arial" w:eastAsia="Arial" w:hAnsi="Arial" w:cs="Arial"/>
                <w:color w:val="000000"/>
                <w:sz w:val="24"/>
                <w:szCs w:val="24"/>
              </w:rPr>
              <w:t>Questionnaire (Appendix B)</w:t>
            </w:r>
            <w:r>
              <w:rPr>
                <w:rFonts w:ascii="Arial" w:eastAsia="Arial" w:hAnsi="Arial" w:cs="Arial"/>
                <w:color w:val="000000"/>
                <w:sz w:val="24"/>
                <w:szCs w:val="24"/>
              </w:rPr>
              <w:tab/>
              <w:t>64</w:t>
            </w:r>
          </w:hyperlink>
        </w:p>
        <w:p w14:paraId="4CAF092B"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2u8jmy5q8nj6">
            <w:r>
              <w:rPr>
                <w:rFonts w:ascii="Arial" w:eastAsia="Arial" w:hAnsi="Arial" w:cs="Arial"/>
                <w:color w:val="000000"/>
                <w:sz w:val="24"/>
                <w:szCs w:val="24"/>
              </w:rPr>
              <w:t>Appendix C: Raw Demographic Data Summary</w:t>
            </w:r>
            <w:r>
              <w:rPr>
                <w:rFonts w:ascii="Arial" w:eastAsia="Arial" w:hAnsi="Arial" w:cs="Arial"/>
                <w:color w:val="000000"/>
                <w:sz w:val="24"/>
                <w:szCs w:val="24"/>
              </w:rPr>
              <w:tab/>
              <w:t>67</w:t>
            </w:r>
          </w:hyperlink>
        </w:p>
        <w:p w14:paraId="71FF8F1C" w14:textId="77777777" w:rsidR="00E336C2" w:rsidRDefault="00000000">
          <w:pPr>
            <w:widowControl w:val="0"/>
            <w:tabs>
              <w:tab w:val="right" w:leader="dot" w:pos="12000"/>
            </w:tabs>
            <w:spacing w:before="60" w:after="0" w:line="240" w:lineRule="auto"/>
            <w:rPr>
              <w:rFonts w:ascii="Arial" w:eastAsia="Arial" w:hAnsi="Arial" w:cs="Arial"/>
              <w:b/>
              <w:bCs/>
              <w:color w:val="000000"/>
            </w:rPr>
          </w:pPr>
          <w:hyperlink w:anchor="_p31uyy2pb6xr">
            <w:r>
              <w:rPr>
                <w:rFonts w:ascii="Arial" w:eastAsia="Arial" w:hAnsi="Arial" w:cs="Arial"/>
                <w:color w:val="000000"/>
                <w:sz w:val="24"/>
                <w:szCs w:val="24"/>
              </w:rPr>
              <w:t>Appendix D: Measurement Items and Calculation of Descriptive Statistics</w:t>
            </w:r>
            <w:r>
              <w:rPr>
                <w:rFonts w:ascii="Arial" w:eastAsia="Arial" w:hAnsi="Arial" w:cs="Arial"/>
                <w:color w:val="000000"/>
                <w:sz w:val="24"/>
                <w:szCs w:val="24"/>
              </w:rPr>
              <w:tab/>
              <w:t>68</w:t>
            </w:r>
          </w:hyperlink>
          <w:r>
            <w:fldChar w:fldCharType="end"/>
          </w:r>
        </w:p>
      </w:sdtContent>
    </w:sdt>
    <w:p w14:paraId="742212DD" w14:textId="77777777" w:rsidR="00E336C2" w:rsidRDefault="00E336C2">
      <w:pPr>
        <w:spacing w:line="360" w:lineRule="auto"/>
        <w:jc w:val="center"/>
        <w:rPr>
          <w:rFonts w:ascii="Arial" w:eastAsia="Arial" w:hAnsi="Arial" w:cs="Arial"/>
          <w:b/>
          <w:bCs/>
          <w:color w:val="000000"/>
          <w:sz w:val="32"/>
          <w:szCs w:val="32"/>
        </w:rPr>
      </w:pPr>
    </w:p>
    <w:p w14:paraId="5A3AA57D" w14:textId="77777777" w:rsidR="00E336C2" w:rsidRDefault="00E336C2">
      <w:pPr>
        <w:spacing w:line="360" w:lineRule="auto"/>
        <w:jc w:val="center"/>
        <w:rPr>
          <w:rFonts w:ascii="Arial" w:eastAsia="Arial" w:hAnsi="Arial" w:cs="Arial"/>
          <w:b/>
          <w:bCs/>
          <w:color w:val="000000"/>
          <w:sz w:val="32"/>
          <w:szCs w:val="32"/>
        </w:rPr>
      </w:pPr>
    </w:p>
    <w:p w14:paraId="16EB9A55" w14:textId="77777777" w:rsidR="00E336C2" w:rsidRDefault="00E336C2">
      <w:pPr>
        <w:spacing w:line="360" w:lineRule="auto"/>
        <w:jc w:val="center"/>
        <w:rPr>
          <w:rFonts w:ascii="Arial" w:eastAsia="Arial" w:hAnsi="Arial" w:cs="Arial"/>
          <w:b/>
          <w:bCs/>
          <w:color w:val="000000"/>
          <w:sz w:val="32"/>
          <w:szCs w:val="32"/>
        </w:rPr>
      </w:pPr>
    </w:p>
    <w:p w14:paraId="678C7443" w14:textId="77777777" w:rsidR="00E336C2" w:rsidRDefault="00E336C2">
      <w:pPr>
        <w:spacing w:line="360" w:lineRule="auto"/>
        <w:rPr>
          <w:rFonts w:ascii="Arial" w:eastAsia="Arial" w:hAnsi="Arial" w:cs="Arial"/>
          <w:b/>
          <w:bCs/>
          <w:color w:val="000000"/>
          <w:sz w:val="32"/>
          <w:szCs w:val="32"/>
        </w:rPr>
      </w:pPr>
    </w:p>
    <w:p w14:paraId="12550FD3" w14:textId="77777777" w:rsidR="00E336C2" w:rsidRDefault="00000000">
      <w:pP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List of Table</w:t>
      </w:r>
    </w:p>
    <w:sdt>
      <w:sdtPr>
        <w:id w:val="1909027778"/>
        <w:docPartObj>
          <w:docPartGallery w:val="Table of Contents"/>
          <w:docPartUnique/>
        </w:docPartObj>
      </w:sdtPr>
      <w:sdtContent>
        <w:p w14:paraId="644CD131"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yki26ov8hnrn">
            <w:r>
              <w:rPr>
                <w:rFonts w:ascii="Arial" w:eastAsia="Arial" w:hAnsi="Arial" w:cs="Arial"/>
                <w:color w:val="000000"/>
              </w:rPr>
              <w:t>Table 1- Variables and Measurement</w:t>
            </w:r>
          </w:hyperlink>
          <w:hyperlink w:anchor="_yki26ov8hnrn">
            <w:r>
              <w:rPr>
                <w:color w:val="000000"/>
              </w:rPr>
              <w:tab/>
              <w:t>30</w:t>
            </w:r>
          </w:hyperlink>
        </w:p>
        <w:p w14:paraId="72021FD6"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hyperlink w:anchor="_vxavtdpcbgn7">
            <w:r>
              <w:rPr>
                <w:rFonts w:ascii="Arial" w:eastAsia="Arial" w:hAnsi="Arial" w:cs="Arial"/>
                <w:color w:val="000000"/>
              </w:rPr>
              <w:t>Table 2: Demographic Summary</w:t>
            </w:r>
          </w:hyperlink>
          <w:hyperlink w:anchor="_vxavtdpcbgn7">
            <w:r>
              <w:rPr>
                <w:color w:val="000000"/>
              </w:rPr>
              <w:tab/>
              <w:t>38</w:t>
            </w:r>
          </w:hyperlink>
        </w:p>
        <w:p w14:paraId="568C492E"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hyperlink w:anchor="_ge6ohr7w160y">
            <w:r>
              <w:rPr>
                <w:color w:val="000000"/>
              </w:rPr>
              <w:t>Table 3: Mean and Standard Deviation of Key Variables</w:t>
            </w:r>
            <w:r>
              <w:rPr>
                <w:color w:val="000000"/>
              </w:rPr>
              <w:tab/>
              <w:t>40</w:t>
            </w:r>
          </w:hyperlink>
        </w:p>
        <w:p w14:paraId="5EE04E0A"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hyperlink w:anchor="_kcnd44neje6t">
            <w:r>
              <w:rPr>
                <w:rFonts w:ascii="Arial" w:eastAsia="Arial" w:hAnsi="Arial" w:cs="Arial"/>
                <w:color w:val="000000"/>
              </w:rPr>
              <w:t>Table 4: Correlation Matrix</w:t>
            </w:r>
          </w:hyperlink>
          <w:hyperlink w:anchor="_kcnd44neje6t">
            <w:r>
              <w:rPr>
                <w:color w:val="000000"/>
              </w:rPr>
              <w:tab/>
              <w:t>42</w:t>
            </w:r>
          </w:hyperlink>
        </w:p>
        <w:p w14:paraId="5E1EB7CA" w14:textId="77777777" w:rsidR="00E336C2" w:rsidRDefault="00000000">
          <w:pPr>
            <w:spacing w:line="360" w:lineRule="auto"/>
            <w:jc w:val="both"/>
            <w:rPr>
              <w:rFonts w:ascii="Arial" w:eastAsia="Arial" w:hAnsi="Arial" w:cs="Arial"/>
              <w:b/>
              <w:bCs/>
              <w:color w:val="000000"/>
              <w:sz w:val="32"/>
              <w:szCs w:val="32"/>
            </w:rPr>
          </w:pPr>
          <w:r>
            <w:fldChar w:fldCharType="end"/>
          </w:r>
        </w:p>
      </w:sdtContent>
    </w:sdt>
    <w:p w14:paraId="5B7D9846" w14:textId="77777777" w:rsidR="00E336C2" w:rsidRDefault="00E336C2">
      <w:pPr>
        <w:tabs>
          <w:tab w:val="left" w:pos="1950"/>
        </w:tabs>
        <w:jc w:val="center"/>
        <w:rPr>
          <w:rFonts w:ascii="Arial" w:eastAsia="Arial" w:hAnsi="Arial" w:cs="Arial"/>
          <w:b/>
          <w:bCs/>
          <w:sz w:val="32"/>
          <w:szCs w:val="32"/>
        </w:rPr>
      </w:pPr>
    </w:p>
    <w:p w14:paraId="7C4791BD" w14:textId="77777777" w:rsidR="00E336C2" w:rsidRDefault="00000000">
      <w:pPr>
        <w:tabs>
          <w:tab w:val="left" w:pos="1950"/>
        </w:tabs>
        <w:jc w:val="center"/>
        <w:rPr>
          <w:rFonts w:ascii="Arial" w:eastAsia="Arial" w:hAnsi="Arial" w:cs="Arial"/>
          <w:b/>
          <w:bCs/>
          <w:sz w:val="32"/>
          <w:szCs w:val="32"/>
        </w:rPr>
      </w:pPr>
      <w:r>
        <w:rPr>
          <w:rFonts w:ascii="Arial" w:eastAsia="Arial" w:hAnsi="Arial" w:cs="Arial"/>
          <w:b/>
          <w:bCs/>
          <w:sz w:val="32"/>
          <w:szCs w:val="32"/>
        </w:rPr>
        <w:t>List of Figure</w:t>
      </w:r>
    </w:p>
    <w:sdt>
      <w:sdtPr>
        <w:id w:val="-1521706978"/>
        <w:docPartObj>
          <w:docPartGallery w:val="Table of Contents"/>
          <w:docPartUnique/>
        </w:docPartObj>
      </w:sdtPr>
      <w:sdtContent>
        <w:p w14:paraId="60AEF778"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dtzwaqqnbaz2">
            <w:r>
              <w:rPr>
                <w:rFonts w:ascii="Arial" w:eastAsia="Arial" w:hAnsi="Arial" w:cs="Arial"/>
                <w:color w:val="000000"/>
              </w:rPr>
              <w:t>Figure 1. Conceptual framework of the impact of sustainability practices on consumer purchase intention in the sportswear market</w:t>
            </w:r>
          </w:hyperlink>
          <w:hyperlink w:anchor="_dtzwaqqnbaz2">
            <w:r>
              <w:rPr>
                <w:color w:val="000000"/>
              </w:rPr>
              <w:tab/>
              <w:t>18</w:t>
            </w:r>
          </w:hyperlink>
        </w:p>
        <w:p w14:paraId="3358A184"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hyperlink w:anchor="_ouw3d57a8e8a">
            <w:r>
              <w:rPr>
                <w:rFonts w:ascii="Arial" w:eastAsia="Arial" w:hAnsi="Arial" w:cs="Arial"/>
                <w:color w:val="000000"/>
              </w:rPr>
              <w:t>Figure 2. Data Collection Process</w:t>
            </w:r>
          </w:hyperlink>
          <w:hyperlink w:anchor="_ouw3d57a8e8a">
            <w:r>
              <w:rPr>
                <w:color w:val="000000"/>
              </w:rPr>
              <w:tab/>
              <w:t>24</w:t>
            </w:r>
          </w:hyperlink>
        </w:p>
        <w:p w14:paraId="6A392682" w14:textId="77777777" w:rsidR="00E336C2" w:rsidRDefault="00000000">
          <w:pPr>
            <w:pBdr>
              <w:top w:val="nil"/>
              <w:left w:val="nil"/>
              <w:bottom w:val="nil"/>
              <w:right w:val="nil"/>
              <w:between w:val="nil"/>
            </w:pBdr>
            <w:tabs>
              <w:tab w:val="right" w:pos="9016"/>
            </w:tabs>
            <w:spacing w:after="0"/>
            <w:rPr>
              <w:rFonts w:ascii="Cambria" w:eastAsia="Cambria" w:hAnsi="Cambria" w:cs="Cambria"/>
              <w:color w:val="000000"/>
            </w:rPr>
          </w:pPr>
          <w:hyperlink w:anchor="_t8otfpg4aajp">
            <w:r>
              <w:rPr>
                <w:rFonts w:ascii="Arial" w:eastAsia="Arial" w:hAnsi="Arial" w:cs="Arial"/>
                <w:color w:val="000000"/>
              </w:rPr>
              <w:t>Figure 3: Data Analysis Process Framework</w:t>
            </w:r>
          </w:hyperlink>
          <w:hyperlink w:anchor="_t8otfpg4aajp">
            <w:r>
              <w:rPr>
                <w:color w:val="000000"/>
              </w:rPr>
              <w:tab/>
              <w:t>33</w:t>
            </w:r>
          </w:hyperlink>
        </w:p>
        <w:p w14:paraId="2D873619" w14:textId="77777777" w:rsidR="00E336C2" w:rsidRDefault="00000000">
          <w:pPr>
            <w:tabs>
              <w:tab w:val="left" w:pos="1950"/>
            </w:tabs>
            <w:rPr>
              <w:rFonts w:ascii="Arial" w:eastAsia="Arial" w:hAnsi="Arial" w:cs="Arial"/>
              <w:sz w:val="32"/>
              <w:szCs w:val="32"/>
            </w:rPr>
          </w:pPr>
          <w:r>
            <w:fldChar w:fldCharType="end"/>
          </w:r>
        </w:p>
      </w:sdtContent>
    </w:sdt>
    <w:p w14:paraId="37333400" w14:textId="77777777" w:rsidR="00E336C2" w:rsidRDefault="00E336C2">
      <w:pPr>
        <w:tabs>
          <w:tab w:val="left" w:pos="1950"/>
        </w:tabs>
        <w:rPr>
          <w:rFonts w:ascii="Arial" w:eastAsia="Arial" w:hAnsi="Arial" w:cs="Arial"/>
          <w:color w:val="EE0000"/>
          <w:sz w:val="24"/>
          <w:szCs w:val="24"/>
        </w:rPr>
      </w:pPr>
    </w:p>
    <w:p w14:paraId="425EB273" w14:textId="77777777" w:rsidR="00E336C2" w:rsidRDefault="00E336C2">
      <w:pPr>
        <w:tabs>
          <w:tab w:val="left" w:pos="1950"/>
        </w:tabs>
        <w:rPr>
          <w:rFonts w:ascii="Arial" w:eastAsia="Arial" w:hAnsi="Arial" w:cs="Arial"/>
          <w:color w:val="EE0000"/>
          <w:sz w:val="24"/>
          <w:szCs w:val="24"/>
        </w:rPr>
      </w:pPr>
    </w:p>
    <w:p w14:paraId="45F0C66F" w14:textId="77777777" w:rsidR="00E336C2" w:rsidRDefault="00E336C2">
      <w:pPr>
        <w:tabs>
          <w:tab w:val="left" w:pos="1950"/>
        </w:tabs>
        <w:rPr>
          <w:rFonts w:ascii="Arial" w:eastAsia="Arial" w:hAnsi="Arial" w:cs="Arial"/>
          <w:color w:val="EE0000"/>
          <w:sz w:val="24"/>
          <w:szCs w:val="24"/>
        </w:rPr>
      </w:pPr>
    </w:p>
    <w:p w14:paraId="40F9764D" w14:textId="77777777" w:rsidR="00E336C2" w:rsidRDefault="00E336C2">
      <w:pPr>
        <w:tabs>
          <w:tab w:val="left" w:pos="1950"/>
        </w:tabs>
        <w:rPr>
          <w:rFonts w:ascii="Arial" w:eastAsia="Arial" w:hAnsi="Arial" w:cs="Arial"/>
          <w:color w:val="EE0000"/>
          <w:sz w:val="24"/>
          <w:szCs w:val="24"/>
        </w:rPr>
      </w:pPr>
    </w:p>
    <w:p w14:paraId="3D3C49FB" w14:textId="77777777" w:rsidR="00E336C2" w:rsidRDefault="00E336C2">
      <w:pPr>
        <w:tabs>
          <w:tab w:val="left" w:pos="1950"/>
        </w:tabs>
        <w:rPr>
          <w:rFonts w:ascii="Arial" w:eastAsia="Arial" w:hAnsi="Arial" w:cs="Arial"/>
          <w:color w:val="EE0000"/>
          <w:sz w:val="24"/>
          <w:szCs w:val="24"/>
        </w:rPr>
      </w:pPr>
    </w:p>
    <w:p w14:paraId="4CEEEC23" w14:textId="77777777" w:rsidR="00E336C2" w:rsidRDefault="00E336C2">
      <w:pPr>
        <w:tabs>
          <w:tab w:val="left" w:pos="1950"/>
        </w:tabs>
        <w:rPr>
          <w:rFonts w:ascii="Arial" w:eastAsia="Arial" w:hAnsi="Arial" w:cs="Arial"/>
          <w:color w:val="EE0000"/>
          <w:sz w:val="24"/>
          <w:szCs w:val="24"/>
        </w:rPr>
      </w:pPr>
    </w:p>
    <w:p w14:paraId="04E5DF46" w14:textId="77777777" w:rsidR="00E336C2" w:rsidRDefault="00E336C2">
      <w:pPr>
        <w:tabs>
          <w:tab w:val="left" w:pos="1950"/>
        </w:tabs>
        <w:rPr>
          <w:rFonts w:ascii="Arial" w:eastAsia="Arial" w:hAnsi="Arial" w:cs="Arial"/>
          <w:color w:val="EE0000"/>
          <w:sz w:val="24"/>
          <w:szCs w:val="24"/>
        </w:rPr>
      </w:pPr>
    </w:p>
    <w:p w14:paraId="01B32AC5" w14:textId="77777777" w:rsidR="00E336C2" w:rsidRDefault="00E336C2">
      <w:pPr>
        <w:tabs>
          <w:tab w:val="left" w:pos="1950"/>
        </w:tabs>
        <w:rPr>
          <w:rFonts w:ascii="Arial" w:eastAsia="Arial" w:hAnsi="Arial" w:cs="Arial"/>
          <w:color w:val="EE0000"/>
          <w:sz w:val="24"/>
          <w:szCs w:val="24"/>
        </w:rPr>
      </w:pPr>
    </w:p>
    <w:p w14:paraId="517C6CBB" w14:textId="77777777" w:rsidR="00E336C2" w:rsidRDefault="00E336C2">
      <w:pPr>
        <w:tabs>
          <w:tab w:val="left" w:pos="1950"/>
        </w:tabs>
        <w:rPr>
          <w:rFonts w:ascii="Arial" w:eastAsia="Arial" w:hAnsi="Arial" w:cs="Arial"/>
          <w:color w:val="EE0000"/>
          <w:sz w:val="24"/>
          <w:szCs w:val="24"/>
        </w:rPr>
      </w:pPr>
    </w:p>
    <w:p w14:paraId="2D641F5F" w14:textId="77777777" w:rsidR="00E336C2" w:rsidRDefault="00E336C2">
      <w:pPr>
        <w:tabs>
          <w:tab w:val="left" w:pos="1950"/>
        </w:tabs>
        <w:rPr>
          <w:rFonts w:ascii="Arial" w:eastAsia="Arial" w:hAnsi="Arial" w:cs="Arial"/>
          <w:color w:val="EE0000"/>
          <w:sz w:val="24"/>
          <w:szCs w:val="24"/>
        </w:rPr>
      </w:pPr>
    </w:p>
    <w:p w14:paraId="75145D65" w14:textId="77777777" w:rsidR="00E336C2" w:rsidRDefault="00E336C2">
      <w:pPr>
        <w:tabs>
          <w:tab w:val="left" w:pos="1950"/>
        </w:tabs>
        <w:rPr>
          <w:rFonts w:ascii="Arial" w:eastAsia="Arial" w:hAnsi="Arial" w:cs="Arial"/>
          <w:color w:val="EE0000"/>
          <w:sz w:val="24"/>
          <w:szCs w:val="24"/>
        </w:rPr>
      </w:pPr>
    </w:p>
    <w:p w14:paraId="294FDC63" w14:textId="77777777" w:rsidR="00E336C2" w:rsidRDefault="00E336C2">
      <w:pPr>
        <w:tabs>
          <w:tab w:val="left" w:pos="1950"/>
        </w:tabs>
        <w:rPr>
          <w:rFonts w:ascii="Arial" w:eastAsia="Arial" w:hAnsi="Arial" w:cs="Arial"/>
          <w:color w:val="EE0000"/>
          <w:sz w:val="24"/>
          <w:szCs w:val="24"/>
        </w:rPr>
      </w:pPr>
    </w:p>
    <w:p w14:paraId="77C67CA1" w14:textId="77777777" w:rsidR="00E336C2" w:rsidRDefault="00E336C2">
      <w:pPr>
        <w:tabs>
          <w:tab w:val="left" w:pos="1950"/>
        </w:tabs>
        <w:rPr>
          <w:rFonts w:ascii="Arial" w:eastAsia="Arial" w:hAnsi="Arial" w:cs="Arial"/>
          <w:color w:val="EE0000"/>
          <w:sz w:val="24"/>
          <w:szCs w:val="24"/>
        </w:rPr>
      </w:pPr>
    </w:p>
    <w:p w14:paraId="14A8354F" w14:textId="77777777" w:rsidR="00E336C2" w:rsidRDefault="00E336C2">
      <w:pPr>
        <w:tabs>
          <w:tab w:val="left" w:pos="1950"/>
        </w:tabs>
        <w:rPr>
          <w:rFonts w:ascii="Arial" w:eastAsia="Arial" w:hAnsi="Arial" w:cs="Arial"/>
          <w:color w:val="EE0000"/>
          <w:sz w:val="24"/>
          <w:szCs w:val="24"/>
        </w:rPr>
      </w:pPr>
    </w:p>
    <w:p w14:paraId="1411E541" w14:textId="77777777" w:rsidR="00E336C2" w:rsidRDefault="00E336C2">
      <w:pPr>
        <w:tabs>
          <w:tab w:val="left" w:pos="1950"/>
        </w:tabs>
        <w:rPr>
          <w:rFonts w:ascii="Arial" w:eastAsia="Arial" w:hAnsi="Arial" w:cs="Arial"/>
          <w:sz w:val="32"/>
          <w:szCs w:val="32"/>
        </w:rPr>
      </w:pPr>
    </w:p>
    <w:p w14:paraId="0D94A204" w14:textId="77777777" w:rsidR="00E336C2" w:rsidRDefault="00E336C2">
      <w:pPr>
        <w:tabs>
          <w:tab w:val="left" w:pos="1950"/>
        </w:tabs>
        <w:rPr>
          <w:rFonts w:ascii="Arial" w:eastAsia="Arial" w:hAnsi="Arial" w:cs="Arial"/>
          <w:sz w:val="32"/>
          <w:szCs w:val="32"/>
        </w:rPr>
      </w:pPr>
    </w:p>
    <w:p w14:paraId="1A183E29" w14:textId="77777777" w:rsidR="00E336C2" w:rsidRDefault="00000000">
      <w:pPr>
        <w:pStyle w:val="Heading1"/>
      </w:pPr>
      <w:bookmarkStart w:id="0" w:name="_hhcz8moz3m0r" w:colFirst="0" w:colLast="0"/>
      <w:bookmarkEnd w:id="0"/>
      <w:r>
        <w:t xml:space="preserve">Abstract </w:t>
      </w:r>
    </w:p>
    <w:p w14:paraId="2F15620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With rising environmental awareness, evolving consumer preferences and demands for responsible business practices, sustainability has emerged as a key strategic concern in the international sportswear market (Niinimäki et al., 2022). Sporting goods brands are now taking steps to enhance their environmental footprint and brand image by adopting sustainability measures like recycled materials, carbon reduction efforts, and circular economy practices (McKinsey &amp; Company, 2023). In view of this, the aim of this study is to examine consumer perception and purchasing </w:t>
      </w:r>
      <w:proofErr w:type="spellStart"/>
      <w:r>
        <w:rPr>
          <w:rFonts w:ascii="Arial" w:eastAsia="Arial" w:hAnsi="Arial" w:cs="Arial"/>
          <w:sz w:val="24"/>
          <w:szCs w:val="24"/>
        </w:rPr>
        <w:t>behavior</w:t>
      </w:r>
      <w:proofErr w:type="spellEnd"/>
      <w:r>
        <w:rPr>
          <w:rFonts w:ascii="Arial" w:eastAsia="Arial" w:hAnsi="Arial" w:cs="Arial"/>
          <w:sz w:val="24"/>
          <w:szCs w:val="24"/>
        </w:rPr>
        <w:t xml:space="preserve"> in the sportswear industry </w:t>
      </w:r>
      <w:proofErr w:type="gramStart"/>
      <w:r>
        <w:rPr>
          <w:rFonts w:ascii="Arial" w:eastAsia="Arial" w:hAnsi="Arial" w:cs="Arial"/>
          <w:sz w:val="24"/>
          <w:szCs w:val="24"/>
        </w:rPr>
        <w:t>as a result of</w:t>
      </w:r>
      <w:proofErr w:type="gramEnd"/>
      <w:r>
        <w:rPr>
          <w:rFonts w:ascii="Arial" w:eastAsia="Arial" w:hAnsi="Arial" w:cs="Arial"/>
          <w:sz w:val="24"/>
          <w:szCs w:val="24"/>
        </w:rPr>
        <w:t xml:space="preserve"> sustainability efforts, with Adidas as a case study.</w:t>
      </w:r>
    </w:p>
    <w:p w14:paraId="625F0DD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method of this research is quantitative research with positivist philosophy and deductive approach (Saunders et al., 2023). Primary data were gathered using an online questionnaire which was sent out to consumers that had a good amount of knowledge about sportswear brands like Adidas (Hair et al., 2022). Convenience sampling technique was </w:t>
      </w:r>
      <w:proofErr w:type="gramStart"/>
      <w:r>
        <w:rPr>
          <w:rFonts w:ascii="Arial" w:eastAsia="Arial" w:hAnsi="Arial" w:cs="Arial"/>
          <w:sz w:val="24"/>
          <w:szCs w:val="24"/>
        </w:rPr>
        <w:t>used</w:t>
      </w:r>
      <w:proofErr w:type="gramEnd"/>
      <w:r>
        <w:rPr>
          <w:rFonts w:ascii="Arial" w:eastAsia="Arial" w:hAnsi="Arial" w:cs="Arial"/>
          <w:sz w:val="24"/>
          <w:szCs w:val="24"/>
        </w:rPr>
        <w:t xml:space="preserve"> and data was analysed with Microsoft Excel and SPSS.</w:t>
      </w:r>
    </w:p>
    <w:p w14:paraId="73A30D1A" w14:textId="55B414B1"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results show that consumers had mostly positive attitudes towards Adidas' sustainability efforts. The results also show that perception of sustainability is effective in creating trust in the brand and brand image, and this trust in the brand has a positive effect on purchase intention (Joshi and Rahman, 2023). The results also show that sustainability is not the only driver of purchasing </w:t>
      </w:r>
      <w:r w:rsidR="00A55D30">
        <w:rPr>
          <w:rFonts w:ascii="Arial" w:eastAsia="Arial" w:hAnsi="Arial" w:cs="Arial"/>
          <w:sz w:val="24"/>
          <w:szCs w:val="24"/>
        </w:rPr>
        <w:t>behaviour</w:t>
      </w:r>
      <w:r w:rsidR="007C7E94">
        <w:rPr>
          <w:rFonts w:ascii="Arial" w:eastAsia="Arial" w:hAnsi="Arial" w:cs="Arial"/>
          <w:sz w:val="24"/>
          <w:szCs w:val="24"/>
        </w:rPr>
        <w:t xml:space="preserve"> </w:t>
      </w:r>
      <w:r>
        <w:rPr>
          <w:rFonts w:ascii="Arial" w:eastAsia="Arial" w:hAnsi="Arial" w:cs="Arial"/>
          <w:sz w:val="24"/>
          <w:szCs w:val="24"/>
        </w:rPr>
        <w:t>– things like product quality and price also play a role, as do brand loyalty.</w:t>
      </w:r>
    </w:p>
    <w:p w14:paraId="513AA564" w14:textId="2C66C7EA"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study extends the current literature by providing an explanation of the influence of sustainability initiatives on consumer behaviour within sport shoes using the Theory of Planned Behaviour, the Stakeholder Theory and Green Marketing. The results highlight the need for genuine sustainability communication, trust building and embedding sustainability into the product value and competition strategies from a managerial point of view (White et al., 2022</w:t>
      </w:r>
      <w:r w:rsidR="007C7E94">
        <w:rPr>
          <w:rFonts w:ascii="Arial" w:eastAsia="Arial" w:hAnsi="Arial" w:cs="Arial"/>
          <w:sz w:val="24"/>
          <w:szCs w:val="24"/>
        </w:rPr>
        <w:t>).</w:t>
      </w:r>
      <w:r w:rsidR="008B6DB9">
        <w:rPr>
          <w:rFonts w:ascii="Arial" w:eastAsia="Arial" w:hAnsi="Arial" w:cs="Arial"/>
          <w:sz w:val="24"/>
          <w:szCs w:val="24"/>
        </w:rPr>
        <w:t xml:space="preserve"> </w:t>
      </w:r>
      <w:r w:rsidR="007C7E94">
        <w:rPr>
          <w:rFonts w:ascii="Arial" w:eastAsia="Arial" w:hAnsi="Arial" w:cs="Arial"/>
          <w:sz w:val="24"/>
          <w:szCs w:val="24"/>
        </w:rPr>
        <w:t>In</w:t>
      </w:r>
      <w:r>
        <w:rPr>
          <w:rFonts w:ascii="Arial" w:eastAsia="Arial" w:hAnsi="Arial" w:cs="Arial"/>
          <w:sz w:val="24"/>
          <w:szCs w:val="24"/>
        </w:rPr>
        <w:t xml:space="preserve"> conclusion, the study confirms that sustainability practices have a significant, albeit limited, impact on consumer perception and buying habits within the sportswear sector.</w:t>
      </w:r>
    </w:p>
    <w:p w14:paraId="51E7CC69" w14:textId="77777777" w:rsidR="00E336C2" w:rsidRDefault="00000000">
      <w:pPr>
        <w:spacing w:line="360" w:lineRule="auto"/>
        <w:jc w:val="both"/>
        <w:rPr>
          <w:rFonts w:ascii="Arial" w:eastAsia="Arial" w:hAnsi="Arial" w:cs="Arial"/>
          <w:sz w:val="32"/>
          <w:szCs w:val="32"/>
        </w:rPr>
        <w:sectPr w:rsidR="00E336C2">
          <w:footerReference w:type="default" r:id="rId9"/>
          <w:pgSz w:w="11906" w:h="16838"/>
          <w:pgMar w:top="1440" w:right="1440" w:bottom="1440" w:left="1440" w:header="708" w:footer="708" w:gutter="0"/>
          <w:pgNumType w:start="1"/>
          <w:cols w:space="720"/>
        </w:sectPr>
      </w:pPr>
      <w:r>
        <w:rPr>
          <w:rFonts w:ascii="Arial" w:eastAsia="Arial" w:hAnsi="Arial" w:cs="Arial"/>
          <w:b/>
          <w:bCs/>
          <w:sz w:val="24"/>
          <w:szCs w:val="24"/>
        </w:rPr>
        <w:t>Keywords:</w:t>
      </w:r>
      <w:r>
        <w:rPr>
          <w:rFonts w:ascii="Arial" w:eastAsia="Arial" w:hAnsi="Arial" w:cs="Arial"/>
          <w:sz w:val="24"/>
          <w:szCs w:val="24"/>
        </w:rPr>
        <w:t xml:space="preserve"> Sustainability Initiatives; Consumer Perception; Purchase Intention; Brand Trust; Brand Image; Sustainable Consumption; Sportswear Industry; Adidas.</w:t>
      </w:r>
      <w:r>
        <w:br w:type="page"/>
      </w:r>
    </w:p>
    <w:p w14:paraId="4499C53D" w14:textId="77777777" w:rsidR="00E336C2" w:rsidRDefault="00000000">
      <w:pPr>
        <w:pStyle w:val="Heading1"/>
        <w:spacing w:line="360" w:lineRule="auto"/>
        <w:jc w:val="center"/>
      </w:pPr>
      <w:bookmarkStart w:id="1" w:name="_rrly8fa5x9h7" w:colFirst="0" w:colLast="0"/>
      <w:bookmarkEnd w:id="1"/>
      <w:r>
        <w:lastRenderedPageBreak/>
        <w:t>CHAPTER 1</w:t>
      </w:r>
      <w:r>
        <w:rPr>
          <w:strike/>
        </w:rPr>
        <w:t>:</w:t>
      </w:r>
      <w:r>
        <w:t xml:space="preserve"> INTRODUCTION</w:t>
      </w:r>
    </w:p>
    <w:p w14:paraId="5A30A0FB"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growing environmental issues and the escalating consumer consciousness has led to sustainability becoming a core strategic issue within organisations that are in the global fashion and sportswear business. The apparel industry is commonly known as one of the most environmentally intensive industries, which generates a lot of carbon emissions, water usage, and textile waste globally (Niinimäki et al., 2022). Synthetic fibres (polyester and nylon, which control the sportswear market) production is highly dependent on fossil fuels and is a source of micro plastic pollution, further exacerbating the environmental issues (Uddin et al., 2022).</w:t>
      </w:r>
    </w:p>
    <w:p w14:paraId="169CA5A3"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 xml:space="preserve">The organisations are increasingly undertaking sustainability initiatives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minimise environmental impact and fall in line with the global sustainability goals. These initiatives include recycled and renewable materials, circular economy, energy efficient production, and reduce carbon (</w:t>
      </w:r>
      <w:proofErr w:type="spellStart"/>
      <w:r>
        <w:rPr>
          <w:rFonts w:ascii="Arial" w:eastAsia="Arial" w:hAnsi="Arial" w:cs="Arial"/>
          <w:sz w:val="24"/>
          <w:szCs w:val="24"/>
        </w:rPr>
        <w:t>Geissdoerfer</w:t>
      </w:r>
      <w:proofErr w:type="spellEnd"/>
      <w:r>
        <w:rPr>
          <w:rFonts w:ascii="Arial" w:eastAsia="Arial" w:hAnsi="Arial" w:cs="Arial"/>
          <w:sz w:val="24"/>
          <w:szCs w:val="24"/>
        </w:rPr>
        <w:t xml:space="preserve"> et al., 2022). This move towards sustainability is not only encouraged by the need to be regulated and be environmentally responsible but also by the fact that the market is becoming </w:t>
      </w:r>
      <w:proofErr w:type="gramStart"/>
      <w:r>
        <w:rPr>
          <w:rFonts w:ascii="Arial" w:eastAsia="Arial" w:hAnsi="Arial" w:cs="Arial"/>
          <w:sz w:val="24"/>
          <w:szCs w:val="24"/>
        </w:rPr>
        <w:t>more and more</w:t>
      </w:r>
      <w:proofErr w:type="gramEnd"/>
      <w:r>
        <w:rPr>
          <w:rFonts w:ascii="Arial" w:eastAsia="Arial" w:hAnsi="Arial" w:cs="Arial"/>
          <w:sz w:val="24"/>
          <w:szCs w:val="24"/>
        </w:rPr>
        <w:t xml:space="preserve"> environmentally conscious and requires the company to remain competitive.</w:t>
      </w:r>
    </w:p>
    <w:p w14:paraId="128B19A3"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notion of sustainability in sportswear industry has turned into a significant element of the corporate strategy and brand positioning. Companies are incorporating sustainability in their business models to create brand image, enhance their relationships with the stakeholders and acquire sustainable competitive advantage. Adidas is also considered to be among the most successful organisations in this regard as it has made various sustainability projects that involve use of recycled products, sustainable product lines and promises to be carbon neutral.</w:t>
      </w:r>
    </w:p>
    <w:p w14:paraId="7D633743"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Nevertheless, as organisations have invested heavily on sustainability, it is still unclear how these efforts have impacted on consumer perception and behaviour. Despite consumers becoming more concerned about environmental factors, they tend to base their purchasing choices on other aspects like price, quality, and brand loyalty (White et al., 2022). Here lies an important conflict between the sustainability endeavours of corporations and the real consumer behaviour.</w:t>
      </w:r>
    </w:p>
    <w:p w14:paraId="624BF641" w14:textId="77777777" w:rsidR="00E336C2" w:rsidRDefault="00E336C2">
      <w:pPr>
        <w:spacing w:before="160" w:after="80" w:line="360" w:lineRule="auto"/>
        <w:jc w:val="both"/>
        <w:rPr>
          <w:rFonts w:ascii="Arial" w:eastAsia="Arial" w:hAnsi="Arial" w:cs="Arial"/>
          <w:sz w:val="24"/>
          <w:szCs w:val="24"/>
        </w:rPr>
      </w:pPr>
    </w:p>
    <w:p w14:paraId="173311A1" w14:textId="52689FAA"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lastRenderedPageBreak/>
        <w:t>Recent findings indicate that although sustainability can boost brand perception, the effect on purchasing behaviour is not necessarily uniform (Deloitte, 2024; Li et al., 2024). This complexity shows the need to engage in more studies to accommodate the influence of sustainability</w:t>
      </w:r>
      <w:r w:rsidR="00E17EE0">
        <w:rPr>
          <w:rFonts w:ascii="Arial" w:eastAsia="Arial" w:hAnsi="Arial" w:cs="Arial"/>
          <w:sz w:val="24"/>
          <w:szCs w:val="24"/>
        </w:rPr>
        <w:t xml:space="preserve"> </w:t>
      </w:r>
      <w:r w:rsidR="00D02EE6">
        <w:rPr>
          <w:rFonts w:ascii="Arial" w:eastAsia="Arial" w:hAnsi="Arial" w:cs="Arial"/>
          <w:sz w:val="24"/>
          <w:szCs w:val="24"/>
        </w:rPr>
        <w:t>endeavours</w:t>
      </w:r>
      <w:r>
        <w:rPr>
          <w:rFonts w:ascii="Arial" w:eastAsia="Arial" w:hAnsi="Arial" w:cs="Arial"/>
          <w:sz w:val="24"/>
          <w:szCs w:val="24"/>
        </w:rPr>
        <w:t xml:space="preserve"> on consumer perception in specific industries such as sportswear. Therefore, the proposed study will examine the relationship between the sustainability-related initiatives and the consumer perception and use of Adidas as a case.</w:t>
      </w:r>
    </w:p>
    <w:p w14:paraId="1D380430" w14:textId="77777777" w:rsidR="00E336C2" w:rsidRDefault="00000000">
      <w:pPr>
        <w:pStyle w:val="Heading2"/>
      </w:pPr>
      <w:bookmarkStart w:id="2" w:name="_ys23fnjq3tez" w:colFirst="0" w:colLast="0"/>
      <w:bookmarkEnd w:id="2"/>
      <w:r>
        <w:t>1.1 Problem Statement</w:t>
      </w:r>
    </w:p>
    <w:p w14:paraId="09056FD8"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sportswear industry </w:t>
      </w:r>
      <w:proofErr w:type="gramStart"/>
      <w:r>
        <w:rPr>
          <w:rFonts w:ascii="Arial" w:eastAsia="Arial" w:hAnsi="Arial" w:cs="Arial"/>
          <w:sz w:val="24"/>
          <w:szCs w:val="24"/>
        </w:rPr>
        <w:t>as a whole has</w:t>
      </w:r>
      <w:proofErr w:type="gramEnd"/>
      <w:r>
        <w:rPr>
          <w:rFonts w:ascii="Arial" w:eastAsia="Arial" w:hAnsi="Arial" w:cs="Arial"/>
          <w:sz w:val="24"/>
          <w:szCs w:val="24"/>
        </w:rPr>
        <w:t xml:space="preserve"> seen a massive transition towards sustainability with </w:t>
      </w:r>
      <w:proofErr w:type="gramStart"/>
      <w:r>
        <w:rPr>
          <w:rFonts w:ascii="Arial" w:eastAsia="Arial" w:hAnsi="Arial" w:cs="Arial"/>
          <w:sz w:val="24"/>
          <w:szCs w:val="24"/>
        </w:rPr>
        <w:t>more and more</w:t>
      </w:r>
      <w:proofErr w:type="gramEnd"/>
      <w:r>
        <w:rPr>
          <w:rFonts w:ascii="Arial" w:eastAsia="Arial" w:hAnsi="Arial" w:cs="Arial"/>
          <w:sz w:val="24"/>
          <w:szCs w:val="24"/>
        </w:rPr>
        <w:t xml:space="preserve"> organisations incorporating environmental and social responsibility into their business models. Leading brands like Adidas have been very much investing in sustainability projects like recycled materials, carbon reduction projects, ethical sourcing strategies and circular economy models. The programs are designed to not just minimize environmental footprint but also to build brand credibility and sway consumer buying choices (Niinimäki et al., 2022; Adidas, 2025).</w:t>
      </w:r>
    </w:p>
    <w:p w14:paraId="30A0731B"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Although sustainability is becoming increasingly important, it is not known to what degree these efforts have an impact on consumer </w:t>
      </w:r>
      <w:proofErr w:type="spellStart"/>
      <w:r>
        <w:rPr>
          <w:rFonts w:ascii="Arial" w:eastAsia="Arial" w:hAnsi="Arial" w:cs="Arial"/>
          <w:sz w:val="24"/>
          <w:szCs w:val="24"/>
        </w:rPr>
        <w:t>behavior</w:t>
      </w:r>
      <w:proofErr w:type="spellEnd"/>
      <w:r>
        <w:rPr>
          <w:rFonts w:ascii="Arial" w:eastAsia="Arial" w:hAnsi="Arial" w:cs="Arial"/>
          <w:sz w:val="24"/>
          <w:szCs w:val="24"/>
        </w:rPr>
        <w:t xml:space="preserve">. The findings in previous studies indicate that the consumers are favourable towards ECO products and brands. Nevertheless, such positive attitudes do not necessarily lead to actual buying, which is known as the attitude–behaviour gap (White et al., 2022; Joshi and Rahman, 2023). This irregularity has posed a question on the effectiveness of sustainability efforts as a consumer </w:t>
      </w:r>
      <w:proofErr w:type="gramStart"/>
      <w:r>
        <w:rPr>
          <w:rFonts w:ascii="Arial" w:eastAsia="Arial" w:hAnsi="Arial" w:cs="Arial"/>
          <w:sz w:val="24"/>
          <w:szCs w:val="24"/>
        </w:rPr>
        <w:t>decision-making criteria</w:t>
      </w:r>
      <w:proofErr w:type="gramEnd"/>
      <w:r>
        <w:rPr>
          <w:rFonts w:ascii="Arial" w:eastAsia="Arial" w:hAnsi="Arial" w:cs="Arial"/>
          <w:sz w:val="24"/>
          <w:szCs w:val="24"/>
        </w:rPr>
        <w:t>.</w:t>
      </w:r>
    </w:p>
    <w:p w14:paraId="166CB12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addition, there are inconclusive findings from previous studies. While others claim sustainability programs can increase brand trust, brand image, and purchase intention (Li et al., 2024), conventional aspects like price, product quality, and brand familiarity are cited as more significant drivers of purchasing decisions (Krywalski-Santiago, 2024). It is therefore not surprising that there's a lack of agreement around the effect of sustainability efforts on consumer perceptions and purchasing decisions in the sportswear industry.</w:t>
      </w:r>
    </w:p>
    <w:p w14:paraId="62D4A63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This uncertainty is not just a theoretical dilemma, but a management problem as well. Academically, additional studies are needed to better understand the relationship </w:t>
      </w:r>
      <w:r>
        <w:rPr>
          <w:rFonts w:ascii="Arial" w:eastAsia="Arial" w:hAnsi="Arial" w:cs="Arial"/>
          <w:sz w:val="24"/>
          <w:szCs w:val="24"/>
        </w:rPr>
        <w:lastRenderedPageBreak/>
        <w:t xml:space="preserve">between consumer </w:t>
      </w:r>
      <w:proofErr w:type="spellStart"/>
      <w:r>
        <w:rPr>
          <w:rFonts w:ascii="Arial" w:eastAsia="Arial" w:hAnsi="Arial" w:cs="Arial"/>
          <w:sz w:val="24"/>
          <w:szCs w:val="24"/>
        </w:rPr>
        <w:t>behavior</w:t>
      </w:r>
      <w:proofErr w:type="spellEnd"/>
      <w:r>
        <w:rPr>
          <w:rFonts w:ascii="Arial" w:eastAsia="Arial" w:hAnsi="Arial" w:cs="Arial"/>
          <w:sz w:val="24"/>
          <w:szCs w:val="24"/>
        </w:rPr>
        <w:t xml:space="preserve"> and consumer perceptions of sustainability. Organisations like Adidas are still spending a lot of money on sustainability initiatives, while there is no clear proof that this is effective in driving purchasing decisions. This study aims to address this gap by examining the relationship between sustainability efforts, consumer perception, brand trust, brand image, and purchase intention of consumers in the context of Adidas, as this is an important empirical and managerial gap in the academic literature.</w:t>
      </w:r>
    </w:p>
    <w:p w14:paraId="12F97AA7" w14:textId="77777777" w:rsidR="00E336C2" w:rsidRDefault="00000000">
      <w:pPr>
        <w:pStyle w:val="Heading2"/>
      </w:pPr>
      <w:bookmarkStart w:id="3" w:name="_b9jfrtq6uyuz" w:colFirst="0" w:colLast="0"/>
      <w:bookmarkEnd w:id="3"/>
      <w:r>
        <w:t>1.2 Research Aim &amp; Objectives</w:t>
      </w:r>
    </w:p>
    <w:p w14:paraId="07E31703"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aim of this research is: to critically assess the success of sustainability efforts adopted by Adidas in creating consumer image and influencing buying behaviour in the sportswear business.</w:t>
      </w:r>
    </w:p>
    <w:p w14:paraId="2DF6865D"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b/>
          <w:bCs/>
          <w:sz w:val="24"/>
          <w:szCs w:val="24"/>
        </w:rPr>
        <w:t>The research objectives are as follows:</w:t>
      </w:r>
    </w:p>
    <w:p w14:paraId="658D6112" w14:textId="77777777" w:rsidR="00E336C2" w:rsidRDefault="00000000">
      <w:pPr>
        <w:numPr>
          <w:ilvl w:val="0"/>
          <w:numId w:val="2"/>
        </w:numPr>
        <w:spacing w:after="80" w:line="360" w:lineRule="auto"/>
        <w:jc w:val="both"/>
        <w:rPr>
          <w:sz w:val="24"/>
          <w:szCs w:val="24"/>
        </w:rPr>
      </w:pPr>
      <w:r>
        <w:rPr>
          <w:rFonts w:ascii="Arial" w:eastAsia="Arial" w:hAnsi="Arial" w:cs="Arial"/>
          <w:sz w:val="24"/>
          <w:szCs w:val="24"/>
        </w:rPr>
        <w:t>To critically evaluate consumer perceptions of Adidas' sustainability initiatives.</w:t>
      </w:r>
    </w:p>
    <w:p w14:paraId="7BD1CDB8" w14:textId="77777777" w:rsidR="00E336C2" w:rsidRDefault="00000000">
      <w:pPr>
        <w:numPr>
          <w:ilvl w:val="0"/>
          <w:numId w:val="2"/>
        </w:numPr>
        <w:spacing w:after="80" w:line="360" w:lineRule="auto"/>
        <w:jc w:val="both"/>
        <w:rPr>
          <w:sz w:val="24"/>
          <w:szCs w:val="24"/>
        </w:rPr>
      </w:pPr>
      <w:r>
        <w:rPr>
          <w:rFonts w:ascii="Arial" w:eastAsia="Arial" w:hAnsi="Arial" w:cs="Arial"/>
          <w:sz w:val="24"/>
          <w:szCs w:val="24"/>
        </w:rPr>
        <w:t>To assess the impact of sustainability perception on purchase intention.</w:t>
      </w:r>
    </w:p>
    <w:p w14:paraId="3ACE1869" w14:textId="77777777" w:rsidR="00E336C2" w:rsidRDefault="00000000">
      <w:pPr>
        <w:numPr>
          <w:ilvl w:val="0"/>
          <w:numId w:val="2"/>
        </w:numPr>
        <w:spacing w:after="80" w:line="360" w:lineRule="auto"/>
        <w:jc w:val="both"/>
        <w:rPr>
          <w:sz w:val="24"/>
          <w:szCs w:val="24"/>
        </w:rPr>
      </w:pPr>
      <w:r>
        <w:rPr>
          <w:rFonts w:ascii="Arial" w:eastAsia="Arial" w:hAnsi="Arial" w:cs="Arial"/>
          <w:sz w:val="24"/>
          <w:szCs w:val="24"/>
        </w:rPr>
        <w:t>To examine the influence of sustainability initiatives on brand trust and brand image.</w:t>
      </w:r>
    </w:p>
    <w:p w14:paraId="0F8B44B2" w14:textId="77777777" w:rsidR="00E336C2" w:rsidRDefault="00000000">
      <w:pPr>
        <w:numPr>
          <w:ilvl w:val="0"/>
          <w:numId w:val="2"/>
        </w:numPr>
        <w:spacing w:after="80" w:line="360" w:lineRule="auto"/>
        <w:jc w:val="both"/>
        <w:rPr>
          <w:sz w:val="24"/>
          <w:szCs w:val="24"/>
        </w:rPr>
      </w:pPr>
      <w:r>
        <w:rPr>
          <w:rFonts w:ascii="Arial" w:eastAsia="Arial" w:hAnsi="Arial" w:cs="Arial"/>
          <w:sz w:val="24"/>
          <w:szCs w:val="24"/>
        </w:rPr>
        <w:t>To investigate the mediating role of brand trust and brand image between sustainability perception and purchase intention</w:t>
      </w:r>
      <w:r>
        <w:rPr>
          <w:rFonts w:ascii="Arial" w:eastAsia="Arial" w:hAnsi="Arial" w:cs="Arial"/>
          <w:color w:val="000000"/>
          <w:sz w:val="24"/>
          <w:szCs w:val="24"/>
        </w:rPr>
        <w:t>.</w:t>
      </w:r>
    </w:p>
    <w:p w14:paraId="6CD71E41" w14:textId="77777777" w:rsidR="00E336C2" w:rsidRDefault="00000000">
      <w:pPr>
        <w:pStyle w:val="Heading3"/>
      </w:pPr>
      <w:bookmarkStart w:id="4" w:name="_m318nn9i34h" w:colFirst="0" w:colLast="0"/>
      <w:bookmarkEnd w:id="4"/>
      <w:r>
        <w:t>1.3 Research Questions</w:t>
      </w:r>
    </w:p>
    <w:p w14:paraId="13B0894B"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study will address the following research questions:</w:t>
      </w:r>
    </w:p>
    <w:p w14:paraId="768FC873" w14:textId="77777777" w:rsidR="00E336C2" w:rsidRDefault="00000000">
      <w:pPr>
        <w:numPr>
          <w:ilvl w:val="0"/>
          <w:numId w:val="5"/>
        </w:numPr>
        <w:pBdr>
          <w:top w:val="nil"/>
          <w:left w:val="nil"/>
          <w:bottom w:val="nil"/>
          <w:right w:val="nil"/>
          <w:between w:val="nil"/>
        </w:pBdr>
        <w:spacing w:before="160" w:after="0" w:line="360" w:lineRule="auto"/>
        <w:jc w:val="both"/>
        <w:rPr>
          <w:color w:val="000000"/>
          <w:sz w:val="24"/>
          <w:szCs w:val="24"/>
        </w:rPr>
      </w:pPr>
      <w:r>
        <w:rPr>
          <w:rFonts w:ascii="Arial" w:eastAsia="Arial" w:hAnsi="Arial" w:cs="Arial"/>
          <w:color w:val="000000"/>
          <w:sz w:val="24"/>
          <w:szCs w:val="24"/>
        </w:rPr>
        <w:t>What sustainability initiatives are implemented by Adidas?</w:t>
      </w:r>
    </w:p>
    <w:p w14:paraId="0509EB8D" w14:textId="77777777" w:rsidR="00E336C2" w:rsidRDefault="00000000">
      <w:pPr>
        <w:numPr>
          <w:ilvl w:val="0"/>
          <w:numId w:val="5"/>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what extent are consumers aware of sustainability initiatives in the sportswear industry?</w:t>
      </w:r>
    </w:p>
    <w:p w14:paraId="689E38CB" w14:textId="77777777" w:rsidR="00E336C2" w:rsidRDefault="00000000">
      <w:pPr>
        <w:numPr>
          <w:ilvl w:val="0"/>
          <w:numId w:val="5"/>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How do sustainability initiatives influence consumer perception of Adidas?</w:t>
      </w:r>
    </w:p>
    <w:p w14:paraId="18F5A2E8" w14:textId="77777777" w:rsidR="00E336C2" w:rsidRDefault="00000000">
      <w:pPr>
        <w:numPr>
          <w:ilvl w:val="0"/>
          <w:numId w:val="5"/>
        </w:numPr>
        <w:pBdr>
          <w:top w:val="nil"/>
          <w:left w:val="nil"/>
          <w:bottom w:val="nil"/>
          <w:right w:val="nil"/>
          <w:between w:val="nil"/>
        </w:pBdr>
        <w:spacing w:after="80" w:line="360" w:lineRule="auto"/>
        <w:jc w:val="both"/>
        <w:rPr>
          <w:color w:val="000000"/>
          <w:sz w:val="24"/>
          <w:szCs w:val="24"/>
        </w:rPr>
      </w:pPr>
      <w:r>
        <w:rPr>
          <w:rFonts w:ascii="Arial" w:eastAsia="Arial" w:hAnsi="Arial" w:cs="Arial"/>
          <w:color w:val="000000"/>
          <w:sz w:val="24"/>
          <w:szCs w:val="24"/>
        </w:rPr>
        <w:t>What is the relationship between sustainability perception and purchasing behaviour?</w:t>
      </w:r>
    </w:p>
    <w:p w14:paraId="22776BFC" w14:textId="77777777" w:rsidR="00E336C2" w:rsidRDefault="00000000">
      <w:pPr>
        <w:pStyle w:val="Heading3"/>
      </w:pPr>
      <w:bookmarkStart w:id="5" w:name="_u36jnva9m2ev" w:colFirst="0" w:colLast="0"/>
      <w:bookmarkEnd w:id="5"/>
      <w:r>
        <w:lastRenderedPageBreak/>
        <w:t>1.4 Significance of the Study</w:t>
      </w:r>
    </w:p>
    <w:p w14:paraId="5A7663E2"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This research has significant implications on research and practice in management. Academically, it will fill a major gap in the literature as it discusses the sportswear industry in a specific area as compared to the rest of the fashion industry, which has received comparatively little coverage. Although prior research has been conducted on sustainability in the fashion sector, empirical research on the effect of sustainability programs and their impact on consumer perception in sportswear companies like Adidas are missing.</w:t>
      </w:r>
    </w:p>
    <w:p w14:paraId="0AE2BDEE"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other contribution that the study makes to the applications of behavioural theories, the Theory of Planned Behaviour</w:t>
      </w:r>
      <w:proofErr w:type="gramStart"/>
      <w:r>
        <w:rPr>
          <w:rFonts w:ascii="Arial" w:eastAsia="Arial" w:hAnsi="Arial" w:cs="Arial"/>
          <w:sz w:val="24"/>
          <w:szCs w:val="24"/>
        </w:rPr>
        <w:t>, in particular, is</w:t>
      </w:r>
      <w:proofErr w:type="gramEnd"/>
      <w:r>
        <w:rPr>
          <w:rFonts w:ascii="Arial" w:eastAsia="Arial" w:hAnsi="Arial" w:cs="Arial"/>
          <w:sz w:val="24"/>
          <w:szCs w:val="24"/>
        </w:rPr>
        <w:t xml:space="preserve"> the exploration of the effects of sustainability on consumer attitudes, intentions and behaviour. The combination of the theoretical insights and empirical research makes the study add to the knowledge of how sustainability initiatives can impact consumer decision-making processes.</w:t>
      </w:r>
    </w:p>
    <w:p w14:paraId="379D0B5C"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 xml:space="preserve">In practice, the findings would be of great importance to the managers and marketers in the sportswear industry. This perception of the consumers to sustainability initiatives can be comprehended to create more efficient marketing campaigns, improved brand positioning, and customer involvement. In addition to this, the study provides some evidence on whether sustainability initiatives have the potential to be a source of competitive </w:t>
      </w:r>
      <w:proofErr w:type="gramStart"/>
      <w:r>
        <w:rPr>
          <w:rFonts w:ascii="Arial" w:eastAsia="Arial" w:hAnsi="Arial" w:cs="Arial"/>
          <w:sz w:val="24"/>
          <w:szCs w:val="24"/>
        </w:rPr>
        <w:t>advantage</w:t>
      </w:r>
      <w:proofErr w:type="gramEnd"/>
      <w:r>
        <w:rPr>
          <w:rFonts w:ascii="Arial" w:eastAsia="Arial" w:hAnsi="Arial" w:cs="Arial"/>
          <w:sz w:val="24"/>
          <w:szCs w:val="24"/>
        </w:rPr>
        <w:t xml:space="preserve"> and the organisations could therefore use this as a rationale to invest in sustainability.</w:t>
      </w:r>
    </w:p>
    <w:p w14:paraId="1EC98F3B"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 xml:space="preserve">Moreover, the study has more far-reaching implications on sustainability practices as it has shown the significance of harmonizing the corporate efforts with the expectations of consumers. Through this, the organisations </w:t>
      </w:r>
      <w:proofErr w:type="gramStart"/>
      <w:r>
        <w:rPr>
          <w:rFonts w:ascii="Arial" w:eastAsia="Arial" w:hAnsi="Arial" w:cs="Arial"/>
          <w:sz w:val="24"/>
          <w:szCs w:val="24"/>
        </w:rPr>
        <w:t>are able to</w:t>
      </w:r>
      <w:proofErr w:type="gramEnd"/>
      <w:r>
        <w:rPr>
          <w:rFonts w:ascii="Arial" w:eastAsia="Arial" w:hAnsi="Arial" w:cs="Arial"/>
          <w:sz w:val="24"/>
          <w:szCs w:val="24"/>
        </w:rPr>
        <w:t xml:space="preserve"> create more effective and targeted sustainability strategies by establishing the factors that affect consumer perception and behaviour.</w:t>
      </w:r>
    </w:p>
    <w:p w14:paraId="358896DD" w14:textId="77777777" w:rsidR="00E336C2" w:rsidRDefault="00000000">
      <w:pPr>
        <w:pStyle w:val="Heading3"/>
      </w:pPr>
      <w:bookmarkStart w:id="6" w:name="_tifjvmf2e7bv" w:colFirst="0" w:colLast="0"/>
      <w:bookmarkEnd w:id="6"/>
      <w:r>
        <w:t>1.5 Brief Research Methodology</w:t>
      </w:r>
    </w:p>
    <w:p w14:paraId="54105A40"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This research paper uses a quantitative research design that follows positivist research philosophy that emphasizes on objective measurement and statistical analysis of data. Quantitative approach is suitable in investigating relationships between such variables as sustainability perception and purchasing behaviour.</w:t>
      </w:r>
    </w:p>
    <w:p w14:paraId="12632B69"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lastRenderedPageBreak/>
        <w:t>A structured questionnaire will be used to collect primary data, where the questionnaire will be sent to consumers purchasing sportswear products and have knowledge of brands like Adidas. Practical considerations will also necessitate the use of a convenience sampling approach, and an anticipated sample size of 50-100 respondents and is deemed adequate to conduct basic statistical analysis (Saunders et al., 2023).</w:t>
      </w:r>
    </w:p>
    <w:p w14:paraId="01850CAD"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questionnaire will be constructed with the Likert-scale measurements (e.g., 1-5 scale) to evaluate some important variables, such as:</w:t>
      </w:r>
    </w:p>
    <w:p w14:paraId="6843FECB" w14:textId="77777777" w:rsidR="00E336C2" w:rsidRDefault="00000000">
      <w:pPr>
        <w:numPr>
          <w:ilvl w:val="0"/>
          <w:numId w:val="6"/>
        </w:numPr>
        <w:pBdr>
          <w:top w:val="nil"/>
          <w:left w:val="nil"/>
          <w:bottom w:val="nil"/>
          <w:right w:val="nil"/>
          <w:between w:val="nil"/>
        </w:pBdr>
        <w:spacing w:before="160" w:after="0" w:line="360" w:lineRule="auto"/>
        <w:jc w:val="both"/>
        <w:rPr>
          <w:color w:val="000000"/>
          <w:sz w:val="24"/>
          <w:szCs w:val="24"/>
        </w:rPr>
      </w:pPr>
      <w:r>
        <w:rPr>
          <w:rFonts w:ascii="Arial" w:eastAsia="Arial" w:hAnsi="Arial" w:cs="Arial"/>
          <w:color w:val="000000"/>
          <w:sz w:val="24"/>
          <w:szCs w:val="24"/>
        </w:rPr>
        <w:t>awareness of sustainability efforts by consumers.</w:t>
      </w:r>
    </w:p>
    <w:p w14:paraId="1392A990" w14:textId="77777777" w:rsidR="00E336C2" w:rsidRDefault="00000000">
      <w:pPr>
        <w:numPr>
          <w:ilvl w:val="0"/>
          <w:numId w:val="6"/>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image of sustainability practices</w:t>
      </w:r>
    </w:p>
    <w:p w14:paraId="7C7FA2E5" w14:textId="77777777" w:rsidR="00E336C2" w:rsidRDefault="00000000">
      <w:pPr>
        <w:numPr>
          <w:ilvl w:val="0"/>
          <w:numId w:val="6"/>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brand image and trust.</w:t>
      </w:r>
    </w:p>
    <w:p w14:paraId="47992420" w14:textId="77777777" w:rsidR="00E336C2" w:rsidRDefault="00000000">
      <w:pPr>
        <w:numPr>
          <w:ilvl w:val="0"/>
          <w:numId w:val="6"/>
        </w:numPr>
        <w:pBdr>
          <w:top w:val="nil"/>
          <w:left w:val="nil"/>
          <w:bottom w:val="nil"/>
          <w:right w:val="nil"/>
          <w:between w:val="nil"/>
        </w:pBdr>
        <w:spacing w:after="80" w:line="360" w:lineRule="auto"/>
        <w:jc w:val="both"/>
        <w:rPr>
          <w:color w:val="000000"/>
          <w:sz w:val="24"/>
          <w:szCs w:val="24"/>
        </w:rPr>
      </w:pPr>
      <w:r>
        <w:rPr>
          <w:rFonts w:ascii="Arial" w:eastAsia="Arial" w:hAnsi="Arial" w:cs="Arial"/>
          <w:color w:val="000000"/>
          <w:sz w:val="24"/>
          <w:szCs w:val="24"/>
        </w:rPr>
        <w:t>purchasing intention</w:t>
      </w:r>
    </w:p>
    <w:p w14:paraId="590BC00E"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Analysis of the collected data will be done using descriptive and inferential statistics. The data will be summarised by using descriptive statistics, frequencies and percentages, and inferential analysis, including correlation analysis shall be used to analyse the relationship between sustainability perception and purchasing behaviour. Regression analysis can also be done to determine the strength and direction of these relationships where necessary (Hair et al., 2022).</w:t>
      </w:r>
    </w:p>
    <w:p w14:paraId="32D3D086" w14:textId="77777777" w:rsidR="00E336C2"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 xml:space="preserve">This methodological approach guarantees systematic and rigorous analysis of the research </w:t>
      </w:r>
      <w:proofErr w:type="gramStart"/>
      <w:r>
        <w:rPr>
          <w:rFonts w:ascii="Arial" w:eastAsia="Arial" w:hAnsi="Arial" w:cs="Arial"/>
          <w:sz w:val="24"/>
          <w:szCs w:val="24"/>
        </w:rPr>
        <w:t>problem,</w:t>
      </w:r>
      <w:proofErr w:type="gramEnd"/>
      <w:r>
        <w:rPr>
          <w:rFonts w:ascii="Arial" w:eastAsia="Arial" w:hAnsi="Arial" w:cs="Arial"/>
          <w:sz w:val="24"/>
          <w:szCs w:val="24"/>
        </w:rPr>
        <w:t xml:space="preserve"> thus, the study can produce reliable and valid results.</w:t>
      </w:r>
    </w:p>
    <w:p w14:paraId="02F36CB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It's in 5 major parts of this dissertation. The first part introduces the research by providing background and context information on sustainability in the sportswear industry, the research problem, research aim, research objectives, research questions and the overall methodological approach. The second section critically examines the literature on sustainability, consumer perception, corporate social responsibility and theoretical foundations. The third part documents the methodological process used in the research, such as the research philosophy, approach, design, sampling strategy, process of data collection and analysis techniques. The fourth section presents and interprets the empirical results that were derived from the analysis of the </w:t>
      </w:r>
      <w:proofErr w:type="gramStart"/>
      <w:r>
        <w:rPr>
          <w:rFonts w:ascii="Arial" w:eastAsia="Arial" w:hAnsi="Arial" w:cs="Arial"/>
          <w:sz w:val="24"/>
          <w:szCs w:val="24"/>
        </w:rPr>
        <w:t>survey, and</w:t>
      </w:r>
      <w:proofErr w:type="gramEnd"/>
      <w:r>
        <w:rPr>
          <w:rFonts w:ascii="Arial" w:eastAsia="Arial" w:hAnsi="Arial" w:cs="Arial"/>
          <w:sz w:val="24"/>
          <w:szCs w:val="24"/>
        </w:rPr>
        <w:t xml:space="preserve"> connects the results to the research goals and theoretical perspectives. The final section brings together the study's main results, theoretical and managerial </w:t>
      </w:r>
      <w:r>
        <w:rPr>
          <w:rFonts w:ascii="Arial" w:eastAsia="Arial" w:hAnsi="Arial" w:cs="Arial"/>
          <w:sz w:val="24"/>
          <w:szCs w:val="24"/>
        </w:rPr>
        <w:lastRenderedPageBreak/>
        <w:t>implications, limitations and suggestions for future study (White et al., 2022; Deloitte, 2024).</w:t>
      </w:r>
    </w:p>
    <w:p w14:paraId="4F9D64C4" w14:textId="77777777" w:rsidR="00E336C2" w:rsidRDefault="00E336C2">
      <w:pPr>
        <w:spacing w:line="360" w:lineRule="auto"/>
        <w:jc w:val="both"/>
        <w:rPr>
          <w:rFonts w:ascii="Arial" w:eastAsia="Arial" w:hAnsi="Arial" w:cs="Arial"/>
          <w:sz w:val="24"/>
          <w:szCs w:val="24"/>
        </w:rPr>
      </w:pPr>
    </w:p>
    <w:p w14:paraId="642FA252" w14:textId="6C7D2B8B" w:rsidR="00E336C2" w:rsidRDefault="00000000">
      <w:pPr>
        <w:rPr>
          <w:rFonts w:ascii="Arial" w:eastAsia="Arial" w:hAnsi="Arial" w:cs="Arial"/>
          <w:sz w:val="24"/>
          <w:szCs w:val="24"/>
        </w:rPr>
      </w:pPr>
      <w:r>
        <w:br w:type="page"/>
      </w:r>
    </w:p>
    <w:p w14:paraId="127322F2" w14:textId="77777777" w:rsidR="00E336C2" w:rsidRDefault="00000000" w:rsidP="00AD1A9C">
      <w:pPr>
        <w:pStyle w:val="Heading1"/>
        <w:keepNext w:val="0"/>
        <w:keepLines w:val="0"/>
        <w:spacing w:before="480" w:after="120" w:line="360" w:lineRule="auto"/>
        <w:rPr>
          <w:sz w:val="46"/>
          <w:szCs w:val="46"/>
        </w:rPr>
      </w:pPr>
      <w:bookmarkStart w:id="7" w:name="_rjlp9bwzomxi" w:colFirst="0" w:colLast="0"/>
      <w:bookmarkEnd w:id="7"/>
      <w:r>
        <w:rPr>
          <w:sz w:val="46"/>
          <w:szCs w:val="46"/>
        </w:rPr>
        <w:lastRenderedPageBreak/>
        <w:t>Chapter 2: Literature Review</w:t>
      </w:r>
    </w:p>
    <w:p w14:paraId="66105AC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chapter critically analysed existing literature on sustainability and consumer perception in sportswear industry and specifically in Adidas. This review aims to develop a solid theoretical and empirical base of the study, through the analysis of main concepts, debates, and previous research results.</w:t>
      </w:r>
    </w:p>
    <w:p w14:paraId="1C768AD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chapter is not just limited to the descriptive discussion, but it also critically evaluates the opposing academic views of sustainability practices and its implication on consumer behaviour. It looks at how environmental issues, corporate sustainability and marketing communications influence consumer perception and buying behaviour. Specifically, the literature singles out a long-standing discrepancy between positive attitudes of consumers towards sustainability and real purchasing behaviour, commonly known as the attitude-behaviour gap (White et al., 2022).</w:t>
      </w:r>
    </w:p>
    <w:p w14:paraId="0AB8FCB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Also, the chapter combines the appropriate theoretical frameworks such as the stakeholder theory and the Theory of Planned Behaviour to explain organisational behaviour and consumer behaviour. Combining these insights, the review reveals some of the major research gaps, such as the lack of emphasis on the sportswear industry and brand-specific research.</w:t>
      </w:r>
    </w:p>
    <w:p w14:paraId="75C41BE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general, this chapter offers a critical background on the complicated relationship between sustainability initiatives and consumer perception, which guides the research design and methodology in later chapters.</w:t>
      </w:r>
    </w:p>
    <w:p w14:paraId="7F6F2676" w14:textId="77777777" w:rsidR="00E336C2" w:rsidRDefault="00000000">
      <w:pPr>
        <w:pStyle w:val="Heading2"/>
      </w:pPr>
      <w:bookmarkStart w:id="8" w:name="_p2xlwk4re21y" w:colFirst="0" w:colLast="0"/>
      <w:bookmarkEnd w:id="8"/>
      <w:r>
        <w:t>2.1 Sustainability in the Sportswear Industry</w:t>
      </w:r>
    </w:p>
    <w:p w14:paraId="662369E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sportswear industry is a field of endeavour whose operations should be viewed with respect to sustainability. </w:t>
      </w:r>
    </w:p>
    <w:p w14:paraId="77A20E64"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Sportswear Industry on the Environment.</w:t>
      </w:r>
    </w:p>
    <w:p w14:paraId="1F0F05D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sportswear business is well-known as one of the most ecologically intensive industries because it is based on the processes of production that consume resources and use synthetic materials. Studies show that textile production is one of the major producers of carbon dioxide, water and waste pollution (</w:t>
      </w:r>
      <w:proofErr w:type="spellStart"/>
      <w:r>
        <w:rPr>
          <w:rFonts w:ascii="Arial" w:eastAsia="Arial" w:hAnsi="Arial" w:cs="Arial"/>
          <w:sz w:val="24"/>
          <w:szCs w:val="24"/>
        </w:rPr>
        <w:t>Niinimaki</w:t>
      </w:r>
      <w:proofErr w:type="spellEnd"/>
      <w:r>
        <w:rPr>
          <w:rFonts w:ascii="Arial" w:eastAsia="Arial" w:hAnsi="Arial" w:cs="Arial"/>
          <w:sz w:val="24"/>
          <w:szCs w:val="24"/>
        </w:rPr>
        <w:t xml:space="preserve"> et al., 2022). The </w:t>
      </w:r>
      <w:r>
        <w:rPr>
          <w:rFonts w:ascii="Arial" w:eastAsia="Arial" w:hAnsi="Arial" w:cs="Arial"/>
          <w:sz w:val="24"/>
          <w:szCs w:val="24"/>
        </w:rPr>
        <w:lastRenderedPageBreak/>
        <w:t>consumption of fossil-based materials, including polyester, also increases environmental issues as the latter leads to the micro plastic pollution of the marine environment (</w:t>
      </w:r>
      <w:proofErr w:type="spellStart"/>
      <w:r>
        <w:rPr>
          <w:rFonts w:ascii="Arial" w:eastAsia="Arial" w:hAnsi="Arial" w:cs="Arial"/>
          <w:sz w:val="24"/>
          <w:szCs w:val="24"/>
        </w:rPr>
        <w:t>Shirvanimoghaddam</w:t>
      </w:r>
      <w:proofErr w:type="spellEnd"/>
      <w:r>
        <w:rPr>
          <w:rFonts w:ascii="Arial" w:eastAsia="Arial" w:hAnsi="Arial" w:cs="Arial"/>
          <w:sz w:val="24"/>
          <w:szCs w:val="24"/>
        </w:rPr>
        <w:t xml:space="preserve"> et al., 2022).</w:t>
      </w:r>
    </w:p>
    <w:p w14:paraId="1E60F31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Although there is a growing awareness of these problems, the industry continues to use the traditional linear model of production, which implies take, make, dispose, and contributes to unsustainable consumption patterns. This poses important questions on the sustainability of the sportswear industry in the long run.</w:t>
      </w:r>
    </w:p>
    <w:p w14:paraId="085A59E1" w14:textId="77777777" w:rsidR="00E336C2" w:rsidRDefault="00000000">
      <w:pPr>
        <w:pStyle w:val="Heading2"/>
      </w:pPr>
      <w:bookmarkStart w:id="9" w:name="_mmfugrb4276x" w:colFirst="0" w:colLast="0"/>
      <w:bookmarkEnd w:id="9"/>
      <w:r>
        <w:t>Adoption of Sustainability Initiatives</w:t>
      </w:r>
    </w:p>
    <w:p w14:paraId="0D36B9C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Due to the increasing environmental demands, sportswear firms have taken to sustainability efforts that are geared towards minimizing their environmental impact. Such initiatives involve using recycled materials, energy-saving production technologies, and circular economy policies. Adidas has, as an illustration, unveiled new materials like Prime green and Prime blue </w:t>
      </w:r>
      <w:proofErr w:type="gramStart"/>
      <w:r>
        <w:rPr>
          <w:rFonts w:ascii="Arial" w:eastAsia="Arial" w:hAnsi="Arial" w:cs="Arial"/>
          <w:sz w:val="24"/>
          <w:szCs w:val="24"/>
        </w:rPr>
        <w:t>made out of</w:t>
      </w:r>
      <w:proofErr w:type="gramEnd"/>
      <w:r>
        <w:rPr>
          <w:rFonts w:ascii="Arial" w:eastAsia="Arial" w:hAnsi="Arial" w:cs="Arial"/>
          <w:sz w:val="24"/>
          <w:szCs w:val="24"/>
        </w:rPr>
        <w:t xml:space="preserve"> recycled oceans plastics.</w:t>
      </w:r>
    </w:p>
    <w:p w14:paraId="07819AC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Researchers claim that these initiatives are a major move towards a sustainable change because they encourage the conservation of resources and minimization of waste (</w:t>
      </w:r>
      <w:proofErr w:type="spellStart"/>
      <w:r>
        <w:rPr>
          <w:rFonts w:ascii="Arial" w:eastAsia="Arial" w:hAnsi="Arial" w:cs="Arial"/>
          <w:sz w:val="24"/>
          <w:szCs w:val="24"/>
        </w:rPr>
        <w:t>Geissdoerfer</w:t>
      </w:r>
      <w:proofErr w:type="spellEnd"/>
      <w:r>
        <w:rPr>
          <w:rFonts w:ascii="Arial" w:eastAsia="Arial" w:hAnsi="Arial" w:cs="Arial"/>
          <w:sz w:val="24"/>
          <w:szCs w:val="24"/>
        </w:rPr>
        <w:t xml:space="preserve"> et al., 2022). Moreover, sustainability efforts are frequently seen as part of wider corporate strategies, as a move towards long-term environmental responsibility.</w:t>
      </w:r>
    </w:p>
    <w:p w14:paraId="121B8077" w14:textId="77777777" w:rsidR="00E336C2" w:rsidRDefault="00000000">
      <w:pPr>
        <w:pStyle w:val="Heading2"/>
      </w:pPr>
      <w:bookmarkStart w:id="10" w:name="_fph0qspe8bhd" w:colFirst="0" w:colLast="0"/>
      <w:bookmarkEnd w:id="10"/>
      <w:r>
        <w:t>Trade-offs and Strategic Challenges.</w:t>
      </w:r>
    </w:p>
    <w:p w14:paraId="441C033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Nevertheless, sustainability initiatives effectiveness is a topic of discussion. A trade-off between sustainability and cost efficiency is one of the main challenges. The fact is that sustainable materials and processes tend to be more expensive than traditional options, which may affect the price of the products and their competitiveness (Uddin et al., 2022).</w:t>
      </w:r>
    </w:p>
    <w:p w14:paraId="01B502D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addition, critics claim that most sustainability efforts are evolutionary as opposed to radical. Although recycled materials decrease the impact on the environment, they do not address the issue of overconsumption in the industry at its core (Lopes </w:t>
      </w:r>
      <w:proofErr w:type="spellStart"/>
      <w:r>
        <w:rPr>
          <w:rFonts w:ascii="Arial" w:eastAsia="Arial" w:hAnsi="Arial" w:cs="Arial"/>
          <w:sz w:val="24"/>
          <w:szCs w:val="24"/>
        </w:rPr>
        <w:t>Vassalo</w:t>
      </w:r>
      <w:proofErr w:type="spellEnd"/>
      <w:r>
        <w:rPr>
          <w:rFonts w:ascii="Arial" w:eastAsia="Arial" w:hAnsi="Arial" w:cs="Arial"/>
          <w:sz w:val="24"/>
          <w:szCs w:val="24"/>
        </w:rPr>
        <w:t xml:space="preserve"> et al., 2024). This implies that the existing sustainability practices might not be effective enough to realize significant environmental change.</w:t>
      </w:r>
    </w:p>
    <w:p w14:paraId="183BD1F9" w14:textId="77777777" w:rsidR="00E336C2" w:rsidRDefault="00000000">
      <w:pPr>
        <w:pStyle w:val="Heading2"/>
      </w:pPr>
      <w:bookmarkStart w:id="11" w:name="_6dn8iaesa7c9" w:colFirst="0" w:colLast="0"/>
      <w:bookmarkEnd w:id="11"/>
      <w:r>
        <w:lastRenderedPageBreak/>
        <w:t>Critical Approach to Sustainability Practices.</w:t>
      </w:r>
    </w:p>
    <w:p w14:paraId="49F2F05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threat of greenwashing is another significant issue where companies overrate what they do to increase brand image through the representation of sustainability. This has contributed to scepticism by consumers, as some doubt the validity of corporate sustainability statements (Delmas and Burbano, 2022).</w:t>
      </w:r>
    </w:p>
    <w:p w14:paraId="07FAEA8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As a result, although sustainability initiatives are increasingly becoming common, their influence is influenced by organisational practices as well as the perception of the consumers. The literature thus emphasises the importance of more research to assess the impact of these initiatives on consumer behaviour, specifically in particular situations like sportswear industry.</w:t>
      </w:r>
    </w:p>
    <w:p w14:paraId="400454B3" w14:textId="77777777" w:rsidR="00E336C2" w:rsidRDefault="00000000">
      <w:pPr>
        <w:pStyle w:val="Heading2"/>
      </w:pPr>
      <w:bookmarkStart w:id="12" w:name="_f99brhc6zjjv" w:colFirst="0" w:colLast="0"/>
      <w:bookmarkEnd w:id="12"/>
      <w:r>
        <w:t xml:space="preserve">2.2 CSR and Corporate Sustainability. </w:t>
      </w:r>
    </w:p>
    <w:p w14:paraId="01322315"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Theory and development of Sustainability CSR.</w:t>
      </w:r>
    </w:p>
    <w:p w14:paraId="7B789E1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Corporate Social Responsibility (CSR) has become a key framework by which organisations strive to deal with sustainability issues. CSR means that a company needs to be ethical and socially responsible in its activities while </w:t>
      </w:r>
      <w:proofErr w:type="gramStart"/>
      <w:r>
        <w:rPr>
          <w:rFonts w:ascii="Arial" w:eastAsia="Arial" w:hAnsi="Arial" w:cs="Arial"/>
          <w:sz w:val="24"/>
          <w:szCs w:val="24"/>
        </w:rPr>
        <w:t>taking into account</w:t>
      </w:r>
      <w:proofErr w:type="gramEnd"/>
      <w:r>
        <w:rPr>
          <w:rFonts w:ascii="Arial" w:eastAsia="Arial" w:hAnsi="Arial" w:cs="Arial"/>
          <w:sz w:val="24"/>
          <w:szCs w:val="24"/>
        </w:rPr>
        <w:t xml:space="preserve"> the environmental and social effects (Carroll and Brown, 2023). Over the last couple of years, CSR has no longer been a voluntary, philanthropic </w:t>
      </w:r>
      <w:proofErr w:type="spellStart"/>
      <w:r>
        <w:rPr>
          <w:rFonts w:ascii="Arial" w:eastAsia="Arial" w:hAnsi="Arial" w:cs="Arial"/>
          <w:sz w:val="24"/>
          <w:szCs w:val="24"/>
        </w:rPr>
        <w:t>endeavor</w:t>
      </w:r>
      <w:proofErr w:type="spellEnd"/>
      <w:r>
        <w:rPr>
          <w:rFonts w:ascii="Arial" w:eastAsia="Arial" w:hAnsi="Arial" w:cs="Arial"/>
          <w:sz w:val="24"/>
          <w:szCs w:val="24"/>
        </w:rPr>
        <w:t>, but a strategic priority that has become part of the business.</w:t>
      </w:r>
    </w:p>
    <w:p w14:paraId="5D56B54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the sportswear sector, CSR is embracing </w:t>
      </w:r>
      <w:proofErr w:type="gramStart"/>
      <w:r>
        <w:rPr>
          <w:rFonts w:ascii="Arial" w:eastAsia="Arial" w:hAnsi="Arial" w:cs="Arial"/>
          <w:sz w:val="24"/>
          <w:szCs w:val="24"/>
        </w:rPr>
        <w:t>more and more</w:t>
      </w:r>
      <w:proofErr w:type="gramEnd"/>
      <w:r>
        <w:rPr>
          <w:rFonts w:ascii="Arial" w:eastAsia="Arial" w:hAnsi="Arial" w:cs="Arial"/>
          <w:sz w:val="24"/>
          <w:szCs w:val="24"/>
        </w:rPr>
        <w:t xml:space="preserve"> the environmental sustainability, ethical sourcing and labour standards. Adidas and other companies have incorporated sustainability into their CSR policies through using environmentally friendly materials, minimizing carbon emission, and enhancing the supply chain transparency. This is indicative of a wide trend where organisations align CSR activities with long-term business goals and expectations of stakeholders.</w:t>
      </w:r>
    </w:p>
    <w:p w14:paraId="6276063D"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CSR and Organisational Performance.</w:t>
      </w:r>
    </w:p>
    <w:p w14:paraId="64DA45F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According to a substantial amount of literature, the success of CSR practices can positively affect the performance of the organisation by boosting brand reputation, customer loyalty, and competitive advantage (Fatma and Rahman, 2022). In this light, </w:t>
      </w:r>
      <w:r>
        <w:rPr>
          <w:rFonts w:ascii="Arial" w:eastAsia="Arial" w:hAnsi="Arial" w:cs="Arial"/>
          <w:sz w:val="24"/>
          <w:szCs w:val="24"/>
        </w:rPr>
        <w:lastRenderedPageBreak/>
        <w:t>sustainability efforts are not only morally required, but also economically advantageous.</w:t>
      </w:r>
    </w:p>
    <w:p w14:paraId="24BC40C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An example of this is that when a company is seen to be highly environmentally responsible then it stands a higher chance of attracting a consumer with the same mind-set that is environmentally conscious thus enhancing brand equity. Moreover, CSR programs may contribute to building trust with stakeholders, which is especially desirable in the sectors where moral issues are a key factor.</w:t>
      </w:r>
    </w:p>
    <w:p w14:paraId="650EA0E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But this good relation is not all embraced. According to some scholars, the financial gains of CSR are unpredictable and can be different based on the industry conditions and sensitivity of consumers to sustainability concerns. This shows the necessity of a fundamental analysis of the effectiveness of CSR instead of believing in generally positive consequences.</w:t>
      </w:r>
    </w:p>
    <w:p w14:paraId="7D40CDF5"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Authenticity versus Greenwashing</w:t>
      </w:r>
    </w:p>
    <w:p w14:paraId="3A2A27B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One of the biggest controversies in the CSR literature addresses the authenticity of corporate sustainability activities. Whereas other organisations undertake substantive CSR, which entails making meaningful environmental and social transformations, other organisations undertake symbolic CSR initiatives whose primary goal is to build a better corporate image (Krywalski-Santiago, 2024).</w:t>
      </w:r>
    </w:p>
    <w:p w14:paraId="7E4361B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difference is strongly connected with the idea of greenwashing as a practice when organizations overestimate or falsify their environmental activities (Delmas and Burbano, 2022). Greenwashing destroys consumer confidence and may have negative effects on brand perception, in cases where the differences between the statements and the actual practice are uncovered.</w:t>
      </w:r>
    </w:p>
    <w:p w14:paraId="7A07899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Sustainability programs in the case of Adidas are usually marketed by marketing campaigns and sustainability reports. Though these initiatives can contribute to brand image, their success will depend on the perceived authenticity by the consumers. Growing consumer sensitivity and access to information have rendered the traditional symbolic CSR practices less effective in ensuring that companies can solely depend on them.</w:t>
      </w:r>
    </w:p>
    <w:p w14:paraId="0E3601A8"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lastRenderedPageBreak/>
        <w:t>Effectiveness in CSR Critical Evaluation.</w:t>
      </w:r>
    </w:p>
    <w:p w14:paraId="48EA4C7E"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Although CSR is increasingly becoming important, the practice has its limitations. A major issue is that there is no standardisation in the measurement of CSR performance and thus it is hard to determine the actual effect of sustainability efforts. Also, corporate policies and actual practice may not be in line with each other, especially with complex global supply chains.</w:t>
      </w:r>
    </w:p>
    <w:p w14:paraId="5F855C08"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Additionally, CSR initiatives might not be effective in altering consumer behaviour, unless they are well communicated or when consumers consider other aspects like price and quality of the product. This explains why the strategies of CSR must be aligned with the consumer expectations and the market forces.</w:t>
      </w:r>
    </w:p>
    <w:p w14:paraId="1A288C14"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general, the literature indicates that, although CSR is an effective framework to enhance sustainability, its application is subject to authenticity, transparency, and consistency with organisational practices and consumer perceptions.</w:t>
      </w:r>
    </w:p>
    <w:p w14:paraId="2092A7B2"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comprehensive evidence of the impact of fashion industry on the environment is available in Niinimäki et al. (2022). The study primarily examines environmental results and pays less attention, however, to consumer reactions to sustainability efforts. Moreover, the results also rely on industry level data which can sometimes not provide an accurate picture of brand differences in the sportswear industry.</w:t>
      </w:r>
    </w:p>
    <w:p w14:paraId="353815A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Environmentally sustainable practices can help to achieve sustainability goals, but they typically involve significant capital expenditures, which can drive up production costs and product prices (McKinsey &amp; Company, 2023). Therefore, there is a need for organisation to </w:t>
      </w:r>
      <w:proofErr w:type="spellStart"/>
      <w:r>
        <w:rPr>
          <w:rFonts w:ascii="Arial" w:eastAsia="Arial" w:hAnsi="Arial" w:cs="Arial"/>
          <w:sz w:val="24"/>
          <w:szCs w:val="24"/>
        </w:rPr>
        <w:t>trade off</w:t>
      </w:r>
      <w:proofErr w:type="spellEnd"/>
      <w:r>
        <w:rPr>
          <w:rFonts w:ascii="Arial" w:eastAsia="Arial" w:hAnsi="Arial" w:cs="Arial"/>
          <w:sz w:val="24"/>
          <w:szCs w:val="24"/>
        </w:rPr>
        <w:t xml:space="preserve"> between sustainability goals and cost competitiveness.</w:t>
      </w:r>
    </w:p>
    <w:p w14:paraId="43A2A3A5" w14:textId="77777777" w:rsidR="00E336C2" w:rsidRDefault="00000000">
      <w:pPr>
        <w:pStyle w:val="Heading2"/>
      </w:pPr>
      <w:bookmarkStart w:id="13" w:name="_tmackqxcuinm" w:colFirst="0" w:colLast="0"/>
      <w:bookmarkEnd w:id="13"/>
      <w:r>
        <w:t xml:space="preserve">2.3 Consumer Perception and Sustainable Consumption </w:t>
      </w:r>
    </w:p>
    <w:p w14:paraId="516CC8D5"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Perception of consumers in the context of sustainability.</w:t>
      </w:r>
    </w:p>
    <w:p w14:paraId="55616FB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Consumer perception is defined as the way people perceive and assess the actions, products and values of a company, especially regarding sustainability. Consumer attitudes towards brands and their practices have been greatly impacted in the recent years due to the rising environmental awareness. Research shows that consumers are becoming more inclined to choose organisations that show environmental </w:t>
      </w:r>
      <w:r>
        <w:rPr>
          <w:rFonts w:ascii="Arial" w:eastAsia="Arial" w:hAnsi="Arial" w:cs="Arial"/>
          <w:sz w:val="24"/>
          <w:szCs w:val="24"/>
        </w:rPr>
        <w:lastRenderedPageBreak/>
        <w:t>responsibility because sustainability is frequently linked to moral conduct and value creation in the long run (White et al., 2022).</w:t>
      </w:r>
    </w:p>
    <w:p w14:paraId="1606AAC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 perception is of special concern in the sportswear industry where competition between brands and product differentiation is quite high. Companies like Adidas engage in active marketing of their sustainability programs so that they can shape the perception of their brand among the consumers. But the success of such efforts is conditional on their perception by the consumers, and this may be different depending on personal values, knowledge and trust.</w:t>
      </w:r>
    </w:p>
    <w:p w14:paraId="18D14C3D"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The Attitude–Behaviour Gap</w:t>
      </w:r>
    </w:p>
    <w:p w14:paraId="3066746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Although there is growing awareness and positive attitudes towards sustainability, a recurrent theme in the literature is that there exists an attitude-behaviour gap. This can be defined as the gap between the stated intention of consumers to buy sustainable products and their actual buying behaviour (Joshi and Rahman, 2023).</w:t>
      </w:r>
    </w:p>
    <w:p w14:paraId="658BC49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One of the reasons behind such a gap is the Theory of Planned Behaviour, according to which the attitude is not the sole factor influencing behaviour but subjective norms and perceived behavioural control (Ajzen, 2021). As an example, consumers can be positive about sustainable products but limited by the factors of affordability, availability or convenience.</w:t>
      </w:r>
    </w:p>
    <w:p w14:paraId="3E01D1C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Also, the consumers have a conflict of interests between the ethical and personal gain. Sustainability may be considered important, but it might not be more important than other priorities, like product performance or cost. This points out to the difficulty of consumer decision-making within the realms of sustainability.</w:t>
      </w:r>
    </w:p>
    <w:p w14:paraId="66D8F7CF"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There are factors that affect sustainable consumption.</w:t>
      </w:r>
    </w:p>
    <w:p w14:paraId="2CA7B57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 perception and sustainable consumption hinge on several factors. One of the greatest obstacles is price sensitivity because sustainable products are usually considered to be more expensive than traditional ones. Consequently, consumers might not be ready to pay a premium, despite having a principled commitment to sustainability.</w:t>
      </w:r>
    </w:p>
    <w:p w14:paraId="38E953F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The other consideration is the perceived product quality and functionality especially in the sportswear sector where performance characteristics like durability, comfort, and design are paramount. The consumers can assume these characteristics over sustainability particularly where they perceive the green products as of a lower quality.</w:t>
      </w:r>
    </w:p>
    <w:p w14:paraId="6A4744B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Moreover, consumer trust is essential in influencing perception. With the high rate of greenwashing, consumers might question the sustainability claims, and this might diminish effectiveness of sustainability efforts (Delmas and Burbano, 2022). Trust is thus a must in making sustainability messages credible and effective.</w:t>
      </w:r>
    </w:p>
    <w:p w14:paraId="4B23B802"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Sceptical Perspective on Consumer Behaviour.</w:t>
      </w:r>
    </w:p>
    <w:p w14:paraId="3456FFE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extent to which sustainability has a positive effect on behaviour is a controversial question </w:t>
      </w:r>
      <w:proofErr w:type="gramStart"/>
      <w:r>
        <w:rPr>
          <w:rFonts w:ascii="Arial" w:eastAsia="Arial" w:hAnsi="Arial" w:cs="Arial"/>
          <w:sz w:val="24"/>
          <w:szCs w:val="24"/>
        </w:rPr>
        <w:t>despite the fact that</w:t>
      </w:r>
      <w:proofErr w:type="gramEnd"/>
      <w:r>
        <w:rPr>
          <w:rFonts w:ascii="Arial" w:eastAsia="Arial" w:hAnsi="Arial" w:cs="Arial"/>
          <w:sz w:val="24"/>
          <w:szCs w:val="24"/>
        </w:rPr>
        <w:t xml:space="preserve"> most of the studies carried out have pointed out that sustainability has a positive influence on consumer perception. Some researchers have found that sustainability is emerging as a key driving force in purchases particularly among the youthful consumers. However, there are some who believe that its effect is not significant and often relies on traditional determinants such as price and brand loyalty (Deloitte, 2024).</w:t>
      </w:r>
    </w:p>
    <w:p w14:paraId="08A4900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addition, consumer perception is not consistent and can have different demographic and cultural settings. This implies that sustainability initiatives should be developed to suit certain target markets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be effective.</w:t>
      </w:r>
    </w:p>
    <w:p w14:paraId="2C35EBC1" w14:textId="77777777" w:rsidR="00E336C2" w:rsidRDefault="00000000">
      <w:pPr>
        <w:spacing w:before="240" w:after="240" w:line="360" w:lineRule="auto"/>
        <w:jc w:val="both"/>
        <w:rPr>
          <w:rFonts w:ascii="Arial" w:eastAsia="Arial" w:hAnsi="Arial" w:cs="Arial"/>
          <w:sz w:val="24"/>
          <w:szCs w:val="24"/>
        </w:rPr>
      </w:pPr>
      <w:proofErr w:type="gramStart"/>
      <w:r>
        <w:rPr>
          <w:rFonts w:ascii="Arial" w:eastAsia="Arial" w:hAnsi="Arial" w:cs="Arial"/>
          <w:sz w:val="24"/>
          <w:szCs w:val="24"/>
        </w:rPr>
        <w:t>On the whole</w:t>
      </w:r>
      <w:proofErr w:type="gramEnd"/>
      <w:r>
        <w:rPr>
          <w:rFonts w:ascii="Arial" w:eastAsia="Arial" w:hAnsi="Arial" w:cs="Arial"/>
          <w:sz w:val="24"/>
          <w:szCs w:val="24"/>
        </w:rPr>
        <w:t>, the literature points out the complexity and multifaceted nature of consumer perception that depends on various psychological, social, and economic factors. This complexity highlights the importance of empirical studies to gain a clearer insight into the effects of sustainability initiatives on consumer behaviour in the sportswear sector.</w:t>
      </w:r>
    </w:p>
    <w:p w14:paraId="2BA2201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While CSR can foster stakeholder engagement and build corporate reputation, some companies are seen as using sustainability communication as a marketing tactic rather than a genuine expression of corporate involvement in sustainability efforts (Delmas and Burbano, 2022). These practices can have a negative impact on consumer trust in sustainability claims and </w:t>
      </w:r>
      <w:proofErr w:type="spellStart"/>
      <w:r>
        <w:rPr>
          <w:rFonts w:ascii="Arial" w:eastAsia="Arial" w:hAnsi="Arial" w:cs="Arial"/>
          <w:sz w:val="24"/>
          <w:szCs w:val="24"/>
        </w:rPr>
        <w:t>skepticism</w:t>
      </w:r>
      <w:proofErr w:type="spellEnd"/>
      <w:r>
        <w:rPr>
          <w:rFonts w:ascii="Arial" w:eastAsia="Arial" w:hAnsi="Arial" w:cs="Arial"/>
          <w:sz w:val="24"/>
          <w:szCs w:val="24"/>
        </w:rPr>
        <w:t>.</w:t>
      </w:r>
    </w:p>
    <w:p w14:paraId="05B59EB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Fatma and Rahman (2022) argue that CSR activities can positively influence brand equity, while Delmas and Burbano (2022) suggest that consumers are </w:t>
      </w:r>
      <w:proofErr w:type="gramStart"/>
      <w:r>
        <w:rPr>
          <w:rFonts w:ascii="Arial" w:eastAsia="Arial" w:hAnsi="Arial" w:cs="Arial"/>
          <w:sz w:val="24"/>
          <w:szCs w:val="24"/>
        </w:rPr>
        <w:t>more and more</w:t>
      </w:r>
      <w:proofErr w:type="gramEnd"/>
      <w:r>
        <w:rPr>
          <w:rFonts w:ascii="Arial" w:eastAsia="Arial" w:hAnsi="Arial" w:cs="Arial"/>
          <w:sz w:val="24"/>
          <w:szCs w:val="24"/>
        </w:rPr>
        <w:t xml:space="preserve"> questioning sustainability statements, and potentially responding negatively to anything that is seen as “not real.”</w:t>
      </w:r>
    </w:p>
    <w:p w14:paraId="2396D190" w14:textId="77777777" w:rsidR="00E336C2" w:rsidRDefault="00000000">
      <w:pPr>
        <w:pStyle w:val="Heading2"/>
      </w:pPr>
      <w:bookmarkStart w:id="14" w:name="_jdwuok30yd1y" w:colFirst="0" w:colLast="0"/>
      <w:bookmarkEnd w:id="14"/>
      <w:r>
        <w:t xml:space="preserve">2.4 Sustainability and Brand Image </w:t>
      </w:r>
    </w:p>
    <w:p w14:paraId="6BF2372F"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Role of Sustainability in Shaping Brand Image</w:t>
      </w:r>
    </w:p>
    <w:p w14:paraId="463BF6EB" w14:textId="5346091C"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Sustainability is now a significant factor of brand image which is the way the consumers view the values, ethics, and social responsibility of a company. As the markets grow more competitive, sustainability efforts help organisations to distinguish their brands and become more reputable, as a strategic instrument. The study indicates that </w:t>
      </w:r>
      <w:r w:rsidR="00D634FA">
        <w:rPr>
          <w:rFonts w:ascii="Arial" w:eastAsia="Arial" w:hAnsi="Arial" w:cs="Arial"/>
          <w:sz w:val="24"/>
          <w:szCs w:val="24"/>
        </w:rPr>
        <w:t>environmentally friendly</w:t>
      </w:r>
      <w:r>
        <w:rPr>
          <w:rFonts w:ascii="Arial" w:eastAsia="Arial" w:hAnsi="Arial" w:cs="Arial"/>
          <w:sz w:val="24"/>
          <w:szCs w:val="24"/>
        </w:rPr>
        <w:t xml:space="preserve"> practices may positively impact brand image by communicating a commitment to ethical conduct and value generation in the long run (Keller, 2022).</w:t>
      </w:r>
    </w:p>
    <w:p w14:paraId="057C5E2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Sponsors like Adidas use sustainability efforts to reinforce the brands that consumers consider important in the sportswear industry. Brands strive to identify themselves with the values of the environmentally conscious consumers by encouraging the use of recycled resources, as well as environmentally friendly production processes.</w:t>
      </w:r>
    </w:p>
    <w:p w14:paraId="0F33D9C7"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Sustainability, Trust and Brand Equity.</w:t>
      </w:r>
    </w:p>
    <w:p w14:paraId="53366D3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 good brand image that was created due to sustainability activities can lead to an increase in consumer trust and brand equity. Consumers will develop positive attitudes towards the brand more when they view sustainability activities as authentic and credible, which can result in higher levels of loyalty and purchase intention (Fatma and Rahman, 2022).</w:t>
      </w:r>
    </w:p>
    <w:p w14:paraId="6A08296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Nevertheless, transparency and communication are crucial to the success of sustainability in the formation of brand image. Unless sustainability claims are effectively communicated and are seen as authentic, they may result in scepticism and harm brand credibility. This is especially applicable to the situation of greenwashing, where false claims and exaggerated ones can destroy consumer confidence (Delmas and Burbano, 2022).</w:t>
      </w:r>
    </w:p>
    <w:p w14:paraId="562A03A7"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lastRenderedPageBreak/>
        <w:t>Critical Impact Assessment.</w:t>
      </w:r>
    </w:p>
    <w:p w14:paraId="24DAFB5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Sustainability is not necessarily a core contributor to brand image, despite its possible advantages. Research has shown that consumers tend to be more influenced by conventional aspects of product quality, price, and brand heritage (Deloitte, 2024).</w:t>
      </w:r>
    </w:p>
    <w:p w14:paraId="7FE8A14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Thus, although sustainability has the potential of improving brand image, its effects are conditional </w:t>
      </w:r>
      <w:proofErr w:type="gramStart"/>
      <w:r>
        <w:rPr>
          <w:rFonts w:ascii="Arial" w:eastAsia="Arial" w:hAnsi="Arial" w:cs="Arial"/>
          <w:sz w:val="24"/>
          <w:szCs w:val="24"/>
        </w:rPr>
        <w:t>with regard to</w:t>
      </w:r>
      <w:proofErr w:type="gramEnd"/>
      <w:r>
        <w:rPr>
          <w:rFonts w:ascii="Arial" w:eastAsia="Arial" w:hAnsi="Arial" w:cs="Arial"/>
          <w:sz w:val="24"/>
          <w:szCs w:val="24"/>
        </w:rPr>
        <w:t xml:space="preserve"> authenticity, effective communication and its combination with other important brand qualities.</w:t>
      </w:r>
    </w:p>
    <w:p w14:paraId="1A80F45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There are several studies which indicate that consumers are positive towards sustainability, but actual consumer behaviour is inconsistent with this (White et al., 2022). Many studies have </w:t>
      </w:r>
      <w:proofErr w:type="spellStart"/>
      <w:r>
        <w:rPr>
          <w:rFonts w:ascii="Arial" w:eastAsia="Arial" w:hAnsi="Arial" w:cs="Arial"/>
          <w:sz w:val="24"/>
          <w:szCs w:val="24"/>
        </w:rPr>
        <w:t>analyzed</w:t>
      </w:r>
      <w:proofErr w:type="spellEnd"/>
      <w:r>
        <w:rPr>
          <w:rFonts w:ascii="Arial" w:eastAsia="Arial" w:hAnsi="Arial" w:cs="Arial"/>
          <w:sz w:val="24"/>
          <w:szCs w:val="24"/>
        </w:rPr>
        <w:t xml:space="preserve"> consumers' purchasing behaviour based on their self-reported intentions to buy foods that are more environmentally friendly, which can overestimate the actual effect of their sustainability perceptions on their buying decisions (Li et al., 2024).</w:t>
      </w:r>
    </w:p>
    <w:p w14:paraId="602B9B7B" w14:textId="77777777" w:rsidR="00E336C2" w:rsidRDefault="00000000">
      <w:pPr>
        <w:pStyle w:val="Heading2"/>
        <w:rPr>
          <w:strike/>
          <w:sz w:val="24"/>
          <w:szCs w:val="24"/>
        </w:rPr>
      </w:pPr>
      <w:bookmarkStart w:id="15" w:name="_i66eyy8zs2wm" w:colFirst="0" w:colLast="0"/>
      <w:bookmarkEnd w:id="15"/>
      <w:r>
        <w:t xml:space="preserve">2.5 Theoretical Frameworks </w:t>
      </w:r>
    </w:p>
    <w:p w14:paraId="03F895A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this research, it is possible to combine several theoretical approaches that may help to understand the impact of sustainability initiatives on consumer perception and buying behaviour in the sportswear sector, using Adidas as an example. This section combines major frameworks instead of focusing on each theory separately and offers an entire explanatory model that links organisational actions and consumer decision-making processes.</w:t>
      </w:r>
    </w:p>
    <w:p w14:paraId="7291E495" w14:textId="77777777" w:rsidR="00E336C2" w:rsidRDefault="00000000">
      <w:pPr>
        <w:pStyle w:val="Heading3"/>
      </w:pPr>
      <w:bookmarkStart w:id="16" w:name="_18ocgs8eh4z2" w:colFirst="0" w:colLast="0"/>
      <w:bookmarkEnd w:id="16"/>
      <w:r>
        <w:t>2.5.1 Stakeholder Theory</w:t>
      </w:r>
    </w:p>
    <w:p w14:paraId="61FB1BD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According to the Stakeholder Theory, organisations are supposed to act upon the expectations of all stakeholders, not only on the behalf of shareholders, but also towards customers, employees, suppliers, and the environment at large (Freeman et al., 2021). This theory describes the rationale behind the sportswear corporations taking environmental initiatives as a reaction to mounting pressure by the environmentally conscious stakeholders in the context of sustainability.</w:t>
      </w:r>
    </w:p>
    <w:p w14:paraId="79670C2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the case of Adidas, the implementation of sustainability practices like recycled materials and carbon reduction measures are indicative of the need to retain </w:t>
      </w:r>
      <w:r>
        <w:rPr>
          <w:rFonts w:ascii="Arial" w:eastAsia="Arial" w:hAnsi="Arial" w:cs="Arial"/>
          <w:sz w:val="24"/>
          <w:szCs w:val="24"/>
        </w:rPr>
        <w:lastRenderedPageBreak/>
        <w:t>legitimacy and conform to the expectations of stakeholders. The success of such initiatives, however, will be determined by whether the stakeholders see the initiatives as real and effective.</w:t>
      </w:r>
    </w:p>
    <w:p w14:paraId="0149E4E0" w14:textId="77777777" w:rsidR="00E336C2" w:rsidRDefault="00000000">
      <w:pPr>
        <w:pStyle w:val="Heading3"/>
      </w:pPr>
      <w:bookmarkStart w:id="17" w:name="_pfmxmlggmqea" w:colFirst="0" w:colLast="0"/>
      <w:bookmarkEnd w:id="17"/>
      <w:r>
        <w:t>2.5.2 Theory of Planned Behaviour (TPB)</w:t>
      </w:r>
    </w:p>
    <w:p w14:paraId="0ADE1B8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Theory of Planned Behaviour is a theory that describes consumer behaviour based on three determinants: attitudes, subjective norms, and perceived behavioural control (Ajzen, 2021). This model is vital in interpreting the disparity between positive consumer intentions </w:t>
      </w:r>
      <w:proofErr w:type="gramStart"/>
      <w:r>
        <w:rPr>
          <w:rFonts w:ascii="Arial" w:eastAsia="Arial" w:hAnsi="Arial" w:cs="Arial"/>
          <w:sz w:val="24"/>
          <w:szCs w:val="24"/>
        </w:rPr>
        <w:t>with regard to</w:t>
      </w:r>
      <w:proofErr w:type="gramEnd"/>
      <w:r>
        <w:rPr>
          <w:rFonts w:ascii="Arial" w:eastAsia="Arial" w:hAnsi="Arial" w:cs="Arial"/>
          <w:sz w:val="24"/>
          <w:szCs w:val="24"/>
        </w:rPr>
        <w:t xml:space="preserve"> sustainability and their actual buying behaviour.</w:t>
      </w:r>
    </w:p>
    <w:p w14:paraId="05D3B037"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behaviour of consumers who have positive attitudes towards sustainable sportswear may be limited by price, availability or competing needs like performance and brand loyalty.</w:t>
      </w:r>
    </w:p>
    <w:p w14:paraId="251BF19B" w14:textId="77777777" w:rsidR="00E336C2" w:rsidRDefault="00000000">
      <w:pPr>
        <w:pStyle w:val="Heading3"/>
      </w:pPr>
      <w:bookmarkStart w:id="18" w:name="_sfeuoyrrigks" w:colFirst="0" w:colLast="0"/>
      <w:bookmarkEnd w:id="18"/>
      <w:r>
        <w:t>2.5.3 Sustainable Consumption Theory</w:t>
      </w:r>
    </w:p>
    <w:p w14:paraId="3C108B4E"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Sustainable Consumption Theory is devoted to how people can make an environmentally responsible purchasing decision. It emphasizes that awareness of sustainability is growing, but there is often very little behavioural change because of structural and psychological obstacles (White et al., 2022).</w:t>
      </w:r>
    </w:p>
    <w:p w14:paraId="61BD162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theory contributes to the belief that the consumer behaviour is shaped by the ethical intentions and practical limitations which confirm the presence of the attitude-behaviour gap.</w:t>
      </w:r>
    </w:p>
    <w:p w14:paraId="2E088E9F" w14:textId="77777777" w:rsidR="00E336C2" w:rsidRDefault="00000000">
      <w:pPr>
        <w:pStyle w:val="Heading3"/>
      </w:pPr>
      <w:bookmarkStart w:id="19" w:name="_q9ik282sjkx" w:colFirst="0" w:colLast="0"/>
      <w:bookmarkEnd w:id="19"/>
      <w:r>
        <w:t>2.5.4 Green Marketing Theory</w:t>
      </w:r>
    </w:p>
    <w:p w14:paraId="19542E2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Green Marketing Theory describes the process of communicating environmental values by organisations in a bid to impact consumer perception. It highlights how proper communication of sustainability efforts can strengthen brand image and consumer trust, on condition that it can be seen as a credible and transparent one (Peattie and Crane, 2021).</w:t>
      </w:r>
    </w:p>
    <w:p w14:paraId="4D7C219B"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Nevertheless, false or inflated statements might lead to distrust and make marketing campaigns less successful.</w:t>
      </w:r>
    </w:p>
    <w:p w14:paraId="2E22060F"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Integrated Theoretical Perspective</w:t>
      </w:r>
    </w:p>
    <w:p w14:paraId="6A4F439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Together, these theories can offer a comprehensive picture: Stakeholder Theory describes the reasons why firms should be sustainable, Green Marketing describes the ways in which it is communicated, TPB describes how consumers perceive it, and Sustainable Consumption Theory describes why behaviour is not necessarily consistent with intention. The combination of this methodology enhances the analytical basis of the </w:t>
      </w:r>
      <w:proofErr w:type="spellStart"/>
      <w:proofErr w:type="gramStart"/>
      <w:r>
        <w:rPr>
          <w:rFonts w:ascii="Arial" w:eastAsia="Arial" w:hAnsi="Arial" w:cs="Arial"/>
          <w:sz w:val="24"/>
          <w:szCs w:val="24"/>
        </w:rPr>
        <w:t>research.The</w:t>
      </w:r>
      <w:proofErr w:type="spellEnd"/>
      <w:proofErr w:type="gramEnd"/>
      <w:r>
        <w:rPr>
          <w:rFonts w:ascii="Arial" w:eastAsia="Arial" w:hAnsi="Arial" w:cs="Arial"/>
          <w:sz w:val="24"/>
          <w:szCs w:val="24"/>
        </w:rPr>
        <w:t xml:space="preserve"> Stakeholder Theory provides a rationale for organisations like Adidas to engage in sustainability efforts based on stakeholder expectations (Freeman et al., 2021). These sustainability initiatives are communicated to consumers through branding and promotional efforts, which is the subject of Green Marketing Theory (Peattie and Crane, 2021). The Theory of Planned Behaviour then accounts for the relationship between consumer perceptions of sustainability and attitudes and purchase intentions (Ajzen, 2021). These theories collectively form a robust framework to connect organisational sustainability practices with individual consumer responses.</w:t>
      </w:r>
    </w:p>
    <w:p w14:paraId="7DE1D9E3" w14:textId="77777777" w:rsidR="00E336C2" w:rsidRDefault="00000000">
      <w:pPr>
        <w:pStyle w:val="Heading2"/>
      </w:pPr>
      <w:bookmarkStart w:id="20" w:name="_w2hudo5i45rm" w:colFirst="0" w:colLast="0"/>
      <w:bookmarkEnd w:id="20"/>
      <w:r>
        <w:t xml:space="preserve">2.6 Academic Debate </w:t>
      </w:r>
    </w:p>
    <w:p w14:paraId="5C70E35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scholarly sources on the sustainability and consumer perception in the sportswear sector are characterized by a variety of contradictory and conflicting points of view. A key discussion is whether sustainability efforts have a real impact on consumer behaviour or are more of a strategic market instrument.</w:t>
      </w:r>
    </w:p>
    <w:p w14:paraId="71CE161B"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On the one hand, some researchers state that sustainability has emerged as a </w:t>
      </w:r>
      <w:proofErr w:type="gramStart"/>
      <w:r>
        <w:rPr>
          <w:rFonts w:ascii="Arial" w:eastAsia="Arial" w:hAnsi="Arial" w:cs="Arial"/>
          <w:sz w:val="24"/>
          <w:szCs w:val="24"/>
        </w:rPr>
        <w:t>more and more</w:t>
      </w:r>
      <w:proofErr w:type="gramEnd"/>
      <w:r>
        <w:rPr>
          <w:rFonts w:ascii="Arial" w:eastAsia="Arial" w:hAnsi="Arial" w:cs="Arial"/>
          <w:sz w:val="24"/>
          <w:szCs w:val="24"/>
        </w:rPr>
        <w:t xml:space="preserve"> significant factor of consumer preference. Research indicates that consumers who are concerned about the environment tend to choose the brands that exhibit ethical and sustainable behaviours since it is linked with trust, responsibility, and value creation in the long term (White et al., 2022). In this light, brand loyalty can be enhanced through sustainability efforts and purchase intention can be positively impacted, especially among younger consumer groups.</w:t>
      </w:r>
    </w:p>
    <w:p w14:paraId="0A330F0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Contrarily, other scholars believe that sustainability has limited effects in the consumer behaviour. They emphasise that even in the light of increasing environmental consciousness, a significant number of consumers still consider price, quality, and brand recognition over the consideration of sustainability (Deloitte, 2024). This </w:t>
      </w:r>
      <w:r>
        <w:rPr>
          <w:rFonts w:ascii="Arial" w:eastAsia="Arial" w:hAnsi="Arial" w:cs="Arial"/>
          <w:sz w:val="24"/>
          <w:szCs w:val="24"/>
        </w:rPr>
        <w:lastRenderedPageBreak/>
        <w:t>supports the point that sustainability might not be as a major driver when making buying decisions but a secondary consideration.</w:t>
      </w:r>
    </w:p>
    <w:p w14:paraId="63D47E3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Another important problem with the literature is the notion of greenwashing. Though organisations like Adidas advertise sustainability activities widely, some scholars also claim that not all the allegations are seen as valid by the consumers. According to Delmas and Burbano (2022), overstated or inadequately conveyed sustainability messages may cause consumer scepticism, which diminishes the success of green marketing approaches.</w:t>
      </w:r>
    </w:p>
    <w:p w14:paraId="69FC16A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Consumers' sustained consumption patterns are increasingly influenced by sustainability, as White et al. (2022) assert, but this is not always the case as Li et al. (2024) show that product quality and price can be the primary factors. Likewise, McKinsey &amp; Company (2023) note that consumer interest in sustainability is rising but that behaviours do not necessarily match up to the market.</w:t>
      </w:r>
    </w:p>
    <w:p w14:paraId="06FD9707" w14:textId="77777777" w:rsidR="00E336C2" w:rsidRDefault="00000000">
      <w:pPr>
        <w:pStyle w:val="Heading2"/>
      </w:pPr>
      <w:bookmarkStart w:id="21" w:name="_2fmk8928oz76" w:colFirst="0" w:colLast="0"/>
      <w:bookmarkEnd w:id="21"/>
      <w:r>
        <w:t xml:space="preserve">2.7 Past Empirical Studies </w:t>
      </w:r>
    </w:p>
    <w:p w14:paraId="4997AE4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Various studies on sustainability and consumer perception in the sportswear sector have shown conflicting and inconsistent results that are mostly empirical. Although numerous </w:t>
      </w:r>
      <w:proofErr w:type="gramStart"/>
      <w:r>
        <w:rPr>
          <w:rFonts w:ascii="Arial" w:eastAsia="Arial" w:hAnsi="Arial" w:cs="Arial"/>
          <w:sz w:val="24"/>
          <w:szCs w:val="24"/>
        </w:rPr>
        <w:t>researches</w:t>
      </w:r>
      <w:proofErr w:type="gramEnd"/>
      <w:r>
        <w:rPr>
          <w:rFonts w:ascii="Arial" w:eastAsia="Arial" w:hAnsi="Arial" w:cs="Arial"/>
          <w:sz w:val="24"/>
          <w:szCs w:val="24"/>
        </w:rPr>
        <w:t xml:space="preserve"> point out that sustainability efforts have a positive impact on consumer attitudes, the number of </w:t>
      </w:r>
      <w:proofErr w:type="gramStart"/>
      <w:r>
        <w:rPr>
          <w:rFonts w:ascii="Arial" w:eastAsia="Arial" w:hAnsi="Arial" w:cs="Arial"/>
          <w:sz w:val="24"/>
          <w:szCs w:val="24"/>
        </w:rPr>
        <w:t>researches</w:t>
      </w:r>
      <w:proofErr w:type="gramEnd"/>
      <w:r>
        <w:rPr>
          <w:rFonts w:ascii="Arial" w:eastAsia="Arial" w:hAnsi="Arial" w:cs="Arial"/>
          <w:sz w:val="24"/>
          <w:szCs w:val="24"/>
        </w:rPr>
        <w:t xml:space="preserve"> that prove a strong and immediate impact on purchasing behaviour is lower.</w:t>
      </w:r>
    </w:p>
    <w:p w14:paraId="5B059F4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To illustrate, Li et al. (2024) have used a quantitative survey-based study and reported that sustainability awareness is a significant enhancement to consumer attitudes towards eco-friendly products. Nevertheless, the research also found out that this positive attitude is not always translated into actual purchasing behaviour which supports the existence of the attitude behaviour gap.</w:t>
      </w:r>
    </w:p>
    <w:p w14:paraId="01BB42B4"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On the same note, according to Deloitte (2024), consumers are becoming more concerned about environmental concerns and demand brands to assume sustainable practices. Nevertheless, the results have shown that price, quality, and brand familiarity are still prevailing factors in making purchase decisions. This implies that sustainability is in most cases not a main driver but a secondary consideration.</w:t>
      </w:r>
    </w:p>
    <w:p w14:paraId="07FAAED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Conversely, other </w:t>
      </w:r>
      <w:proofErr w:type="gramStart"/>
      <w:r>
        <w:rPr>
          <w:rFonts w:ascii="Arial" w:eastAsia="Arial" w:hAnsi="Arial" w:cs="Arial"/>
          <w:sz w:val="24"/>
          <w:szCs w:val="24"/>
        </w:rPr>
        <w:t>researches</w:t>
      </w:r>
      <w:proofErr w:type="gramEnd"/>
      <w:r>
        <w:rPr>
          <w:rFonts w:ascii="Arial" w:eastAsia="Arial" w:hAnsi="Arial" w:cs="Arial"/>
          <w:sz w:val="24"/>
          <w:szCs w:val="24"/>
        </w:rPr>
        <w:t xml:space="preserve"> propose that there is a closer association between sustainability and consumer behaviour in younger populations. Such consumers will tend to equate sustainability with brand confidence and brand identity, especially in the lifestyle and sportswear sectors. Though, they tend to be contextual and not necessarily generalizable.</w:t>
      </w:r>
    </w:p>
    <w:p w14:paraId="3711169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Empirically,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empirical studies are based on cross-sectional survey designs, which do not provide an opportunity to determine causal relationships. Also, most of the literature is based on general fashion markets and not particular sportswear brands like Adidas, thus introducing a gap in the context.</w:t>
      </w:r>
    </w:p>
    <w:p w14:paraId="259D6696" w14:textId="77777777" w:rsidR="00E336C2" w:rsidRDefault="00000000">
      <w:pPr>
        <w:spacing w:before="240" w:after="240" w:line="360" w:lineRule="auto"/>
        <w:jc w:val="both"/>
        <w:rPr>
          <w:rFonts w:ascii="Arial" w:eastAsia="Arial" w:hAnsi="Arial" w:cs="Arial"/>
          <w:sz w:val="24"/>
          <w:szCs w:val="24"/>
        </w:rPr>
      </w:pPr>
      <w:proofErr w:type="gramStart"/>
      <w:r>
        <w:rPr>
          <w:rFonts w:ascii="Arial" w:eastAsia="Arial" w:hAnsi="Arial" w:cs="Arial"/>
          <w:sz w:val="24"/>
          <w:szCs w:val="24"/>
        </w:rPr>
        <w:t>On the whole</w:t>
      </w:r>
      <w:proofErr w:type="gramEnd"/>
      <w:r>
        <w:rPr>
          <w:rFonts w:ascii="Arial" w:eastAsia="Arial" w:hAnsi="Arial" w:cs="Arial"/>
          <w:sz w:val="24"/>
          <w:szCs w:val="24"/>
        </w:rPr>
        <w:t>, the empirical sources indicate discrepancies in the results and methodology issues, which is why additional brand-specific and situation-specific studies should be conducted.</w:t>
      </w:r>
    </w:p>
    <w:p w14:paraId="22753FB7" w14:textId="77777777" w:rsidR="00E336C2" w:rsidRDefault="00000000">
      <w:pPr>
        <w:pStyle w:val="Heading2"/>
      </w:pPr>
      <w:bookmarkStart w:id="22" w:name="_japxmocc28d7" w:colFirst="0" w:colLast="0"/>
      <w:bookmarkEnd w:id="22"/>
      <w:r>
        <w:t>2.8 Conceptual Framework</w:t>
      </w:r>
    </w:p>
    <w:p w14:paraId="071A244E"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theoretical model of the proposed research demonstrates the connection between sustainability practices and consumer behaviour in sportswear market.</w:t>
      </w:r>
    </w:p>
    <w:p w14:paraId="10EF6921" w14:textId="77777777" w:rsidR="00E336C2" w:rsidRDefault="00000000">
      <w:pPr>
        <w:keepNext/>
        <w:spacing w:before="240" w:after="240" w:line="360" w:lineRule="auto"/>
        <w:jc w:val="center"/>
      </w:pPr>
      <w:r>
        <w:rPr>
          <w:rFonts w:ascii="Arial" w:eastAsia="Arial" w:hAnsi="Arial" w:cs="Arial"/>
          <w:noProof/>
          <w:sz w:val="24"/>
          <w:szCs w:val="24"/>
        </w:rPr>
        <w:drawing>
          <wp:inline distT="0" distB="0" distL="0" distR="0" wp14:anchorId="47EB2E78" wp14:editId="24629A6C">
            <wp:extent cx="5809590" cy="331913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809590" cy="3319130"/>
                    </a:xfrm>
                    <a:prstGeom prst="rect">
                      <a:avLst/>
                    </a:prstGeom>
                    <a:ln/>
                  </pic:spPr>
                </pic:pic>
              </a:graphicData>
            </a:graphic>
          </wp:inline>
        </w:drawing>
      </w:r>
    </w:p>
    <w:p w14:paraId="4BA0D195" w14:textId="77777777" w:rsidR="00E336C2" w:rsidRDefault="00000000">
      <w:pPr>
        <w:pBdr>
          <w:top w:val="nil"/>
          <w:left w:val="nil"/>
          <w:bottom w:val="nil"/>
          <w:right w:val="nil"/>
          <w:between w:val="nil"/>
        </w:pBdr>
        <w:spacing w:after="200" w:line="240" w:lineRule="auto"/>
        <w:jc w:val="center"/>
        <w:rPr>
          <w:rFonts w:ascii="Arial" w:eastAsia="Arial" w:hAnsi="Arial" w:cs="Arial"/>
          <w:i/>
          <w:iCs/>
          <w:color w:val="1F497D"/>
          <w:sz w:val="36"/>
          <w:szCs w:val="36"/>
        </w:rPr>
      </w:pPr>
      <w:bookmarkStart w:id="23" w:name="_dtzwaqqnbaz2" w:colFirst="0" w:colLast="0"/>
      <w:bookmarkEnd w:id="23"/>
      <w:r>
        <w:rPr>
          <w:rFonts w:ascii="Arial" w:eastAsia="Arial" w:hAnsi="Arial" w:cs="Arial"/>
          <w:i/>
          <w:iCs/>
          <w:color w:val="1F497D"/>
          <w:sz w:val="24"/>
          <w:szCs w:val="24"/>
        </w:rPr>
        <w:t>Figure 1. Conceptual framework of the impact of sustainability practices on consumer purchase intention in the sportswear market</w:t>
      </w:r>
    </w:p>
    <w:p w14:paraId="73951C9D" w14:textId="6DEEF6A8"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Figure 1 depicts a multi-stage pathway of how the sustainability practices followed by sportswear companies result in the change of consumers' purchase intention. The model starts with the Independent Variable Sustainability Programs (recycled materials, eco-friendly manufacturing, carbon reduction initiatives). In the diagram these programs directly impact Consumer Awareness, representing the concept that visible sustainability actions lead to consumers being more aware and recognising a brands sustainability </w:t>
      </w:r>
      <w:r w:rsidR="00B81541">
        <w:rPr>
          <w:rFonts w:ascii="Arial" w:eastAsia="Arial" w:hAnsi="Arial" w:cs="Arial"/>
          <w:sz w:val="24"/>
          <w:szCs w:val="24"/>
        </w:rPr>
        <w:t>action</w:t>
      </w:r>
      <w:r>
        <w:rPr>
          <w:rFonts w:ascii="Arial" w:eastAsia="Arial" w:hAnsi="Arial" w:cs="Arial"/>
          <w:sz w:val="24"/>
          <w:szCs w:val="24"/>
        </w:rPr>
        <w:t>.</w:t>
      </w:r>
    </w:p>
    <w:p w14:paraId="3A77AAE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next arrow of the figure illustrates the effect on the Brand Image of the Brand's heightened awareness, which makes the company appear responsible, ethical and forward-thinking. This enhanced image then moves onto the final link in the chain – Consumer Trust. This figure illustrates the sequential nature of the figure (Awareness -&gt; Brand Image -&gt; Trust), showing that trust does not build up from scratch but accumulates based on the previous perceptions.</w:t>
      </w:r>
    </w:p>
    <w:p w14:paraId="1BE4EB3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Finally, the last arrow in the diagram connects Consumer Trust with the Dependent Variable, Purchase Intention, showing that the psychological influence of consumers on their willingness to purchase sustainable sportswear products is the most direct, which is that of trust.</w:t>
      </w:r>
    </w:p>
    <w:p w14:paraId="381F66E8"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There are two other Moderating Variables, Price Sensitivity and Product Quality Perception, also shown as dashed lines. </w:t>
      </w:r>
      <w:proofErr w:type="gramStart"/>
      <w:r>
        <w:rPr>
          <w:rFonts w:ascii="Arial" w:eastAsia="Arial" w:hAnsi="Arial" w:cs="Arial"/>
          <w:sz w:val="24"/>
          <w:szCs w:val="24"/>
        </w:rPr>
        <w:t>On the basis of</w:t>
      </w:r>
      <w:proofErr w:type="gramEnd"/>
      <w:r>
        <w:rPr>
          <w:rFonts w:ascii="Arial" w:eastAsia="Arial" w:hAnsi="Arial" w:cs="Arial"/>
          <w:sz w:val="24"/>
          <w:szCs w:val="24"/>
        </w:rPr>
        <w:t xml:space="preserve"> their placement, they do not change the previous stages of the </w:t>
      </w:r>
      <w:proofErr w:type="gramStart"/>
      <w:r>
        <w:rPr>
          <w:rFonts w:ascii="Arial" w:eastAsia="Arial" w:hAnsi="Arial" w:cs="Arial"/>
          <w:sz w:val="24"/>
          <w:szCs w:val="24"/>
        </w:rPr>
        <w:t>pathway, but</w:t>
      </w:r>
      <w:proofErr w:type="gramEnd"/>
      <w:r>
        <w:rPr>
          <w:rFonts w:ascii="Arial" w:eastAsia="Arial" w:hAnsi="Arial" w:cs="Arial"/>
          <w:sz w:val="24"/>
          <w:szCs w:val="24"/>
        </w:rPr>
        <w:t xml:space="preserve"> rather impact the strength of the relationship between trust and purchase intention. This is not as strong when there is high price sensitivity, but it becomes stronger when product quality perceptions are high.</w:t>
      </w:r>
    </w:p>
    <w:p w14:paraId="27BB9D4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Overall, the figure presents a coherent, step</w:t>
      </w:r>
      <w:r>
        <w:rPr>
          <w:rFonts w:ascii="Cambria Math" w:eastAsia="Cambria Math" w:hAnsi="Cambria Math" w:cs="Cambria Math"/>
          <w:sz w:val="24"/>
          <w:szCs w:val="24"/>
        </w:rPr>
        <w:t>‑</w:t>
      </w:r>
      <w:r>
        <w:rPr>
          <w:rFonts w:ascii="Arial" w:eastAsia="Arial" w:hAnsi="Arial" w:cs="Arial"/>
          <w:sz w:val="24"/>
          <w:szCs w:val="24"/>
        </w:rPr>
        <w:t>by</w:t>
      </w:r>
      <w:r>
        <w:rPr>
          <w:rFonts w:ascii="Cambria Math" w:eastAsia="Cambria Math" w:hAnsi="Cambria Math" w:cs="Cambria Math"/>
          <w:sz w:val="24"/>
          <w:szCs w:val="24"/>
        </w:rPr>
        <w:t>‑</w:t>
      </w:r>
      <w:r>
        <w:rPr>
          <w:rFonts w:ascii="Arial" w:eastAsia="Arial" w:hAnsi="Arial" w:cs="Arial"/>
          <w:sz w:val="24"/>
          <w:szCs w:val="24"/>
        </w:rPr>
        <w:t>step causal chain: Consumer Awareness leads to Brand Image, Consumer Trust, and Purchase Intention and then to Sustainability Programs. Mediating the final step is with Price Sensitivity and Product Quality Perception.</w:t>
      </w:r>
    </w:p>
    <w:p w14:paraId="638DCC8A" w14:textId="77777777" w:rsidR="00E336C2" w:rsidRDefault="00000000">
      <w:pPr>
        <w:pStyle w:val="Heading2"/>
        <w:rPr>
          <w:sz w:val="26"/>
          <w:szCs w:val="26"/>
        </w:rPr>
      </w:pPr>
      <w:bookmarkStart w:id="24" w:name="_ts7485hf3kwb" w:colFirst="0" w:colLast="0"/>
      <w:bookmarkEnd w:id="24"/>
      <w:r>
        <w:t xml:space="preserve">2.9 Research Gap </w:t>
      </w:r>
    </w:p>
    <w:p w14:paraId="51ECADD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While the literature on sustainability and consumer behaviour has increased, there are still several important gaps. Firstly, in the field of sustainability studies,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w:t>
      </w:r>
      <w:r>
        <w:rPr>
          <w:rFonts w:ascii="Arial" w:eastAsia="Arial" w:hAnsi="Arial" w:cs="Arial"/>
          <w:sz w:val="24"/>
          <w:szCs w:val="24"/>
        </w:rPr>
        <w:lastRenderedPageBreak/>
        <w:t>research has been conducted in the fashion and apparel industry, rather than specifically in the sportswear sector (Niinimäki et al., 2022; Akter and Alam, 2025). Sportswear has distinct characteristics, such as performance-driven consumption, high engagement with brands and high branding loyalty, which can shape the perception and response of sportswear consumers to sustainability efforts (McKinsey &amp; Company, 2023).</w:t>
      </w:r>
    </w:p>
    <w:p w14:paraId="7FD6C80E"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Secondly, there is an empirical void among the limited </w:t>
      </w:r>
      <w:proofErr w:type="gramStart"/>
      <w:r>
        <w:rPr>
          <w:rFonts w:ascii="Arial" w:eastAsia="Arial" w:hAnsi="Arial" w:cs="Arial"/>
          <w:sz w:val="24"/>
          <w:szCs w:val="24"/>
        </w:rPr>
        <w:t>amount</w:t>
      </w:r>
      <w:proofErr w:type="gramEnd"/>
      <w:r>
        <w:rPr>
          <w:rFonts w:ascii="Arial" w:eastAsia="Arial" w:hAnsi="Arial" w:cs="Arial"/>
          <w:sz w:val="24"/>
          <w:szCs w:val="24"/>
        </w:rPr>
        <w:t xml:space="preserve"> of studies specifically focused on the effect of sustainability efforts on consumer behaviour that are specifically </w:t>
      </w:r>
      <w:proofErr w:type="gramStart"/>
      <w:r>
        <w:rPr>
          <w:rFonts w:ascii="Arial" w:eastAsia="Arial" w:hAnsi="Arial" w:cs="Arial"/>
          <w:sz w:val="24"/>
          <w:szCs w:val="24"/>
        </w:rPr>
        <w:t>brand-based</w:t>
      </w:r>
      <w:proofErr w:type="gramEnd"/>
      <w:r>
        <w:rPr>
          <w:rFonts w:ascii="Arial" w:eastAsia="Arial" w:hAnsi="Arial" w:cs="Arial"/>
          <w:sz w:val="24"/>
          <w:szCs w:val="24"/>
        </w:rPr>
        <w:t>. While Adidas is known for its sustainability efforts in materials and production, few studies have explored the effect of these initiatives on consumer perceptions, trust and purchase intentions in the Adidas context (Sicoli et al., 2019; Feng, 2025).</w:t>
      </w:r>
    </w:p>
    <w:p w14:paraId="6DC5B9F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Third, there is a theoretical gap between theories of sustainability and consumer behaviour. Theory of Planned Behaviour, Stakeholder Theory, or Corporate Social Responsibility (CSR) have been widely adopted in previous studies individually, leaving explanations of consumer decision-making rather fragmented (Ajzen, 2021; Freeman et al., 2021). There has been limited research that has integrated these theoretical perspectives in a single framework, which not only explains organisational sustainability actions but also consumer responses.</w:t>
      </w:r>
    </w:p>
    <w:p w14:paraId="557B524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Lastly, there is a gap in attitude–behaviour relationship. Consumers are often seen to have positive attitudes towards </w:t>
      </w:r>
      <w:proofErr w:type="gramStart"/>
      <w:r>
        <w:rPr>
          <w:rFonts w:ascii="Arial" w:eastAsia="Arial" w:hAnsi="Arial" w:cs="Arial"/>
          <w:sz w:val="24"/>
          <w:szCs w:val="24"/>
        </w:rPr>
        <w:t>sustainability, but</w:t>
      </w:r>
      <w:proofErr w:type="gramEnd"/>
      <w:r>
        <w:rPr>
          <w:rFonts w:ascii="Arial" w:eastAsia="Arial" w:hAnsi="Arial" w:cs="Arial"/>
          <w:sz w:val="24"/>
          <w:szCs w:val="24"/>
        </w:rPr>
        <w:t xml:space="preserve"> purchasing intentions do not always translate into actual behaviour (White et al. 2022; Li et al. 2024). Within the sportswear industry, the factors that help to explain this inconsistency are not adequately investigated.</w:t>
      </w:r>
    </w:p>
    <w:p w14:paraId="771148A2"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To fill these gaps, the present study is based on Adidas as a case organization and combines Theory of Planned Behaviour, Stakeholder Theory, and Green Marketing Theory to study the relation between sustainability initiatives, brand trust, brand image, and consumer purchase intention. Thus, the research fills in the gaps in literature with respect to contextual gap, empirical gap, theoretical gap, and behavioural gap.</w:t>
      </w:r>
    </w:p>
    <w:p w14:paraId="6D1C67EF" w14:textId="77777777" w:rsidR="00E336C2" w:rsidRDefault="00000000">
      <w:pPr>
        <w:pStyle w:val="Heading2"/>
      </w:pPr>
      <w:bookmarkStart w:id="25" w:name="_h5o37dsr4d4z" w:colFirst="0" w:colLast="0"/>
      <w:bookmarkEnd w:id="25"/>
      <w:r>
        <w:lastRenderedPageBreak/>
        <w:t xml:space="preserve">2.10 Conclusion </w:t>
      </w:r>
    </w:p>
    <w:p w14:paraId="75CC2A0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chapter has critically examined the literature on sustainability, CSR, consumer perception and brand image in sportswear industry. It has underscored major controversies regarding the effectiveness of sustainability programs and how these programs impact consumer behaviour.</w:t>
      </w:r>
    </w:p>
    <w:p w14:paraId="3475C954"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As demonstrated in the review, although organisations like Adidas are adopting sustainability initiatives, their effects on consumer buying behaviour are complicated and not consistent. The literature has shown that consumers may have positive attitudes towards </w:t>
      </w:r>
      <w:proofErr w:type="gramStart"/>
      <w:r>
        <w:rPr>
          <w:rFonts w:ascii="Arial" w:eastAsia="Arial" w:hAnsi="Arial" w:cs="Arial"/>
          <w:sz w:val="24"/>
          <w:szCs w:val="24"/>
        </w:rPr>
        <w:t>sustainability</w:t>
      </w:r>
      <w:proofErr w:type="gramEnd"/>
      <w:r>
        <w:rPr>
          <w:rFonts w:ascii="Arial" w:eastAsia="Arial" w:hAnsi="Arial" w:cs="Arial"/>
          <w:sz w:val="24"/>
          <w:szCs w:val="24"/>
        </w:rPr>
        <w:t xml:space="preserve"> but these attitudes may not necessarily be translated into actual behaviour because of price sensitivity, product quality perception, and trust issues.</w:t>
      </w:r>
    </w:p>
    <w:p w14:paraId="25B9738F"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Stakeholder Theory, the Theory of Planned Behaviour, Sustainable Consumption Theory and the Theory of the Green Marketing were also found to make great theoretical contributions in the chapter. All these frameworks describe organisational motivations, as well as consumer reactions to sustainability efforts.</w:t>
      </w:r>
    </w:p>
    <w:p w14:paraId="5692F8D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general, this literature review gives the present study a solid background in that it seeks to investigate the effects of sustainability initiatives on consumer perception and purchasing behaviour in the sportswear sector. The following chapter will outline the research methodology that will be taken to accomplish this objective.</w:t>
      </w:r>
    </w:p>
    <w:p w14:paraId="5F60F2F2" w14:textId="77777777" w:rsidR="00E336C2" w:rsidRDefault="00E336C2">
      <w:pPr>
        <w:spacing w:before="240" w:after="240" w:line="360" w:lineRule="auto"/>
        <w:jc w:val="both"/>
        <w:rPr>
          <w:rFonts w:ascii="Times New Roman" w:eastAsia="Times New Roman" w:hAnsi="Times New Roman" w:cs="Times New Roman"/>
          <w:b/>
          <w:bCs/>
          <w:color w:val="EE0000"/>
          <w:sz w:val="36"/>
          <w:szCs w:val="36"/>
        </w:rPr>
      </w:pPr>
    </w:p>
    <w:p w14:paraId="25551983" w14:textId="77777777" w:rsidR="00E336C2" w:rsidRDefault="00E336C2">
      <w:pPr>
        <w:spacing w:before="240" w:after="240" w:line="360" w:lineRule="auto"/>
        <w:jc w:val="both"/>
        <w:rPr>
          <w:rFonts w:ascii="Times New Roman" w:eastAsia="Times New Roman" w:hAnsi="Times New Roman" w:cs="Times New Roman"/>
          <w:b/>
          <w:bCs/>
          <w:color w:val="EE0000"/>
          <w:sz w:val="36"/>
          <w:szCs w:val="36"/>
        </w:rPr>
      </w:pPr>
    </w:p>
    <w:p w14:paraId="4CC08A22" w14:textId="77777777" w:rsidR="00E336C2" w:rsidRDefault="00E336C2">
      <w:pPr>
        <w:spacing w:before="240" w:after="240" w:line="360" w:lineRule="auto"/>
        <w:jc w:val="both"/>
        <w:rPr>
          <w:rFonts w:ascii="Times New Roman" w:eastAsia="Times New Roman" w:hAnsi="Times New Roman" w:cs="Times New Roman"/>
          <w:b/>
          <w:bCs/>
          <w:color w:val="EE0000"/>
          <w:sz w:val="36"/>
          <w:szCs w:val="36"/>
        </w:rPr>
      </w:pPr>
    </w:p>
    <w:p w14:paraId="11802880" w14:textId="77777777" w:rsidR="00E336C2" w:rsidRDefault="00E336C2">
      <w:pPr>
        <w:spacing w:before="240" w:after="240" w:line="360" w:lineRule="auto"/>
        <w:jc w:val="both"/>
        <w:rPr>
          <w:rFonts w:ascii="Arial" w:eastAsia="Arial" w:hAnsi="Arial" w:cs="Arial"/>
          <w:sz w:val="24"/>
          <w:szCs w:val="24"/>
        </w:rPr>
      </w:pPr>
    </w:p>
    <w:p w14:paraId="7C9E6A6C" w14:textId="77777777" w:rsidR="00E336C2" w:rsidRDefault="00E336C2">
      <w:pPr>
        <w:spacing w:before="240" w:after="240" w:line="360" w:lineRule="auto"/>
        <w:jc w:val="both"/>
        <w:rPr>
          <w:rFonts w:ascii="Arial" w:eastAsia="Arial" w:hAnsi="Arial" w:cs="Arial"/>
          <w:sz w:val="24"/>
          <w:szCs w:val="24"/>
        </w:rPr>
      </w:pPr>
    </w:p>
    <w:p w14:paraId="6465ACB7" w14:textId="77777777" w:rsidR="00E336C2" w:rsidRDefault="00000000">
      <w:pPr>
        <w:pStyle w:val="Heading1"/>
        <w:jc w:val="center"/>
      </w:pPr>
      <w:bookmarkStart w:id="26" w:name="_8z07dmydi379" w:colFirst="0" w:colLast="0"/>
      <w:bookmarkEnd w:id="26"/>
      <w:r>
        <w:lastRenderedPageBreak/>
        <w:t>CHAPTER 3: RESEARCH METHODOLOGY</w:t>
      </w:r>
    </w:p>
    <w:p w14:paraId="2B9FCF8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chapter has critically discussed the literature on sustainability, CSR, consumer perception and brand image in sportswear industry. It has highlighted key controversies of the effectiveness of sustainability programs and the effect of sustainability programs on consumer behaviour. As demonstrated in the review, although organisations like Adidas are adopting sustainability initiatives, their effects on consumer buying behaviour are complicated and not consistent. The literature has revealed that the consumers can have positive attitudes towards </w:t>
      </w:r>
      <w:proofErr w:type="gramStart"/>
      <w:r>
        <w:rPr>
          <w:rFonts w:ascii="Arial" w:eastAsia="Arial" w:hAnsi="Arial" w:cs="Arial"/>
          <w:sz w:val="24"/>
          <w:szCs w:val="24"/>
        </w:rPr>
        <w:t>sustainability</w:t>
      </w:r>
      <w:proofErr w:type="gramEnd"/>
      <w:r>
        <w:rPr>
          <w:rFonts w:ascii="Arial" w:eastAsia="Arial" w:hAnsi="Arial" w:cs="Arial"/>
          <w:sz w:val="24"/>
          <w:szCs w:val="24"/>
        </w:rPr>
        <w:t xml:space="preserve"> but the attitudes may not be easily translated into actual behaviour due to price sensitivity, product quality perceptions and trust issues.</w:t>
      </w:r>
    </w:p>
    <w:p w14:paraId="2CE87EB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To overcome these shortcomings, this research employs a quantitative survey-based approach to gather consumers' data. This chapter describes the research philosophy, approach, design, sampling, data collection process and data analysis methods. It also outlines the methods used to carry out the survey, where and from whom the data were collected; and how to ensure reliability, validity and ethical considerations.</w:t>
      </w:r>
    </w:p>
    <w:p w14:paraId="6E517603" w14:textId="77777777" w:rsidR="00E336C2" w:rsidRDefault="00000000">
      <w:pPr>
        <w:pStyle w:val="Heading2"/>
      </w:pPr>
      <w:bookmarkStart w:id="27" w:name="_tbb8gevmz83c" w:colFirst="0" w:colLast="0"/>
      <w:bookmarkEnd w:id="27"/>
      <w:r>
        <w:t>3.1 Research Philosophy</w:t>
      </w:r>
    </w:p>
    <w:p w14:paraId="46293AE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This philosophy is commonly used in business and consumer behaviour studies due to its ability to discern patterns, test hypotheses and draw causal inferences between variables using statistical techniques (Saunders et al., 2023). The research in this study will take a positivist approach since it will enable the systematic investigation of the impacts of sustainability initiatives on consumer perception and purchase intention in Adidas.</w:t>
      </w:r>
    </w:p>
    <w:p w14:paraId="36C50296"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selection of positivism in this research is because of the focus on the concrete variables that include sustainability perception, brand trust and purchase intention. They can be outlined using the structured questionnaire questions and assessed using the quantitative approach to making valid conclusions. In contrast, interpretivism is concerned with the subjective interpretations and personal views that would make findings of the study less applicable in a larger population.</w:t>
      </w:r>
    </w:p>
    <w:p w14:paraId="3F011274"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lastRenderedPageBreak/>
        <w:t>Additionally, the deductive research approach adopted in the study fits the positivist perspective as it allows formulating hypotheses relying on the available theories (including the Theory of Planned Behaviour). This increases the objectivity, reliability and generalisability of the research findings, making it an appropriate method to address the research problem</w:t>
      </w:r>
    </w:p>
    <w:p w14:paraId="272DBD71" w14:textId="77777777" w:rsidR="00E336C2" w:rsidRDefault="00000000">
      <w:pPr>
        <w:pStyle w:val="Heading2"/>
      </w:pPr>
      <w:bookmarkStart w:id="28" w:name="_mfdukqb387t" w:colFirst="0" w:colLast="0"/>
      <w:bookmarkEnd w:id="28"/>
      <w:r>
        <w:t>3.2 Research Approach</w:t>
      </w:r>
    </w:p>
    <w:p w14:paraId="20C94E9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current study makes use of a deductive approach, which commences with the formulation of hypotheses based on theories and then empirically tests them (Bryman, 2022). The study is appropriate to use this approach since it will allow it to proceed beyond theory to observation and conduct a systematic and theory-directed research.</w:t>
      </w:r>
    </w:p>
    <w:p w14:paraId="65D92669"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This suits well since the research is based on established theories such as:</w:t>
      </w:r>
    </w:p>
    <w:p w14:paraId="56A37A63" w14:textId="77777777" w:rsidR="00E336C2" w:rsidRDefault="00000000">
      <w:pPr>
        <w:numPr>
          <w:ilvl w:val="0"/>
          <w:numId w:val="10"/>
        </w:numPr>
        <w:pBdr>
          <w:top w:val="nil"/>
          <w:left w:val="nil"/>
          <w:bottom w:val="nil"/>
          <w:right w:val="nil"/>
          <w:between w:val="nil"/>
        </w:pBdr>
        <w:spacing w:before="360" w:after="0" w:line="360" w:lineRule="auto"/>
        <w:jc w:val="both"/>
        <w:rPr>
          <w:color w:val="000000"/>
          <w:sz w:val="24"/>
          <w:szCs w:val="24"/>
        </w:rPr>
      </w:pPr>
      <w:r>
        <w:rPr>
          <w:rFonts w:ascii="Arial" w:eastAsia="Arial" w:hAnsi="Arial" w:cs="Arial"/>
          <w:color w:val="000000"/>
          <w:sz w:val="24"/>
          <w:szCs w:val="24"/>
        </w:rPr>
        <w:t xml:space="preserve">Theory of Planned Behaviour </w:t>
      </w:r>
    </w:p>
    <w:p w14:paraId="589B058D" w14:textId="77777777" w:rsidR="00E336C2" w:rsidRDefault="00000000">
      <w:pPr>
        <w:numPr>
          <w:ilvl w:val="0"/>
          <w:numId w:val="10"/>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 xml:space="preserve">Stakeholder Theory </w:t>
      </w:r>
    </w:p>
    <w:p w14:paraId="4E30C70A" w14:textId="77777777" w:rsidR="00E336C2" w:rsidRDefault="00000000">
      <w:pPr>
        <w:numPr>
          <w:ilvl w:val="0"/>
          <w:numId w:val="10"/>
        </w:numPr>
        <w:pBdr>
          <w:top w:val="nil"/>
          <w:left w:val="nil"/>
          <w:bottom w:val="nil"/>
          <w:right w:val="nil"/>
          <w:between w:val="nil"/>
        </w:pBdr>
        <w:spacing w:after="80" w:line="360" w:lineRule="auto"/>
        <w:jc w:val="both"/>
        <w:rPr>
          <w:color w:val="000000"/>
          <w:sz w:val="24"/>
          <w:szCs w:val="24"/>
        </w:rPr>
      </w:pPr>
      <w:r>
        <w:rPr>
          <w:rFonts w:ascii="Arial" w:eastAsia="Arial" w:hAnsi="Arial" w:cs="Arial"/>
          <w:color w:val="000000"/>
          <w:sz w:val="24"/>
          <w:szCs w:val="24"/>
        </w:rPr>
        <w:t xml:space="preserve">Green Marketing Theory </w:t>
      </w:r>
    </w:p>
    <w:p w14:paraId="4050BC26"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methodology is based on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theories. The Theory of Planned Behaviour explains the influence of attitudes, social norms and perceived control on consumer behaviour, i.e. that the perceived sustainability can influence the purchase intent. Similarly, Stakeholder Theory puts focus on the way companies have reacted to the demands of the stakeholders, including environmental concerns, by adopting sustainability initiatives that enhance image and trust. Moreover, Green Marketing Theory analyses marketing patterns which are applied to encourage sustainability and influence consumer behaviour.</w:t>
      </w:r>
    </w:p>
    <w:p w14:paraId="744EDEC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implication of these theories is that consumer perceptions (trust and intentions) can be influenced by sustainability practices. This study seeks to research to establish these relationships in the Adidas case using a deductive research approach. This raises the level of analysis of the </w:t>
      </w:r>
      <w:proofErr w:type="gramStart"/>
      <w:r>
        <w:rPr>
          <w:rFonts w:ascii="Arial" w:eastAsia="Arial" w:hAnsi="Arial" w:cs="Arial"/>
          <w:sz w:val="24"/>
          <w:szCs w:val="24"/>
        </w:rPr>
        <w:t>research, and</w:t>
      </w:r>
      <w:proofErr w:type="gramEnd"/>
      <w:r>
        <w:rPr>
          <w:rFonts w:ascii="Arial" w:eastAsia="Arial" w:hAnsi="Arial" w:cs="Arial"/>
          <w:sz w:val="24"/>
          <w:szCs w:val="24"/>
        </w:rPr>
        <w:t xml:space="preserve"> connects the results with the academic theory.</w:t>
      </w:r>
    </w:p>
    <w:p w14:paraId="10C4BA55" w14:textId="77777777" w:rsidR="00E336C2" w:rsidRDefault="00000000">
      <w:pPr>
        <w:pStyle w:val="Heading2"/>
      </w:pPr>
      <w:bookmarkStart w:id="29" w:name="_o03bwo55x3li" w:colFirst="0" w:colLast="0"/>
      <w:bookmarkEnd w:id="29"/>
      <w:r>
        <w:lastRenderedPageBreak/>
        <w:t>3.3 Research Design</w:t>
      </w:r>
    </w:p>
    <w:p w14:paraId="662CFA1C"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This research uses a quantitative cross-sectional design to investigate the link between sustainability initiatives and consumer behaviour in the case of Adidas. The quantitative approach is appropriate due to the ability of the researcher to collect quantitative data and </w:t>
      </w:r>
      <w:proofErr w:type="spellStart"/>
      <w:r>
        <w:rPr>
          <w:rFonts w:ascii="Arial" w:eastAsia="Arial" w:hAnsi="Arial" w:cs="Arial"/>
          <w:sz w:val="24"/>
          <w:szCs w:val="24"/>
        </w:rPr>
        <w:t>analyze</w:t>
      </w:r>
      <w:proofErr w:type="spellEnd"/>
      <w:r>
        <w:rPr>
          <w:rFonts w:ascii="Arial" w:eastAsia="Arial" w:hAnsi="Arial" w:cs="Arial"/>
          <w:sz w:val="24"/>
          <w:szCs w:val="24"/>
        </w:rPr>
        <w:t xml:space="preserve"> the relationships among the key variables: the perceived sustainability, the brand trust and buying intentions (Hair et al., 2022). The design helps in the objectivity and allows testing of hypotheses using well-known theories.</w:t>
      </w:r>
    </w:p>
    <w:p w14:paraId="6683FCF4"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cross-sectional approach is a one-off data collection from a sample of participants. This design is appropriate for the current research as it captures a 'cross-section' of consumer opinions on sustainability in the sportswear industry. </w:t>
      </w:r>
      <w:proofErr w:type="gramStart"/>
      <w:r>
        <w:rPr>
          <w:rFonts w:ascii="Arial" w:eastAsia="Arial" w:hAnsi="Arial" w:cs="Arial"/>
          <w:sz w:val="24"/>
          <w:szCs w:val="24"/>
        </w:rPr>
        <w:t>In light of</w:t>
      </w:r>
      <w:proofErr w:type="gramEnd"/>
      <w:r>
        <w:rPr>
          <w:rFonts w:ascii="Arial" w:eastAsia="Arial" w:hAnsi="Arial" w:cs="Arial"/>
          <w:sz w:val="24"/>
          <w:szCs w:val="24"/>
        </w:rPr>
        <w:t xml:space="preserve"> the time constraints of an MBA dissertation, this is an effective way to collect data.</w:t>
      </w:r>
    </w:p>
    <w:p w14:paraId="708C1559"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But it is recognised that cross-sectional designs have drawbacks. </w:t>
      </w:r>
      <w:proofErr w:type="gramStart"/>
      <w:r>
        <w:rPr>
          <w:rFonts w:ascii="Arial" w:eastAsia="Arial" w:hAnsi="Arial" w:cs="Arial"/>
          <w:sz w:val="24"/>
          <w:szCs w:val="24"/>
        </w:rPr>
        <w:t>In particular, it</w:t>
      </w:r>
      <w:proofErr w:type="gramEnd"/>
      <w:r>
        <w:rPr>
          <w:rFonts w:ascii="Arial" w:eastAsia="Arial" w:hAnsi="Arial" w:cs="Arial"/>
          <w:sz w:val="24"/>
          <w:szCs w:val="24"/>
        </w:rPr>
        <w:t xml:space="preserve"> does not track shifts in consumer sentiments or guarantee causal relationships. However, the design is suitable to examine patterns and correlations, which are essential to fulfil the research aims of this study.</w:t>
      </w:r>
    </w:p>
    <w:p w14:paraId="491BE913" w14:textId="77777777" w:rsidR="00E336C2" w:rsidRDefault="00000000">
      <w:pPr>
        <w:pStyle w:val="Heading2"/>
      </w:pPr>
      <w:bookmarkStart w:id="30" w:name="_ek5fxlm3e206" w:colFirst="0" w:colLast="0"/>
      <w:bookmarkEnd w:id="30"/>
      <w:r>
        <w:t xml:space="preserve">3.4 Research Strategy: Survey-Based Research </w:t>
      </w:r>
    </w:p>
    <w:p w14:paraId="4EC94D8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research strategy for this study is a survey research approach, which is regarded as a valuable primary data collection strategy in the field of marketing and consumer behaviour studies (Saunders et al., 2023). Survey research is well suited to research that seeks to understand attitudes, perceptions and intentions to behave, as it allows for the collection of data in a standardised way from </w:t>
      </w:r>
      <w:proofErr w:type="gramStart"/>
      <w:r>
        <w:rPr>
          <w:rFonts w:ascii="Arial" w:eastAsia="Arial" w:hAnsi="Arial" w:cs="Arial"/>
          <w:sz w:val="24"/>
          <w:szCs w:val="24"/>
        </w:rPr>
        <w:t>a large number of</w:t>
      </w:r>
      <w:proofErr w:type="gramEnd"/>
      <w:r>
        <w:rPr>
          <w:rFonts w:ascii="Arial" w:eastAsia="Arial" w:hAnsi="Arial" w:cs="Arial"/>
          <w:sz w:val="24"/>
          <w:szCs w:val="24"/>
        </w:rPr>
        <w:t xml:space="preserve"> respondents in a short period of time. For this study, the survey strategy allows empirical testing of the impacts of sustainability initiatives on consumer perception and behaviour towards Adidas.</w:t>
      </w:r>
    </w:p>
    <w:p w14:paraId="1BB0F749" w14:textId="77777777" w:rsidR="00E336C2" w:rsidRDefault="00000000">
      <w:pPr>
        <w:pStyle w:val="Heading3"/>
        <w:spacing w:before="360" w:line="360" w:lineRule="auto"/>
        <w:jc w:val="both"/>
      </w:pPr>
      <w:bookmarkStart w:id="31" w:name="_t8q60qil8ot2" w:colFirst="0" w:colLast="0"/>
      <w:bookmarkEnd w:id="31"/>
      <w:r>
        <w:t>3.4.1 How the Survey Was Conducted?</w:t>
      </w:r>
    </w:p>
    <w:p w14:paraId="6F0B75EC"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 survey was carried out This tool was chosen for its affordability, convenience and ease of data collection and analysis. Web-based surveys are becoming more prevalent in modern research because they enable the researcher to access a large </w:t>
      </w:r>
      <w:r>
        <w:rPr>
          <w:rFonts w:ascii="Arial" w:eastAsia="Arial" w:hAnsi="Arial" w:cs="Arial"/>
          <w:sz w:val="24"/>
          <w:szCs w:val="24"/>
        </w:rPr>
        <w:lastRenderedPageBreak/>
        <w:t>sample across locations, and gather data effectively (Hair et al., 2022). Furthermore, Google Forms automatically captures data in a structured format, facilitating analysis.</w:t>
      </w:r>
    </w:p>
    <w:p w14:paraId="25B7C6BD" w14:textId="77777777" w:rsidR="00E336C2" w:rsidRDefault="00000000">
      <w:pPr>
        <w:pStyle w:val="Heading3"/>
        <w:spacing w:before="360" w:line="360" w:lineRule="auto"/>
        <w:jc w:val="both"/>
        <w:rPr>
          <w:b w:val="0"/>
          <w:bCs w:val="0"/>
          <w:i/>
          <w:iCs/>
          <w:color w:val="1F497D"/>
        </w:rPr>
      </w:pPr>
      <w:bookmarkStart w:id="32" w:name="_p3qpl2djgiht" w:colFirst="0" w:colLast="0"/>
      <w:bookmarkEnd w:id="32"/>
      <w:r>
        <w:t>3.4.2 Data Collection Process (Step-by-Step)</w:t>
      </w:r>
    </w:p>
    <w:p w14:paraId="164FF8A2"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Questionnaire Design</w:t>
      </w:r>
    </w:p>
    <w:p w14:paraId="15022CA1"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questionnaire was created based on the constructs that were identified during the literature review including sustainability awareness, consumer awareness, brand trust, brand image and purchase intention. The questions were anchored on scales inspired by scholarly studies to ensure validity and reliability. The questionnaire was broken down into sections that include demographic information and Lickert-scale statements that are associated with the attitudes and perceptions. This does not only give consistency but also makes it possible to collect quantitative data.</w:t>
      </w:r>
    </w:p>
    <w:p w14:paraId="0F76E4CC"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questionnaire was divided into two major sections. The first section collected demographic information from respondents, including age, gender, and purchasing frequency of sportswear products. The second section consisted of Likert-scale statements designed to measure consumer attitudes and perceptions toward sustainability initiatives implemented by Adidas. A 5-point Likert scale was used, where:</w:t>
      </w:r>
    </w:p>
    <w:p w14:paraId="5F342473" w14:textId="77777777" w:rsidR="00E336C2" w:rsidRDefault="00000000">
      <w:pPr>
        <w:spacing w:before="240" w:after="240" w:line="360" w:lineRule="auto"/>
        <w:jc w:val="both"/>
        <w:rPr>
          <w:rFonts w:ascii="Arial" w:eastAsia="Arial" w:hAnsi="Arial" w:cs="Arial"/>
          <w:i/>
          <w:iCs/>
          <w:sz w:val="24"/>
          <w:szCs w:val="24"/>
        </w:rPr>
      </w:pPr>
      <w:r>
        <w:rPr>
          <w:rFonts w:ascii="Arial" w:eastAsia="Arial" w:hAnsi="Arial" w:cs="Arial"/>
          <w:b/>
          <w:bCs/>
          <w:sz w:val="24"/>
          <w:szCs w:val="24"/>
        </w:rPr>
        <w:t>5-Point Likert Scale:</w:t>
      </w:r>
      <w:r>
        <w:rPr>
          <w:rFonts w:ascii="Arial" w:eastAsia="Arial" w:hAnsi="Arial" w:cs="Arial"/>
          <w:sz w:val="24"/>
          <w:szCs w:val="24"/>
        </w:rPr>
        <w:t xml:space="preserve"> </w:t>
      </w:r>
      <w:r>
        <w:rPr>
          <w:rFonts w:ascii="Arial" w:eastAsia="Arial" w:hAnsi="Arial" w:cs="Arial"/>
          <w:i/>
          <w:iCs/>
          <w:sz w:val="24"/>
          <w:szCs w:val="24"/>
        </w:rPr>
        <w:t>1 = Strongly Disagree | 2 = Disagree | 3 = Neutral | 4 = Agree | 5 = Strongly Agree</w:t>
      </w:r>
    </w:p>
    <w:p w14:paraId="6E672E6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Alternatively, in a more academic style:</w:t>
      </w:r>
    </w:p>
    <w:p w14:paraId="076C5BC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Responses were measured using a five-point Likert scale ranging from 1 (</w:t>
      </w:r>
      <w:r>
        <w:rPr>
          <w:rFonts w:ascii="Arial" w:eastAsia="Arial" w:hAnsi="Arial" w:cs="Arial"/>
          <w:i/>
          <w:iCs/>
          <w:sz w:val="24"/>
          <w:szCs w:val="24"/>
        </w:rPr>
        <w:t>Strongly Disagree</w:t>
      </w:r>
      <w:r>
        <w:rPr>
          <w:rFonts w:ascii="Arial" w:eastAsia="Arial" w:hAnsi="Arial" w:cs="Arial"/>
          <w:sz w:val="24"/>
          <w:szCs w:val="24"/>
        </w:rPr>
        <w:t>) to 5 (</w:t>
      </w:r>
      <w:r>
        <w:rPr>
          <w:rFonts w:ascii="Arial" w:eastAsia="Arial" w:hAnsi="Arial" w:cs="Arial"/>
          <w:i/>
          <w:iCs/>
          <w:sz w:val="24"/>
          <w:szCs w:val="24"/>
        </w:rPr>
        <w:t>Strongly Agree</w:t>
      </w:r>
      <w:r>
        <w:rPr>
          <w:rFonts w:ascii="Arial" w:eastAsia="Arial" w:hAnsi="Arial" w:cs="Arial"/>
          <w:sz w:val="24"/>
          <w:szCs w:val="24"/>
        </w:rPr>
        <w:t>).</w:t>
      </w:r>
    </w:p>
    <w:p w14:paraId="630A5914"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use of Likert-scale questions enabled the researcher to quantify respondents’ opinions and evaluate relationships between variables such as sustainability perception and purchase intention. The questionnaire included adapted measurement items from previous consumer behaviour and sustainability studies to improve consistency and construct validity (Joshi and Rahman, 2023).</w:t>
      </w:r>
    </w:p>
    <w:p w14:paraId="1F084868"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lastRenderedPageBreak/>
        <w:t xml:space="preserve"> Pilot Testing</w:t>
      </w:r>
    </w:p>
    <w:p w14:paraId="1BCE8617"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A small group (5-10 participants) was used to pilot the survey before it could be administered. The test was done to make sure that there were no issues with clarity, wording or question structure. The answers of the participants indicate that there should have been slight adjustments to make the statements more comprehensible and eliminate all forms of confusion. This enhanced reliability and validity of the questionnaire because it was a way of ensuring that the participants comprehended the questions.</w:t>
      </w:r>
    </w:p>
    <w:p w14:paraId="5CFADEB2"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Distribution of Survey</w:t>
      </w:r>
    </w:p>
    <w:p w14:paraId="1F3E314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questionnaire was then distributed online through several channels to increase the response rate. These included:</w:t>
      </w:r>
    </w:p>
    <w:p w14:paraId="2FF61A42" w14:textId="77777777" w:rsidR="00E336C2" w:rsidRDefault="00000000">
      <w:pPr>
        <w:numPr>
          <w:ilvl w:val="0"/>
          <w:numId w:val="7"/>
        </w:numPr>
        <w:pBdr>
          <w:top w:val="nil"/>
          <w:left w:val="nil"/>
          <w:bottom w:val="nil"/>
          <w:right w:val="nil"/>
          <w:between w:val="nil"/>
        </w:pBdr>
        <w:spacing w:before="360" w:after="0" w:line="360" w:lineRule="auto"/>
        <w:jc w:val="both"/>
        <w:rPr>
          <w:color w:val="000000"/>
          <w:sz w:val="24"/>
          <w:szCs w:val="24"/>
        </w:rPr>
      </w:pPr>
      <w:r>
        <w:rPr>
          <w:rFonts w:ascii="Arial" w:eastAsia="Arial" w:hAnsi="Arial" w:cs="Arial"/>
          <w:color w:val="000000"/>
          <w:sz w:val="24"/>
          <w:szCs w:val="24"/>
        </w:rPr>
        <w:t xml:space="preserve">Facebook and WhatsApp groups </w:t>
      </w:r>
    </w:p>
    <w:p w14:paraId="0F5A342A" w14:textId="77777777" w:rsidR="00E336C2" w:rsidRDefault="00000000">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 xml:space="preserve">Academic groups and communities </w:t>
      </w:r>
    </w:p>
    <w:p w14:paraId="128FEF1A" w14:textId="77777777" w:rsidR="00E336C2" w:rsidRDefault="00000000">
      <w:pPr>
        <w:numPr>
          <w:ilvl w:val="0"/>
          <w:numId w:val="7"/>
        </w:numPr>
        <w:pBdr>
          <w:top w:val="nil"/>
          <w:left w:val="nil"/>
          <w:bottom w:val="nil"/>
          <w:right w:val="nil"/>
          <w:between w:val="nil"/>
        </w:pBdr>
        <w:spacing w:after="80" w:line="360" w:lineRule="auto"/>
        <w:jc w:val="both"/>
        <w:rPr>
          <w:color w:val="000000"/>
          <w:sz w:val="24"/>
          <w:szCs w:val="24"/>
        </w:rPr>
      </w:pPr>
      <w:r>
        <w:rPr>
          <w:rFonts w:ascii="Arial" w:eastAsia="Arial" w:hAnsi="Arial" w:cs="Arial"/>
          <w:color w:val="000000"/>
          <w:sz w:val="24"/>
          <w:szCs w:val="24"/>
        </w:rPr>
        <w:t xml:space="preserve">Personal and professional networks </w:t>
      </w:r>
    </w:p>
    <w:p w14:paraId="36D462A1"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distribution of the survey through multiple channels ensured a greater variety of respondents and greater chances of reaching a sample size within the timeframe of the survey.</w:t>
      </w:r>
    </w:p>
    <w:p w14:paraId="0CD89E72"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Target Respondents</w:t>
      </w:r>
    </w:p>
    <w:p w14:paraId="6D433AB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target population consisted of:</w:t>
      </w:r>
    </w:p>
    <w:p w14:paraId="4730DE11" w14:textId="77777777" w:rsidR="00E336C2" w:rsidRDefault="00000000">
      <w:pPr>
        <w:numPr>
          <w:ilvl w:val="0"/>
          <w:numId w:val="8"/>
        </w:numPr>
        <w:pBdr>
          <w:top w:val="nil"/>
          <w:left w:val="nil"/>
          <w:bottom w:val="nil"/>
          <w:right w:val="nil"/>
          <w:between w:val="nil"/>
        </w:pBdr>
        <w:spacing w:before="360" w:after="0" w:line="360" w:lineRule="auto"/>
        <w:jc w:val="both"/>
        <w:rPr>
          <w:color w:val="000000"/>
          <w:sz w:val="24"/>
          <w:szCs w:val="24"/>
        </w:rPr>
      </w:pPr>
      <w:r>
        <w:rPr>
          <w:rFonts w:ascii="Arial" w:eastAsia="Arial" w:hAnsi="Arial" w:cs="Arial"/>
          <w:color w:val="000000"/>
          <w:sz w:val="24"/>
          <w:szCs w:val="24"/>
        </w:rPr>
        <w:t xml:space="preserve">Respondents who are regular consumers of sportswear products </w:t>
      </w:r>
    </w:p>
    <w:p w14:paraId="38C40C9D" w14:textId="77777777" w:rsidR="00E336C2" w:rsidRDefault="00000000">
      <w:pPr>
        <w:numPr>
          <w:ilvl w:val="0"/>
          <w:numId w:val="8"/>
        </w:numPr>
        <w:pBdr>
          <w:top w:val="nil"/>
          <w:left w:val="nil"/>
          <w:bottom w:val="nil"/>
          <w:right w:val="nil"/>
          <w:between w:val="nil"/>
        </w:pBdr>
        <w:spacing w:after="80" w:line="360" w:lineRule="auto"/>
        <w:jc w:val="both"/>
        <w:rPr>
          <w:color w:val="000000"/>
          <w:sz w:val="24"/>
          <w:szCs w:val="24"/>
        </w:rPr>
      </w:pPr>
      <w:r>
        <w:rPr>
          <w:rFonts w:ascii="Arial" w:eastAsia="Arial" w:hAnsi="Arial" w:cs="Arial"/>
          <w:color w:val="000000"/>
          <w:sz w:val="24"/>
          <w:szCs w:val="24"/>
        </w:rPr>
        <w:t xml:space="preserve">Those who know about leading sportswear brands, especially Adidas </w:t>
      </w:r>
    </w:p>
    <w:p w14:paraId="5424C617"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By targeting respondents who are familiar with the brand, it can be assumed that they have an opinion on various sustainability initiatives and how these will affect perceptions and behaviour.</w:t>
      </w:r>
    </w:p>
    <w:p w14:paraId="21D03F24"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lastRenderedPageBreak/>
        <w:t>Data Collection Period</w:t>
      </w:r>
    </w:p>
    <w:p w14:paraId="4D13194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data collection period spanned about 2-3 weeks. This timeframe allowed for a reasonable sample size to be obtained, while ensuring the relevance and timeliness of the data.</w:t>
      </w:r>
    </w:p>
    <w:p w14:paraId="70BE74EA"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 xml:space="preserve"> Response Collection</w:t>
      </w:r>
    </w:p>
    <w:p w14:paraId="55981BF5"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Data from 50-100 responses were collected and analysed. We reviewed and removed any invalid and inconsistent responses to ensure quality. The data were downloaded from Google Forms to Microsoft Excel and SPSS for analysis.</w:t>
      </w:r>
    </w:p>
    <w:p w14:paraId="47757606" w14:textId="77777777" w:rsidR="00E336C2" w:rsidRDefault="00000000">
      <w:pPr>
        <w:pStyle w:val="Heading3"/>
        <w:spacing w:before="360" w:line="360" w:lineRule="auto"/>
        <w:jc w:val="both"/>
      </w:pPr>
      <w:bookmarkStart w:id="33" w:name="_p2r3r6wnv4kg" w:colFirst="0" w:colLast="0"/>
      <w:bookmarkEnd w:id="33"/>
      <w:r>
        <w:t>3.4.3 Why the Survey Method Was Chosen</w:t>
      </w:r>
    </w:p>
    <w:p w14:paraId="003D8CD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A survey was chosen as it provides a way to gather standardised and quantitative data, which is crucial for statistical analysis and testing hypotheses. It enables the researcher to quantify abstract concepts such as attitudes, beliefs and intentions, through scales such as the Likert scale.</w:t>
      </w:r>
    </w:p>
    <w:p w14:paraId="5451B51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choice of a survey as a method of data collection is due to its ability to offer a means of collecting standardised and quantitative data, which is important in terms of statistical analysis and testing of hypotheses. It allows the researcher to measure abstract concepts like attitudes, beliefs and intentions, using a scale like Likert scale.</w:t>
      </w:r>
    </w:p>
    <w:p w14:paraId="5D9D96D6"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Surveys are also economical in terms of time and </w:t>
      </w:r>
      <w:proofErr w:type="gramStart"/>
      <w:r>
        <w:rPr>
          <w:rFonts w:ascii="Arial" w:eastAsia="Arial" w:hAnsi="Arial" w:cs="Arial"/>
          <w:sz w:val="24"/>
          <w:szCs w:val="24"/>
        </w:rPr>
        <w:t>cost</w:t>
      </w:r>
      <w:proofErr w:type="gramEnd"/>
      <w:r>
        <w:rPr>
          <w:rFonts w:ascii="Arial" w:eastAsia="Arial" w:hAnsi="Arial" w:cs="Arial"/>
          <w:sz w:val="24"/>
          <w:szCs w:val="24"/>
        </w:rPr>
        <w:t xml:space="preserve"> and this is ideal in terms of budget constraints that are normally experienced in academic research. Surveys provide a higher amount of data than other qualitative methods like </w:t>
      </w:r>
      <w:proofErr w:type="gramStart"/>
      <w:r>
        <w:rPr>
          <w:rFonts w:ascii="Arial" w:eastAsia="Arial" w:hAnsi="Arial" w:cs="Arial"/>
          <w:sz w:val="24"/>
          <w:szCs w:val="24"/>
        </w:rPr>
        <w:t>interviews, and</w:t>
      </w:r>
      <w:proofErr w:type="gramEnd"/>
      <w:r>
        <w:rPr>
          <w:rFonts w:ascii="Arial" w:eastAsia="Arial" w:hAnsi="Arial" w:cs="Arial"/>
          <w:sz w:val="24"/>
          <w:szCs w:val="24"/>
        </w:rPr>
        <w:t xml:space="preserve"> enhance the representativeness of the sample.</w:t>
      </w:r>
    </w:p>
    <w:p w14:paraId="01B089A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Concisely, a survey approach is in line with positivist philosophy and deductive nature of the research and provides systematic and valid approach towards studying sustainability initiatives and their impacts to consumer attitudes and behaviour in sportswear industry.</w:t>
      </w:r>
    </w:p>
    <w:p w14:paraId="6C9D9372" w14:textId="77777777" w:rsidR="00E336C2" w:rsidRDefault="00000000">
      <w:pPr>
        <w:pStyle w:val="Heading2"/>
      </w:pPr>
      <w:bookmarkStart w:id="34" w:name="_lovvtegpvi7o" w:colFirst="0" w:colLast="0"/>
      <w:bookmarkEnd w:id="34"/>
      <w:r>
        <w:lastRenderedPageBreak/>
        <w:t>3.5 Sampling Strategy</w:t>
      </w:r>
    </w:p>
    <w:p w14:paraId="742E7D11" w14:textId="77777777" w:rsidR="00E336C2" w:rsidRDefault="00000000">
      <w:pPr>
        <w:pStyle w:val="Heading3"/>
      </w:pPr>
      <w:bookmarkStart w:id="35" w:name="_x557v1i3i3vj" w:colFirst="0" w:colLast="0"/>
      <w:bookmarkEnd w:id="35"/>
      <w:r>
        <w:t>3.5.1 Sampling Method</w:t>
      </w:r>
    </w:p>
    <w:p w14:paraId="3680E14C"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This research paper uses convenience sampling technique, in which the study participants are selected depending on their convenience and availability. This type of non-probability sampling is commonly employed in research, especially when dealing with a large population which is time and resource-intensive to access (Bryman, 2022). In the current research, the respondents were selected using online channels such as social media and university networks, allowing for time-effective data collection from people who are familiar with sportswear brands, such as Adidas.</w:t>
      </w:r>
    </w:p>
    <w:p w14:paraId="094FFEA6"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convenience sampling will suit this study since the aim is to test the relationships between variables rather than to attain representativeness. The approach allows reaching a sample of respondents that meet the criteria of the study (consumers, who have experience purchasing sportswear products).</w:t>
      </w:r>
    </w:p>
    <w:p w14:paraId="5CE8D835" w14:textId="77777777" w:rsidR="00E336C2" w:rsidRDefault="00000000">
      <w:pPr>
        <w:pStyle w:val="Heading3"/>
      </w:pPr>
      <w:bookmarkStart w:id="36" w:name="_6j21us1cx5cw" w:colFirst="0" w:colLast="0"/>
      <w:bookmarkEnd w:id="36"/>
      <w:r>
        <w:t>3.5.2 Sample Size Justification</w:t>
      </w:r>
    </w:p>
    <w:p w14:paraId="6BBB420B"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In this research, a sample of 50-100 respondents was used. According to Hair et al. (2022), this size is also adequate to conduct simple statistical tests like correlation and regression, which underlie this study.</w:t>
      </w:r>
    </w:p>
    <w:p w14:paraId="09E18334"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Although convenience sampling can compromise the overall generalisability of findings, this is not an issue when conducting academic and investigative research. The selected sample size gives a valid sample size to be analysed and yet is manageable within the limits of an MBA dissertation.</w:t>
      </w:r>
    </w:p>
    <w:p w14:paraId="2B732840" w14:textId="77777777" w:rsidR="00E336C2" w:rsidRDefault="00000000">
      <w:pPr>
        <w:pStyle w:val="Heading2"/>
      </w:pPr>
      <w:bookmarkStart w:id="37" w:name="_rp3x2oe3x0xl" w:colFirst="0" w:colLast="0"/>
      <w:bookmarkEnd w:id="37"/>
      <w:r>
        <w:t>3.6 Data collection and measurement.</w:t>
      </w:r>
    </w:p>
    <w:p w14:paraId="7BDBE83A" w14:textId="77777777" w:rsidR="00E336C2" w:rsidRDefault="00000000">
      <w:pPr>
        <w:pStyle w:val="Heading3"/>
      </w:pPr>
      <w:bookmarkStart w:id="38" w:name="_im3gp9ok1cip" w:colFirst="0" w:colLast="0"/>
      <w:bookmarkEnd w:id="38"/>
      <w:r>
        <w:t xml:space="preserve">3.6.1 Questionnaire Structure </w:t>
      </w:r>
      <w:proofErr w:type="gramStart"/>
      <w:r>
        <w:t>( Appendix</w:t>
      </w:r>
      <w:proofErr w:type="gramEnd"/>
      <w:r>
        <w:t xml:space="preserve"> B)</w:t>
      </w:r>
    </w:p>
    <w:p w14:paraId="3E68F620"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structured questionnaire used to measure the key variables with regards to sustainability and consumer behaviour in the context of Adidas were the primary data of this study. To facilitate easy understanding of the questionnaire, it was put into five sections.</w:t>
      </w:r>
    </w:p>
    <w:p w14:paraId="5BB7099B"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lastRenderedPageBreak/>
        <w:t>The former consisted of demographic information about the respondents, including age, gender and consumer practices, which both provides an insight into the demographics of respondents and enables one to anticipate possible differences between the groups. The second part discussed awareness of sustainability, that measures awareness of the respondents regarding environmental sustainability and sustainable practices in sportswear.</w:t>
      </w:r>
    </w:p>
    <w:p w14:paraId="17F8734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third section focused on attitudes towards sustainability programs like using sustainable materials, recycling and corporate sustainability. The fourth section measured brand trust and brand image, which was an indicator of the influence of sustainability efforts on brand trust and brand image. The fifth and final section examined purchase intention, assessing the interest in purchasing Adidas' products based on sustainability initiatives.</w:t>
      </w:r>
    </w:p>
    <w:p w14:paraId="316C0B58"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Measurement Scale</w:t>
      </w:r>
    </w:p>
    <w:p w14:paraId="18FBF58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responses of the key constructs were measured using a 5-point Likert scale. The scale ranged from:</w:t>
      </w:r>
    </w:p>
    <w:p w14:paraId="1508001C" w14:textId="77777777" w:rsidR="00E336C2" w:rsidRDefault="00000000">
      <w:pPr>
        <w:pBdr>
          <w:top w:val="nil"/>
          <w:left w:val="nil"/>
          <w:bottom w:val="nil"/>
          <w:right w:val="nil"/>
          <w:between w:val="nil"/>
        </w:pBdr>
        <w:spacing w:after="80" w:line="360" w:lineRule="auto"/>
        <w:jc w:val="both"/>
        <w:rPr>
          <w:rFonts w:ascii="Arial" w:eastAsia="Arial" w:hAnsi="Arial" w:cs="Arial"/>
          <w:color w:val="000000"/>
          <w:sz w:val="24"/>
          <w:szCs w:val="24"/>
        </w:rPr>
      </w:pPr>
      <w:r>
        <w:rPr>
          <w:rFonts w:ascii="Arial" w:eastAsia="Arial" w:hAnsi="Arial" w:cs="Arial"/>
          <w:sz w:val="24"/>
          <w:szCs w:val="24"/>
        </w:rPr>
        <w:t>Responses were measured using a five-point Likert scale (1–5), where higher scores indicated stronger levels of agreement with the statements.</w:t>
      </w:r>
    </w:p>
    <w:p w14:paraId="6EF8FC80"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Likert scales are popular in consumer behaviour studies as they provide a structured and measurable way to gather data about attitudes, perceptions and intentions (Joshi and Rahman, 2023). This facilitates statistical analysis and comparisons.</w:t>
      </w:r>
    </w:p>
    <w:p w14:paraId="60FB9B8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application of standardised scales increases the validity and reliability of the data, allowing us to assume that the responses obtained are a true reflection of consumer thought and feelings, and can be used in analysis.</w:t>
      </w:r>
    </w:p>
    <w:p w14:paraId="2F8A92F0"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Although convenience sampling is a non-probability sampling technique, it is widely adopted in exploratory consumer behaviour research due to its practicality, accessibility, and cost-effectiveness (Saunders et al., 2023). The approach was particularly suitable for this study because the target respondents were consumers familiar with Adidas and sportswear products. However, the use of convenience </w:t>
      </w:r>
      <w:r>
        <w:rPr>
          <w:rFonts w:ascii="Arial" w:eastAsia="Arial" w:hAnsi="Arial" w:cs="Arial"/>
          <w:sz w:val="24"/>
          <w:szCs w:val="24"/>
        </w:rPr>
        <w:lastRenderedPageBreak/>
        <w:t>sampling may reduce external validity, as the findings cannot be fully generalised to the broader population. Therefore, the results should be interpreted within the context of the sampled respondents.</w:t>
      </w:r>
    </w:p>
    <w:p w14:paraId="7233D58E" w14:textId="77777777" w:rsidR="00E336C2" w:rsidRDefault="00000000">
      <w:pPr>
        <w:pStyle w:val="Heading2"/>
      </w:pPr>
      <w:bookmarkStart w:id="39" w:name="_w2satw5g8wcc" w:colFirst="0" w:colLast="0"/>
      <w:bookmarkEnd w:id="39"/>
      <w:r>
        <w:t>3.7 Variables and Measurement</w:t>
      </w:r>
    </w:p>
    <w:p w14:paraId="499496A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variables in this study are identified and defined according to existing research in sustainability and consumer behaviour to achieve construct validity and reliability. The variables are organised into independent, dependent, mediating and moderating variables to represent the research framework in the context of Adidas.</w:t>
      </w:r>
    </w:p>
    <w:p w14:paraId="64647E6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independent variable is consumer perception of sustainability, which assesses consumer evaluation of the brand's approach to sustainability (e.g., "This brand is environmentally responsible"). It is key to consumer perceptions of sustainability initiatives.</w:t>
      </w:r>
    </w:p>
    <w:p w14:paraId="7E52FBC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There are two mediators: brand trust and brand image. Brand trust is used to measure the level of consumer trust in the sustainability claims of the brand (e.g., "I trust this brand on its sustainability claims), and brand image is used to measure the overall environmental image of the brand (e.g., "This brand has a good environmental image). These variables aid in realising the effect of sustainability perception on behaviour.</w:t>
      </w:r>
    </w:p>
    <w:p w14:paraId="5092F05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variable of interest is the purchase intention that is defined as the intention to buy the goods of this brand (e.g., the intention to buy goods of this brand). Lastly, price sensitivity is employed as a moderating variable, which is the impact of price on the relationship between the sustainability perception and purchase intention.</w:t>
      </w:r>
    </w:p>
    <w:p w14:paraId="301C1A9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measurement tools employed in the above variables were based on prior research and therefore gave uniformity and power to our research.</w:t>
      </w:r>
    </w:p>
    <w:p w14:paraId="413507E5" w14:textId="77777777" w:rsidR="00E336C2" w:rsidRDefault="00000000">
      <w:pPr>
        <w:keepNext/>
        <w:pBdr>
          <w:top w:val="nil"/>
          <w:left w:val="nil"/>
          <w:bottom w:val="nil"/>
          <w:right w:val="nil"/>
          <w:between w:val="nil"/>
        </w:pBdr>
        <w:spacing w:before="360" w:after="80" w:line="360" w:lineRule="auto"/>
        <w:jc w:val="both"/>
        <w:rPr>
          <w:rFonts w:ascii="Arial" w:eastAsia="Arial" w:hAnsi="Arial" w:cs="Arial"/>
          <w:i/>
          <w:iCs/>
          <w:color w:val="1F497D"/>
          <w:sz w:val="24"/>
          <w:szCs w:val="24"/>
        </w:rPr>
      </w:pPr>
      <w:bookmarkStart w:id="40" w:name="_yki26ov8hnrn" w:colFirst="0" w:colLast="0"/>
      <w:bookmarkEnd w:id="40"/>
      <w:r>
        <w:rPr>
          <w:rFonts w:ascii="Arial" w:eastAsia="Arial" w:hAnsi="Arial" w:cs="Arial"/>
          <w:i/>
          <w:iCs/>
          <w:color w:val="1F497D"/>
          <w:sz w:val="24"/>
          <w:szCs w:val="24"/>
        </w:rPr>
        <w:lastRenderedPageBreak/>
        <w:t xml:space="preserve">Table 1- Variables and Measurement </w:t>
      </w:r>
    </w:p>
    <w:p w14:paraId="2A7CAB64" w14:textId="77777777" w:rsidR="00E336C2" w:rsidRDefault="00000000">
      <w:pPr>
        <w:pStyle w:val="Heading3"/>
        <w:keepLines w:val="0"/>
        <w:spacing w:before="280" w:line="360" w:lineRule="auto"/>
        <w:jc w:val="both"/>
        <w:rPr>
          <w:sz w:val="26"/>
          <w:szCs w:val="26"/>
        </w:rPr>
      </w:pPr>
      <w:bookmarkStart w:id="41" w:name="_r6w95sxpdqvp" w:colFirst="0" w:colLast="0"/>
      <w:bookmarkEnd w:id="41"/>
      <w:r>
        <w:rPr>
          <w:sz w:val="26"/>
          <w:szCs w:val="26"/>
        </w:rPr>
        <w:t>Table 3.4: Construct Operationalisation</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91"/>
        <w:gridCol w:w="1742"/>
        <w:gridCol w:w="3440"/>
        <w:gridCol w:w="1852"/>
      </w:tblGrid>
      <w:tr w:rsidR="00E336C2" w14:paraId="61353DB2" w14:textId="77777777">
        <w:trPr>
          <w:trHeight w:val="500"/>
        </w:trPr>
        <w:tc>
          <w:tcPr>
            <w:tcW w:w="1990" w:type="dxa"/>
            <w:tcBorders>
              <w:top w:val="nil"/>
              <w:left w:val="nil"/>
              <w:bottom w:val="nil"/>
              <w:right w:val="nil"/>
            </w:tcBorders>
            <w:tcMar>
              <w:top w:w="100" w:type="dxa"/>
              <w:left w:w="100" w:type="dxa"/>
              <w:bottom w:w="100" w:type="dxa"/>
              <w:right w:w="100" w:type="dxa"/>
            </w:tcMar>
          </w:tcPr>
          <w:p w14:paraId="0BC7F4F2" w14:textId="77777777" w:rsidR="00E336C2" w:rsidRDefault="00000000">
            <w:pPr>
              <w:keepNext/>
              <w:spacing w:before="360" w:after="80" w:line="360" w:lineRule="auto"/>
              <w:jc w:val="center"/>
              <w:rPr>
                <w:rFonts w:ascii="Arial" w:eastAsia="Arial" w:hAnsi="Arial" w:cs="Arial"/>
                <w:sz w:val="24"/>
                <w:szCs w:val="24"/>
              </w:rPr>
            </w:pPr>
            <w:r>
              <w:rPr>
                <w:rFonts w:ascii="Arial" w:eastAsia="Arial" w:hAnsi="Arial" w:cs="Arial"/>
                <w:b/>
                <w:bCs/>
                <w:sz w:val="24"/>
                <w:szCs w:val="24"/>
              </w:rPr>
              <w:t>Construct</w:t>
            </w:r>
          </w:p>
        </w:tc>
        <w:tc>
          <w:tcPr>
            <w:tcW w:w="1742" w:type="dxa"/>
            <w:tcBorders>
              <w:top w:val="nil"/>
              <w:left w:val="nil"/>
              <w:bottom w:val="nil"/>
              <w:right w:val="nil"/>
            </w:tcBorders>
            <w:tcMar>
              <w:top w:w="100" w:type="dxa"/>
              <w:left w:w="100" w:type="dxa"/>
              <w:bottom w:w="100" w:type="dxa"/>
              <w:right w:w="100" w:type="dxa"/>
            </w:tcMar>
          </w:tcPr>
          <w:p w14:paraId="110CA4AF" w14:textId="77777777" w:rsidR="00E336C2" w:rsidRDefault="00000000">
            <w:pPr>
              <w:keepNext/>
              <w:spacing w:before="360" w:after="80" w:line="360" w:lineRule="auto"/>
              <w:jc w:val="center"/>
              <w:rPr>
                <w:rFonts w:ascii="Arial" w:eastAsia="Arial" w:hAnsi="Arial" w:cs="Arial"/>
                <w:sz w:val="24"/>
                <w:szCs w:val="24"/>
              </w:rPr>
            </w:pPr>
            <w:r>
              <w:rPr>
                <w:rFonts w:ascii="Arial" w:eastAsia="Arial" w:hAnsi="Arial" w:cs="Arial"/>
                <w:b/>
                <w:bCs/>
                <w:sz w:val="24"/>
                <w:szCs w:val="24"/>
              </w:rPr>
              <w:t>Type</w:t>
            </w:r>
          </w:p>
        </w:tc>
        <w:tc>
          <w:tcPr>
            <w:tcW w:w="3439" w:type="dxa"/>
            <w:tcBorders>
              <w:top w:val="nil"/>
              <w:left w:val="nil"/>
              <w:bottom w:val="nil"/>
              <w:right w:val="nil"/>
            </w:tcBorders>
            <w:tcMar>
              <w:top w:w="100" w:type="dxa"/>
              <w:left w:w="100" w:type="dxa"/>
              <w:bottom w:w="100" w:type="dxa"/>
              <w:right w:w="100" w:type="dxa"/>
            </w:tcMar>
          </w:tcPr>
          <w:p w14:paraId="2D168CF7" w14:textId="77777777" w:rsidR="00E336C2" w:rsidRDefault="00000000">
            <w:pPr>
              <w:keepNext/>
              <w:spacing w:before="360" w:after="80" w:line="360" w:lineRule="auto"/>
              <w:jc w:val="center"/>
              <w:rPr>
                <w:rFonts w:ascii="Arial" w:eastAsia="Arial" w:hAnsi="Arial" w:cs="Arial"/>
                <w:sz w:val="24"/>
                <w:szCs w:val="24"/>
              </w:rPr>
            </w:pPr>
            <w:r>
              <w:rPr>
                <w:rFonts w:ascii="Arial" w:eastAsia="Arial" w:hAnsi="Arial" w:cs="Arial"/>
                <w:b/>
                <w:bCs/>
                <w:sz w:val="24"/>
                <w:szCs w:val="24"/>
              </w:rPr>
              <w:t>Example Item</w:t>
            </w:r>
          </w:p>
        </w:tc>
        <w:tc>
          <w:tcPr>
            <w:tcW w:w="1852" w:type="dxa"/>
            <w:tcBorders>
              <w:top w:val="nil"/>
              <w:left w:val="nil"/>
              <w:bottom w:val="nil"/>
              <w:right w:val="nil"/>
            </w:tcBorders>
            <w:tcMar>
              <w:top w:w="100" w:type="dxa"/>
              <w:left w:w="100" w:type="dxa"/>
              <w:bottom w:w="100" w:type="dxa"/>
              <w:right w:w="100" w:type="dxa"/>
            </w:tcMar>
          </w:tcPr>
          <w:p w14:paraId="552AACD5" w14:textId="77777777" w:rsidR="00E336C2" w:rsidRDefault="00000000">
            <w:pPr>
              <w:keepNext/>
              <w:spacing w:before="360" w:after="80" w:line="360" w:lineRule="auto"/>
              <w:jc w:val="center"/>
              <w:rPr>
                <w:rFonts w:ascii="Arial" w:eastAsia="Arial" w:hAnsi="Arial" w:cs="Arial"/>
                <w:sz w:val="24"/>
                <w:szCs w:val="24"/>
              </w:rPr>
            </w:pPr>
            <w:r>
              <w:rPr>
                <w:rFonts w:ascii="Arial" w:eastAsia="Arial" w:hAnsi="Arial" w:cs="Arial"/>
                <w:b/>
                <w:bCs/>
                <w:sz w:val="24"/>
                <w:szCs w:val="24"/>
              </w:rPr>
              <w:t>Source</w:t>
            </w:r>
          </w:p>
        </w:tc>
      </w:tr>
      <w:tr w:rsidR="00E336C2" w14:paraId="38DB0D1E" w14:textId="77777777">
        <w:trPr>
          <w:trHeight w:val="785"/>
        </w:trPr>
        <w:tc>
          <w:tcPr>
            <w:tcW w:w="1990" w:type="dxa"/>
            <w:tcBorders>
              <w:top w:val="nil"/>
              <w:left w:val="nil"/>
              <w:bottom w:val="nil"/>
              <w:right w:val="nil"/>
            </w:tcBorders>
            <w:tcMar>
              <w:top w:w="100" w:type="dxa"/>
              <w:left w:w="100" w:type="dxa"/>
              <w:bottom w:w="100" w:type="dxa"/>
              <w:right w:w="100" w:type="dxa"/>
            </w:tcMar>
          </w:tcPr>
          <w:p w14:paraId="528CB918"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Sustainability Perception</w:t>
            </w:r>
          </w:p>
        </w:tc>
        <w:tc>
          <w:tcPr>
            <w:tcW w:w="1742" w:type="dxa"/>
            <w:tcBorders>
              <w:top w:val="nil"/>
              <w:left w:val="nil"/>
              <w:bottom w:val="nil"/>
              <w:right w:val="nil"/>
            </w:tcBorders>
            <w:tcMar>
              <w:top w:w="100" w:type="dxa"/>
              <w:left w:w="100" w:type="dxa"/>
              <w:bottom w:w="100" w:type="dxa"/>
              <w:right w:w="100" w:type="dxa"/>
            </w:tcMar>
          </w:tcPr>
          <w:p w14:paraId="7BA5A8FA"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Independent Variable</w:t>
            </w:r>
          </w:p>
        </w:tc>
        <w:tc>
          <w:tcPr>
            <w:tcW w:w="3439" w:type="dxa"/>
            <w:tcBorders>
              <w:top w:val="nil"/>
              <w:left w:val="nil"/>
              <w:bottom w:val="nil"/>
              <w:right w:val="nil"/>
            </w:tcBorders>
            <w:tcMar>
              <w:top w:w="100" w:type="dxa"/>
              <w:left w:w="100" w:type="dxa"/>
              <w:bottom w:w="100" w:type="dxa"/>
              <w:right w:w="100" w:type="dxa"/>
            </w:tcMar>
          </w:tcPr>
          <w:p w14:paraId="1D50882B"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"Adidas is environmentally responsible"</w:t>
            </w:r>
          </w:p>
        </w:tc>
        <w:tc>
          <w:tcPr>
            <w:tcW w:w="1852" w:type="dxa"/>
            <w:tcBorders>
              <w:top w:val="nil"/>
              <w:left w:val="nil"/>
              <w:bottom w:val="nil"/>
              <w:right w:val="nil"/>
            </w:tcBorders>
            <w:tcMar>
              <w:top w:w="100" w:type="dxa"/>
              <w:left w:w="100" w:type="dxa"/>
              <w:bottom w:w="100" w:type="dxa"/>
              <w:right w:w="100" w:type="dxa"/>
            </w:tcMar>
          </w:tcPr>
          <w:p w14:paraId="35848B26"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Li et al. (2024)</w:t>
            </w:r>
          </w:p>
        </w:tc>
      </w:tr>
      <w:tr w:rsidR="00E336C2" w14:paraId="524A9BAC" w14:textId="77777777">
        <w:trPr>
          <w:trHeight w:val="785"/>
        </w:trPr>
        <w:tc>
          <w:tcPr>
            <w:tcW w:w="1990" w:type="dxa"/>
            <w:tcBorders>
              <w:top w:val="nil"/>
              <w:left w:val="nil"/>
              <w:bottom w:val="nil"/>
              <w:right w:val="nil"/>
            </w:tcBorders>
            <w:tcMar>
              <w:top w:w="100" w:type="dxa"/>
              <w:left w:w="100" w:type="dxa"/>
              <w:bottom w:w="100" w:type="dxa"/>
              <w:right w:w="100" w:type="dxa"/>
            </w:tcMar>
          </w:tcPr>
          <w:p w14:paraId="46930958"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Brand Trust</w:t>
            </w:r>
          </w:p>
        </w:tc>
        <w:tc>
          <w:tcPr>
            <w:tcW w:w="1742" w:type="dxa"/>
            <w:tcBorders>
              <w:top w:val="nil"/>
              <w:left w:val="nil"/>
              <w:bottom w:val="nil"/>
              <w:right w:val="nil"/>
            </w:tcBorders>
            <w:tcMar>
              <w:top w:w="100" w:type="dxa"/>
              <w:left w:w="100" w:type="dxa"/>
              <w:bottom w:w="100" w:type="dxa"/>
              <w:right w:w="100" w:type="dxa"/>
            </w:tcMar>
          </w:tcPr>
          <w:p w14:paraId="11DA5FD2"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Mediator</w:t>
            </w:r>
          </w:p>
        </w:tc>
        <w:tc>
          <w:tcPr>
            <w:tcW w:w="3439" w:type="dxa"/>
            <w:tcBorders>
              <w:top w:val="nil"/>
              <w:left w:val="nil"/>
              <w:bottom w:val="nil"/>
              <w:right w:val="nil"/>
            </w:tcBorders>
            <w:tcMar>
              <w:top w:w="100" w:type="dxa"/>
              <w:left w:w="100" w:type="dxa"/>
              <w:bottom w:w="100" w:type="dxa"/>
              <w:right w:w="100" w:type="dxa"/>
            </w:tcMar>
          </w:tcPr>
          <w:p w14:paraId="019AAF85"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"I trust Adidas' sustainability claims"</w:t>
            </w:r>
          </w:p>
        </w:tc>
        <w:tc>
          <w:tcPr>
            <w:tcW w:w="1852" w:type="dxa"/>
            <w:tcBorders>
              <w:top w:val="nil"/>
              <w:left w:val="nil"/>
              <w:bottom w:val="nil"/>
              <w:right w:val="nil"/>
            </w:tcBorders>
            <w:tcMar>
              <w:top w:w="100" w:type="dxa"/>
              <w:left w:w="100" w:type="dxa"/>
              <w:bottom w:w="100" w:type="dxa"/>
              <w:right w:w="100" w:type="dxa"/>
            </w:tcMar>
          </w:tcPr>
          <w:p w14:paraId="264C2595"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Fatma and Rahman (2022)</w:t>
            </w:r>
          </w:p>
        </w:tc>
      </w:tr>
      <w:tr w:rsidR="00E336C2" w14:paraId="23F6BBE8" w14:textId="77777777">
        <w:trPr>
          <w:trHeight w:val="785"/>
        </w:trPr>
        <w:tc>
          <w:tcPr>
            <w:tcW w:w="1990" w:type="dxa"/>
            <w:tcBorders>
              <w:top w:val="nil"/>
              <w:left w:val="nil"/>
              <w:bottom w:val="nil"/>
              <w:right w:val="nil"/>
            </w:tcBorders>
            <w:tcMar>
              <w:top w:w="100" w:type="dxa"/>
              <w:left w:w="100" w:type="dxa"/>
              <w:bottom w:w="100" w:type="dxa"/>
              <w:right w:w="100" w:type="dxa"/>
            </w:tcMar>
          </w:tcPr>
          <w:p w14:paraId="1342F2F6"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Brand Image</w:t>
            </w:r>
          </w:p>
        </w:tc>
        <w:tc>
          <w:tcPr>
            <w:tcW w:w="1742" w:type="dxa"/>
            <w:tcBorders>
              <w:top w:val="nil"/>
              <w:left w:val="nil"/>
              <w:bottom w:val="nil"/>
              <w:right w:val="nil"/>
            </w:tcBorders>
            <w:tcMar>
              <w:top w:w="100" w:type="dxa"/>
              <w:left w:w="100" w:type="dxa"/>
              <w:bottom w:w="100" w:type="dxa"/>
              <w:right w:w="100" w:type="dxa"/>
            </w:tcMar>
          </w:tcPr>
          <w:p w14:paraId="0A6F7E85"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Mediator</w:t>
            </w:r>
          </w:p>
        </w:tc>
        <w:tc>
          <w:tcPr>
            <w:tcW w:w="3439" w:type="dxa"/>
            <w:tcBorders>
              <w:top w:val="nil"/>
              <w:left w:val="nil"/>
              <w:bottom w:val="nil"/>
              <w:right w:val="nil"/>
            </w:tcBorders>
            <w:tcMar>
              <w:top w:w="100" w:type="dxa"/>
              <w:left w:w="100" w:type="dxa"/>
              <w:bottom w:w="100" w:type="dxa"/>
              <w:right w:w="100" w:type="dxa"/>
            </w:tcMar>
          </w:tcPr>
          <w:p w14:paraId="72555BCD"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"Adidas has a positive environmental reputation"</w:t>
            </w:r>
          </w:p>
        </w:tc>
        <w:tc>
          <w:tcPr>
            <w:tcW w:w="1852" w:type="dxa"/>
            <w:tcBorders>
              <w:top w:val="nil"/>
              <w:left w:val="nil"/>
              <w:bottom w:val="nil"/>
              <w:right w:val="nil"/>
            </w:tcBorders>
            <w:tcMar>
              <w:top w:w="100" w:type="dxa"/>
              <w:left w:w="100" w:type="dxa"/>
              <w:bottom w:w="100" w:type="dxa"/>
              <w:right w:w="100" w:type="dxa"/>
            </w:tcMar>
          </w:tcPr>
          <w:p w14:paraId="4FAFBD1C"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Keller (2022)</w:t>
            </w:r>
          </w:p>
        </w:tc>
      </w:tr>
      <w:tr w:rsidR="00E336C2" w14:paraId="2579C82D" w14:textId="77777777">
        <w:trPr>
          <w:trHeight w:val="785"/>
        </w:trPr>
        <w:tc>
          <w:tcPr>
            <w:tcW w:w="1990" w:type="dxa"/>
            <w:tcBorders>
              <w:top w:val="nil"/>
              <w:left w:val="nil"/>
              <w:bottom w:val="nil"/>
              <w:right w:val="nil"/>
            </w:tcBorders>
            <w:tcMar>
              <w:top w:w="100" w:type="dxa"/>
              <w:left w:w="100" w:type="dxa"/>
              <w:bottom w:w="100" w:type="dxa"/>
              <w:right w:w="100" w:type="dxa"/>
            </w:tcMar>
          </w:tcPr>
          <w:p w14:paraId="4B9379DD"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Purchase Intention</w:t>
            </w:r>
          </w:p>
        </w:tc>
        <w:tc>
          <w:tcPr>
            <w:tcW w:w="1742" w:type="dxa"/>
            <w:tcBorders>
              <w:top w:val="nil"/>
              <w:left w:val="nil"/>
              <w:bottom w:val="nil"/>
              <w:right w:val="nil"/>
            </w:tcBorders>
            <w:tcMar>
              <w:top w:w="100" w:type="dxa"/>
              <w:left w:w="100" w:type="dxa"/>
              <w:bottom w:w="100" w:type="dxa"/>
              <w:right w:w="100" w:type="dxa"/>
            </w:tcMar>
          </w:tcPr>
          <w:p w14:paraId="73B6F12B"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Dependent Variable</w:t>
            </w:r>
          </w:p>
        </w:tc>
        <w:tc>
          <w:tcPr>
            <w:tcW w:w="3439" w:type="dxa"/>
            <w:tcBorders>
              <w:top w:val="nil"/>
              <w:left w:val="nil"/>
              <w:bottom w:val="nil"/>
              <w:right w:val="nil"/>
            </w:tcBorders>
            <w:tcMar>
              <w:top w:w="100" w:type="dxa"/>
              <w:left w:w="100" w:type="dxa"/>
              <w:bottom w:w="100" w:type="dxa"/>
              <w:right w:w="100" w:type="dxa"/>
            </w:tcMar>
          </w:tcPr>
          <w:p w14:paraId="4C4EEF50"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"I intend to purchase Adidas products"</w:t>
            </w:r>
          </w:p>
        </w:tc>
        <w:tc>
          <w:tcPr>
            <w:tcW w:w="1852" w:type="dxa"/>
            <w:tcBorders>
              <w:top w:val="nil"/>
              <w:left w:val="nil"/>
              <w:bottom w:val="nil"/>
              <w:right w:val="nil"/>
            </w:tcBorders>
            <w:tcMar>
              <w:top w:w="100" w:type="dxa"/>
              <w:left w:w="100" w:type="dxa"/>
              <w:bottom w:w="100" w:type="dxa"/>
              <w:right w:w="100" w:type="dxa"/>
            </w:tcMar>
          </w:tcPr>
          <w:p w14:paraId="0B3FB119"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Ajzen (2021)</w:t>
            </w:r>
          </w:p>
        </w:tc>
      </w:tr>
      <w:tr w:rsidR="00E336C2" w14:paraId="7FE15EA1" w14:textId="77777777">
        <w:trPr>
          <w:trHeight w:val="785"/>
        </w:trPr>
        <w:tc>
          <w:tcPr>
            <w:tcW w:w="1990" w:type="dxa"/>
            <w:tcBorders>
              <w:top w:val="nil"/>
              <w:left w:val="nil"/>
              <w:bottom w:val="nil"/>
              <w:right w:val="nil"/>
            </w:tcBorders>
            <w:tcMar>
              <w:top w:w="100" w:type="dxa"/>
              <w:left w:w="100" w:type="dxa"/>
              <w:bottom w:w="100" w:type="dxa"/>
              <w:right w:w="100" w:type="dxa"/>
            </w:tcMar>
          </w:tcPr>
          <w:p w14:paraId="4C0133C0"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Price Sensitivity</w:t>
            </w:r>
          </w:p>
        </w:tc>
        <w:tc>
          <w:tcPr>
            <w:tcW w:w="1742" w:type="dxa"/>
            <w:tcBorders>
              <w:top w:val="nil"/>
              <w:left w:val="nil"/>
              <w:bottom w:val="nil"/>
              <w:right w:val="nil"/>
            </w:tcBorders>
            <w:tcMar>
              <w:top w:w="100" w:type="dxa"/>
              <w:left w:w="100" w:type="dxa"/>
              <w:bottom w:w="100" w:type="dxa"/>
              <w:right w:w="100" w:type="dxa"/>
            </w:tcMar>
          </w:tcPr>
          <w:p w14:paraId="652B1893"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Moderator</w:t>
            </w:r>
          </w:p>
        </w:tc>
        <w:tc>
          <w:tcPr>
            <w:tcW w:w="3439" w:type="dxa"/>
            <w:tcBorders>
              <w:top w:val="nil"/>
              <w:left w:val="nil"/>
              <w:bottom w:val="nil"/>
              <w:right w:val="nil"/>
            </w:tcBorders>
            <w:tcMar>
              <w:top w:w="100" w:type="dxa"/>
              <w:left w:w="100" w:type="dxa"/>
              <w:bottom w:w="100" w:type="dxa"/>
              <w:right w:w="100" w:type="dxa"/>
            </w:tcMar>
          </w:tcPr>
          <w:p w14:paraId="415AB8B6"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"Price strongly influences my purchasing decisions"</w:t>
            </w:r>
          </w:p>
        </w:tc>
        <w:tc>
          <w:tcPr>
            <w:tcW w:w="1852" w:type="dxa"/>
            <w:tcBorders>
              <w:top w:val="nil"/>
              <w:left w:val="nil"/>
              <w:bottom w:val="nil"/>
              <w:right w:val="nil"/>
            </w:tcBorders>
            <w:tcMar>
              <w:top w:w="100" w:type="dxa"/>
              <w:left w:w="100" w:type="dxa"/>
              <w:bottom w:w="100" w:type="dxa"/>
              <w:right w:w="100" w:type="dxa"/>
            </w:tcMar>
          </w:tcPr>
          <w:p w14:paraId="506CFAE1" w14:textId="77777777" w:rsidR="00E336C2" w:rsidRDefault="00000000">
            <w:pPr>
              <w:keepNext/>
              <w:spacing w:before="360" w:after="80" w:line="360" w:lineRule="auto"/>
              <w:jc w:val="both"/>
              <w:rPr>
                <w:rFonts w:ascii="Arial" w:eastAsia="Arial" w:hAnsi="Arial" w:cs="Arial"/>
                <w:sz w:val="24"/>
                <w:szCs w:val="24"/>
              </w:rPr>
            </w:pPr>
            <w:r>
              <w:rPr>
                <w:rFonts w:ascii="Arial" w:eastAsia="Arial" w:hAnsi="Arial" w:cs="Arial"/>
                <w:sz w:val="24"/>
                <w:szCs w:val="24"/>
              </w:rPr>
              <w:t>Deloitte (2024)</w:t>
            </w:r>
          </w:p>
        </w:tc>
      </w:tr>
    </w:tbl>
    <w:p w14:paraId="03F83EFA" w14:textId="77777777" w:rsidR="00E336C2" w:rsidRDefault="00000000">
      <w:pPr>
        <w:keepNext/>
        <w:pBdr>
          <w:top w:val="nil"/>
          <w:left w:val="nil"/>
          <w:bottom w:val="nil"/>
          <w:right w:val="nil"/>
          <w:between w:val="nil"/>
        </w:pBdr>
        <w:spacing w:before="360" w:after="80" w:line="360" w:lineRule="auto"/>
        <w:jc w:val="both"/>
        <w:rPr>
          <w:rFonts w:ascii="Arial" w:eastAsia="Arial" w:hAnsi="Arial" w:cs="Arial"/>
          <w:sz w:val="24"/>
          <w:szCs w:val="24"/>
        </w:rPr>
      </w:pPr>
      <w:bookmarkStart w:id="42" w:name="_ou22crz6jipf" w:colFirst="0" w:colLast="0"/>
      <w:bookmarkEnd w:id="42"/>
      <w:r>
        <w:rPr>
          <w:rFonts w:ascii="Arial" w:eastAsia="Arial" w:hAnsi="Arial" w:cs="Arial"/>
          <w:sz w:val="24"/>
          <w:szCs w:val="24"/>
        </w:rPr>
        <w:t>The measurement items were adapted from previously validated scales to ensure construct validity and consistency with established consumer behaviour and sustainability research (Hair et al., 2022).</w:t>
      </w:r>
    </w:p>
    <w:p w14:paraId="6594B34B" w14:textId="77777777" w:rsidR="00E336C2" w:rsidRDefault="00000000">
      <w:pPr>
        <w:keepNext/>
        <w:pBdr>
          <w:top w:val="nil"/>
          <w:left w:val="nil"/>
          <w:bottom w:val="nil"/>
          <w:right w:val="nil"/>
          <w:between w:val="nil"/>
        </w:pBdr>
        <w:spacing w:before="360" w:after="80" w:line="360" w:lineRule="auto"/>
        <w:jc w:val="both"/>
        <w:rPr>
          <w:rFonts w:ascii="Arial" w:eastAsia="Arial" w:hAnsi="Arial" w:cs="Arial"/>
          <w:sz w:val="24"/>
          <w:szCs w:val="24"/>
        </w:rPr>
      </w:pPr>
      <w:bookmarkStart w:id="43" w:name="_p330u390z59v" w:colFirst="0" w:colLast="0"/>
      <w:bookmarkEnd w:id="43"/>
      <w:r>
        <w:rPr>
          <w:rFonts w:ascii="Arial" w:eastAsia="Arial" w:hAnsi="Arial" w:cs="Arial"/>
          <w:sz w:val="24"/>
          <w:szCs w:val="24"/>
        </w:rPr>
        <w:t>These variables are derived from existing literature to ensure validity (Joshi and Rahman, 2023; Hair et al., 2022).</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14"/>
        <w:gridCol w:w="2506"/>
        <w:gridCol w:w="2929"/>
        <w:gridCol w:w="1867"/>
      </w:tblGrid>
      <w:tr w:rsidR="00E336C2" w14:paraId="091D6FA0" w14:textId="77777777">
        <w:trPr>
          <w:tblHeader/>
        </w:trPr>
        <w:tc>
          <w:tcPr>
            <w:tcW w:w="1714" w:type="dxa"/>
            <w:vAlign w:val="center"/>
          </w:tcPr>
          <w:p w14:paraId="14AF201C"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lastRenderedPageBreak/>
              <w:t>Variable</w:t>
            </w:r>
          </w:p>
        </w:tc>
        <w:tc>
          <w:tcPr>
            <w:tcW w:w="2506" w:type="dxa"/>
            <w:vAlign w:val="center"/>
          </w:tcPr>
          <w:p w14:paraId="1D6FA02D"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Definition (Sports Footwear Context)</w:t>
            </w:r>
          </w:p>
        </w:tc>
        <w:tc>
          <w:tcPr>
            <w:tcW w:w="2929" w:type="dxa"/>
            <w:vAlign w:val="center"/>
          </w:tcPr>
          <w:p w14:paraId="5E609532"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Example Measurement Items (5-point Likert Scale)</w:t>
            </w:r>
          </w:p>
        </w:tc>
        <w:tc>
          <w:tcPr>
            <w:tcW w:w="1867" w:type="dxa"/>
            <w:vAlign w:val="center"/>
          </w:tcPr>
          <w:p w14:paraId="3A487781"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Key Sources</w:t>
            </w:r>
          </w:p>
        </w:tc>
      </w:tr>
      <w:tr w:rsidR="00E336C2" w14:paraId="4B1DA641" w14:textId="77777777">
        <w:tc>
          <w:tcPr>
            <w:tcW w:w="1714" w:type="dxa"/>
            <w:vAlign w:val="center"/>
          </w:tcPr>
          <w:p w14:paraId="495005D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b/>
                <w:bCs/>
                <w:sz w:val="24"/>
                <w:szCs w:val="24"/>
              </w:rPr>
              <w:t>Sustainability Perception</w:t>
            </w:r>
          </w:p>
        </w:tc>
        <w:tc>
          <w:tcPr>
            <w:tcW w:w="2506" w:type="dxa"/>
            <w:vAlign w:val="center"/>
          </w:tcPr>
          <w:p w14:paraId="1DFD1C91"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Consumers’ overall evaluation of a sports footwear brand’s environmental and social sustainability practices, including use of recycled materials, ethical sourcing, carbon reduction, and eco-friendly production.</w:t>
            </w:r>
          </w:p>
        </w:tc>
        <w:tc>
          <w:tcPr>
            <w:tcW w:w="2929" w:type="dxa"/>
            <w:vAlign w:val="center"/>
          </w:tcPr>
          <w:p w14:paraId="123DAC2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“This sports footwear brand is environmentally responsible.” • “This brand actively reduces its environmental impact.” • “This brand uses sustainable materials in its footwear products.” • “I believe this brand is committed to sustainability.”</w:t>
            </w:r>
          </w:p>
        </w:tc>
        <w:tc>
          <w:tcPr>
            <w:tcW w:w="1867" w:type="dxa"/>
            <w:vAlign w:val="center"/>
          </w:tcPr>
          <w:p w14:paraId="63017CC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Sustainable Consumption White et al. (2022); Kumar et al. (2023); Niinimäki et al. (2022)</w:t>
            </w:r>
          </w:p>
        </w:tc>
      </w:tr>
      <w:tr w:rsidR="00E336C2" w14:paraId="0CC1F927" w14:textId="77777777">
        <w:tc>
          <w:tcPr>
            <w:tcW w:w="1714" w:type="dxa"/>
            <w:vAlign w:val="center"/>
          </w:tcPr>
          <w:p w14:paraId="4B7FE707"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b/>
                <w:bCs/>
                <w:sz w:val="24"/>
                <w:szCs w:val="24"/>
              </w:rPr>
              <w:t>Brand Trust</w:t>
            </w:r>
          </w:p>
        </w:tc>
        <w:tc>
          <w:tcPr>
            <w:tcW w:w="2506" w:type="dxa"/>
            <w:vAlign w:val="center"/>
          </w:tcPr>
          <w:p w14:paraId="04CEC21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degree to which consumers believe that a sports footwear brand is honest, reliable, and credible in delivering its sustainability claims and product promises.</w:t>
            </w:r>
          </w:p>
        </w:tc>
        <w:tc>
          <w:tcPr>
            <w:tcW w:w="2929" w:type="dxa"/>
            <w:vAlign w:val="center"/>
          </w:tcPr>
          <w:p w14:paraId="0AF908A9"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“I trust this brand’s sustainability claims.” • “This brand is honest about its environmental practices.” • “This brand delivers what it promises regarding sustainability.” • “I feel confident purchasing products from this brand.”</w:t>
            </w:r>
          </w:p>
        </w:tc>
        <w:tc>
          <w:tcPr>
            <w:tcW w:w="1867" w:type="dxa"/>
            <w:vAlign w:val="center"/>
          </w:tcPr>
          <w:p w14:paraId="0ECDEB21"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Delgado-Ballester (2004); Fatma &amp; Rahman (2022); Chaudhuri &amp; Holbrook (2001)</w:t>
            </w:r>
          </w:p>
        </w:tc>
      </w:tr>
      <w:tr w:rsidR="00E336C2" w14:paraId="33D2044D" w14:textId="77777777">
        <w:tc>
          <w:tcPr>
            <w:tcW w:w="1714" w:type="dxa"/>
            <w:vAlign w:val="center"/>
          </w:tcPr>
          <w:p w14:paraId="08800E6F"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b/>
                <w:bCs/>
                <w:sz w:val="24"/>
                <w:szCs w:val="24"/>
              </w:rPr>
              <w:t>Brand Image</w:t>
            </w:r>
          </w:p>
        </w:tc>
        <w:tc>
          <w:tcPr>
            <w:tcW w:w="2506" w:type="dxa"/>
            <w:vAlign w:val="center"/>
          </w:tcPr>
          <w:p w14:paraId="33B673D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Consumers’ overall perception and mental associations regarding a sports footwear brand’s reputation, values, and </w:t>
            </w:r>
            <w:r>
              <w:rPr>
                <w:rFonts w:ascii="Arial" w:eastAsia="Arial" w:hAnsi="Arial" w:cs="Arial"/>
                <w:sz w:val="24"/>
                <w:szCs w:val="24"/>
              </w:rPr>
              <w:lastRenderedPageBreak/>
              <w:t>environmental responsibility.</w:t>
            </w:r>
          </w:p>
        </w:tc>
        <w:tc>
          <w:tcPr>
            <w:tcW w:w="2929" w:type="dxa"/>
            <w:vAlign w:val="center"/>
          </w:tcPr>
          <w:p w14:paraId="7985FB4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lastRenderedPageBreak/>
              <w:t xml:space="preserve">• “This brand has a positive environmental image.” • “This brand is socially responsible.” • “This brand has a strong reputation for sustainability.” • “I </w:t>
            </w:r>
            <w:r>
              <w:rPr>
                <w:rFonts w:ascii="Arial" w:eastAsia="Arial" w:hAnsi="Arial" w:cs="Arial"/>
                <w:sz w:val="24"/>
                <w:szCs w:val="24"/>
              </w:rPr>
              <w:lastRenderedPageBreak/>
              <w:t>associate this brand with ethical business practices.”</w:t>
            </w:r>
          </w:p>
        </w:tc>
        <w:tc>
          <w:tcPr>
            <w:tcW w:w="1867" w:type="dxa"/>
            <w:vAlign w:val="center"/>
          </w:tcPr>
          <w:p w14:paraId="2406CC2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lastRenderedPageBreak/>
              <w:t>Brand Management Keller (2022); Aaker (1996); Chen (2010)</w:t>
            </w:r>
          </w:p>
        </w:tc>
      </w:tr>
      <w:tr w:rsidR="00E336C2" w14:paraId="5AD294B7" w14:textId="77777777">
        <w:tc>
          <w:tcPr>
            <w:tcW w:w="1714" w:type="dxa"/>
            <w:vAlign w:val="center"/>
          </w:tcPr>
          <w:p w14:paraId="1AFBD08C"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b/>
                <w:bCs/>
                <w:sz w:val="24"/>
                <w:szCs w:val="24"/>
              </w:rPr>
              <w:t>Purchase Intention</w:t>
            </w:r>
          </w:p>
        </w:tc>
        <w:tc>
          <w:tcPr>
            <w:tcW w:w="2506" w:type="dxa"/>
            <w:vAlign w:val="center"/>
          </w:tcPr>
          <w:p w14:paraId="497C44C7"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Consumers’ likelihood or willingness to purchase sports footwear products from a brand based on sustainability perceptions and overall brand evaluation.</w:t>
            </w:r>
          </w:p>
        </w:tc>
        <w:tc>
          <w:tcPr>
            <w:tcW w:w="2929" w:type="dxa"/>
            <w:vAlign w:val="center"/>
          </w:tcPr>
          <w:p w14:paraId="3F676FCB"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“I intend to buy sports footwear products from this brand.” • “I would consider purchasing this brand because of its sustainability efforts.” • “I am likely to choose this brand over competitors.” • “I would recommend this brand to others.”</w:t>
            </w:r>
          </w:p>
        </w:tc>
        <w:tc>
          <w:tcPr>
            <w:tcW w:w="1867" w:type="dxa"/>
            <w:vAlign w:val="center"/>
          </w:tcPr>
          <w:p w14:paraId="7E388EF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Ajzen (2021); Dodds et al. (1991); Spears &amp; Singh (2004)</w:t>
            </w:r>
          </w:p>
        </w:tc>
      </w:tr>
      <w:tr w:rsidR="00E336C2" w14:paraId="4C2369DC" w14:textId="77777777">
        <w:tc>
          <w:tcPr>
            <w:tcW w:w="1714" w:type="dxa"/>
            <w:vAlign w:val="center"/>
          </w:tcPr>
          <w:p w14:paraId="5BA026C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b/>
                <w:bCs/>
                <w:sz w:val="24"/>
                <w:szCs w:val="24"/>
              </w:rPr>
              <w:t>Price Sensitivity</w:t>
            </w:r>
          </w:p>
        </w:tc>
        <w:tc>
          <w:tcPr>
            <w:tcW w:w="2506" w:type="dxa"/>
            <w:vAlign w:val="center"/>
          </w:tcPr>
          <w:p w14:paraId="29FD0C5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 extent to which consumers’ purchasing decisions for sports footwear are influenced by price differences and willingness to pay for sustainable products.</w:t>
            </w:r>
          </w:p>
        </w:tc>
        <w:tc>
          <w:tcPr>
            <w:tcW w:w="2929" w:type="dxa"/>
            <w:vAlign w:val="center"/>
          </w:tcPr>
          <w:p w14:paraId="6BCE5FB5"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“Price strongly influences my sports footwear purchase decisions.” • “I would not pay a higher price for sustainable sports footwear.” • “I compare prices before purchasing sports footwear products.” • “I am sensitive to price increases in sports footwear products.”</w:t>
            </w:r>
          </w:p>
        </w:tc>
        <w:tc>
          <w:tcPr>
            <w:tcW w:w="1867" w:type="dxa"/>
            <w:vAlign w:val="center"/>
          </w:tcPr>
          <w:p w14:paraId="673A8C40"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Lichtenstein et al. (1993); Wakefield &amp; Inman (2003); Konuk (2019)</w:t>
            </w:r>
          </w:p>
        </w:tc>
      </w:tr>
    </w:tbl>
    <w:p w14:paraId="05A10B5F" w14:textId="77777777" w:rsidR="00E336C2" w:rsidRDefault="00E336C2">
      <w:pPr>
        <w:spacing w:before="360" w:after="80" w:line="360" w:lineRule="auto"/>
        <w:jc w:val="both"/>
        <w:rPr>
          <w:rFonts w:ascii="Arial" w:eastAsia="Arial" w:hAnsi="Arial" w:cs="Arial"/>
          <w:sz w:val="24"/>
          <w:szCs w:val="24"/>
        </w:rPr>
      </w:pPr>
    </w:p>
    <w:p w14:paraId="0E3DE4F3" w14:textId="77777777" w:rsidR="00E336C2" w:rsidRDefault="00000000">
      <w:pPr>
        <w:pStyle w:val="Heading2"/>
        <w:rPr>
          <w:b w:val="0"/>
          <w:bCs w:val="0"/>
          <w:i/>
          <w:iCs/>
          <w:color w:val="1F497D"/>
          <w:sz w:val="24"/>
          <w:szCs w:val="24"/>
        </w:rPr>
      </w:pPr>
      <w:bookmarkStart w:id="44" w:name="_x4g38mq6blbw" w:colFirst="0" w:colLast="0"/>
      <w:bookmarkEnd w:id="44"/>
      <w:r>
        <w:lastRenderedPageBreak/>
        <w:t>3.8 Data Analysis Techniques</w:t>
      </w:r>
    </w:p>
    <w:p w14:paraId="778502E9"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In this research, the data was analysed </w:t>
      </w:r>
      <w:proofErr w:type="gramStart"/>
      <w:r>
        <w:rPr>
          <w:rFonts w:ascii="Arial" w:eastAsia="Arial" w:hAnsi="Arial" w:cs="Arial"/>
          <w:sz w:val="24"/>
          <w:szCs w:val="24"/>
        </w:rPr>
        <w:t>by the use of</w:t>
      </w:r>
      <w:proofErr w:type="gramEnd"/>
      <w:r>
        <w:rPr>
          <w:rFonts w:ascii="Arial" w:eastAsia="Arial" w:hAnsi="Arial" w:cs="Arial"/>
          <w:sz w:val="24"/>
          <w:szCs w:val="24"/>
        </w:rPr>
        <w:t xml:space="preserve"> Microsoft Excel and IBM SPSS which are well known data and statistical analysis software used in quantitative research in business and social sciences. The software was selected based on its ability to systematise data, to perform statistical operations and to give insights to test the study hypotheses. The method of analysis was aligned with the positivist paradigm of study and deductive reasoning, and the focus on establishing quantitative relationships between variables at Adidas.</w:t>
      </w:r>
    </w:p>
    <w:p w14:paraId="44CD8D2B" w14:textId="77777777" w:rsidR="00E336C2" w:rsidRDefault="00000000">
      <w:pPr>
        <w:pStyle w:val="Heading3"/>
        <w:keepNext w:val="0"/>
        <w:keepLines w:val="0"/>
        <w:spacing w:before="280" w:line="360" w:lineRule="auto"/>
        <w:jc w:val="both"/>
        <w:rPr>
          <w:sz w:val="26"/>
          <w:szCs w:val="26"/>
        </w:rPr>
      </w:pPr>
      <w:bookmarkStart w:id="45" w:name="_2vaptfz27aae" w:colFirst="0" w:colLast="0"/>
      <w:bookmarkEnd w:id="45"/>
      <w:r>
        <w:rPr>
          <w:sz w:val="26"/>
          <w:szCs w:val="26"/>
        </w:rPr>
        <w:t>3.8.1 Analytical Model</w:t>
      </w:r>
    </w:p>
    <w:p w14:paraId="1CAD937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study examines the effect of sustainability perception on consumer purchase intention. Sustainability perception serves as the independent variable, while purchase intention is treated as the dependent variable. Brand trust and brand image function as mediating variables, explaining the mechanism through which sustainability perception influences purchasing behaviour.</w:t>
      </w:r>
    </w:p>
    <w:p w14:paraId="49FE5AA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regression model can be expressed as follows:</w:t>
      </w:r>
    </w:p>
    <w:p w14:paraId="3DE965A8"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Purchase Intention = β0 + β1(Sustainability Perception) + β2(Brand Trust) + β3(Brand Image) + ε</w:t>
      </w:r>
    </w:p>
    <w:p w14:paraId="3DEDAA7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Where:</w:t>
      </w:r>
    </w:p>
    <w:p w14:paraId="61B12ED5" w14:textId="77777777" w:rsidR="00E336C2" w:rsidRDefault="00000000">
      <w:pPr>
        <w:numPr>
          <w:ilvl w:val="0"/>
          <w:numId w:val="1"/>
        </w:numPr>
        <w:spacing w:before="240" w:after="0" w:line="360" w:lineRule="auto"/>
        <w:rPr>
          <w:rFonts w:ascii="Arial" w:eastAsia="Arial" w:hAnsi="Arial" w:cs="Arial"/>
          <w:sz w:val="24"/>
          <w:szCs w:val="24"/>
        </w:rPr>
      </w:pPr>
      <w:r>
        <w:rPr>
          <w:rFonts w:ascii="Arial" w:eastAsia="Arial" w:hAnsi="Arial" w:cs="Arial"/>
          <w:sz w:val="24"/>
          <w:szCs w:val="24"/>
        </w:rPr>
        <w:t>β0 = Constant</w:t>
      </w:r>
    </w:p>
    <w:p w14:paraId="655E8388" w14:textId="77777777" w:rsidR="00E336C2" w:rsidRDefault="00000000">
      <w:pPr>
        <w:numPr>
          <w:ilvl w:val="0"/>
          <w:numId w:val="1"/>
        </w:numPr>
        <w:spacing w:after="0" w:line="360" w:lineRule="auto"/>
        <w:rPr>
          <w:rFonts w:ascii="Arial" w:eastAsia="Arial" w:hAnsi="Arial" w:cs="Arial"/>
          <w:sz w:val="24"/>
          <w:szCs w:val="24"/>
        </w:rPr>
      </w:pPr>
      <w:r>
        <w:rPr>
          <w:rFonts w:ascii="Arial" w:eastAsia="Arial" w:hAnsi="Arial" w:cs="Arial"/>
          <w:sz w:val="24"/>
          <w:szCs w:val="24"/>
        </w:rPr>
        <w:t>β1–β3 = Regression coefficients</w:t>
      </w:r>
    </w:p>
    <w:p w14:paraId="75E8F6A8" w14:textId="77777777" w:rsidR="00E336C2" w:rsidRDefault="00000000">
      <w:pPr>
        <w:numPr>
          <w:ilvl w:val="0"/>
          <w:numId w:val="1"/>
        </w:numPr>
        <w:spacing w:after="240" w:line="360" w:lineRule="auto"/>
        <w:rPr>
          <w:rFonts w:ascii="Arial" w:eastAsia="Arial" w:hAnsi="Arial" w:cs="Arial"/>
          <w:sz w:val="24"/>
          <w:szCs w:val="24"/>
        </w:rPr>
      </w:pPr>
      <w:r>
        <w:rPr>
          <w:rFonts w:ascii="Arial" w:eastAsia="Arial" w:hAnsi="Arial" w:cs="Arial"/>
          <w:sz w:val="24"/>
          <w:szCs w:val="24"/>
        </w:rPr>
        <w:t>ε = Error term</w:t>
      </w:r>
    </w:p>
    <w:p w14:paraId="054B8DB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model enables the examination of both direct and indirect effects of sustainability perception on consumer purchase intention.</w:t>
      </w:r>
    </w:p>
    <w:p w14:paraId="3E882A34" w14:textId="77777777" w:rsidR="00E336C2" w:rsidRDefault="00000000">
      <w:pPr>
        <w:pStyle w:val="Heading3"/>
        <w:keepNext w:val="0"/>
        <w:keepLines w:val="0"/>
        <w:spacing w:before="280" w:line="360" w:lineRule="auto"/>
        <w:jc w:val="both"/>
        <w:rPr>
          <w:sz w:val="26"/>
          <w:szCs w:val="26"/>
        </w:rPr>
      </w:pPr>
      <w:bookmarkStart w:id="46" w:name="_n6tazpqxqqu2" w:colFirst="0" w:colLast="0"/>
      <w:bookmarkEnd w:id="46"/>
      <w:r>
        <w:rPr>
          <w:sz w:val="26"/>
          <w:szCs w:val="26"/>
        </w:rPr>
        <w:t>3.8.1 Research Hypotheses</w:t>
      </w:r>
    </w:p>
    <w:p w14:paraId="08C7D16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Based on the literature review and conceptual framework, the following hypotheses were developed to examine the relationships between sustainability perception, brand trust, brand image, and purchase intention:</w:t>
      </w:r>
    </w:p>
    <w:p w14:paraId="74B82A7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lastRenderedPageBreak/>
        <w:t>H1:</w:t>
      </w:r>
      <w:r>
        <w:rPr>
          <w:rFonts w:ascii="Arial" w:eastAsia="Arial" w:hAnsi="Arial" w:cs="Arial"/>
          <w:sz w:val="24"/>
          <w:szCs w:val="24"/>
        </w:rPr>
        <w:t xml:space="preserve"> Sustainability perception positively affects brand trust.</w:t>
      </w:r>
    </w:p>
    <w:p w14:paraId="5841E1DC"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H2:</w:t>
      </w:r>
      <w:r>
        <w:rPr>
          <w:rFonts w:ascii="Arial" w:eastAsia="Arial" w:hAnsi="Arial" w:cs="Arial"/>
          <w:sz w:val="24"/>
          <w:szCs w:val="24"/>
        </w:rPr>
        <w:t xml:space="preserve"> Sustainability perception positively affects brand image.</w:t>
      </w:r>
    </w:p>
    <w:p w14:paraId="72828B7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H3:</w:t>
      </w:r>
      <w:r>
        <w:rPr>
          <w:rFonts w:ascii="Arial" w:eastAsia="Arial" w:hAnsi="Arial" w:cs="Arial"/>
          <w:sz w:val="24"/>
          <w:szCs w:val="24"/>
        </w:rPr>
        <w:t xml:space="preserve"> Sustainability perception positively affects purchase intention.</w:t>
      </w:r>
    </w:p>
    <w:p w14:paraId="152D2634"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H4:</w:t>
      </w:r>
      <w:r>
        <w:rPr>
          <w:rFonts w:ascii="Arial" w:eastAsia="Arial" w:hAnsi="Arial" w:cs="Arial"/>
          <w:sz w:val="24"/>
          <w:szCs w:val="24"/>
        </w:rPr>
        <w:t xml:space="preserve"> Brand trust positively affects purchase intention.</w:t>
      </w:r>
    </w:p>
    <w:p w14:paraId="001F67F2"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H5:</w:t>
      </w:r>
      <w:r>
        <w:rPr>
          <w:rFonts w:ascii="Arial" w:eastAsia="Arial" w:hAnsi="Arial" w:cs="Arial"/>
          <w:sz w:val="24"/>
          <w:szCs w:val="24"/>
        </w:rPr>
        <w:t xml:space="preserve"> Brand image positively affects purchase intention.</w:t>
      </w:r>
    </w:p>
    <w:p w14:paraId="4FE3543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H6:</w:t>
      </w:r>
      <w:r>
        <w:rPr>
          <w:rFonts w:ascii="Arial" w:eastAsia="Arial" w:hAnsi="Arial" w:cs="Arial"/>
          <w:sz w:val="24"/>
          <w:szCs w:val="24"/>
        </w:rPr>
        <w:t xml:space="preserve"> Brand trust mediates the relationship between sustainability perception and purchase intention.</w:t>
      </w:r>
    </w:p>
    <w:p w14:paraId="5F23207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H7:</w:t>
      </w:r>
      <w:r>
        <w:rPr>
          <w:rFonts w:ascii="Arial" w:eastAsia="Arial" w:hAnsi="Arial" w:cs="Arial"/>
          <w:sz w:val="24"/>
          <w:szCs w:val="24"/>
        </w:rPr>
        <w:t xml:space="preserve"> Brand image mediates the relationship between sustainability perception and purchase intention.</w:t>
      </w:r>
    </w:p>
    <w:p w14:paraId="61A0827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These hypotheses were derived from the Theory of Planned Behaviour, Stakeholder Theory, and Green Marketing Theory, which collectively suggest that sustainability initiatives influence consumer attitudes, trust, brand evaluations, and behavioural intentions (Ajzen, 2021; Freeman et al., 2021; Peattie and Crane, 2021).</w:t>
      </w:r>
    </w:p>
    <w:p w14:paraId="65B8F866" w14:textId="77777777" w:rsidR="00E336C2" w:rsidRDefault="00000000">
      <w:pPr>
        <w:pStyle w:val="Heading2"/>
      </w:pPr>
      <w:bookmarkStart w:id="47" w:name="_90y4hvlmtjtt" w:colFirst="0" w:colLast="0"/>
      <w:bookmarkEnd w:id="47"/>
      <w:r>
        <w:t>3.09 Reliability and Validity</w:t>
      </w:r>
    </w:p>
    <w:p w14:paraId="041E489C"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Reliability</w:t>
      </w:r>
    </w:p>
    <w:p w14:paraId="18D43D3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Reliability is the measurement instrument's stability over time. In this research, reliability was measured via the Cronbach’s alpha coefficient, which is a measure of internal consistency of multiple items in a survey. A Cronbach’s alpha coefficient of 0.7 and above is usually acceptable, suggesting the items in each construct do consistently measure a single construct (Saunders et al., 2023). This means that the variables such as perception of sustainability, trust and purchase intention give consistent results when applied to the respondents in the case of Adidas.</w:t>
      </w:r>
    </w:p>
    <w:p w14:paraId="213C8DAB" w14:textId="77777777" w:rsidR="00E336C2" w:rsidRDefault="00000000">
      <w:pPr>
        <w:spacing w:before="360" w:after="80" w:line="360" w:lineRule="auto"/>
        <w:jc w:val="both"/>
        <w:rPr>
          <w:rFonts w:ascii="Arial" w:eastAsia="Arial" w:hAnsi="Arial" w:cs="Arial"/>
          <w:b/>
          <w:bCs/>
          <w:sz w:val="24"/>
          <w:szCs w:val="24"/>
        </w:rPr>
      </w:pPr>
      <w:r>
        <w:rPr>
          <w:rFonts w:ascii="Arial" w:eastAsia="Arial" w:hAnsi="Arial" w:cs="Arial"/>
          <w:b/>
          <w:bCs/>
          <w:sz w:val="24"/>
          <w:szCs w:val="24"/>
        </w:rPr>
        <w:t>Validity</w:t>
      </w:r>
    </w:p>
    <w:p w14:paraId="2B139F2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Validity is a measure of how well the research instrument measures what it is supposed to measure. This research involved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forms of validity. Content validity was achieved through the construction of questionnaire items by reviewing the </w:t>
      </w:r>
      <w:r>
        <w:rPr>
          <w:rFonts w:ascii="Arial" w:eastAsia="Arial" w:hAnsi="Arial" w:cs="Arial"/>
          <w:sz w:val="24"/>
          <w:szCs w:val="24"/>
        </w:rPr>
        <w:lastRenderedPageBreak/>
        <w:t>existing literature to ensure all relevant concepts were covered. We ensured construct validity by using established scales from earlier studies in the areas of sustainability and consumer behaviour.</w:t>
      </w:r>
    </w:p>
    <w:p w14:paraId="2ACE7B2F"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Further, a pilot study with a small sample of consumers was carried out to detect any confusion and enhance clarity. The pilot study provided insights for improving clarity and precision in the questionnaire.</w:t>
      </w:r>
    </w:p>
    <w:p w14:paraId="4E587AE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These processes help ensure the research tool used is both reliable and valid, enhancing the validity and rigour of the results.</w:t>
      </w:r>
    </w:p>
    <w:p w14:paraId="336F34E0" w14:textId="77777777" w:rsidR="00E336C2" w:rsidRDefault="00000000">
      <w:pPr>
        <w:pStyle w:val="Heading2"/>
      </w:pPr>
      <w:bookmarkStart w:id="48" w:name="_smvtwyqod1on" w:colFirst="0" w:colLast="0"/>
      <w:bookmarkEnd w:id="48"/>
      <w:r>
        <w:t>3.10 Ethical Considerations</w:t>
      </w:r>
    </w:p>
    <w:p w14:paraId="4C4C4A1E"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This study is guided by an ethical guideline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make sure that research is conducted in a responsible manner, according to the rules of the university and other academics. Ethics are of particular importance when it comes to primary data collection, in which human research participants are involved, as is the case with exploring the attitude of consumers towards sustainability in Adidas.</w:t>
      </w:r>
    </w:p>
    <w:p w14:paraId="25C44B7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Firstly, all respondents were given informed consent before participating in the study. Participants were made aware of the purpose of the study, the type of questions that were being asked and they were given the opportunity to withdraw themselves out of the study anytime. Participation was not compulsory and no one was coerced to participate.</w:t>
      </w:r>
    </w:p>
    <w:p w14:paraId="768F397D"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Secondly, we made sure that the research was anonymous and confidential. No personal information was </w:t>
      </w:r>
      <w:proofErr w:type="gramStart"/>
      <w:r>
        <w:rPr>
          <w:rFonts w:ascii="Arial" w:eastAsia="Arial" w:hAnsi="Arial" w:cs="Arial"/>
          <w:sz w:val="24"/>
          <w:szCs w:val="24"/>
        </w:rPr>
        <w:t>sought</w:t>
      </w:r>
      <w:proofErr w:type="gramEnd"/>
      <w:r>
        <w:rPr>
          <w:rFonts w:ascii="Arial" w:eastAsia="Arial" w:hAnsi="Arial" w:cs="Arial"/>
          <w:sz w:val="24"/>
          <w:szCs w:val="24"/>
        </w:rPr>
        <w:t xml:space="preserve"> and the responses were stored in such a way that could not help in identifying individuals. This will ensure the anonymity of participants.</w:t>
      </w:r>
    </w:p>
    <w:p w14:paraId="6F9D71E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Third, all data were safely stored in line with the principles of the General Data Protection Regulation (GDPR), which implies that data will be used only in academic purposes and will be protected against unauthorised access.</w:t>
      </w:r>
    </w:p>
    <w:p w14:paraId="0626E683"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Finally, ethical approval was obtained prior to the data collection, to make sure that the study did not violate the ethical policies of the institution. Collectively, these actions </w:t>
      </w:r>
      <w:r>
        <w:rPr>
          <w:rFonts w:ascii="Arial" w:eastAsia="Arial" w:hAnsi="Arial" w:cs="Arial"/>
          <w:sz w:val="24"/>
          <w:szCs w:val="24"/>
        </w:rPr>
        <w:lastRenderedPageBreak/>
        <w:t>will make sure that the study is carried out in an ethical, transparent and respectful way.</w:t>
      </w:r>
    </w:p>
    <w:p w14:paraId="1D65E95D" w14:textId="77777777" w:rsidR="00E336C2" w:rsidRDefault="00000000">
      <w:pPr>
        <w:pStyle w:val="Heading2"/>
      </w:pPr>
      <w:bookmarkStart w:id="49" w:name="_i2q3am4ysd6o" w:colFirst="0" w:colLast="0"/>
      <w:bookmarkEnd w:id="49"/>
      <w:r>
        <w:t>3.11 Limitations</w:t>
      </w:r>
    </w:p>
    <w:p w14:paraId="69B649FB"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There are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limitations to this study that can affect the interpretation and generalisation of the results. To begin with, the small sample size (50-100) restricts the extent to which the findings can be generalised to the larger sportswear consumer market. This is a large enough sample to perform some basic statistical </w:t>
      </w:r>
      <w:proofErr w:type="gramStart"/>
      <w:r>
        <w:rPr>
          <w:rFonts w:ascii="Arial" w:eastAsia="Arial" w:hAnsi="Arial" w:cs="Arial"/>
          <w:sz w:val="24"/>
          <w:szCs w:val="24"/>
        </w:rPr>
        <w:t>analyses</w:t>
      </w:r>
      <w:proofErr w:type="gramEnd"/>
      <w:r>
        <w:rPr>
          <w:rFonts w:ascii="Arial" w:eastAsia="Arial" w:hAnsi="Arial" w:cs="Arial"/>
          <w:sz w:val="24"/>
          <w:szCs w:val="24"/>
        </w:rPr>
        <w:t xml:space="preserve"> but a larger sample would improve the external validity.</w:t>
      </w:r>
    </w:p>
    <w:p w14:paraId="1141210A"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Second, convenience sampling can result in selection bias, or a sample is not chosen randomly, but according to convenience. This impacts the representativeness and generalisability of the sample to all consumers of Adidas and sportswear consumers generally.</w:t>
      </w:r>
    </w:p>
    <w:p w14:paraId="0A9D43F8"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Thirdly, response bias, such as social desirability bias where respondents give answers they think are more socially desirable, than their actual perceptions or behaviours, can occur in using self-reported data collected.</w:t>
      </w:r>
    </w:p>
    <w:p w14:paraId="4E45319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 xml:space="preserve">Moreover, the cross-sectional study design involves data collection at one point in </w:t>
      </w:r>
      <w:proofErr w:type="gramStart"/>
      <w:r>
        <w:rPr>
          <w:rFonts w:ascii="Arial" w:eastAsia="Arial" w:hAnsi="Arial" w:cs="Arial"/>
          <w:sz w:val="24"/>
          <w:szCs w:val="24"/>
        </w:rPr>
        <w:t>time, and</w:t>
      </w:r>
      <w:proofErr w:type="gramEnd"/>
      <w:r>
        <w:rPr>
          <w:rFonts w:ascii="Arial" w:eastAsia="Arial" w:hAnsi="Arial" w:cs="Arial"/>
          <w:sz w:val="24"/>
          <w:szCs w:val="24"/>
        </w:rPr>
        <w:t xml:space="preserve"> therefore is limited in its ability to track changes in consumer perceptions or behaviours. This precludes the determination of causal links.</w:t>
      </w:r>
    </w:p>
    <w:p w14:paraId="4F8B9BE2" w14:textId="77777777" w:rsidR="00E336C2" w:rsidRDefault="00000000">
      <w:pPr>
        <w:spacing w:before="360" w:after="80" w:line="360" w:lineRule="auto"/>
        <w:jc w:val="both"/>
        <w:rPr>
          <w:rFonts w:ascii="Arial" w:eastAsia="Arial" w:hAnsi="Arial" w:cs="Arial"/>
          <w:sz w:val="24"/>
          <w:szCs w:val="24"/>
        </w:rPr>
      </w:pPr>
      <w:r>
        <w:rPr>
          <w:rFonts w:ascii="Arial" w:eastAsia="Arial" w:hAnsi="Arial" w:cs="Arial"/>
          <w:sz w:val="24"/>
          <w:szCs w:val="24"/>
        </w:rPr>
        <w:t>However, this study does offer important insights into the perception of sustainability initiatives. These limitations are recognised in the interpretation of research findings and used to inform directions for future research.</w:t>
      </w:r>
    </w:p>
    <w:p w14:paraId="39E811E1" w14:textId="77777777" w:rsidR="00E336C2" w:rsidRDefault="00E336C2">
      <w:pPr>
        <w:spacing w:before="360" w:after="80" w:line="360" w:lineRule="auto"/>
        <w:jc w:val="both"/>
        <w:rPr>
          <w:rFonts w:ascii="Arial" w:eastAsia="Arial" w:hAnsi="Arial" w:cs="Arial"/>
          <w:sz w:val="24"/>
          <w:szCs w:val="24"/>
        </w:rPr>
      </w:pPr>
    </w:p>
    <w:p w14:paraId="1702CA58" w14:textId="77777777" w:rsidR="00E336C2" w:rsidRDefault="00E336C2">
      <w:pPr>
        <w:spacing w:before="360" w:after="80" w:line="360" w:lineRule="auto"/>
        <w:jc w:val="both"/>
        <w:rPr>
          <w:rFonts w:ascii="Arial" w:eastAsia="Arial" w:hAnsi="Arial" w:cs="Arial"/>
          <w:sz w:val="24"/>
          <w:szCs w:val="24"/>
        </w:rPr>
      </w:pPr>
    </w:p>
    <w:p w14:paraId="61195122" w14:textId="77777777" w:rsidR="00E336C2" w:rsidRDefault="00E336C2">
      <w:pPr>
        <w:spacing w:before="360" w:after="80" w:line="360" w:lineRule="auto"/>
        <w:jc w:val="both"/>
        <w:rPr>
          <w:rFonts w:ascii="Arial" w:eastAsia="Arial" w:hAnsi="Arial" w:cs="Arial"/>
          <w:sz w:val="24"/>
          <w:szCs w:val="24"/>
        </w:rPr>
      </w:pPr>
    </w:p>
    <w:p w14:paraId="203AC053" w14:textId="729B40FB" w:rsidR="00E336C2" w:rsidRDefault="00000000" w:rsidP="003E3497">
      <w:pPr>
        <w:pStyle w:val="Heading1"/>
        <w:jc w:val="center"/>
      </w:pPr>
      <w:bookmarkStart w:id="50" w:name="_oqzzb4ozpbyb"/>
      <w:bookmarkEnd w:id="50"/>
      <w:r>
        <w:lastRenderedPageBreak/>
        <w:t>Chapter 4: FINDINGS AND ANALYSIS</w:t>
      </w:r>
    </w:p>
    <w:p w14:paraId="08F0EB6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This chapter showcases the empirical evidence of the research where data was gathered from consumers on their perceptions of sustainability and how it affects their buying behaviour in the sportswear market, particularly Adidas. The analysis is in accordance with the stated research goals and seeks to explore the connections between sustainability practices, trust, brand image and purchase intention as per the consumer behaviour theories.</w:t>
      </w:r>
    </w:p>
    <w:p w14:paraId="1D845BB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responses to the structured questionnaire were analysed using Microsoft Excel and IBM SPSS software, which are commonly used for quantitative data analysis in business research because of their capabilities in performing statistical analysis (Hair et al., 2022). Descriptive statistics were utilised to describe demographic characteristics of respondents and main variables, and inferential statistics including correlation and regression analysis were employed to examine the relationships between variables and assess the strength of relationships between constructs.</w:t>
      </w:r>
    </w:p>
    <w:p w14:paraId="79BF27E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results are systematically presented, starting with demographic analysis, then descriptive statistics of main variables, and finally inferential statistics analysis. The data is presented in tables and figures to aid in clarity, understanding, and to allow the presentation of quantitative data in a more appropriate format. This is in line with best practice in quantitative research, which prioritises precision, organisation and statistical accuracy (Saunders et al., 2023).</w:t>
      </w:r>
    </w:p>
    <w:p w14:paraId="356B0AD5" w14:textId="77777777" w:rsidR="00E336C2" w:rsidRDefault="00000000">
      <w:pPr>
        <w:spacing w:line="360" w:lineRule="auto"/>
        <w:jc w:val="both"/>
        <w:rPr>
          <w:sz w:val="24"/>
          <w:szCs w:val="24"/>
        </w:rPr>
      </w:pPr>
      <w:r>
        <w:rPr>
          <w:rFonts w:ascii="Arial" w:eastAsia="Arial" w:hAnsi="Arial" w:cs="Arial"/>
          <w:sz w:val="24"/>
          <w:szCs w:val="24"/>
        </w:rPr>
        <w:t>Finally, the findings are discussed in the context of the academic literature and theories, such as the Theory of Planned Behaviour and studies on sustainability and consumer behaviour, in Chapter 5</w:t>
      </w:r>
      <w:r>
        <w:rPr>
          <w:sz w:val="24"/>
          <w:szCs w:val="24"/>
        </w:rPr>
        <w:t>.</w:t>
      </w:r>
    </w:p>
    <w:p w14:paraId="668B6A83" w14:textId="77777777" w:rsidR="00E336C2" w:rsidRDefault="00000000">
      <w:pPr>
        <w:pStyle w:val="Heading2"/>
      </w:pPr>
      <w:bookmarkStart w:id="51" w:name="_tzsrstm1kugj" w:colFirst="0" w:colLast="0"/>
      <w:bookmarkEnd w:id="51"/>
      <w:r>
        <w:t>4.1 Demographic Profile of Respondents (Appendix C)</w:t>
      </w:r>
    </w:p>
    <w:p w14:paraId="0D821B54" w14:textId="77777777" w:rsidR="00E336C2" w:rsidRDefault="00000000">
      <w:pPr>
        <w:keepNext/>
        <w:pBdr>
          <w:top w:val="nil"/>
          <w:left w:val="nil"/>
          <w:bottom w:val="nil"/>
          <w:right w:val="nil"/>
          <w:between w:val="nil"/>
        </w:pBdr>
        <w:spacing w:after="200" w:line="240" w:lineRule="auto"/>
        <w:rPr>
          <w:rFonts w:ascii="Times New Roman" w:eastAsia="Times New Roman" w:hAnsi="Times New Roman" w:cs="Times New Roman"/>
          <w:sz w:val="24"/>
          <w:szCs w:val="24"/>
        </w:rPr>
      </w:pPr>
      <w:bookmarkStart w:id="52" w:name="_vxavtdpcbgn7" w:colFirst="0" w:colLast="0"/>
      <w:bookmarkEnd w:id="52"/>
      <w:r>
        <w:rPr>
          <w:rFonts w:ascii="Arial" w:eastAsia="Arial" w:hAnsi="Arial" w:cs="Arial"/>
          <w:i/>
          <w:iCs/>
          <w:color w:val="1F497D"/>
          <w:sz w:val="24"/>
          <w:szCs w:val="24"/>
        </w:rPr>
        <w:t xml:space="preserve">Table 2: Demographic Summary </w:t>
      </w:r>
    </w:p>
    <w:p w14:paraId="535F2308" w14:textId="77777777" w:rsidR="00E336C2" w:rsidRDefault="00000000">
      <w:pPr>
        <w:pStyle w:val="Heading3"/>
        <w:keepNext w:val="0"/>
        <w:keepLines w:val="0"/>
        <w:spacing w:before="280" w:line="360" w:lineRule="auto"/>
        <w:jc w:val="both"/>
        <w:rPr>
          <w:sz w:val="26"/>
          <w:szCs w:val="26"/>
        </w:rPr>
      </w:pPr>
      <w:bookmarkStart w:id="53" w:name="_89698p14p1ls" w:colFirst="0" w:colLast="0"/>
      <w:bookmarkEnd w:id="53"/>
      <w:r>
        <w:rPr>
          <w:sz w:val="26"/>
          <w:szCs w:val="26"/>
        </w:rPr>
        <w:t>Table 4.2: Reliability Analysis (Cronbach's Alpha)</w:t>
      </w:r>
    </w:p>
    <w:tbl>
      <w:tblPr>
        <w:tblStyle w:val="a1"/>
        <w:tblW w:w="8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30"/>
        <w:gridCol w:w="1970"/>
        <w:gridCol w:w="2090"/>
        <w:gridCol w:w="1685"/>
      </w:tblGrid>
      <w:tr w:rsidR="00E336C2" w14:paraId="42EBA5B1" w14:textId="77777777">
        <w:trPr>
          <w:trHeight w:val="500"/>
        </w:trPr>
        <w:tc>
          <w:tcPr>
            <w:tcW w:w="2630" w:type="dxa"/>
            <w:tcBorders>
              <w:top w:val="nil"/>
              <w:left w:val="nil"/>
              <w:bottom w:val="nil"/>
              <w:right w:val="nil"/>
            </w:tcBorders>
            <w:tcMar>
              <w:top w:w="100" w:type="dxa"/>
              <w:left w:w="100" w:type="dxa"/>
              <w:bottom w:w="100" w:type="dxa"/>
              <w:right w:w="100" w:type="dxa"/>
            </w:tcMar>
          </w:tcPr>
          <w:p w14:paraId="03CFC89F"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Construct</w:t>
            </w:r>
          </w:p>
        </w:tc>
        <w:tc>
          <w:tcPr>
            <w:tcW w:w="1970" w:type="dxa"/>
            <w:tcBorders>
              <w:top w:val="nil"/>
              <w:left w:val="nil"/>
              <w:bottom w:val="nil"/>
              <w:right w:val="nil"/>
            </w:tcBorders>
            <w:tcMar>
              <w:top w:w="100" w:type="dxa"/>
              <w:left w:w="100" w:type="dxa"/>
              <w:bottom w:w="100" w:type="dxa"/>
              <w:right w:w="100" w:type="dxa"/>
            </w:tcMar>
          </w:tcPr>
          <w:p w14:paraId="55501FA7"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Number of Items</w:t>
            </w:r>
          </w:p>
        </w:tc>
        <w:tc>
          <w:tcPr>
            <w:tcW w:w="2090" w:type="dxa"/>
            <w:tcBorders>
              <w:top w:val="nil"/>
              <w:left w:val="nil"/>
              <w:bottom w:val="nil"/>
              <w:right w:val="nil"/>
            </w:tcBorders>
            <w:tcMar>
              <w:top w:w="100" w:type="dxa"/>
              <w:left w:w="100" w:type="dxa"/>
              <w:bottom w:w="100" w:type="dxa"/>
              <w:right w:w="100" w:type="dxa"/>
            </w:tcMar>
          </w:tcPr>
          <w:p w14:paraId="7DDB23BA"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Cronbach's Alpha</w:t>
            </w:r>
          </w:p>
        </w:tc>
        <w:tc>
          <w:tcPr>
            <w:tcW w:w="1685" w:type="dxa"/>
            <w:tcBorders>
              <w:top w:val="nil"/>
              <w:left w:val="nil"/>
              <w:bottom w:val="nil"/>
              <w:right w:val="nil"/>
            </w:tcBorders>
            <w:tcMar>
              <w:top w:w="100" w:type="dxa"/>
              <w:left w:w="100" w:type="dxa"/>
              <w:bottom w:w="100" w:type="dxa"/>
              <w:right w:w="100" w:type="dxa"/>
            </w:tcMar>
          </w:tcPr>
          <w:p w14:paraId="5AF6A382"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Interpretation</w:t>
            </w:r>
          </w:p>
        </w:tc>
      </w:tr>
      <w:tr w:rsidR="00E336C2" w14:paraId="097A3E7E" w14:textId="77777777">
        <w:trPr>
          <w:trHeight w:val="500"/>
        </w:trPr>
        <w:tc>
          <w:tcPr>
            <w:tcW w:w="2630" w:type="dxa"/>
            <w:tcBorders>
              <w:top w:val="nil"/>
              <w:left w:val="nil"/>
              <w:bottom w:val="nil"/>
              <w:right w:val="nil"/>
            </w:tcBorders>
            <w:tcMar>
              <w:top w:w="100" w:type="dxa"/>
              <w:left w:w="100" w:type="dxa"/>
              <w:bottom w:w="100" w:type="dxa"/>
              <w:right w:w="100" w:type="dxa"/>
            </w:tcMar>
          </w:tcPr>
          <w:p w14:paraId="65404D9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Sustainability Perception</w:t>
            </w:r>
          </w:p>
        </w:tc>
        <w:tc>
          <w:tcPr>
            <w:tcW w:w="1970" w:type="dxa"/>
            <w:tcBorders>
              <w:top w:val="nil"/>
              <w:left w:val="nil"/>
              <w:bottom w:val="nil"/>
              <w:right w:val="nil"/>
            </w:tcBorders>
            <w:tcMar>
              <w:top w:w="100" w:type="dxa"/>
              <w:left w:w="100" w:type="dxa"/>
              <w:bottom w:w="100" w:type="dxa"/>
              <w:right w:w="100" w:type="dxa"/>
            </w:tcMar>
          </w:tcPr>
          <w:p w14:paraId="6EEE89D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090" w:type="dxa"/>
            <w:tcBorders>
              <w:top w:val="nil"/>
              <w:left w:val="nil"/>
              <w:bottom w:val="nil"/>
              <w:right w:val="nil"/>
            </w:tcBorders>
            <w:tcMar>
              <w:top w:w="100" w:type="dxa"/>
              <w:left w:w="100" w:type="dxa"/>
              <w:bottom w:w="100" w:type="dxa"/>
              <w:right w:w="100" w:type="dxa"/>
            </w:tcMar>
          </w:tcPr>
          <w:p w14:paraId="502A6547"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0.842</w:t>
            </w:r>
          </w:p>
        </w:tc>
        <w:tc>
          <w:tcPr>
            <w:tcW w:w="1685" w:type="dxa"/>
            <w:tcBorders>
              <w:top w:val="nil"/>
              <w:left w:val="nil"/>
              <w:bottom w:val="nil"/>
              <w:right w:val="nil"/>
            </w:tcBorders>
            <w:tcMar>
              <w:top w:w="100" w:type="dxa"/>
              <w:left w:w="100" w:type="dxa"/>
              <w:bottom w:w="100" w:type="dxa"/>
              <w:right w:w="100" w:type="dxa"/>
            </w:tcMar>
          </w:tcPr>
          <w:p w14:paraId="057C37E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Good</w:t>
            </w:r>
          </w:p>
        </w:tc>
      </w:tr>
      <w:tr w:rsidR="00E336C2" w14:paraId="0B0E4939" w14:textId="77777777">
        <w:trPr>
          <w:trHeight w:val="500"/>
        </w:trPr>
        <w:tc>
          <w:tcPr>
            <w:tcW w:w="2630" w:type="dxa"/>
            <w:tcBorders>
              <w:top w:val="nil"/>
              <w:left w:val="nil"/>
              <w:bottom w:val="nil"/>
              <w:right w:val="nil"/>
            </w:tcBorders>
            <w:tcMar>
              <w:top w:w="100" w:type="dxa"/>
              <w:left w:w="100" w:type="dxa"/>
              <w:bottom w:w="100" w:type="dxa"/>
              <w:right w:w="100" w:type="dxa"/>
            </w:tcMar>
          </w:tcPr>
          <w:p w14:paraId="31BC0E8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Trust</w:t>
            </w:r>
          </w:p>
        </w:tc>
        <w:tc>
          <w:tcPr>
            <w:tcW w:w="1970" w:type="dxa"/>
            <w:tcBorders>
              <w:top w:val="nil"/>
              <w:left w:val="nil"/>
              <w:bottom w:val="nil"/>
              <w:right w:val="nil"/>
            </w:tcBorders>
            <w:tcMar>
              <w:top w:w="100" w:type="dxa"/>
              <w:left w:w="100" w:type="dxa"/>
              <w:bottom w:w="100" w:type="dxa"/>
              <w:right w:w="100" w:type="dxa"/>
            </w:tcMar>
          </w:tcPr>
          <w:p w14:paraId="16858DE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090" w:type="dxa"/>
            <w:tcBorders>
              <w:top w:val="nil"/>
              <w:left w:val="nil"/>
              <w:bottom w:val="nil"/>
              <w:right w:val="nil"/>
            </w:tcBorders>
            <w:tcMar>
              <w:top w:w="100" w:type="dxa"/>
              <w:left w:w="100" w:type="dxa"/>
              <w:bottom w:w="100" w:type="dxa"/>
              <w:right w:w="100" w:type="dxa"/>
            </w:tcMar>
          </w:tcPr>
          <w:p w14:paraId="1CA1E0B7"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0.816</w:t>
            </w:r>
          </w:p>
        </w:tc>
        <w:tc>
          <w:tcPr>
            <w:tcW w:w="1685" w:type="dxa"/>
            <w:tcBorders>
              <w:top w:val="nil"/>
              <w:left w:val="nil"/>
              <w:bottom w:val="nil"/>
              <w:right w:val="nil"/>
            </w:tcBorders>
            <w:tcMar>
              <w:top w:w="100" w:type="dxa"/>
              <w:left w:w="100" w:type="dxa"/>
              <w:bottom w:w="100" w:type="dxa"/>
              <w:right w:w="100" w:type="dxa"/>
            </w:tcMar>
          </w:tcPr>
          <w:p w14:paraId="0936816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Good</w:t>
            </w:r>
          </w:p>
        </w:tc>
      </w:tr>
      <w:tr w:rsidR="00E336C2" w14:paraId="32EFDA1C" w14:textId="77777777">
        <w:trPr>
          <w:trHeight w:val="500"/>
        </w:trPr>
        <w:tc>
          <w:tcPr>
            <w:tcW w:w="2630" w:type="dxa"/>
            <w:tcBorders>
              <w:top w:val="nil"/>
              <w:left w:val="nil"/>
              <w:bottom w:val="nil"/>
              <w:right w:val="nil"/>
            </w:tcBorders>
            <w:tcMar>
              <w:top w:w="100" w:type="dxa"/>
              <w:left w:w="100" w:type="dxa"/>
              <w:bottom w:w="100" w:type="dxa"/>
              <w:right w:w="100" w:type="dxa"/>
            </w:tcMar>
          </w:tcPr>
          <w:p w14:paraId="3E1BC12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Image</w:t>
            </w:r>
          </w:p>
        </w:tc>
        <w:tc>
          <w:tcPr>
            <w:tcW w:w="1970" w:type="dxa"/>
            <w:tcBorders>
              <w:top w:val="nil"/>
              <w:left w:val="nil"/>
              <w:bottom w:val="nil"/>
              <w:right w:val="nil"/>
            </w:tcBorders>
            <w:tcMar>
              <w:top w:w="100" w:type="dxa"/>
              <w:left w:w="100" w:type="dxa"/>
              <w:bottom w:w="100" w:type="dxa"/>
              <w:right w:w="100" w:type="dxa"/>
            </w:tcMar>
          </w:tcPr>
          <w:p w14:paraId="49CE173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090" w:type="dxa"/>
            <w:tcBorders>
              <w:top w:val="nil"/>
              <w:left w:val="nil"/>
              <w:bottom w:val="nil"/>
              <w:right w:val="nil"/>
            </w:tcBorders>
            <w:tcMar>
              <w:top w:w="100" w:type="dxa"/>
              <w:left w:w="100" w:type="dxa"/>
              <w:bottom w:w="100" w:type="dxa"/>
              <w:right w:w="100" w:type="dxa"/>
            </w:tcMar>
          </w:tcPr>
          <w:p w14:paraId="025E54B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0.854</w:t>
            </w:r>
          </w:p>
        </w:tc>
        <w:tc>
          <w:tcPr>
            <w:tcW w:w="1685" w:type="dxa"/>
            <w:tcBorders>
              <w:top w:val="nil"/>
              <w:left w:val="nil"/>
              <w:bottom w:val="nil"/>
              <w:right w:val="nil"/>
            </w:tcBorders>
            <w:tcMar>
              <w:top w:w="100" w:type="dxa"/>
              <w:left w:w="100" w:type="dxa"/>
              <w:bottom w:w="100" w:type="dxa"/>
              <w:right w:w="100" w:type="dxa"/>
            </w:tcMar>
          </w:tcPr>
          <w:p w14:paraId="77E54E0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Good</w:t>
            </w:r>
          </w:p>
        </w:tc>
      </w:tr>
      <w:tr w:rsidR="00E336C2" w14:paraId="6C2A1770" w14:textId="77777777">
        <w:trPr>
          <w:trHeight w:val="500"/>
        </w:trPr>
        <w:tc>
          <w:tcPr>
            <w:tcW w:w="2630" w:type="dxa"/>
            <w:tcBorders>
              <w:top w:val="nil"/>
              <w:left w:val="nil"/>
              <w:bottom w:val="nil"/>
              <w:right w:val="nil"/>
            </w:tcBorders>
            <w:tcMar>
              <w:top w:w="100" w:type="dxa"/>
              <w:left w:w="100" w:type="dxa"/>
              <w:bottom w:w="100" w:type="dxa"/>
              <w:right w:w="100" w:type="dxa"/>
            </w:tcMar>
          </w:tcPr>
          <w:p w14:paraId="368F341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Purchase Intention</w:t>
            </w:r>
          </w:p>
        </w:tc>
        <w:tc>
          <w:tcPr>
            <w:tcW w:w="1970" w:type="dxa"/>
            <w:tcBorders>
              <w:top w:val="nil"/>
              <w:left w:val="nil"/>
              <w:bottom w:val="nil"/>
              <w:right w:val="nil"/>
            </w:tcBorders>
            <w:tcMar>
              <w:top w:w="100" w:type="dxa"/>
              <w:left w:w="100" w:type="dxa"/>
              <w:bottom w:w="100" w:type="dxa"/>
              <w:right w:w="100" w:type="dxa"/>
            </w:tcMar>
          </w:tcPr>
          <w:p w14:paraId="2ECF5BD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090" w:type="dxa"/>
            <w:tcBorders>
              <w:top w:val="nil"/>
              <w:left w:val="nil"/>
              <w:bottom w:val="nil"/>
              <w:right w:val="nil"/>
            </w:tcBorders>
            <w:tcMar>
              <w:top w:w="100" w:type="dxa"/>
              <w:left w:w="100" w:type="dxa"/>
              <w:bottom w:w="100" w:type="dxa"/>
              <w:right w:w="100" w:type="dxa"/>
            </w:tcMar>
          </w:tcPr>
          <w:p w14:paraId="6402DAA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0.879</w:t>
            </w:r>
          </w:p>
        </w:tc>
        <w:tc>
          <w:tcPr>
            <w:tcW w:w="1685" w:type="dxa"/>
            <w:tcBorders>
              <w:top w:val="nil"/>
              <w:left w:val="nil"/>
              <w:bottom w:val="nil"/>
              <w:right w:val="nil"/>
            </w:tcBorders>
            <w:tcMar>
              <w:top w:w="100" w:type="dxa"/>
              <w:left w:w="100" w:type="dxa"/>
              <w:bottom w:w="100" w:type="dxa"/>
              <w:right w:w="100" w:type="dxa"/>
            </w:tcMar>
          </w:tcPr>
          <w:p w14:paraId="5C8B6EE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Good</w:t>
            </w:r>
          </w:p>
        </w:tc>
      </w:tr>
    </w:tbl>
    <w:p w14:paraId="25D21222" w14:textId="77777777" w:rsidR="00E336C2"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Interpretation</w:t>
      </w:r>
    </w:p>
    <w:p w14:paraId="070E724E" w14:textId="77777777" w:rsidR="00E336C2" w:rsidRDefault="00000000">
      <w:pPr>
        <w:spacing w:before="240" w:after="240" w:line="360" w:lineRule="auto"/>
        <w:ind w:left="600" w:right="600"/>
        <w:jc w:val="both"/>
        <w:rPr>
          <w:rFonts w:ascii="Arial" w:eastAsia="Arial" w:hAnsi="Arial" w:cs="Arial"/>
          <w:sz w:val="24"/>
          <w:szCs w:val="24"/>
        </w:rPr>
      </w:pPr>
      <w:r>
        <w:rPr>
          <w:rFonts w:ascii="Arial" w:eastAsia="Arial" w:hAnsi="Arial" w:cs="Arial"/>
          <w:sz w:val="24"/>
          <w:szCs w:val="24"/>
        </w:rPr>
        <w:t>Cronbach's alpha values for all constructs exceeded the recommended threshold of 0.70, indicating satisfactory internal consistency and reliability of the measurement scales (Hair et al., 2022). The highest reliability was observed for purchase intention (α = 0.879), suggesting that respondents provided consistent responses across the associated measurement items.</w:t>
      </w:r>
    </w:p>
    <w:p w14:paraId="5043C68B" w14:textId="77777777" w:rsidR="00E336C2" w:rsidRDefault="00000000">
      <w:pPr>
        <w:keepNext/>
        <w:pBdr>
          <w:top w:val="nil"/>
          <w:left w:val="nil"/>
          <w:bottom w:val="nil"/>
          <w:right w:val="nil"/>
          <w:between w:val="nil"/>
        </w:pBdr>
        <w:spacing w:after="200" w:line="240" w:lineRule="auto"/>
        <w:rPr>
          <w:i/>
          <w:iCs/>
          <w:color w:val="1F497D"/>
          <w:sz w:val="18"/>
          <w:szCs w:val="18"/>
        </w:rPr>
      </w:pPr>
      <w:bookmarkStart w:id="54" w:name="_ge6ohr7w160y" w:colFirst="0" w:colLast="0"/>
      <w:bookmarkEnd w:id="54"/>
      <w:r>
        <w:rPr>
          <w:i/>
          <w:iCs/>
          <w:color w:val="1F497D"/>
          <w:sz w:val="18"/>
          <w:szCs w:val="18"/>
        </w:rPr>
        <w:t>Table 3: Mean and Standard Deviation of Key Variables</w:t>
      </w:r>
    </w:p>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E336C2" w14:paraId="3BE6E4A5" w14:textId="77777777">
        <w:tc>
          <w:tcPr>
            <w:tcW w:w="2254" w:type="dxa"/>
          </w:tcPr>
          <w:p w14:paraId="5324A2C7"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Variables</w:t>
            </w:r>
          </w:p>
        </w:tc>
        <w:tc>
          <w:tcPr>
            <w:tcW w:w="2254" w:type="dxa"/>
          </w:tcPr>
          <w:p w14:paraId="3F8595CB"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Number of Items</w:t>
            </w:r>
          </w:p>
        </w:tc>
        <w:tc>
          <w:tcPr>
            <w:tcW w:w="2254" w:type="dxa"/>
          </w:tcPr>
          <w:p w14:paraId="02D05D00"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Mean (M)</w:t>
            </w:r>
          </w:p>
        </w:tc>
        <w:tc>
          <w:tcPr>
            <w:tcW w:w="2254" w:type="dxa"/>
          </w:tcPr>
          <w:p w14:paraId="0E8C6AB9"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Standard Deviation (SD)</w:t>
            </w:r>
          </w:p>
        </w:tc>
      </w:tr>
      <w:tr w:rsidR="00E336C2" w14:paraId="20BCB1D6" w14:textId="77777777">
        <w:tc>
          <w:tcPr>
            <w:tcW w:w="2254" w:type="dxa"/>
          </w:tcPr>
          <w:p w14:paraId="23DE699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Perception</w:t>
            </w:r>
          </w:p>
        </w:tc>
        <w:tc>
          <w:tcPr>
            <w:tcW w:w="2254" w:type="dxa"/>
          </w:tcPr>
          <w:p w14:paraId="2685323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254" w:type="dxa"/>
          </w:tcPr>
          <w:p w14:paraId="5EE49E4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4.12</w:t>
            </w:r>
          </w:p>
        </w:tc>
        <w:tc>
          <w:tcPr>
            <w:tcW w:w="2254" w:type="dxa"/>
          </w:tcPr>
          <w:p w14:paraId="0399076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0.78</w:t>
            </w:r>
          </w:p>
        </w:tc>
      </w:tr>
      <w:tr w:rsidR="00E336C2" w14:paraId="72FB6509" w14:textId="77777777">
        <w:tc>
          <w:tcPr>
            <w:tcW w:w="2254" w:type="dxa"/>
          </w:tcPr>
          <w:p w14:paraId="01FF2EE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Trust</w:t>
            </w:r>
          </w:p>
        </w:tc>
        <w:tc>
          <w:tcPr>
            <w:tcW w:w="2254" w:type="dxa"/>
          </w:tcPr>
          <w:p w14:paraId="35B7AE7C"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254" w:type="dxa"/>
          </w:tcPr>
          <w:p w14:paraId="62AD9EF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3.95</w:t>
            </w:r>
          </w:p>
        </w:tc>
        <w:tc>
          <w:tcPr>
            <w:tcW w:w="2254" w:type="dxa"/>
          </w:tcPr>
          <w:p w14:paraId="39B86B5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0.81</w:t>
            </w:r>
          </w:p>
        </w:tc>
      </w:tr>
      <w:tr w:rsidR="00E336C2" w14:paraId="449CD385" w14:textId="77777777">
        <w:tc>
          <w:tcPr>
            <w:tcW w:w="2254" w:type="dxa"/>
          </w:tcPr>
          <w:p w14:paraId="3160087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Image</w:t>
            </w:r>
          </w:p>
        </w:tc>
        <w:tc>
          <w:tcPr>
            <w:tcW w:w="2254" w:type="dxa"/>
          </w:tcPr>
          <w:p w14:paraId="4C30F91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254" w:type="dxa"/>
          </w:tcPr>
          <w:p w14:paraId="0DD1EFD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4.05</w:t>
            </w:r>
          </w:p>
        </w:tc>
        <w:tc>
          <w:tcPr>
            <w:tcW w:w="2254" w:type="dxa"/>
          </w:tcPr>
          <w:p w14:paraId="49EA827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0.74</w:t>
            </w:r>
          </w:p>
        </w:tc>
      </w:tr>
      <w:tr w:rsidR="00E336C2" w14:paraId="46FFB8EC" w14:textId="77777777">
        <w:tc>
          <w:tcPr>
            <w:tcW w:w="2254" w:type="dxa"/>
          </w:tcPr>
          <w:p w14:paraId="4F6B748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Purchase Intention</w:t>
            </w:r>
          </w:p>
        </w:tc>
        <w:tc>
          <w:tcPr>
            <w:tcW w:w="2254" w:type="dxa"/>
          </w:tcPr>
          <w:p w14:paraId="686319E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2254" w:type="dxa"/>
          </w:tcPr>
          <w:p w14:paraId="3CE5236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3.88</w:t>
            </w:r>
          </w:p>
        </w:tc>
        <w:tc>
          <w:tcPr>
            <w:tcW w:w="2254" w:type="dxa"/>
          </w:tcPr>
          <w:p w14:paraId="3D8C35F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0.83</w:t>
            </w:r>
          </w:p>
        </w:tc>
      </w:tr>
    </w:tbl>
    <w:p w14:paraId="5B660E4C" w14:textId="77777777" w:rsidR="00E336C2" w:rsidRDefault="00E336C2">
      <w:pPr>
        <w:spacing w:before="280" w:after="280" w:line="240" w:lineRule="auto"/>
        <w:rPr>
          <w:rFonts w:ascii="Times New Roman" w:eastAsia="Times New Roman" w:hAnsi="Times New Roman" w:cs="Times New Roman"/>
          <w:sz w:val="24"/>
          <w:szCs w:val="24"/>
        </w:rPr>
      </w:pPr>
    </w:p>
    <w:p w14:paraId="753F6E45"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Interpretation of Descriptive Results</w:t>
      </w:r>
    </w:p>
    <w:p w14:paraId="1D764627"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descriptive results show that the highest mean score (M = 4.12) is for sustainability perception, meaning that consumers view Adidas as a sustainable company. This is in line with the rising prominence of sustainability initiatives including the use of recycled materials, carbon neutrality and circular product design. This is in line with recent research which notes that consumers of sportswear products are increasingly </w:t>
      </w:r>
      <w:r>
        <w:rPr>
          <w:rFonts w:ascii="Arial" w:eastAsia="Arial" w:hAnsi="Arial" w:cs="Arial"/>
          <w:sz w:val="24"/>
          <w:szCs w:val="24"/>
        </w:rPr>
        <w:lastRenderedPageBreak/>
        <w:t>conscious of the environment and are more likely to respond to sustainability branding (Kumar et al., 2023; Sharma &amp; Jain, 2022).</w:t>
      </w:r>
    </w:p>
    <w:p w14:paraId="5D6E0E0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standard deviation (SD = 0.78) shows that there is a moderate spread in the data, suggesting that while most consumers are positive about the brand, there are differences in opinions. The variance could be driven by varying levels of awareness or scepticism towards corporate sustainability efforts.</w:t>
      </w:r>
    </w:p>
    <w:p w14:paraId="621CDD6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mean score for brand trust (M = 3.95) is relatively high, suggesting that the consumers trust Adidas' sustainability efforts. But compared to sustainability perception, the lower mean score indicates that it is not unconditional. This could be due to suspicions of greenwash in the fashion and sportswear sector, where brands are occasionally viewed as exaggerating their sustainability initiatives.</w:t>
      </w:r>
    </w:p>
    <w:p w14:paraId="0867E2B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variable of brand image had a mean of 4.05, suggesting generally favourable attitudes towards Adidas' environmental practices. This highlights the role of sustainability practices in improving brand image and overall company reputation. The low standard deviation (SD = 0.74) suggests there was little variability in respondents' views, further confirming the perception.</w:t>
      </w:r>
    </w:p>
    <w:p w14:paraId="14703AF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Lastly, purchase intention has a mean score of 3.88, which is slightly lower than the other variables. This indicates that while consumer intentions are positively impacted by sustainability, it's not the only factor. Other factors such as price, quality, design and brand loyalty may also influence consumers' purchasing decisions. The greater standard deviation (SD = 0.83) suggests that there is more variability, which implies that purchase intention is affected by a range of individual and economic factors.</w:t>
      </w:r>
    </w:p>
    <w:p w14:paraId="309355C6"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Overall Summary</w:t>
      </w:r>
    </w:p>
    <w:p w14:paraId="1F4E555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Overall, the descriptive results show that consumers have positive attitudes towards the sustainability measures implemented by Adidas. Yet, while sustainability makes a positive impact on brand trust and brand image, its impact on the purchase intention is relatively weak. This suggests the multifaceted nature of consumer behaviour, where sustainability also works in combination with other factors.</w:t>
      </w:r>
    </w:p>
    <w:p w14:paraId="1B2BA36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These insights serve as a foundation for inferential analysis in the subsequent sections, where the associations between variables will be tested using correlation and regression analysis.</w:t>
      </w:r>
    </w:p>
    <w:p w14:paraId="74274E06" w14:textId="77777777" w:rsidR="00E336C2" w:rsidRDefault="00000000">
      <w:pPr>
        <w:pStyle w:val="Heading2"/>
      </w:pPr>
      <w:bookmarkStart w:id="55" w:name="_uak17jaq8ago" w:colFirst="0" w:colLast="0"/>
      <w:bookmarkEnd w:id="55"/>
      <w:r>
        <w:lastRenderedPageBreak/>
        <w:t xml:space="preserve">4.3 Correlation Analysis </w:t>
      </w:r>
    </w:p>
    <w:p w14:paraId="22E92635" w14:textId="77777777" w:rsidR="00E336C2" w:rsidRDefault="00000000">
      <w:pPr>
        <w:spacing w:line="360" w:lineRule="auto"/>
        <w:jc w:val="both"/>
      </w:pPr>
      <w:r>
        <w:rPr>
          <w:rFonts w:ascii="Arial" w:eastAsia="Arial" w:hAnsi="Arial" w:cs="Arial"/>
          <w:sz w:val="24"/>
          <w:szCs w:val="24"/>
        </w:rPr>
        <w:t xml:space="preserve">A correlation analysis was used to assess the degree and direction of the association between the study variables. </w:t>
      </w:r>
      <w:proofErr w:type="gramStart"/>
      <w:r>
        <w:rPr>
          <w:rFonts w:ascii="Arial" w:eastAsia="Arial" w:hAnsi="Arial" w:cs="Arial"/>
          <w:sz w:val="24"/>
          <w:szCs w:val="24"/>
        </w:rPr>
        <w:t>In particular, it</w:t>
      </w:r>
      <w:proofErr w:type="gramEnd"/>
      <w:r>
        <w:rPr>
          <w:rFonts w:ascii="Arial" w:eastAsia="Arial" w:hAnsi="Arial" w:cs="Arial"/>
          <w:sz w:val="24"/>
          <w:szCs w:val="24"/>
        </w:rPr>
        <w:t xml:space="preserve"> examines the relationship between sustainability perception, brand trust, brand image and purchase intention for Adidas. The strength of these relationships was measured using the Pearson correlation coefficient (r) that ranges from -1 to +1. A positive coefficient means the variables are positively related and the closer the coefficient is to +1, the stronger the relationship</w:t>
      </w:r>
      <w:r>
        <w:t>.</w:t>
      </w:r>
    </w:p>
    <w:p w14:paraId="656B73A0" w14:textId="77777777" w:rsidR="00E336C2" w:rsidRDefault="00000000">
      <w:pPr>
        <w:keepNext/>
        <w:pBdr>
          <w:top w:val="nil"/>
          <w:left w:val="nil"/>
          <w:bottom w:val="nil"/>
          <w:right w:val="nil"/>
          <w:between w:val="nil"/>
        </w:pBdr>
        <w:spacing w:after="200" w:line="240" w:lineRule="auto"/>
        <w:jc w:val="both"/>
        <w:rPr>
          <w:rFonts w:ascii="Arial" w:eastAsia="Arial" w:hAnsi="Arial" w:cs="Arial"/>
          <w:i/>
          <w:iCs/>
          <w:color w:val="1F497D"/>
          <w:sz w:val="24"/>
          <w:szCs w:val="24"/>
        </w:rPr>
      </w:pPr>
      <w:bookmarkStart w:id="56" w:name="_kcnd44neje6t" w:colFirst="0" w:colLast="0"/>
      <w:bookmarkEnd w:id="56"/>
      <w:r>
        <w:rPr>
          <w:rFonts w:ascii="Arial" w:eastAsia="Arial" w:hAnsi="Arial" w:cs="Arial"/>
          <w:i/>
          <w:iCs/>
          <w:color w:val="1F497D"/>
          <w:sz w:val="24"/>
          <w:szCs w:val="24"/>
        </w:rPr>
        <w:t>Table 4: Correlation Matrix</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E336C2" w14:paraId="44A92E5C" w14:textId="77777777">
        <w:tc>
          <w:tcPr>
            <w:tcW w:w="1803" w:type="dxa"/>
          </w:tcPr>
          <w:p w14:paraId="663FC00D"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Variables</w:t>
            </w:r>
          </w:p>
        </w:tc>
        <w:tc>
          <w:tcPr>
            <w:tcW w:w="1803" w:type="dxa"/>
          </w:tcPr>
          <w:p w14:paraId="36B7A763"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Sustainability Perception</w:t>
            </w:r>
          </w:p>
        </w:tc>
        <w:tc>
          <w:tcPr>
            <w:tcW w:w="1803" w:type="dxa"/>
          </w:tcPr>
          <w:p w14:paraId="3E9D53B0"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Brand Trust</w:t>
            </w:r>
          </w:p>
        </w:tc>
        <w:tc>
          <w:tcPr>
            <w:tcW w:w="1803" w:type="dxa"/>
          </w:tcPr>
          <w:p w14:paraId="34A04ECB"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Brand Image</w:t>
            </w:r>
          </w:p>
        </w:tc>
        <w:tc>
          <w:tcPr>
            <w:tcW w:w="1804" w:type="dxa"/>
          </w:tcPr>
          <w:p w14:paraId="04FBA302"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Purchase Intention</w:t>
            </w:r>
          </w:p>
        </w:tc>
      </w:tr>
      <w:tr w:rsidR="00E336C2" w14:paraId="3FA71A19" w14:textId="77777777">
        <w:tc>
          <w:tcPr>
            <w:tcW w:w="1803" w:type="dxa"/>
          </w:tcPr>
          <w:p w14:paraId="296466D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Perception</w:t>
            </w:r>
          </w:p>
        </w:tc>
        <w:tc>
          <w:tcPr>
            <w:tcW w:w="1803" w:type="dxa"/>
          </w:tcPr>
          <w:p w14:paraId="0BC9799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1.00</w:t>
            </w:r>
          </w:p>
        </w:tc>
        <w:tc>
          <w:tcPr>
            <w:tcW w:w="1803" w:type="dxa"/>
          </w:tcPr>
          <w:p w14:paraId="4B4AF7B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0.68**</w:t>
            </w:r>
          </w:p>
        </w:tc>
        <w:tc>
          <w:tcPr>
            <w:tcW w:w="1803" w:type="dxa"/>
          </w:tcPr>
          <w:p w14:paraId="160D069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0.72**</w:t>
            </w:r>
          </w:p>
        </w:tc>
        <w:tc>
          <w:tcPr>
            <w:tcW w:w="1804" w:type="dxa"/>
          </w:tcPr>
          <w:p w14:paraId="0CC3693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0.54**</w:t>
            </w:r>
          </w:p>
        </w:tc>
      </w:tr>
      <w:tr w:rsidR="00E336C2" w14:paraId="13454CF6" w14:textId="77777777">
        <w:tc>
          <w:tcPr>
            <w:tcW w:w="1803" w:type="dxa"/>
          </w:tcPr>
          <w:p w14:paraId="08A10BC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Trust</w:t>
            </w:r>
          </w:p>
        </w:tc>
        <w:tc>
          <w:tcPr>
            <w:tcW w:w="1803" w:type="dxa"/>
          </w:tcPr>
          <w:p w14:paraId="254C6FFC"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0.68**</w:t>
            </w:r>
          </w:p>
        </w:tc>
        <w:tc>
          <w:tcPr>
            <w:tcW w:w="1803" w:type="dxa"/>
          </w:tcPr>
          <w:p w14:paraId="0070E8F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1.00</w:t>
            </w:r>
          </w:p>
        </w:tc>
        <w:tc>
          <w:tcPr>
            <w:tcW w:w="1803" w:type="dxa"/>
          </w:tcPr>
          <w:p w14:paraId="06A6447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0.70**</w:t>
            </w:r>
          </w:p>
        </w:tc>
        <w:tc>
          <w:tcPr>
            <w:tcW w:w="1804" w:type="dxa"/>
          </w:tcPr>
          <w:p w14:paraId="339C6E6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0.61**</w:t>
            </w:r>
          </w:p>
        </w:tc>
      </w:tr>
      <w:tr w:rsidR="00E336C2" w14:paraId="28D25135" w14:textId="77777777">
        <w:tc>
          <w:tcPr>
            <w:tcW w:w="1803" w:type="dxa"/>
          </w:tcPr>
          <w:p w14:paraId="64A6292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Brand Image</w:t>
            </w:r>
          </w:p>
        </w:tc>
        <w:tc>
          <w:tcPr>
            <w:tcW w:w="1803" w:type="dxa"/>
          </w:tcPr>
          <w:p w14:paraId="5584E28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0.72**</w:t>
            </w:r>
          </w:p>
        </w:tc>
        <w:tc>
          <w:tcPr>
            <w:tcW w:w="1803" w:type="dxa"/>
          </w:tcPr>
          <w:p w14:paraId="65F3C0E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0.70**</w:t>
            </w:r>
          </w:p>
        </w:tc>
        <w:tc>
          <w:tcPr>
            <w:tcW w:w="1803" w:type="dxa"/>
          </w:tcPr>
          <w:p w14:paraId="533CC9B7"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1.00</w:t>
            </w:r>
          </w:p>
        </w:tc>
        <w:tc>
          <w:tcPr>
            <w:tcW w:w="1804" w:type="dxa"/>
          </w:tcPr>
          <w:p w14:paraId="5E13633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0.58**</w:t>
            </w:r>
          </w:p>
        </w:tc>
      </w:tr>
      <w:tr w:rsidR="00E336C2" w14:paraId="594C239A" w14:textId="77777777">
        <w:tc>
          <w:tcPr>
            <w:tcW w:w="1803" w:type="dxa"/>
          </w:tcPr>
          <w:p w14:paraId="27822D6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Purchase Intention</w:t>
            </w:r>
          </w:p>
        </w:tc>
        <w:tc>
          <w:tcPr>
            <w:tcW w:w="1803" w:type="dxa"/>
          </w:tcPr>
          <w:p w14:paraId="4813B4E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0.54**</w:t>
            </w:r>
          </w:p>
        </w:tc>
        <w:tc>
          <w:tcPr>
            <w:tcW w:w="1803" w:type="dxa"/>
          </w:tcPr>
          <w:p w14:paraId="370F295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0.61**</w:t>
            </w:r>
          </w:p>
        </w:tc>
        <w:tc>
          <w:tcPr>
            <w:tcW w:w="1803" w:type="dxa"/>
          </w:tcPr>
          <w:p w14:paraId="5BB2471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0.58**</w:t>
            </w:r>
          </w:p>
        </w:tc>
        <w:tc>
          <w:tcPr>
            <w:tcW w:w="1804" w:type="dxa"/>
          </w:tcPr>
          <w:p w14:paraId="615D748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1.00</w:t>
            </w:r>
          </w:p>
        </w:tc>
      </w:tr>
    </w:tbl>
    <w:p w14:paraId="58FEAC80" w14:textId="77777777" w:rsidR="00E336C2" w:rsidRDefault="00E336C2">
      <w:pPr>
        <w:spacing w:before="280" w:after="280" w:line="240" w:lineRule="auto"/>
        <w:rPr>
          <w:rFonts w:ascii="Times New Roman" w:eastAsia="Times New Roman" w:hAnsi="Times New Roman" w:cs="Times New Roman"/>
          <w:sz w:val="24"/>
          <w:szCs w:val="24"/>
        </w:rPr>
      </w:pPr>
    </w:p>
    <w:p w14:paraId="3D2C975F"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Interpretation of Correlation Results</w:t>
      </w:r>
    </w:p>
    <w:p w14:paraId="72B7EE6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We find that our correlation analysis indicates that brand trust and sustainability perception have a positive correlation (r = 0.68). This means that when consumers believe that Adidas is sustainable, they will find that they will be more likely to trust the company. This finding is in line with other studies which assert that corporate sustainability programs elevate trust and diminish suspicion of the business practices of a company (Sharma and Jain, 2022). It further highlights the importance of sincere and open reporting of sustainability efforts as trust is the most important factor in consumer-brand relationship.</w:t>
      </w:r>
    </w:p>
    <w:p w14:paraId="1542C06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Likewise, a significant positive relationship between sustainability and brand image (r = 0.72) was found. This suggests sustainability measures play a pivotal role in enhancing brand image and perceptions. In an industry such as sportswear, where brand is key, sustainability is a key differentiator that adds value to consumer </w:t>
      </w:r>
      <w:r>
        <w:rPr>
          <w:rFonts w:ascii="Arial" w:eastAsia="Arial" w:hAnsi="Arial" w:cs="Arial"/>
          <w:sz w:val="24"/>
          <w:szCs w:val="24"/>
        </w:rPr>
        <w:lastRenderedPageBreak/>
        <w:t>assessment of the brand. This finding echoes the findings of previous research that sustainability enhances corporate image and brand equity (Kumar et al., 2023).</w:t>
      </w:r>
    </w:p>
    <w:p w14:paraId="3CDC5CE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Similarly, the study also shows a substantial positive correlation between sustainability and purchase intention (r = 0.54). This suggests that sustainability is one of the factors affecting consumer purchase intention, but not the only one. Rather, purchase intention is determined by a combination of factors including price, quality, design and brand loyalty. This finding is consistent with the Theory of Planned Behaviour, which states that people's intentions to engage in a certain behaviour are influenced by their attitudes but also constrained by external factors.</w:t>
      </w:r>
    </w:p>
    <w:p w14:paraId="6CE3EA51" w14:textId="77777777" w:rsidR="00E336C2" w:rsidRDefault="00000000">
      <w:pPr>
        <w:spacing w:before="240" w:after="240" w:line="360" w:lineRule="auto"/>
        <w:ind w:right="600"/>
        <w:jc w:val="both"/>
        <w:rPr>
          <w:sz w:val="26"/>
          <w:szCs w:val="26"/>
        </w:rPr>
      </w:pPr>
      <w:r>
        <w:rPr>
          <w:rFonts w:ascii="Arial" w:eastAsia="Arial" w:hAnsi="Arial" w:cs="Arial"/>
          <w:sz w:val="24"/>
          <w:szCs w:val="24"/>
        </w:rPr>
        <w:t>Although sustainability perception demonstrated positive relationships with both brand trust and brand image, the correlation coefficients indicate moderate rather than extremely strong relationships. This suggests that sustainability alone is insufficient to fully explain consumer purchasing behaviour. Other factors, including price, product quality, and brand loyalty, may continue to exert significant influence on consumer decision-making.</w:t>
      </w:r>
    </w:p>
    <w:p w14:paraId="7EA129AC" w14:textId="77777777" w:rsidR="00E336C2" w:rsidRDefault="00000000">
      <w:pPr>
        <w:spacing w:before="240" w:after="240" w:line="360" w:lineRule="auto"/>
        <w:ind w:right="600"/>
        <w:jc w:val="both"/>
        <w:rPr>
          <w:rFonts w:ascii="Arial" w:eastAsia="Arial" w:hAnsi="Arial" w:cs="Arial"/>
          <w:sz w:val="24"/>
          <w:szCs w:val="24"/>
        </w:rPr>
      </w:pPr>
      <w:r>
        <w:rPr>
          <w:rFonts w:ascii="Arial" w:eastAsia="Arial" w:hAnsi="Arial" w:cs="Arial"/>
          <w:sz w:val="24"/>
          <w:szCs w:val="24"/>
        </w:rPr>
        <w:t>These findings are consistent with Joshi and Rahman (2023), who found that sustainability perceptions positively influence consumer attitudes but do not necessarily guarantee purchasing behaviour. Similarly, White et al. (2022) highlighted the persistence of the attitude–behaviour gap in sustainable consumption</w:t>
      </w:r>
    </w:p>
    <w:p w14:paraId="07C89C41"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Theoretical Interpretation</w:t>
      </w:r>
    </w:p>
    <w:p w14:paraId="361F2B5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present study confirms the Theory of Planned Behaviour (TPB) wherein attitudes towards a behaviour are among the key factors in predicting intentions to perform that behaviour. In this context, sustainability perception is an important attitude that drives consumer purchase intention towards sportswear. But the moderate correlation between sustainability perception and purchase intention indicates that attitudes are only a partial predictor of behaviour.</w:t>
      </w:r>
    </w:p>
    <w:p w14:paraId="64CDF47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Moreover, the findings are consistent with Green Marketing Theory, which stresses that sustainability communication improves brand image, but needs to be authentic to impact brand trust. The positive and strong correlations between sustainability </w:t>
      </w:r>
      <w:r>
        <w:rPr>
          <w:rFonts w:ascii="Arial" w:eastAsia="Arial" w:hAnsi="Arial" w:cs="Arial"/>
          <w:sz w:val="24"/>
          <w:szCs w:val="24"/>
        </w:rPr>
        <w:lastRenderedPageBreak/>
        <w:t>perception, brand trust and brand image suggest the need for holistic sustainability communication.</w:t>
      </w:r>
    </w:p>
    <w:p w14:paraId="4C27F62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Overall, the correlation results show that sustainability perception is positively and significantly related to brand trust, brand image and purchase intention. But there is a varying degree of influence, where the impact on brand trust and brand image is stronger than on purchase intention. This suggests that sustainability actions mainly affect consumer behaviour via psychological and perceptual mechanisms.</w:t>
      </w:r>
    </w:p>
    <w:p w14:paraId="341B4B93" w14:textId="77777777" w:rsidR="00E336C2" w:rsidRDefault="00000000">
      <w:pPr>
        <w:spacing w:line="360" w:lineRule="auto"/>
        <w:jc w:val="both"/>
      </w:pPr>
      <w:r>
        <w:rPr>
          <w:rFonts w:ascii="Arial" w:eastAsia="Arial" w:hAnsi="Arial" w:cs="Arial"/>
          <w:sz w:val="24"/>
          <w:szCs w:val="24"/>
        </w:rPr>
        <w:t>This lays the groundwork for the next section's regression analysis, which will further explore the predictive role of sustainability perception on purchase intention</w:t>
      </w:r>
      <w:r>
        <w:t>.</w:t>
      </w:r>
    </w:p>
    <w:p w14:paraId="162F2796" w14:textId="77777777" w:rsidR="00E336C2" w:rsidRDefault="00000000">
      <w:pPr>
        <w:pStyle w:val="Heading2"/>
      </w:pPr>
      <w:bookmarkStart w:id="57" w:name="_96q0dcx26r5n" w:colFirst="0" w:colLast="0"/>
      <w:bookmarkEnd w:id="57"/>
      <w:r>
        <w:t xml:space="preserve">4.4 Regression Analysis </w:t>
      </w:r>
    </w:p>
    <w:p w14:paraId="2A0E6F8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This study used regression analysis to test the hypothesis that sustainability perception is a predictor of purchase intention, and to determine the mediating effects of brand trust and brand image in the case of Adidas. In contrast to correlation analysis, which merely finds the direction and degree of associations, regression analysis aids in identifying the amount of variance in the dependent variable (purchase intention in this study) that is explained by the independent and mediating variables.</w:t>
      </w:r>
    </w:p>
    <w:p w14:paraId="06D92CD8" w14:textId="77777777" w:rsidR="00E336C2" w:rsidRDefault="00000000">
      <w:pPr>
        <w:pStyle w:val="Heading2"/>
        <w:keepNext w:val="0"/>
        <w:keepLines w:val="0"/>
        <w:spacing w:before="360" w:line="360" w:lineRule="auto"/>
        <w:jc w:val="both"/>
        <w:rPr>
          <w:sz w:val="34"/>
          <w:szCs w:val="34"/>
        </w:rPr>
      </w:pPr>
      <w:bookmarkStart w:id="58" w:name="_qzydzyylu42n" w:colFirst="0" w:colLast="0"/>
      <w:bookmarkEnd w:id="58"/>
      <w:r>
        <w:rPr>
          <w:sz w:val="34"/>
          <w:szCs w:val="34"/>
        </w:rPr>
        <w:t xml:space="preserve"> Model Summary</w:t>
      </w:r>
    </w:p>
    <w:tbl>
      <w:tblPr>
        <w:tblStyle w:val="a4"/>
        <w:tblW w:w="52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90"/>
        <w:gridCol w:w="770"/>
        <w:gridCol w:w="770"/>
        <w:gridCol w:w="1475"/>
        <w:gridCol w:w="1295"/>
      </w:tblGrid>
      <w:tr w:rsidR="00E336C2" w14:paraId="3000539B" w14:textId="77777777">
        <w:trPr>
          <w:trHeight w:val="500"/>
        </w:trPr>
        <w:tc>
          <w:tcPr>
            <w:tcW w:w="890" w:type="dxa"/>
            <w:tcBorders>
              <w:top w:val="nil"/>
              <w:left w:val="nil"/>
              <w:bottom w:val="nil"/>
              <w:right w:val="nil"/>
            </w:tcBorders>
            <w:tcMar>
              <w:top w:w="100" w:type="dxa"/>
              <w:left w:w="100" w:type="dxa"/>
              <w:bottom w:w="100" w:type="dxa"/>
              <w:right w:w="100" w:type="dxa"/>
            </w:tcMar>
          </w:tcPr>
          <w:p w14:paraId="549A00AE"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Model</w:t>
            </w:r>
          </w:p>
        </w:tc>
        <w:tc>
          <w:tcPr>
            <w:tcW w:w="770" w:type="dxa"/>
            <w:tcBorders>
              <w:top w:val="nil"/>
              <w:left w:val="nil"/>
              <w:bottom w:val="nil"/>
              <w:right w:val="nil"/>
            </w:tcBorders>
            <w:tcMar>
              <w:top w:w="100" w:type="dxa"/>
              <w:left w:w="100" w:type="dxa"/>
              <w:bottom w:w="100" w:type="dxa"/>
              <w:right w:w="100" w:type="dxa"/>
            </w:tcMar>
          </w:tcPr>
          <w:p w14:paraId="3319057A"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R</w:t>
            </w:r>
          </w:p>
        </w:tc>
        <w:tc>
          <w:tcPr>
            <w:tcW w:w="770" w:type="dxa"/>
            <w:tcBorders>
              <w:top w:val="nil"/>
              <w:left w:val="nil"/>
              <w:bottom w:val="nil"/>
              <w:right w:val="nil"/>
            </w:tcBorders>
            <w:tcMar>
              <w:top w:w="100" w:type="dxa"/>
              <w:left w:w="100" w:type="dxa"/>
              <w:bottom w:w="100" w:type="dxa"/>
              <w:right w:w="100" w:type="dxa"/>
            </w:tcMar>
          </w:tcPr>
          <w:p w14:paraId="61F3F33C"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R²</w:t>
            </w:r>
          </w:p>
        </w:tc>
        <w:tc>
          <w:tcPr>
            <w:tcW w:w="1475" w:type="dxa"/>
            <w:tcBorders>
              <w:top w:val="nil"/>
              <w:left w:val="nil"/>
              <w:bottom w:val="nil"/>
              <w:right w:val="nil"/>
            </w:tcBorders>
            <w:tcMar>
              <w:top w:w="100" w:type="dxa"/>
              <w:left w:w="100" w:type="dxa"/>
              <w:bottom w:w="100" w:type="dxa"/>
              <w:right w:w="100" w:type="dxa"/>
            </w:tcMar>
          </w:tcPr>
          <w:p w14:paraId="66C71D6F"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Adjusted R²</w:t>
            </w:r>
          </w:p>
        </w:tc>
        <w:tc>
          <w:tcPr>
            <w:tcW w:w="1295" w:type="dxa"/>
            <w:tcBorders>
              <w:top w:val="nil"/>
              <w:left w:val="nil"/>
              <w:bottom w:val="nil"/>
              <w:right w:val="nil"/>
            </w:tcBorders>
            <w:tcMar>
              <w:top w:w="100" w:type="dxa"/>
              <w:left w:w="100" w:type="dxa"/>
              <w:bottom w:w="100" w:type="dxa"/>
              <w:right w:w="100" w:type="dxa"/>
            </w:tcMar>
          </w:tcPr>
          <w:p w14:paraId="7FC126F4" w14:textId="77777777" w:rsidR="00E336C2" w:rsidRDefault="00000000">
            <w:pPr>
              <w:spacing w:line="360" w:lineRule="auto"/>
              <w:jc w:val="center"/>
              <w:rPr>
                <w:rFonts w:ascii="Arial" w:eastAsia="Arial" w:hAnsi="Arial" w:cs="Arial"/>
                <w:sz w:val="24"/>
                <w:szCs w:val="24"/>
              </w:rPr>
            </w:pPr>
            <w:r>
              <w:rPr>
                <w:rFonts w:ascii="Arial" w:eastAsia="Arial" w:hAnsi="Arial" w:cs="Arial"/>
                <w:b/>
                <w:bCs/>
                <w:sz w:val="24"/>
                <w:szCs w:val="24"/>
              </w:rPr>
              <w:t>Std. Error</w:t>
            </w:r>
          </w:p>
        </w:tc>
      </w:tr>
      <w:tr w:rsidR="00E336C2" w14:paraId="39617714" w14:textId="77777777">
        <w:trPr>
          <w:trHeight w:val="500"/>
        </w:trPr>
        <w:tc>
          <w:tcPr>
            <w:tcW w:w="890" w:type="dxa"/>
            <w:tcBorders>
              <w:top w:val="nil"/>
              <w:left w:val="nil"/>
              <w:bottom w:val="nil"/>
              <w:right w:val="nil"/>
            </w:tcBorders>
            <w:tcMar>
              <w:top w:w="100" w:type="dxa"/>
              <w:left w:w="100" w:type="dxa"/>
              <w:bottom w:w="100" w:type="dxa"/>
              <w:right w:w="100" w:type="dxa"/>
            </w:tcMar>
          </w:tcPr>
          <w:p w14:paraId="1794299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w:t>
            </w:r>
          </w:p>
        </w:tc>
        <w:tc>
          <w:tcPr>
            <w:tcW w:w="770" w:type="dxa"/>
            <w:tcBorders>
              <w:top w:val="nil"/>
              <w:left w:val="nil"/>
              <w:bottom w:val="nil"/>
              <w:right w:val="nil"/>
            </w:tcBorders>
            <w:tcMar>
              <w:top w:w="100" w:type="dxa"/>
              <w:left w:w="100" w:type="dxa"/>
              <w:bottom w:w="100" w:type="dxa"/>
              <w:right w:w="100" w:type="dxa"/>
            </w:tcMar>
          </w:tcPr>
          <w:p w14:paraId="2A0D50B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0.801</w:t>
            </w:r>
          </w:p>
        </w:tc>
        <w:tc>
          <w:tcPr>
            <w:tcW w:w="770" w:type="dxa"/>
            <w:tcBorders>
              <w:top w:val="nil"/>
              <w:left w:val="nil"/>
              <w:bottom w:val="nil"/>
              <w:right w:val="nil"/>
            </w:tcBorders>
            <w:tcMar>
              <w:top w:w="100" w:type="dxa"/>
              <w:left w:w="100" w:type="dxa"/>
              <w:bottom w:w="100" w:type="dxa"/>
              <w:right w:w="100" w:type="dxa"/>
            </w:tcMar>
          </w:tcPr>
          <w:p w14:paraId="5BDF414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0.642</w:t>
            </w:r>
          </w:p>
        </w:tc>
        <w:tc>
          <w:tcPr>
            <w:tcW w:w="1475" w:type="dxa"/>
            <w:tcBorders>
              <w:top w:val="nil"/>
              <w:left w:val="nil"/>
              <w:bottom w:val="nil"/>
              <w:right w:val="nil"/>
            </w:tcBorders>
            <w:tcMar>
              <w:top w:w="100" w:type="dxa"/>
              <w:left w:w="100" w:type="dxa"/>
              <w:bottom w:w="100" w:type="dxa"/>
              <w:right w:w="100" w:type="dxa"/>
            </w:tcMar>
          </w:tcPr>
          <w:p w14:paraId="1ED8C3E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0.629</w:t>
            </w:r>
          </w:p>
        </w:tc>
        <w:tc>
          <w:tcPr>
            <w:tcW w:w="1295" w:type="dxa"/>
            <w:tcBorders>
              <w:top w:val="nil"/>
              <w:left w:val="nil"/>
              <w:bottom w:val="nil"/>
              <w:right w:val="nil"/>
            </w:tcBorders>
            <w:tcMar>
              <w:top w:w="100" w:type="dxa"/>
              <w:left w:w="100" w:type="dxa"/>
              <w:bottom w:w="100" w:type="dxa"/>
              <w:right w:w="100" w:type="dxa"/>
            </w:tcMar>
          </w:tcPr>
          <w:p w14:paraId="7CE0065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0.521</w:t>
            </w:r>
          </w:p>
        </w:tc>
      </w:tr>
    </w:tbl>
    <w:p w14:paraId="6B220AD0" w14:textId="77777777" w:rsidR="00E336C2" w:rsidRDefault="00000000">
      <w:pPr>
        <w:pStyle w:val="Heading3"/>
        <w:keepNext w:val="0"/>
        <w:keepLines w:val="0"/>
        <w:spacing w:before="280" w:line="360" w:lineRule="auto"/>
        <w:jc w:val="both"/>
        <w:rPr>
          <w:sz w:val="26"/>
          <w:szCs w:val="26"/>
        </w:rPr>
      </w:pPr>
      <w:bookmarkStart w:id="59" w:name="_sejgr1u1caiv" w:colFirst="0" w:colLast="0"/>
      <w:bookmarkEnd w:id="59"/>
      <w:r>
        <w:rPr>
          <w:sz w:val="26"/>
          <w:szCs w:val="26"/>
        </w:rPr>
        <w:t>Interpretation</w:t>
      </w:r>
    </w:p>
    <w:p w14:paraId="1405B185" w14:textId="77777777" w:rsidR="00E336C2" w:rsidRDefault="00000000">
      <w:pPr>
        <w:spacing w:before="240" w:after="240" w:line="360" w:lineRule="auto"/>
        <w:ind w:left="600" w:right="600"/>
        <w:jc w:val="both"/>
        <w:rPr>
          <w:rFonts w:ascii="Arial" w:eastAsia="Arial" w:hAnsi="Arial" w:cs="Arial"/>
          <w:sz w:val="24"/>
          <w:szCs w:val="24"/>
        </w:rPr>
      </w:pPr>
      <w:r>
        <w:rPr>
          <w:rFonts w:ascii="Arial" w:eastAsia="Arial" w:hAnsi="Arial" w:cs="Arial"/>
          <w:sz w:val="24"/>
          <w:szCs w:val="24"/>
        </w:rPr>
        <w:t>The model explains approximately 64.2% of the variation in purchase intention, indicating substantial explanatory power. This suggests that sustainability perception, brand trust, and brand image collectively represent important determinants of consumer purchase intention.</w:t>
      </w:r>
    </w:p>
    <w:p w14:paraId="3977FAC8"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Interpretation of Regression Results</w:t>
      </w:r>
    </w:p>
    <w:p w14:paraId="4ADC9EB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The regression analysis shows that the model is significant and explains a considerable amount of variation in consumer purchase intention. An R-square of 0.63 indicates that 63% of the variance in purchase intention is accounted for by sustainability perception, brand trust and brand image. This suggests the model is relatively well fitted and the variables chosen are significant in consumer decision making.</w:t>
      </w:r>
    </w:p>
    <w:p w14:paraId="0CC217C5"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Impact of Sustainability Perception</w:t>
      </w:r>
    </w:p>
    <w:p w14:paraId="0D169E0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This study finds that sustainability perception (β = 0.32, p &lt; 0.001) is significantly positively associated with purchase intention. This implies that if consumers perceive Adidas to be sustainable, then they are more likely to intend to buy its products. This is in line with previous studies that suggest sustainability initiatives increase consumer engagement and support for environmentally responsible brands (Kumar et al., 2023). But the beta value shows that sustainability is not the most important factor in predicting purchase intention.</w:t>
      </w:r>
    </w:p>
    <w:p w14:paraId="37B88A78"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Role of Brand Trust</w:t>
      </w:r>
    </w:p>
    <w:p w14:paraId="3DA4EBF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most influential predictor of purchase intention is brand trust </w:t>
      </w:r>
      <w:proofErr w:type="gramStart"/>
      <w:r>
        <w:rPr>
          <w:rFonts w:ascii="Arial" w:eastAsia="Arial" w:hAnsi="Arial" w:cs="Arial"/>
          <w:sz w:val="24"/>
          <w:szCs w:val="24"/>
        </w:rPr>
        <w:t>( =</w:t>
      </w:r>
      <w:proofErr w:type="gramEnd"/>
      <w:r>
        <w:rPr>
          <w:rFonts w:ascii="Arial" w:eastAsia="Arial" w:hAnsi="Arial" w:cs="Arial"/>
          <w:sz w:val="24"/>
          <w:szCs w:val="24"/>
        </w:rPr>
        <w:t xml:space="preserve"> 0.41, p = 0.001). This helps to see how brand trust plays such a significant role in consumer behaviour. This means that sustainability initiatives will have higher chances of affecting purchase intention where they </w:t>
      </w:r>
      <w:proofErr w:type="gramStart"/>
      <w:r>
        <w:rPr>
          <w:rFonts w:ascii="Arial" w:eastAsia="Arial" w:hAnsi="Arial" w:cs="Arial"/>
          <w:sz w:val="24"/>
          <w:szCs w:val="24"/>
        </w:rPr>
        <w:t>are in a position to</w:t>
      </w:r>
      <w:proofErr w:type="gramEnd"/>
      <w:r>
        <w:rPr>
          <w:rFonts w:ascii="Arial" w:eastAsia="Arial" w:hAnsi="Arial" w:cs="Arial"/>
          <w:sz w:val="24"/>
          <w:szCs w:val="24"/>
        </w:rPr>
        <w:t xml:space="preserve"> create a sense of trust and authenticity among the consumers. In other words, although customers may know about sustainability efforts, they tend to purchase them when they are convinced that such claims are pure. This finding is </w:t>
      </w:r>
      <w:proofErr w:type="gramStart"/>
      <w:r>
        <w:rPr>
          <w:rFonts w:ascii="Arial" w:eastAsia="Arial" w:hAnsi="Arial" w:cs="Arial"/>
          <w:sz w:val="24"/>
          <w:szCs w:val="24"/>
        </w:rPr>
        <w:t>similar to</w:t>
      </w:r>
      <w:proofErr w:type="gramEnd"/>
      <w:r>
        <w:rPr>
          <w:rFonts w:ascii="Arial" w:eastAsia="Arial" w:hAnsi="Arial" w:cs="Arial"/>
          <w:sz w:val="24"/>
          <w:szCs w:val="24"/>
        </w:rPr>
        <w:t xml:space="preserve"> other studies that indicate that trust is a significant mediator of sustainable consumption.</w:t>
      </w:r>
    </w:p>
    <w:p w14:paraId="7AFD62C8" w14:textId="77777777" w:rsidR="00E336C2"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Effects of Brand Image.</w:t>
      </w:r>
    </w:p>
    <w:p w14:paraId="65C37CC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Brand image (β = 0.29, p &lt; 0.01) also positively impact purchase intention. This would imply that positive environmental image enhances purchase intention. Brand image is an outcome of steady communication of sustainability practices and corporate social </w:t>
      </w:r>
      <w:proofErr w:type="gramStart"/>
      <w:r>
        <w:rPr>
          <w:rFonts w:ascii="Arial" w:eastAsia="Arial" w:hAnsi="Arial" w:cs="Arial"/>
          <w:sz w:val="24"/>
          <w:szCs w:val="24"/>
        </w:rPr>
        <w:t>responsibility, and</w:t>
      </w:r>
      <w:proofErr w:type="gramEnd"/>
      <w:r>
        <w:rPr>
          <w:rFonts w:ascii="Arial" w:eastAsia="Arial" w:hAnsi="Arial" w:cs="Arial"/>
          <w:sz w:val="24"/>
          <w:szCs w:val="24"/>
        </w:rPr>
        <w:t xml:space="preserve"> leads to customer loyalty and competitive position.</w:t>
      </w:r>
    </w:p>
    <w:p w14:paraId="1795D9B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results </w:t>
      </w:r>
      <w:proofErr w:type="gramStart"/>
      <w:r>
        <w:rPr>
          <w:rFonts w:ascii="Arial" w:eastAsia="Arial" w:hAnsi="Arial" w:cs="Arial"/>
          <w:sz w:val="24"/>
          <w:szCs w:val="24"/>
        </w:rPr>
        <w:t>as a whole indicate</w:t>
      </w:r>
      <w:proofErr w:type="gramEnd"/>
      <w:r>
        <w:rPr>
          <w:rFonts w:ascii="Arial" w:eastAsia="Arial" w:hAnsi="Arial" w:cs="Arial"/>
          <w:sz w:val="24"/>
          <w:szCs w:val="24"/>
        </w:rPr>
        <w:t xml:space="preserve"> the influence of sustainability initiatives on purchase intention is indirect. Instead, they are tempered by psychological factors such as brand </w:t>
      </w:r>
      <w:r>
        <w:rPr>
          <w:rFonts w:ascii="Arial" w:eastAsia="Arial" w:hAnsi="Arial" w:cs="Arial"/>
          <w:sz w:val="24"/>
          <w:szCs w:val="24"/>
        </w:rPr>
        <w:lastRenderedPageBreak/>
        <w:t>trust and brand image. Here the perception that consumer behaviour is a complex phenomenon which is influenced by both cognitive and affective factors is reinforced.</w:t>
      </w:r>
    </w:p>
    <w:p w14:paraId="6ACF41DC"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results are in line with the Theory of Planned Behaviour (TPB) which posits that intention is influenced by attitudes and perceptions. The sustainability perception is an attitude in this research whereas brand trust and brand image are psychological factors that positively reinforce the behavioural intention.</w:t>
      </w:r>
    </w:p>
    <w:p w14:paraId="2C1E8E1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In addition, the findings are consistent with Green Marketing Theory which implies that successful behavioural change needs credibility and trustworthiness of sustainability messages. A lack of trust and favourable brand image could hinder the effectiveness of sustainability initiatives on consumer purchase intention.</w:t>
      </w:r>
    </w:p>
    <w:p w14:paraId="2B3D8A8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relatively stronger effect of brand trust compared with sustainability perception may indicate the presence of consumer scepticism regarding corporate sustainability claims. Previous research suggests that increasing public awareness of greenwashing practices has made consumers more cautious when evaluating environmental communications (Delmas and Burbano, 2022). Therefore, trust may serve as a critical mechanism through which sustainability initiatives influence purchasing behaviour.</w:t>
      </w:r>
    </w:p>
    <w:p w14:paraId="72F84125" w14:textId="77777777" w:rsidR="00E336C2" w:rsidRDefault="00000000">
      <w:pPr>
        <w:pStyle w:val="Heading2"/>
      </w:pPr>
      <w:bookmarkStart w:id="60" w:name="_7imrtxk0xlfd" w:colFirst="0" w:colLast="0"/>
      <w:bookmarkEnd w:id="60"/>
      <w:r>
        <w:t xml:space="preserve">4.5 Summary of Key Findings </w:t>
      </w:r>
    </w:p>
    <w:p w14:paraId="38E81C0E"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empirical evidence in this study provides some of the most important information on the relationship between the sustainability initiatives and the consumer behaviour of sportswear companies, specifically Adidas. The results suggest that, in general, consumers see Adidas' sustainability initiatives in a positive light. This fact shows that the sustainability strategies implemented by Adidas, including the use of recycled materials and carbon emissions reduction, are being recognized by consumers and have an impact on positive attitudes towards the brand. This observation aligns with recent research reports that indicate that the role of sustainability communication of fashion brands is gaining more presence in consumer minds (Shen et al., 2022; Kumar et al., 2024).</w:t>
      </w:r>
    </w:p>
    <w:p w14:paraId="3B89296A"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Also found in the findings is that perceptions of sustainability have a strong positive impact on brand trust and brand image. This implies that the consumers will be more inclined to believe and positively disposed towards the brand in case they are convinced that Adidas is a sustainable brand. This is in line with the perspective that </w:t>
      </w:r>
      <w:r>
        <w:rPr>
          <w:rFonts w:ascii="Arial" w:eastAsia="Arial" w:hAnsi="Arial" w:cs="Arial"/>
          <w:color w:val="000000"/>
          <w:sz w:val="24"/>
          <w:szCs w:val="24"/>
        </w:rPr>
        <w:lastRenderedPageBreak/>
        <w:t>sustainability is not just an ethical factor, but also a branding tool that can enhance reputation and trust (White et al., 2023).</w:t>
      </w:r>
    </w:p>
    <w:p w14:paraId="1806A9AB"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In terms of consumer behaviour, sustainability perception is shown to have a moderate impact on purchase intentions. This implies that even though sustainability is a critical factor that has an impact on purchase intention, it is not the solitary one. Instead, price, quality and brand loyalty are also critical elements in the purchase decision making process. This finding is consistent with the popularly debated attitude-behaviour gap in sustainable consumption, whereby positive environmental sentiments do not necessarily lead to sustainable consumption behaviours (Joshi &amp; Rahman, 2023).</w:t>
      </w:r>
    </w:p>
    <w:p w14:paraId="52A7B6A6"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Also, the analysis demonstrates that brand image and brand loyalty are a point of connection between the sustainability and purchase intention. This implies the indirect influence that sustainability initiatives have in influencing consumer behaviour.</w:t>
      </w:r>
    </w:p>
    <w:p w14:paraId="0716DA9F"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Finally, the results show that sustainability initiatives have a major but not the only impact on consumer behaviour in the sportswear industry, and the importance of holistic marketing solutions that embrace sustainability, value, quality and brand image.</w:t>
      </w:r>
    </w:p>
    <w:p w14:paraId="12CDB0D9" w14:textId="77777777" w:rsidR="00E336C2" w:rsidRDefault="00000000">
      <w:pPr>
        <w:pStyle w:val="Heading2"/>
      </w:pPr>
      <w:bookmarkStart w:id="61" w:name="_444ezxa4x329" w:colFirst="0" w:colLast="0"/>
      <w:bookmarkEnd w:id="61"/>
      <w:r>
        <w:t xml:space="preserve">4.6 Chapter Summary </w:t>
      </w:r>
    </w:p>
    <w:p w14:paraId="78063950"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This chapter demonstrated the findings of the study with the help of the descriptive and inferential statistical analysis. We have analysed the survey data of the consumers and investigated the interaction between the sustainability perception and the other factors including brand trust, brand image and purchase intention with reference to Adidas. The findings indicate that there is a positive correlation between brand image and sustainability perception and brand trust, which implies that consumers are proud of sustainability performance of Adidas.</w:t>
      </w:r>
    </w:p>
    <w:p w14:paraId="21D1B304"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Also, the analysis indicates that the purchase intention is moderately influenced by sustainability perception but not entirely. This implies that there are various factors that affect purchase intentions, some of which include sustainability perception, price and product quality. These findings are in line with the theoretical perspectives presented in Chapter 2, especially the Theory of Planned Behaviour, which postulates that behavioural intention is determined by attitudes and other variables.</w:t>
      </w:r>
    </w:p>
    <w:p w14:paraId="04CD6B29"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Overall, this chapter reveals that there is strong evidence that sustainability measures are in play in generating consumer perception and purchase intention, but they are working together with other variables in the marketplace. These findings will be critically evaluated in the next chapter within the context of the existing research and discussed in terms of their theoretical and practical implications to the sportswear industry.</w:t>
      </w:r>
    </w:p>
    <w:p w14:paraId="2D7C6D67" w14:textId="77777777" w:rsidR="00E336C2" w:rsidRDefault="00000000" w:rsidP="00D12706">
      <w:pPr>
        <w:pStyle w:val="Heading1"/>
      </w:pPr>
      <w:bookmarkStart w:id="62" w:name="_aqrknymm5mp8" w:colFirst="0" w:colLast="0"/>
      <w:bookmarkEnd w:id="62"/>
      <w:r>
        <w:t>CHAPTER 5: CONCLUSION &amp; RECOMMENDATIONS</w:t>
      </w:r>
    </w:p>
    <w:p w14:paraId="197DE435"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study examined the influence of sustainability initiatives on consumer perception and purchase intention within the sportswear industry, using Adidas as a case study. The findings demonstrate that sustainability perception plays a meaningful but indirect role in shaping consumer behaviour. While consumers generally respond positively to sustainability initiatives, these perceptions do not automatically translate into purchasing decisions.</w:t>
      </w:r>
    </w:p>
    <w:p w14:paraId="0DA88C4A"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results further indicate that brand trust and brand image act as key psychological mechanisms through which sustainability influences consumer behaviour. This suggests that sustainability alone is insufficient to drive purchase intention unless it is perceived as credible, authentic, and consistent with brand identity. This aligns with the Theory of Planned Behaviour, which emphasises that behavioural intentions are shaped by attitudes, perceived trust, and subjective evaluations rather than information alone.</w:t>
      </w:r>
    </w:p>
    <w:p w14:paraId="161AADDB"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However, the study also confirms that sustainability is not the sole determinant of consumer choice. Traditional factors such as price sensitivity, product quality, and brand familiarity continue to play a dominant role in purchasing decisions, highlighting the persistent attitude–behaviour gap in sustainable consumption.</w:t>
      </w:r>
    </w:p>
    <w:p w14:paraId="188C5C2A"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 vital conclusion of the inquire about is that maintainability discernment could be a noteworthy figure that increments brand believes and brand picture. Clients with a discernment that Adidas is ecologically neighbourly will have way better chances of trusting the company and creating a positive picture of the company. This supports the idea that sustainability serves as a vital instrument in improving the corporate image and making a long-term relationship with the buyers. The results are in line with </w:t>
      </w:r>
      <w:r>
        <w:rPr>
          <w:rFonts w:ascii="Arial" w:eastAsia="Arial" w:hAnsi="Arial" w:cs="Arial"/>
          <w:color w:val="000000"/>
          <w:sz w:val="24"/>
          <w:szCs w:val="24"/>
        </w:rPr>
        <w:lastRenderedPageBreak/>
        <w:t>theoretical viewpoints that ethical business practices can lead to increased stakeholder confidence and brand credibility (White et al., 2023).</w:t>
      </w:r>
    </w:p>
    <w:p w14:paraId="5BB8742C"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study concludes that the sustainability perception moderately positively impacts the purchase intention. Although consumers attach importance to sustainability, it is not the only factor that affects the decision to purchase. Other elements, like price, quality of products and brand loyalty remain very influential. This is indicative of the generally accepted attitude-behaviour gap, where the consumer expresses his concerns about environmental issues but is not necessarily taking these attitudes and converting them into actual buying behaviour (Joshi and Rahman, 2023).</w:t>
      </w:r>
    </w:p>
    <w:p w14:paraId="4E4DAFAC"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In addition, the analysis shows that brand trust and brand image are mediating factors between sustainability perception and purchase intention. This shows that the sustainability programs affect the consumer behaviour indirectly by increasing the psychological aspects of trust and brand value perception.</w:t>
      </w:r>
    </w:p>
    <w:p w14:paraId="155944B6"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In general, the results indicate that sustainability efforts contribute positively, albeit insignificantly, to the shape of consumer behaviour in the sportswear sector. In the case of companies such as Adidas, the combination of sustainability and a high value of its products, good communication, and low prices makes it important to fully utilize its impact on consumer decision-making.</w:t>
      </w:r>
    </w:p>
    <w:p w14:paraId="1CADAAD3" w14:textId="77777777" w:rsidR="00E336C2" w:rsidRDefault="00000000">
      <w:pPr>
        <w:pStyle w:val="Heading2"/>
        <w:rPr>
          <w:sz w:val="24"/>
          <w:szCs w:val="24"/>
        </w:rPr>
      </w:pPr>
      <w:bookmarkStart w:id="63" w:name="_nyuy19b1acto" w:colFirst="0" w:colLast="0"/>
      <w:bookmarkEnd w:id="63"/>
      <w:r>
        <w:t>5.1 Theoretical Implications</w:t>
      </w:r>
    </w:p>
    <w:p w14:paraId="4D7F16A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study makes several contributions to existing theory.</w:t>
      </w:r>
    </w:p>
    <w:p w14:paraId="1F95C344" w14:textId="77777777" w:rsidR="00E336C2" w:rsidRDefault="00000000">
      <w:pPr>
        <w:pStyle w:val="Heading3"/>
        <w:keepNext w:val="0"/>
        <w:keepLines w:val="0"/>
        <w:spacing w:before="280" w:line="360" w:lineRule="auto"/>
        <w:jc w:val="both"/>
        <w:rPr>
          <w:sz w:val="26"/>
          <w:szCs w:val="26"/>
        </w:rPr>
      </w:pPr>
      <w:bookmarkStart w:id="64" w:name="_oef23gp08gbo" w:colFirst="0" w:colLast="0"/>
      <w:bookmarkEnd w:id="64"/>
      <w:r>
        <w:rPr>
          <w:sz w:val="26"/>
          <w:szCs w:val="26"/>
        </w:rPr>
        <w:t>Sustainability–Trust Mechanism</w:t>
      </w:r>
    </w:p>
    <w:p w14:paraId="4F70C811"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findings extend current sustainability literature by demonstrating that sustainability initiatives influence consumer behaviour primarily through trust-building mechanisms rather than direct effects. This means that sustainability communication must first generate credibility before it can influence behavioural intentions.</w:t>
      </w:r>
    </w:p>
    <w:p w14:paraId="34B80F24" w14:textId="77777777" w:rsidR="00E336C2" w:rsidRDefault="00000000">
      <w:pPr>
        <w:pStyle w:val="Heading3"/>
        <w:keepNext w:val="0"/>
        <w:keepLines w:val="0"/>
        <w:spacing w:before="280" w:line="360" w:lineRule="auto"/>
        <w:jc w:val="both"/>
        <w:rPr>
          <w:sz w:val="26"/>
          <w:szCs w:val="26"/>
        </w:rPr>
      </w:pPr>
      <w:bookmarkStart w:id="65" w:name="_8xcxxi192mmf" w:colFirst="0" w:colLast="0"/>
      <w:bookmarkEnd w:id="65"/>
      <w:r>
        <w:rPr>
          <w:sz w:val="26"/>
          <w:szCs w:val="26"/>
        </w:rPr>
        <w:t>Contribution to Theory of Planned Behaviour (TPB)</w:t>
      </w:r>
    </w:p>
    <w:p w14:paraId="14299F3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results reinforce the Theory of Planned Behaviour by showing that attitudes toward sustainability alone are not sufficient predictors of purchase intention. Instead, </w:t>
      </w:r>
      <w:r>
        <w:rPr>
          <w:rFonts w:ascii="Arial" w:eastAsia="Arial" w:hAnsi="Arial" w:cs="Arial"/>
          <w:sz w:val="24"/>
          <w:szCs w:val="24"/>
        </w:rPr>
        <w:lastRenderedPageBreak/>
        <w:t>trust and brand image act as cognitive intermediaries that strengthen or weaken behavioural intention formation.</w:t>
      </w:r>
    </w:p>
    <w:p w14:paraId="1BCCB660" w14:textId="77777777" w:rsidR="00E336C2" w:rsidRDefault="00000000">
      <w:pPr>
        <w:pStyle w:val="Heading3"/>
        <w:keepNext w:val="0"/>
        <w:keepLines w:val="0"/>
        <w:spacing w:before="280" w:line="360" w:lineRule="auto"/>
        <w:jc w:val="both"/>
        <w:rPr>
          <w:sz w:val="26"/>
          <w:szCs w:val="26"/>
        </w:rPr>
      </w:pPr>
      <w:bookmarkStart w:id="66" w:name="_3kg815jyod65" w:colFirst="0" w:colLast="0"/>
      <w:bookmarkEnd w:id="66"/>
      <w:r>
        <w:rPr>
          <w:sz w:val="26"/>
          <w:szCs w:val="26"/>
        </w:rPr>
        <w:t>Role of Brand Trust as a Mediator</w:t>
      </w:r>
    </w:p>
    <w:p w14:paraId="177D54B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study confirms that brand trust acts as a mediating mechanism between sustainability perception and purchase intention. This expands TPB by introducing trust as a critical relational construct in sustainable consumer behaviour models.</w:t>
      </w:r>
    </w:p>
    <w:p w14:paraId="3E27FA80" w14:textId="77777777" w:rsidR="00E336C2" w:rsidRDefault="00000000">
      <w:pPr>
        <w:pStyle w:val="Heading3"/>
        <w:keepNext w:val="0"/>
        <w:keepLines w:val="0"/>
        <w:spacing w:before="280" w:line="360" w:lineRule="auto"/>
        <w:jc w:val="both"/>
        <w:rPr>
          <w:sz w:val="26"/>
          <w:szCs w:val="26"/>
        </w:rPr>
      </w:pPr>
      <w:bookmarkStart w:id="67" w:name="_6b6o5uw9zgm2" w:colFirst="0" w:colLast="0"/>
      <w:bookmarkEnd w:id="67"/>
      <w:r>
        <w:rPr>
          <w:sz w:val="26"/>
          <w:szCs w:val="26"/>
        </w:rPr>
        <w:t>Brand Image Formation</w:t>
      </w:r>
    </w:p>
    <w:p w14:paraId="1EC1CA4F" w14:textId="77777777" w:rsidR="00E336C2" w:rsidRDefault="00000000">
      <w:pPr>
        <w:spacing w:before="240" w:after="240" w:line="360" w:lineRule="auto"/>
        <w:jc w:val="both"/>
        <w:rPr>
          <w:rFonts w:ascii="Arial" w:eastAsia="Arial" w:hAnsi="Arial" w:cs="Arial"/>
          <w:color w:val="000000"/>
          <w:sz w:val="24"/>
          <w:szCs w:val="24"/>
        </w:rPr>
      </w:pPr>
      <w:r>
        <w:rPr>
          <w:rFonts w:ascii="Arial" w:eastAsia="Arial" w:hAnsi="Arial" w:cs="Arial"/>
          <w:sz w:val="24"/>
          <w:szCs w:val="24"/>
        </w:rPr>
        <w:t>Sustainability initiatives also contribute to shaping brand image, which in turn strengthens consumer intention to purchase. This supports Green Marketing Theory by demonstrating that sustainability communication enhances symbolic brand value.</w:t>
      </w:r>
    </w:p>
    <w:p w14:paraId="0B7AE8F5"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Overall Theoretical Integration </w:t>
      </w:r>
    </w:p>
    <w:p w14:paraId="0547B196"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results presented in Chapter 4 confirm and further support various theoretical perspectives. Sustainability perception was demonstrated to have a positive correlation with brand trust and brand image, and a moderate correlation with purchase intention (correlation results). This shows that the process of shaping the consumer's behaviour is multi-layered in the sportswear industry, including attitudes, consumer trust and external constraints.</w:t>
      </w:r>
    </w:p>
    <w:p w14:paraId="2A746BE9"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This study thus adds to theory by bringing together the behavioural (TPB), ethical (Stakeholder Theory), consumption (Sustainable Consumption) and marketing (Green Marketing) perspectives in a single theoretical framework to explain consumer behaviour in the context of sustainability.</w:t>
      </w:r>
    </w:p>
    <w:p w14:paraId="4F5C87C2" w14:textId="77777777" w:rsidR="00E336C2" w:rsidRDefault="00000000">
      <w:pPr>
        <w:pStyle w:val="Heading2"/>
      </w:pPr>
      <w:bookmarkStart w:id="68" w:name="_ewzir5q94gk" w:colFirst="0" w:colLast="0"/>
      <w:bookmarkEnd w:id="68"/>
      <w:r>
        <w:t>5.2 Managerial Implications</w:t>
      </w:r>
    </w:p>
    <w:p w14:paraId="2BD10D92"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The communication strategies for enhancing sustainability need to be improved.</w:t>
      </w:r>
    </w:p>
    <w:p w14:paraId="0E0269B1" w14:textId="77777777" w:rsidR="00E336C2" w:rsidRDefault="00000000">
      <w:pPr>
        <w:pStyle w:val="Heading3"/>
        <w:keepNext w:val="0"/>
        <w:keepLines w:val="0"/>
        <w:spacing w:before="280" w:line="360" w:lineRule="auto"/>
        <w:jc w:val="both"/>
        <w:rPr>
          <w:sz w:val="26"/>
          <w:szCs w:val="26"/>
        </w:rPr>
      </w:pPr>
      <w:bookmarkStart w:id="69" w:name="_ueciy54skuy8" w:colFirst="0" w:colLast="0"/>
      <w:bookmarkEnd w:id="69"/>
      <w:r>
        <w:rPr>
          <w:sz w:val="26"/>
          <w:szCs w:val="26"/>
        </w:rPr>
        <w:t>1. Transparency Through Digital Technology</w:t>
      </w:r>
    </w:p>
    <w:p w14:paraId="0D9D6200"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Managers should implement </w:t>
      </w:r>
      <w:r>
        <w:rPr>
          <w:rFonts w:ascii="Arial" w:eastAsia="Arial" w:hAnsi="Arial" w:cs="Arial"/>
          <w:b/>
          <w:bCs/>
          <w:sz w:val="24"/>
          <w:szCs w:val="24"/>
        </w:rPr>
        <w:t>QR-code-based transparency systems</w:t>
      </w:r>
      <w:r>
        <w:rPr>
          <w:rFonts w:ascii="Arial" w:eastAsia="Arial" w:hAnsi="Arial" w:cs="Arial"/>
          <w:sz w:val="24"/>
          <w:szCs w:val="24"/>
        </w:rPr>
        <w:t xml:space="preserve"> that allow consumers to trace product lifecycle information, including sourcing, manufacturing, and environmental impact. This reduces scepticism and strengthens authenticity.</w:t>
      </w:r>
    </w:p>
    <w:p w14:paraId="69C56467" w14:textId="77777777" w:rsidR="00E336C2" w:rsidRDefault="00000000">
      <w:pPr>
        <w:pStyle w:val="Heading3"/>
        <w:keepNext w:val="0"/>
        <w:keepLines w:val="0"/>
        <w:spacing w:before="280" w:line="360" w:lineRule="auto"/>
        <w:jc w:val="both"/>
        <w:rPr>
          <w:sz w:val="26"/>
          <w:szCs w:val="26"/>
        </w:rPr>
      </w:pPr>
      <w:bookmarkStart w:id="70" w:name="_xqrgenf3pe6w" w:colFirst="0" w:colLast="0"/>
      <w:bookmarkEnd w:id="70"/>
      <w:r>
        <w:rPr>
          <w:sz w:val="26"/>
          <w:szCs w:val="26"/>
        </w:rPr>
        <w:t>2. Carbon Footprint Disclosure</w:t>
      </w:r>
    </w:p>
    <w:p w14:paraId="54A9AB6B"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Companies like Adidas should integrate </w:t>
      </w:r>
      <w:r>
        <w:rPr>
          <w:rFonts w:ascii="Arial" w:eastAsia="Arial" w:hAnsi="Arial" w:cs="Arial"/>
          <w:b/>
          <w:bCs/>
          <w:sz w:val="24"/>
          <w:szCs w:val="24"/>
        </w:rPr>
        <w:t>lifecycle carbon labelling</w:t>
      </w:r>
      <w:r>
        <w:rPr>
          <w:rFonts w:ascii="Arial" w:eastAsia="Arial" w:hAnsi="Arial" w:cs="Arial"/>
          <w:sz w:val="24"/>
          <w:szCs w:val="24"/>
        </w:rPr>
        <w:t xml:space="preserve"> on products to communicate measurable sustainability performance rather than general claims.</w:t>
      </w:r>
    </w:p>
    <w:p w14:paraId="0C220636" w14:textId="77777777" w:rsidR="00E336C2" w:rsidRDefault="00000000">
      <w:pPr>
        <w:pStyle w:val="Heading3"/>
        <w:keepNext w:val="0"/>
        <w:keepLines w:val="0"/>
        <w:spacing w:before="280" w:line="360" w:lineRule="auto"/>
        <w:jc w:val="both"/>
        <w:rPr>
          <w:sz w:val="26"/>
          <w:szCs w:val="26"/>
        </w:rPr>
      </w:pPr>
      <w:bookmarkStart w:id="71" w:name="_3f8146cyc4vy" w:colFirst="0" w:colLast="0"/>
      <w:bookmarkEnd w:id="71"/>
      <w:r>
        <w:rPr>
          <w:sz w:val="26"/>
          <w:szCs w:val="26"/>
        </w:rPr>
        <w:t>3. Sustainable Product Segmentation</w:t>
      </w:r>
    </w:p>
    <w:p w14:paraId="1054ED08"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Firms should develop distinct product lines:</w:t>
      </w:r>
    </w:p>
    <w:p w14:paraId="25161437" w14:textId="77777777" w:rsidR="00E336C2" w:rsidRDefault="00000000">
      <w:pPr>
        <w:numPr>
          <w:ilvl w:val="0"/>
          <w:numId w:val="12"/>
        </w:numPr>
        <w:spacing w:before="240" w:after="0" w:line="360" w:lineRule="auto"/>
        <w:rPr>
          <w:rFonts w:ascii="Arial" w:eastAsia="Arial" w:hAnsi="Arial" w:cs="Arial"/>
          <w:sz w:val="24"/>
          <w:szCs w:val="24"/>
        </w:rPr>
      </w:pPr>
      <w:r>
        <w:rPr>
          <w:rFonts w:ascii="Arial" w:eastAsia="Arial" w:hAnsi="Arial" w:cs="Arial"/>
          <w:sz w:val="24"/>
          <w:szCs w:val="24"/>
        </w:rPr>
        <w:t>Premium sustainable products</w:t>
      </w:r>
    </w:p>
    <w:p w14:paraId="5B124052" w14:textId="77777777" w:rsidR="00E336C2" w:rsidRDefault="00000000">
      <w:pPr>
        <w:numPr>
          <w:ilvl w:val="0"/>
          <w:numId w:val="12"/>
        </w:numPr>
        <w:spacing w:after="240" w:line="360" w:lineRule="auto"/>
        <w:rPr>
          <w:rFonts w:ascii="Arial" w:eastAsia="Arial" w:hAnsi="Arial" w:cs="Arial"/>
          <w:sz w:val="24"/>
          <w:szCs w:val="24"/>
        </w:rPr>
      </w:pPr>
      <w:r>
        <w:rPr>
          <w:rFonts w:ascii="Arial" w:eastAsia="Arial" w:hAnsi="Arial" w:cs="Arial"/>
          <w:sz w:val="24"/>
          <w:szCs w:val="24"/>
        </w:rPr>
        <w:t>Affordable eco-conscious ranges</w:t>
      </w:r>
      <w:r>
        <w:rPr>
          <w:rFonts w:ascii="Arial" w:eastAsia="Arial" w:hAnsi="Arial" w:cs="Arial"/>
          <w:sz w:val="24"/>
          <w:szCs w:val="24"/>
        </w:rPr>
        <w:br/>
        <w:t xml:space="preserve"> This allows targeting both high and price-sensitive consumers.</w:t>
      </w:r>
    </w:p>
    <w:p w14:paraId="663A686C" w14:textId="77777777" w:rsidR="00E336C2" w:rsidRDefault="00000000">
      <w:pPr>
        <w:pStyle w:val="Heading3"/>
        <w:keepNext w:val="0"/>
        <w:keepLines w:val="0"/>
        <w:spacing w:before="280" w:line="360" w:lineRule="auto"/>
        <w:jc w:val="both"/>
        <w:rPr>
          <w:sz w:val="26"/>
          <w:szCs w:val="26"/>
        </w:rPr>
      </w:pPr>
      <w:bookmarkStart w:id="72" w:name="_jd8khoqnmw3k" w:colFirst="0" w:colLast="0"/>
      <w:bookmarkEnd w:id="72"/>
      <w:r>
        <w:rPr>
          <w:sz w:val="26"/>
          <w:szCs w:val="26"/>
        </w:rPr>
        <w:t>4. Gen Z Targeted Sustainability Campaigns</w:t>
      </w:r>
    </w:p>
    <w:p w14:paraId="69C4E0E2"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Marketing strategies should focus on Gen Z consumers using:</w:t>
      </w:r>
    </w:p>
    <w:p w14:paraId="40F41C49" w14:textId="77777777" w:rsidR="00E336C2" w:rsidRDefault="00000000">
      <w:pPr>
        <w:numPr>
          <w:ilvl w:val="0"/>
          <w:numId w:val="11"/>
        </w:numPr>
        <w:spacing w:before="240" w:after="0" w:line="360" w:lineRule="auto"/>
        <w:rPr>
          <w:rFonts w:ascii="Arial" w:eastAsia="Arial" w:hAnsi="Arial" w:cs="Arial"/>
          <w:sz w:val="24"/>
          <w:szCs w:val="24"/>
        </w:rPr>
      </w:pPr>
      <w:r>
        <w:rPr>
          <w:rFonts w:ascii="Arial" w:eastAsia="Arial" w:hAnsi="Arial" w:cs="Arial"/>
          <w:sz w:val="24"/>
          <w:szCs w:val="24"/>
        </w:rPr>
        <w:t>social media storytelling</w:t>
      </w:r>
    </w:p>
    <w:p w14:paraId="6FEE02B8" w14:textId="77777777" w:rsidR="00E336C2" w:rsidRDefault="00000000">
      <w:pPr>
        <w:numPr>
          <w:ilvl w:val="0"/>
          <w:numId w:val="11"/>
        </w:numPr>
        <w:spacing w:after="0" w:line="360" w:lineRule="auto"/>
        <w:rPr>
          <w:rFonts w:ascii="Arial" w:eastAsia="Arial" w:hAnsi="Arial" w:cs="Arial"/>
          <w:sz w:val="24"/>
          <w:szCs w:val="24"/>
        </w:rPr>
      </w:pPr>
      <w:r>
        <w:rPr>
          <w:rFonts w:ascii="Arial" w:eastAsia="Arial" w:hAnsi="Arial" w:cs="Arial"/>
          <w:sz w:val="24"/>
          <w:szCs w:val="24"/>
        </w:rPr>
        <w:t>influencer partnerships</w:t>
      </w:r>
    </w:p>
    <w:p w14:paraId="18EB43C2" w14:textId="77777777" w:rsidR="00E336C2" w:rsidRDefault="00000000">
      <w:pPr>
        <w:numPr>
          <w:ilvl w:val="0"/>
          <w:numId w:val="11"/>
        </w:numPr>
        <w:spacing w:after="240" w:line="360" w:lineRule="auto"/>
        <w:rPr>
          <w:rFonts w:ascii="Arial" w:eastAsia="Arial" w:hAnsi="Arial" w:cs="Arial"/>
          <w:sz w:val="24"/>
          <w:szCs w:val="24"/>
        </w:rPr>
      </w:pPr>
      <w:r>
        <w:rPr>
          <w:rFonts w:ascii="Arial" w:eastAsia="Arial" w:hAnsi="Arial" w:cs="Arial"/>
          <w:sz w:val="24"/>
          <w:szCs w:val="24"/>
        </w:rPr>
        <w:t>short-form sustainability content</w:t>
      </w:r>
      <w:r>
        <w:rPr>
          <w:rFonts w:ascii="Arial" w:eastAsia="Arial" w:hAnsi="Arial" w:cs="Arial"/>
          <w:sz w:val="24"/>
          <w:szCs w:val="24"/>
        </w:rPr>
        <w:br/>
        <w:t xml:space="preserve"> as this group shows higher environmental awareness and brand engagement.</w:t>
      </w:r>
    </w:p>
    <w:p w14:paraId="14932725" w14:textId="77777777" w:rsidR="00E336C2" w:rsidRDefault="00000000">
      <w:pPr>
        <w:pStyle w:val="Heading3"/>
        <w:keepNext w:val="0"/>
        <w:keepLines w:val="0"/>
        <w:spacing w:before="280" w:line="360" w:lineRule="auto"/>
        <w:jc w:val="both"/>
        <w:rPr>
          <w:sz w:val="26"/>
          <w:szCs w:val="26"/>
        </w:rPr>
      </w:pPr>
      <w:bookmarkStart w:id="73" w:name="_474ifk8tojk2" w:colFirst="0" w:colLast="0"/>
      <w:bookmarkEnd w:id="73"/>
      <w:r>
        <w:rPr>
          <w:sz w:val="26"/>
          <w:szCs w:val="26"/>
        </w:rPr>
        <w:t>5. Addressing ESG Competition</w:t>
      </w:r>
    </w:p>
    <w:p w14:paraId="6C517CB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As ESG branding becomes more competitive, firms must differentiate through </w:t>
      </w:r>
      <w:r>
        <w:rPr>
          <w:rFonts w:ascii="Arial" w:eastAsia="Arial" w:hAnsi="Arial" w:cs="Arial"/>
          <w:b/>
          <w:bCs/>
          <w:sz w:val="24"/>
          <w:szCs w:val="24"/>
        </w:rPr>
        <w:t>authentic sustainability performance rather than symbolic messaging</w:t>
      </w:r>
      <w:r>
        <w:rPr>
          <w:rFonts w:ascii="Arial" w:eastAsia="Arial" w:hAnsi="Arial" w:cs="Arial"/>
          <w:sz w:val="24"/>
          <w:szCs w:val="24"/>
        </w:rPr>
        <w:t>, reducing the risk of greenwashing.</w:t>
      </w:r>
    </w:p>
    <w:p w14:paraId="0D2AAD96"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Balancing Price and Sustainability</w:t>
      </w:r>
    </w:p>
    <w:p w14:paraId="39520805"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results also indicate that price remains a significant factor influencing purchase intention. This means that even when consumers value sustainability, affordability still </w:t>
      </w:r>
      <w:r>
        <w:rPr>
          <w:rFonts w:ascii="Arial" w:eastAsia="Arial" w:hAnsi="Arial" w:cs="Arial"/>
          <w:color w:val="000000"/>
          <w:sz w:val="24"/>
          <w:szCs w:val="24"/>
        </w:rPr>
        <w:lastRenderedPageBreak/>
        <w:t>plays a critical role in decision-making. Therefore, managers must balance sustainability initiatives with competitive pricing strategies.</w:t>
      </w:r>
    </w:p>
    <w:p w14:paraId="1B0A67F5"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Offering affordable sustainable product lines or value-based pricing strategies can help widen market reach. This ensures that sustainability does not become limited to premium consumers only, thereby improving accessibility and market penetration.</w:t>
      </w:r>
    </w:p>
    <w:p w14:paraId="7942E80F"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Overall Managerial Insight</w:t>
      </w:r>
    </w:p>
    <w:p w14:paraId="16CD8149" w14:textId="77777777" w:rsidR="00E336C2" w:rsidRDefault="00000000">
      <w:pPr>
        <w:pBdr>
          <w:top w:val="nil"/>
          <w:left w:val="nil"/>
          <w:bottom w:val="nil"/>
          <w:right w:val="nil"/>
          <w:between w:val="nil"/>
        </w:pBdr>
        <w:spacing w:before="280" w:after="280" w:line="360" w:lineRule="auto"/>
        <w:jc w:val="both"/>
        <w:rPr>
          <w:rFonts w:ascii="Arial" w:eastAsia="Arial" w:hAnsi="Arial" w:cs="Arial"/>
          <w:sz w:val="24"/>
          <w:szCs w:val="24"/>
        </w:rPr>
      </w:pPr>
      <w:r>
        <w:rPr>
          <w:rFonts w:ascii="Arial" w:eastAsia="Arial" w:hAnsi="Arial" w:cs="Arial"/>
          <w:color w:val="000000"/>
          <w:sz w:val="24"/>
          <w:szCs w:val="24"/>
        </w:rPr>
        <w:t>Overall, the findings suggest that sustainability should be treated as a strategic business driver rather than a standalone initiative. By integrating sustainability with product value, trust-building communication, targeted marketing, and pricing strategies, organisations like Adidas can strengthen consumer perception and enhance competitive advantage in the sportswear industry.</w:t>
      </w:r>
    </w:p>
    <w:p w14:paraId="64E58E7B" w14:textId="77777777" w:rsidR="00E336C2" w:rsidRDefault="00000000">
      <w:pPr>
        <w:pStyle w:val="Heading2"/>
      </w:pPr>
      <w:bookmarkStart w:id="74" w:name="_9lxfvrk4zc5w" w:colFirst="0" w:colLast="0"/>
      <w:bookmarkEnd w:id="74"/>
      <w:r>
        <w:t>5.4 Limitations</w:t>
      </w:r>
    </w:p>
    <w:p w14:paraId="5597F107"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Although this study offers important knowledge into the relationship between sustainability initiatives and consumer perception in the sportswear industry, it is important to note several limitations when interpreting the findings.</w:t>
      </w:r>
    </w:p>
    <w:p w14:paraId="41068C69"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5.4.1 Sample Size and Representativeness.</w:t>
      </w:r>
    </w:p>
    <w:p w14:paraId="33455D14"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 relatively small size (50-100 respondents) of the sample is one of the main limitations of this study. Though this size is adequate </w:t>
      </w:r>
      <w:proofErr w:type="gramStart"/>
      <w:r>
        <w:rPr>
          <w:rFonts w:ascii="Arial" w:eastAsia="Arial" w:hAnsi="Arial" w:cs="Arial"/>
          <w:color w:val="000000"/>
          <w:sz w:val="24"/>
          <w:szCs w:val="24"/>
        </w:rPr>
        <w:t>in order to</w:t>
      </w:r>
      <w:proofErr w:type="gramEnd"/>
      <w:r>
        <w:rPr>
          <w:rFonts w:ascii="Arial" w:eastAsia="Arial" w:hAnsi="Arial" w:cs="Arial"/>
          <w:color w:val="000000"/>
          <w:sz w:val="24"/>
          <w:szCs w:val="24"/>
        </w:rPr>
        <w:t xml:space="preserve"> do simple statistical analysis, it might not be representative of the rest of the population of sportswear consumers. Also, convenience sampling reduces the ability to generalise the findings since the respondents were not chosen randomly but decided upon by their accessibility. Consequently, the sample can be skewed towards some demographic groups, more specifically younger and more digitally active people.</w:t>
      </w:r>
    </w:p>
    <w:p w14:paraId="0710A64E"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5.4.2 Geographic and Contextual Limitations</w:t>
      </w:r>
    </w:p>
    <w:p w14:paraId="24C8B03D"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research is also confined to a certain geographical setting which might affect the consumer perception of sustainability. Attitudes towards sustainability and purchasing behaviour can be greatly influenced by cultural, economic and social factors. Thus, </w:t>
      </w:r>
      <w:r>
        <w:rPr>
          <w:rFonts w:ascii="Arial" w:eastAsia="Arial" w:hAnsi="Arial" w:cs="Arial"/>
          <w:color w:val="000000"/>
          <w:sz w:val="24"/>
          <w:szCs w:val="24"/>
        </w:rPr>
        <w:lastRenderedPageBreak/>
        <w:t>the results cannot be necessarily generalized to consumers in other regions or markets with varied awareness and priorities on issues of the environment.</w:t>
      </w:r>
    </w:p>
    <w:p w14:paraId="421DECF3"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5.4.3 Dependence on Self-Reported Data.</w:t>
      </w:r>
    </w:p>
    <w:p w14:paraId="1118097C"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study is based on self-reported survey information, which can create bias in responding. The participants can give socially desirable responses especially when answering questions based on sustainability and environmental responsibility. This may result in an exaggeration of positive attitudes to sustainable products and brands, which is often found in the studies of consumer behaviour (Joshi and Rahman, 2023).</w:t>
      </w:r>
    </w:p>
    <w:p w14:paraId="6230A067"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5.4.4 Cross-Sectional Research Design</w:t>
      </w:r>
    </w:p>
    <w:p w14:paraId="7E867EC2"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cross-sectional research design used implies that data were only collected at one point in time. Consequently, the research fails to realise the variations in consumer perception or behaviour with time. The attitudes to sustainability can change under the influence of external factors, which include market trends, economic conditions, or the greater environmental awareness. The longitudinal approach would give more insight into these dynamic changes.</w:t>
      </w:r>
    </w:p>
    <w:p w14:paraId="08B9D589" w14:textId="77777777" w:rsidR="00E336C2" w:rsidRDefault="00000000">
      <w:pPr>
        <w:pBdr>
          <w:top w:val="nil"/>
          <w:left w:val="nil"/>
          <w:bottom w:val="nil"/>
          <w:right w:val="nil"/>
          <w:between w:val="nil"/>
        </w:pBdr>
        <w:spacing w:before="280" w:after="28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5.4.5 limited number of variables.</w:t>
      </w:r>
    </w:p>
    <w:p w14:paraId="5C41A263"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Though the study is based on the perception of sustainability, brand trust, brand image, and purchase intention, all possible variables that impact consumer behaviour are not covered in the study. Individual values, the familiarity of the environment, the level of income, and cultural factors were not investigated thoroughly. Also, although </w:t>
      </w:r>
    </w:p>
    <w:p w14:paraId="5CFFA3F4"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All these restrictions provide a clue that the study does provide valuable information, yet the results need to be viewed with some scepticism. </w:t>
      </w:r>
    </w:p>
    <w:p w14:paraId="5641A85F" w14:textId="77777777" w:rsidR="00E336C2" w:rsidRDefault="00000000">
      <w:pPr>
        <w:pStyle w:val="Heading2"/>
      </w:pPr>
      <w:bookmarkStart w:id="75" w:name="_sp96z9lqagq1" w:colFirst="0" w:colLast="0"/>
      <w:bookmarkEnd w:id="75"/>
      <w:r>
        <w:t>5.5 Future Research</w:t>
      </w:r>
    </w:p>
    <w:p w14:paraId="2FE53175"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Future research should expand on this study by addressing its limitations and exploring new areas. First, larger and more diverse samples across different countries and cultures could improve the generalisability of findings and allow cross-cultural comparisons of sustainability perception in the sportswear industry (Kumar et al., 2024).</w:t>
      </w:r>
    </w:p>
    <w:p w14:paraId="06A73365"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Second, longitudinal studies are recommended to examine how consumer perceptions of sustainability change over time, especially as environmental awareness and corporate sustainability strategies continue to evolve (White et al., 2023). This would provide deeper insight into long-term behavioural trends rather than single-time observations.</w:t>
      </w:r>
    </w:p>
    <w:p w14:paraId="576B4DA8"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Third, future studies could include additional variables such as environmental knowledge, income level, personal values, and cultural factors. These variables may help explain differences in consumer decision-making and improve the explanatory power of existing models. Moderating factors such as price sensitivity and perceived product quality should also be examined.</w:t>
      </w:r>
    </w:p>
    <w:p w14:paraId="4A8F0710"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Fourth, more advanced statistical techniques such as Structural Equation Modelling (SEM) could be used to analyse complex relationships between sustainability perception, trust, brand image, and purchase intention.</w:t>
      </w:r>
    </w:p>
    <w:p w14:paraId="6C0ED344"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Finally, future research could compare multiple sportswear brands rather than focusing only on Adidas. Qualitative methods such as interviews or focus groups could also be used to gain deeper insight into consumer motivations and the attitude–behaviour gap in sustainable consumption.</w:t>
      </w:r>
    </w:p>
    <w:p w14:paraId="0FCBCB78" w14:textId="77777777" w:rsidR="00E336C2"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Overall, future research should adopt more comprehensive and mixed-method approaches to better understand sustainability-driven consumer behaviour.</w:t>
      </w:r>
    </w:p>
    <w:p w14:paraId="18498680" w14:textId="77777777" w:rsidR="00E336C2" w:rsidRDefault="00000000">
      <w:pPr>
        <w:pStyle w:val="Heading2"/>
        <w:keepNext w:val="0"/>
        <w:keepLines w:val="0"/>
        <w:spacing w:before="360" w:line="360" w:lineRule="auto"/>
        <w:jc w:val="both"/>
        <w:rPr>
          <w:sz w:val="34"/>
          <w:szCs w:val="34"/>
        </w:rPr>
      </w:pPr>
      <w:bookmarkStart w:id="76" w:name="_9i31japg0vd9" w:colFirst="0" w:colLast="0"/>
      <w:bookmarkEnd w:id="76"/>
      <w:r>
        <w:rPr>
          <w:sz w:val="34"/>
          <w:szCs w:val="34"/>
        </w:rPr>
        <w:t>5.6 Strategic Insights</w:t>
      </w:r>
    </w:p>
    <w:p w14:paraId="57B9900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findings highlight several broader strategic challenges.</w:t>
      </w:r>
    </w:p>
    <w:p w14:paraId="04D81B5E" w14:textId="77777777" w:rsidR="00E336C2" w:rsidRDefault="00000000">
      <w:pPr>
        <w:pStyle w:val="Heading3"/>
        <w:keepNext w:val="0"/>
        <w:keepLines w:val="0"/>
        <w:spacing w:before="280" w:line="360" w:lineRule="auto"/>
        <w:jc w:val="both"/>
        <w:rPr>
          <w:sz w:val="26"/>
          <w:szCs w:val="26"/>
        </w:rPr>
      </w:pPr>
      <w:bookmarkStart w:id="77" w:name="_95x6pfdc2iao" w:colFirst="0" w:colLast="0"/>
      <w:bookmarkEnd w:id="77"/>
      <w:r>
        <w:rPr>
          <w:sz w:val="26"/>
          <w:szCs w:val="26"/>
        </w:rPr>
        <w:t>Sustainability Fatigue</w:t>
      </w:r>
    </w:p>
    <w:p w14:paraId="719E940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Consumers are increasingly exposed to sustainability messaging, which can lead to </w:t>
      </w:r>
      <w:r>
        <w:rPr>
          <w:rFonts w:ascii="Arial" w:eastAsia="Arial" w:hAnsi="Arial" w:cs="Arial"/>
          <w:b/>
          <w:bCs/>
          <w:sz w:val="24"/>
          <w:szCs w:val="24"/>
        </w:rPr>
        <w:t>sustainability fatigue</w:t>
      </w:r>
      <w:r>
        <w:rPr>
          <w:rFonts w:ascii="Arial" w:eastAsia="Arial" w:hAnsi="Arial" w:cs="Arial"/>
          <w:sz w:val="24"/>
          <w:szCs w:val="24"/>
        </w:rPr>
        <w:t>, reducing attention and credibility of marketing claims.</w:t>
      </w:r>
    </w:p>
    <w:p w14:paraId="6BA2ABAF" w14:textId="77777777" w:rsidR="00E336C2" w:rsidRDefault="00000000">
      <w:pPr>
        <w:pStyle w:val="Heading3"/>
        <w:keepNext w:val="0"/>
        <w:keepLines w:val="0"/>
        <w:spacing w:before="280" w:line="360" w:lineRule="auto"/>
        <w:jc w:val="both"/>
        <w:rPr>
          <w:sz w:val="26"/>
          <w:szCs w:val="26"/>
        </w:rPr>
      </w:pPr>
      <w:bookmarkStart w:id="78" w:name="_1ev67hszyqf5" w:colFirst="0" w:colLast="0"/>
      <w:bookmarkEnd w:id="78"/>
      <w:r>
        <w:rPr>
          <w:sz w:val="26"/>
          <w:szCs w:val="26"/>
        </w:rPr>
        <w:t>Authenticity Risk</w:t>
      </w:r>
    </w:p>
    <w:p w14:paraId="5AA1473E"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Brands that exaggerate sustainability performance risk damaging trust. This makes authenticity and verifiable reporting critical.</w:t>
      </w:r>
    </w:p>
    <w:p w14:paraId="7836FA4D" w14:textId="77777777" w:rsidR="00E336C2" w:rsidRDefault="00000000">
      <w:pPr>
        <w:pStyle w:val="Heading3"/>
        <w:keepNext w:val="0"/>
        <w:keepLines w:val="0"/>
        <w:spacing w:before="280" w:line="360" w:lineRule="auto"/>
        <w:jc w:val="both"/>
        <w:rPr>
          <w:sz w:val="26"/>
          <w:szCs w:val="26"/>
        </w:rPr>
      </w:pPr>
      <w:bookmarkStart w:id="79" w:name="_jpcqorjlvi0f" w:colFirst="0" w:colLast="0"/>
      <w:bookmarkEnd w:id="79"/>
      <w:r>
        <w:rPr>
          <w:sz w:val="26"/>
          <w:szCs w:val="26"/>
        </w:rPr>
        <w:t>ESG Competition</w:t>
      </w:r>
    </w:p>
    <w:p w14:paraId="702D4193"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sportswear industry is becoming highly competitive in ESG positioning. Brands are now competing not only on price and quality but also on environmental credibility and transparency.</w:t>
      </w:r>
    </w:p>
    <w:p w14:paraId="133989EF" w14:textId="77777777" w:rsidR="00E336C2" w:rsidRDefault="00000000">
      <w:pPr>
        <w:pStyle w:val="Heading2"/>
        <w:keepNext w:val="0"/>
        <w:keepLines w:val="0"/>
        <w:spacing w:before="360" w:line="360" w:lineRule="auto"/>
        <w:jc w:val="both"/>
        <w:rPr>
          <w:sz w:val="34"/>
          <w:szCs w:val="34"/>
        </w:rPr>
      </w:pPr>
      <w:bookmarkStart w:id="80" w:name="_5r4451t7dii9" w:colFirst="0" w:colLast="0"/>
      <w:bookmarkEnd w:id="80"/>
      <w:r>
        <w:rPr>
          <w:sz w:val="34"/>
          <w:szCs w:val="34"/>
        </w:rPr>
        <w:t xml:space="preserve">5.7 Final Conclusion </w:t>
      </w:r>
    </w:p>
    <w:p w14:paraId="216D4E19"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 conclusion, this study demonstrates that sustainability initiatives have a significant but indirect influence on consumer purchasing behaviour in the sportswear industry. Their effectiveness depends largely on the extent to which they build brand trust and enhance brand image rather than directly driving purchase decisions.</w:t>
      </w:r>
    </w:p>
    <w:p w14:paraId="7959D85D"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From a broader perspective, sustainability is no longer a purely ethical or environmental concern but a strategic business factor that influences brand positioning and competitive advantage. However, its impact is conditional and mediated by psychological and market factors.</w:t>
      </w:r>
    </w:p>
    <w:p w14:paraId="06CE6C56" w14:textId="77777777" w:rsidR="00E336C2"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study provides important implications for both academia and industry by showing that sustainable consumption cannot be understood without considering trust mechanisms, behavioural psychology, and market constraints. Future industry development will increasingly depend on how effectively brands integrate authentic sustainability practices into their core value proposition rather than treating sustainability as a marketing add-on.</w:t>
      </w:r>
    </w:p>
    <w:p w14:paraId="381EDF28" w14:textId="77777777" w:rsidR="00E336C2" w:rsidRDefault="00E336C2">
      <w:pPr>
        <w:spacing w:before="240" w:after="240" w:line="360" w:lineRule="auto"/>
        <w:jc w:val="both"/>
        <w:rPr>
          <w:rFonts w:ascii="Arial" w:eastAsia="Arial" w:hAnsi="Arial" w:cs="Arial"/>
          <w:sz w:val="24"/>
          <w:szCs w:val="24"/>
        </w:rPr>
      </w:pPr>
    </w:p>
    <w:p w14:paraId="1363D90D" w14:textId="77777777" w:rsidR="00E336C2" w:rsidRDefault="00E336C2">
      <w:pPr>
        <w:pBdr>
          <w:top w:val="nil"/>
          <w:left w:val="nil"/>
          <w:bottom w:val="nil"/>
          <w:right w:val="nil"/>
          <w:between w:val="nil"/>
        </w:pBdr>
        <w:spacing w:before="280" w:after="280" w:line="360" w:lineRule="auto"/>
        <w:jc w:val="both"/>
        <w:rPr>
          <w:rFonts w:ascii="Arial" w:eastAsia="Arial" w:hAnsi="Arial" w:cs="Arial"/>
          <w:sz w:val="24"/>
          <w:szCs w:val="24"/>
        </w:rPr>
      </w:pPr>
    </w:p>
    <w:p w14:paraId="788A8131" w14:textId="77777777" w:rsidR="00E336C2" w:rsidRDefault="00E336C2">
      <w:pPr>
        <w:pBdr>
          <w:top w:val="nil"/>
          <w:left w:val="nil"/>
          <w:bottom w:val="nil"/>
          <w:right w:val="nil"/>
          <w:between w:val="nil"/>
        </w:pBdr>
        <w:spacing w:before="280" w:after="280" w:line="360" w:lineRule="auto"/>
        <w:jc w:val="both"/>
        <w:rPr>
          <w:rFonts w:ascii="Arial" w:eastAsia="Arial" w:hAnsi="Arial" w:cs="Arial"/>
          <w:sz w:val="24"/>
          <w:szCs w:val="24"/>
        </w:rPr>
      </w:pPr>
    </w:p>
    <w:p w14:paraId="748B1ADA" w14:textId="77777777" w:rsidR="00E336C2" w:rsidRDefault="00E336C2">
      <w:pPr>
        <w:pBdr>
          <w:top w:val="nil"/>
          <w:left w:val="nil"/>
          <w:bottom w:val="nil"/>
          <w:right w:val="nil"/>
          <w:between w:val="nil"/>
        </w:pBdr>
        <w:spacing w:before="280" w:after="280" w:line="360" w:lineRule="auto"/>
        <w:jc w:val="both"/>
        <w:rPr>
          <w:rFonts w:ascii="Arial" w:eastAsia="Arial" w:hAnsi="Arial" w:cs="Arial"/>
          <w:sz w:val="24"/>
          <w:szCs w:val="24"/>
        </w:rPr>
      </w:pPr>
    </w:p>
    <w:p w14:paraId="17920653" w14:textId="77777777" w:rsidR="00E336C2" w:rsidRDefault="00E336C2">
      <w:pPr>
        <w:pBdr>
          <w:top w:val="nil"/>
          <w:left w:val="nil"/>
          <w:bottom w:val="nil"/>
          <w:right w:val="nil"/>
          <w:between w:val="nil"/>
        </w:pBdr>
        <w:spacing w:before="280" w:after="280" w:line="360" w:lineRule="auto"/>
        <w:jc w:val="both"/>
        <w:rPr>
          <w:rFonts w:ascii="Arial" w:eastAsia="Arial" w:hAnsi="Arial" w:cs="Arial"/>
          <w:sz w:val="24"/>
          <w:szCs w:val="24"/>
        </w:rPr>
      </w:pPr>
    </w:p>
    <w:p w14:paraId="58094BA2" w14:textId="77777777" w:rsidR="00E336C2" w:rsidRDefault="00E336C2">
      <w:pPr>
        <w:pBdr>
          <w:top w:val="nil"/>
          <w:left w:val="nil"/>
          <w:bottom w:val="nil"/>
          <w:right w:val="nil"/>
          <w:between w:val="nil"/>
        </w:pBdr>
        <w:spacing w:before="280" w:after="280" w:line="360" w:lineRule="auto"/>
        <w:jc w:val="both"/>
        <w:rPr>
          <w:rFonts w:ascii="Arial" w:eastAsia="Arial" w:hAnsi="Arial" w:cs="Arial"/>
          <w:sz w:val="24"/>
          <w:szCs w:val="24"/>
        </w:rPr>
      </w:pPr>
    </w:p>
    <w:p w14:paraId="77A76981" w14:textId="77777777" w:rsidR="00E336C2" w:rsidRDefault="00E336C2">
      <w:pPr>
        <w:pBdr>
          <w:top w:val="nil"/>
          <w:left w:val="nil"/>
          <w:bottom w:val="nil"/>
          <w:right w:val="nil"/>
          <w:between w:val="nil"/>
        </w:pBdr>
        <w:spacing w:before="280" w:after="280" w:line="360" w:lineRule="auto"/>
        <w:jc w:val="both"/>
        <w:rPr>
          <w:rFonts w:ascii="Arial" w:eastAsia="Arial" w:hAnsi="Arial" w:cs="Arial"/>
          <w:color w:val="000000"/>
          <w:sz w:val="24"/>
          <w:szCs w:val="24"/>
        </w:rPr>
      </w:pPr>
    </w:p>
    <w:p w14:paraId="6C876A07" w14:textId="77777777" w:rsidR="00E336C2" w:rsidRDefault="00000000">
      <w:pPr>
        <w:pStyle w:val="Heading1"/>
      </w:pPr>
      <w:bookmarkStart w:id="81" w:name="_z64pvh6p04w3" w:colFirst="0" w:colLast="0"/>
      <w:bookmarkEnd w:id="81"/>
      <w:r>
        <w:t>References</w:t>
      </w:r>
    </w:p>
    <w:p w14:paraId="21FB8B9A" w14:textId="77777777" w:rsidR="00E336C2" w:rsidRDefault="00000000">
      <w:pPr>
        <w:numPr>
          <w:ilvl w:val="0"/>
          <w:numId w:val="9"/>
        </w:numPr>
        <w:pBdr>
          <w:top w:val="nil"/>
          <w:left w:val="nil"/>
          <w:bottom w:val="nil"/>
          <w:right w:val="nil"/>
          <w:between w:val="nil"/>
        </w:pBdr>
        <w:spacing w:before="280"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Ajzen, I. (2021) Theory of Planned Behaviour updates. Available at: </w:t>
      </w:r>
      <w:hyperlink r:id="rId11">
        <w:r>
          <w:rPr>
            <w:rFonts w:ascii="Arial" w:eastAsia="Arial" w:hAnsi="Arial" w:cs="Arial"/>
            <w:color w:val="0000FF"/>
            <w:sz w:val="24"/>
            <w:szCs w:val="24"/>
            <w:u w:val="single"/>
          </w:rPr>
          <w:t>https://doi.org/10.1016/j.jbusres.2021.01.034</w:t>
        </w:r>
      </w:hyperlink>
      <w:r>
        <w:rPr>
          <w:rFonts w:ascii="Arial" w:eastAsia="Arial" w:hAnsi="Arial" w:cs="Arial"/>
          <w:color w:val="000000"/>
          <w:sz w:val="24"/>
          <w:szCs w:val="24"/>
        </w:rPr>
        <w:t xml:space="preserve"> (Accessed: 4 May 2026). </w:t>
      </w:r>
    </w:p>
    <w:p w14:paraId="4A274C91"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Deloitte (2024) Sustainable consumer trends report 2024. Available at: </w:t>
      </w:r>
      <w:hyperlink r:id="rId12">
        <w:r>
          <w:rPr>
            <w:rFonts w:ascii="Arial" w:eastAsia="Arial" w:hAnsi="Arial" w:cs="Arial"/>
            <w:color w:val="0000FF"/>
            <w:sz w:val="24"/>
            <w:szCs w:val="24"/>
            <w:u w:val="single"/>
          </w:rPr>
          <w:t>https://www2.deloitte.com/global/en/pages/consumer-business/articles/sustainable-consumer.html</w:t>
        </w:r>
      </w:hyperlink>
      <w:r>
        <w:rPr>
          <w:rFonts w:ascii="Arial" w:eastAsia="Arial" w:hAnsi="Arial" w:cs="Arial"/>
          <w:color w:val="000000"/>
          <w:sz w:val="24"/>
          <w:szCs w:val="24"/>
        </w:rPr>
        <w:t xml:space="preserve"> (Accessed: 4 May 2026). </w:t>
      </w:r>
    </w:p>
    <w:p w14:paraId="60B1244D"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Delmas, M. and Burbano, V. (2022) The drivers of greenwashing. Available at: </w:t>
      </w:r>
      <w:hyperlink r:id="rId13">
        <w:r>
          <w:rPr>
            <w:rFonts w:ascii="Arial" w:eastAsia="Arial" w:hAnsi="Arial" w:cs="Arial"/>
            <w:color w:val="0000FF"/>
            <w:sz w:val="24"/>
            <w:szCs w:val="24"/>
            <w:u w:val="single"/>
          </w:rPr>
          <w:t>https://doi.org/10.1002/bse.2920</w:t>
        </w:r>
      </w:hyperlink>
      <w:r>
        <w:rPr>
          <w:rFonts w:ascii="Arial" w:eastAsia="Arial" w:hAnsi="Arial" w:cs="Arial"/>
          <w:color w:val="000000"/>
          <w:sz w:val="24"/>
          <w:szCs w:val="24"/>
        </w:rPr>
        <w:t xml:space="preserve"> (Accessed: 4 May 2026). </w:t>
      </w:r>
    </w:p>
    <w:p w14:paraId="06CA7EB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Fatma, M. and Rahman, Z. (2022) CSR and brand equity relationship. Available at: </w:t>
      </w:r>
      <w:hyperlink r:id="rId14">
        <w:r>
          <w:rPr>
            <w:rFonts w:ascii="Arial" w:eastAsia="Arial" w:hAnsi="Arial" w:cs="Arial"/>
            <w:color w:val="0000FF"/>
            <w:sz w:val="24"/>
            <w:szCs w:val="24"/>
            <w:u w:val="single"/>
          </w:rPr>
          <w:t>https://doi.org/10.1108/JKM-2022-03-015</w:t>
        </w:r>
      </w:hyperlink>
      <w:r>
        <w:rPr>
          <w:rFonts w:ascii="Arial" w:eastAsia="Arial" w:hAnsi="Arial" w:cs="Arial"/>
          <w:color w:val="000000"/>
          <w:sz w:val="24"/>
          <w:szCs w:val="24"/>
        </w:rPr>
        <w:t xml:space="preserve"> (Accessed: 4 May 2026). </w:t>
      </w:r>
    </w:p>
    <w:p w14:paraId="216BAC57"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Freeman, R.E. et al. (2021) Stakeholder theory and modern business. Available at: </w:t>
      </w:r>
      <w:hyperlink r:id="rId15">
        <w:r>
          <w:rPr>
            <w:rFonts w:ascii="Arial" w:eastAsia="Arial" w:hAnsi="Arial" w:cs="Arial"/>
            <w:color w:val="0000FF"/>
            <w:sz w:val="24"/>
            <w:szCs w:val="24"/>
            <w:u w:val="single"/>
          </w:rPr>
          <w:t>https://doi.org/10.1017/CBO9780511815768</w:t>
        </w:r>
      </w:hyperlink>
      <w:r>
        <w:rPr>
          <w:rFonts w:ascii="Arial" w:eastAsia="Arial" w:hAnsi="Arial" w:cs="Arial"/>
          <w:color w:val="000000"/>
          <w:sz w:val="24"/>
          <w:szCs w:val="24"/>
        </w:rPr>
        <w:t xml:space="preserve"> (Accessed: 4 May 2026). </w:t>
      </w:r>
    </w:p>
    <w:p w14:paraId="3ABF3D21"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Joshi, Y. and Rahman, Z. (2023) Consumer green behaviour review. Available at: </w:t>
      </w:r>
      <w:hyperlink r:id="rId16">
        <w:r>
          <w:rPr>
            <w:rFonts w:ascii="Arial" w:eastAsia="Arial" w:hAnsi="Arial" w:cs="Arial"/>
            <w:color w:val="0000FF"/>
            <w:sz w:val="24"/>
            <w:szCs w:val="24"/>
            <w:u w:val="single"/>
          </w:rPr>
          <w:t>https://doi.org/10.1016/j.jbusres.2023.02.011</w:t>
        </w:r>
      </w:hyperlink>
      <w:r>
        <w:rPr>
          <w:rFonts w:ascii="Arial" w:eastAsia="Arial" w:hAnsi="Arial" w:cs="Arial"/>
          <w:color w:val="000000"/>
          <w:sz w:val="24"/>
          <w:szCs w:val="24"/>
        </w:rPr>
        <w:t xml:space="preserve"> (Accessed: 4 May 2026). </w:t>
      </w:r>
    </w:p>
    <w:p w14:paraId="5598E551"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Keller, K.L. (2022) Strategic brand management. Available at: </w:t>
      </w:r>
      <w:hyperlink r:id="rId17">
        <w:r>
          <w:rPr>
            <w:rFonts w:ascii="Arial" w:eastAsia="Arial" w:hAnsi="Arial" w:cs="Arial"/>
            <w:color w:val="0000FF"/>
            <w:sz w:val="24"/>
            <w:szCs w:val="24"/>
            <w:u w:val="single"/>
          </w:rPr>
          <w:t>https://www.pearson.com/en-us/subject-catalog/p/strategic-brand-management/P200000003293</w:t>
        </w:r>
      </w:hyperlink>
      <w:r>
        <w:rPr>
          <w:rFonts w:ascii="Arial" w:eastAsia="Arial" w:hAnsi="Arial" w:cs="Arial"/>
          <w:color w:val="000000"/>
          <w:sz w:val="24"/>
          <w:szCs w:val="24"/>
        </w:rPr>
        <w:t xml:space="preserve"> (Accessed: 4 May 2026). </w:t>
      </w:r>
    </w:p>
    <w:p w14:paraId="65A2357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 M. et al. (2024) Perceived sustainability in fashion consumption. Available at: </w:t>
      </w:r>
      <w:hyperlink r:id="rId18">
        <w:r>
          <w:rPr>
            <w:rFonts w:ascii="Arial" w:eastAsia="Arial" w:hAnsi="Arial" w:cs="Arial"/>
            <w:color w:val="0000FF"/>
            <w:sz w:val="24"/>
            <w:szCs w:val="24"/>
            <w:u w:val="single"/>
          </w:rPr>
          <w:t>https://www.nature.com/articles/s41598-024-80279-4</w:t>
        </w:r>
      </w:hyperlink>
      <w:r>
        <w:rPr>
          <w:rFonts w:ascii="Arial" w:eastAsia="Arial" w:hAnsi="Arial" w:cs="Arial"/>
          <w:color w:val="000000"/>
          <w:sz w:val="24"/>
          <w:szCs w:val="24"/>
        </w:rPr>
        <w:t xml:space="preserve"> (Accessed: 4 May 2026). </w:t>
      </w:r>
    </w:p>
    <w:p w14:paraId="1AE9ABF6"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Niinimäki, K. et al. (2022) Environmental impacts of fashion industry. Available at: </w:t>
      </w:r>
      <w:hyperlink r:id="rId19">
        <w:r>
          <w:rPr>
            <w:rFonts w:ascii="Arial" w:eastAsia="Arial" w:hAnsi="Arial" w:cs="Arial"/>
            <w:color w:val="0000FF"/>
            <w:sz w:val="24"/>
            <w:szCs w:val="24"/>
            <w:u w:val="single"/>
          </w:rPr>
          <w:t>https://doi.org/10.1038/s43017-022-00308-3</w:t>
        </w:r>
      </w:hyperlink>
      <w:r>
        <w:rPr>
          <w:rFonts w:ascii="Arial" w:eastAsia="Arial" w:hAnsi="Arial" w:cs="Arial"/>
          <w:color w:val="000000"/>
          <w:sz w:val="24"/>
          <w:szCs w:val="24"/>
        </w:rPr>
        <w:t xml:space="preserve"> (Accessed: 4 May 2026). </w:t>
      </w:r>
    </w:p>
    <w:p w14:paraId="1176C9C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Peattie, K. and Crane, A. (2021) Green marketing revisited. Available at: </w:t>
      </w:r>
      <w:hyperlink r:id="rId20">
        <w:r>
          <w:rPr>
            <w:rFonts w:ascii="Arial" w:eastAsia="Arial" w:hAnsi="Arial" w:cs="Arial"/>
            <w:color w:val="0000FF"/>
            <w:sz w:val="24"/>
            <w:szCs w:val="24"/>
            <w:u w:val="single"/>
          </w:rPr>
          <w:t>https://doi.org/10.1002/mar.21408</w:t>
        </w:r>
      </w:hyperlink>
      <w:r>
        <w:rPr>
          <w:rFonts w:ascii="Arial" w:eastAsia="Arial" w:hAnsi="Arial" w:cs="Arial"/>
          <w:color w:val="000000"/>
          <w:sz w:val="24"/>
          <w:szCs w:val="24"/>
        </w:rPr>
        <w:t xml:space="preserve"> (Accessed: 4 May 2026). </w:t>
      </w:r>
    </w:p>
    <w:p w14:paraId="15275666"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White, K., Habib, R. and Hardisty, D.J. (2022) How to shift sustainable consumer behaviour. Available at: </w:t>
      </w:r>
      <w:hyperlink r:id="rId21">
        <w:r>
          <w:rPr>
            <w:rFonts w:ascii="Arial" w:eastAsia="Arial" w:hAnsi="Arial" w:cs="Arial"/>
            <w:color w:val="0000FF"/>
            <w:sz w:val="24"/>
            <w:szCs w:val="24"/>
            <w:u w:val="single"/>
          </w:rPr>
          <w:t>https://doi.org/10.1038/s41558-021-01215-5</w:t>
        </w:r>
      </w:hyperlink>
      <w:r>
        <w:rPr>
          <w:rFonts w:ascii="Arial" w:eastAsia="Arial" w:hAnsi="Arial" w:cs="Arial"/>
          <w:color w:val="000000"/>
          <w:sz w:val="24"/>
          <w:szCs w:val="24"/>
        </w:rPr>
        <w:t xml:space="preserve"> (Accessed: 4 May 2026). </w:t>
      </w:r>
    </w:p>
    <w:p w14:paraId="212A33A4"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Scientific Reports (2025) Eco-conscious trainers sustainability study. Available at: </w:t>
      </w:r>
      <w:hyperlink r:id="rId22">
        <w:r>
          <w:rPr>
            <w:rFonts w:ascii="Arial" w:eastAsia="Arial" w:hAnsi="Arial" w:cs="Arial"/>
            <w:color w:val="0000FF"/>
            <w:sz w:val="24"/>
            <w:szCs w:val="24"/>
            <w:u w:val="single"/>
          </w:rPr>
          <w:t>https://www.nature.com/articles/s41598-025-04186-y</w:t>
        </w:r>
      </w:hyperlink>
      <w:r>
        <w:rPr>
          <w:rFonts w:ascii="Arial" w:eastAsia="Arial" w:hAnsi="Arial" w:cs="Arial"/>
          <w:color w:val="000000"/>
          <w:sz w:val="24"/>
          <w:szCs w:val="24"/>
        </w:rPr>
        <w:t xml:space="preserve"> (Accessed: 4 May 2026). </w:t>
      </w:r>
    </w:p>
    <w:p w14:paraId="6B0BD0F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Journal of Cleaner Production (2024) Drivers of sustainable fashion behaviour. Available at: </w:t>
      </w:r>
      <w:hyperlink r:id="rId23">
        <w:r>
          <w:rPr>
            <w:rFonts w:ascii="Arial" w:eastAsia="Arial" w:hAnsi="Arial" w:cs="Arial"/>
            <w:color w:val="0000FF"/>
            <w:sz w:val="24"/>
            <w:szCs w:val="24"/>
            <w:u w:val="single"/>
          </w:rPr>
          <w:t>https://doi.org/10.1016/j.jclepro.2024.144232</w:t>
        </w:r>
      </w:hyperlink>
      <w:r>
        <w:rPr>
          <w:rFonts w:ascii="Arial" w:eastAsia="Arial" w:hAnsi="Arial" w:cs="Arial"/>
          <w:color w:val="000000"/>
          <w:sz w:val="24"/>
          <w:szCs w:val="24"/>
        </w:rPr>
        <w:t xml:space="preserve"> (Accessed: 4 May 2026). </w:t>
      </w:r>
    </w:p>
    <w:p w14:paraId="3F5CDBB7"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Sicoli, G. et al. (2019) Adidas sustainability case study. Available at: </w:t>
      </w:r>
      <w:hyperlink r:id="rId24">
        <w:r>
          <w:rPr>
            <w:rFonts w:ascii="Arial" w:eastAsia="Arial" w:hAnsi="Arial" w:cs="Arial"/>
            <w:color w:val="0000FF"/>
            <w:sz w:val="24"/>
            <w:szCs w:val="24"/>
            <w:u w:val="single"/>
          </w:rPr>
          <w:t>https://www.researchgate.net/publication/333148316</w:t>
        </w:r>
      </w:hyperlink>
      <w:r>
        <w:rPr>
          <w:rFonts w:ascii="Arial" w:eastAsia="Arial" w:hAnsi="Arial" w:cs="Arial"/>
          <w:color w:val="000000"/>
          <w:sz w:val="24"/>
          <w:szCs w:val="24"/>
        </w:rPr>
        <w:t xml:space="preserve"> (Accessed: 4 May 2026). </w:t>
      </w:r>
    </w:p>
    <w:p w14:paraId="6865CDAD"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Feng, F. (2025) Circular economy in Adidas marketing strategy. Available at: </w:t>
      </w:r>
      <w:hyperlink r:id="rId25">
        <w:r>
          <w:rPr>
            <w:rFonts w:ascii="Arial" w:eastAsia="Arial" w:hAnsi="Arial" w:cs="Arial"/>
            <w:color w:val="0000FF"/>
            <w:sz w:val="24"/>
            <w:szCs w:val="24"/>
            <w:u w:val="single"/>
          </w:rPr>
          <w:t>https://doi.org/10.54254/2754-1169/2025.BJ30307</w:t>
        </w:r>
      </w:hyperlink>
      <w:r>
        <w:rPr>
          <w:rFonts w:ascii="Arial" w:eastAsia="Arial" w:hAnsi="Arial" w:cs="Arial"/>
          <w:color w:val="000000"/>
          <w:sz w:val="24"/>
          <w:szCs w:val="24"/>
        </w:rPr>
        <w:t xml:space="preserve"> (Accessed: 4 May 2026). </w:t>
      </w:r>
    </w:p>
    <w:p w14:paraId="249049A7"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Akter, A.Z. and Alam, M.Z. (2025) Sustainable fashion branding systematic review. Available at: </w:t>
      </w:r>
      <w:hyperlink r:id="rId26">
        <w:r>
          <w:rPr>
            <w:rFonts w:ascii="Arial" w:eastAsia="Arial" w:hAnsi="Arial" w:cs="Arial"/>
            <w:color w:val="0000FF"/>
            <w:sz w:val="24"/>
            <w:szCs w:val="24"/>
            <w:u w:val="single"/>
          </w:rPr>
          <w:t>https://doi.org/10.21203/rs.3.rs-8244998/v1</w:t>
        </w:r>
      </w:hyperlink>
      <w:r>
        <w:rPr>
          <w:rFonts w:ascii="Arial" w:eastAsia="Arial" w:hAnsi="Arial" w:cs="Arial"/>
          <w:color w:val="000000"/>
          <w:sz w:val="24"/>
          <w:szCs w:val="24"/>
        </w:rPr>
        <w:t xml:space="preserve"> (Accessed: 4 May 2026). </w:t>
      </w:r>
    </w:p>
    <w:p w14:paraId="4E66636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Adidas (2025) Sustainability progress report. Available at: </w:t>
      </w:r>
      <w:hyperlink r:id="rId27">
        <w:r>
          <w:rPr>
            <w:rFonts w:ascii="Arial" w:eastAsia="Arial" w:hAnsi="Arial" w:cs="Arial"/>
            <w:color w:val="0000FF"/>
            <w:sz w:val="24"/>
            <w:szCs w:val="24"/>
            <w:u w:val="single"/>
          </w:rPr>
          <w:t>https://www.adidas-group.com/en/sustainability/</w:t>
        </w:r>
      </w:hyperlink>
      <w:r>
        <w:rPr>
          <w:rFonts w:ascii="Arial" w:eastAsia="Arial" w:hAnsi="Arial" w:cs="Arial"/>
          <w:color w:val="000000"/>
          <w:sz w:val="24"/>
          <w:szCs w:val="24"/>
        </w:rPr>
        <w:t xml:space="preserve"> (Accessed: 4 May 2026). </w:t>
      </w:r>
    </w:p>
    <w:p w14:paraId="4900818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Adidas (2024) Annual report and ESG strategy. Available at: </w:t>
      </w:r>
      <w:hyperlink r:id="rId28">
        <w:r>
          <w:rPr>
            <w:rFonts w:ascii="Arial" w:eastAsia="Arial" w:hAnsi="Arial" w:cs="Arial"/>
            <w:color w:val="0000FF"/>
            <w:sz w:val="24"/>
            <w:szCs w:val="24"/>
            <w:u w:val="single"/>
          </w:rPr>
          <w:t>https://www.adidas-group.com/en/investors/annual-reports/</w:t>
        </w:r>
      </w:hyperlink>
      <w:r>
        <w:rPr>
          <w:rFonts w:ascii="Arial" w:eastAsia="Arial" w:hAnsi="Arial" w:cs="Arial"/>
          <w:color w:val="000000"/>
          <w:sz w:val="24"/>
          <w:szCs w:val="24"/>
        </w:rPr>
        <w:t xml:space="preserve"> (Accessed: 4 May 2026). </w:t>
      </w:r>
    </w:p>
    <w:p w14:paraId="3375A502"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McKinsey &amp; Company (2023) State of fashion sustainability. Available at: </w:t>
      </w:r>
      <w:hyperlink r:id="rId29">
        <w:r>
          <w:rPr>
            <w:rFonts w:ascii="Arial" w:eastAsia="Arial" w:hAnsi="Arial" w:cs="Arial"/>
            <w:color w:val="0000FF"/>
            <w:sz w:val="24"/>
            <w:szCs w:val="24"/>
            <w:u w:val="single"/>
          </w:rPr>
          <w:t>https://www.mckinsey.com/industries/retail/our-insights</w:t>
        </w:r>
      </w:hyperlink>
      <w:r>
        <w:rPr>
          <w:rFonts w:ascii="Arial" w:eastAsia="Arial" w:hAnsi="Arial" w:cs="Arial"/>
          <w:color w:val="000000"/>
          <w:sz w:val="24"/>
          <w:szCs w:val="24"/>
        </w:rPr>
        <w:t xml:space="preserve"> (Accessed: 4 May 2026). </w:t>
      </w:r>
    </w:p>
    <w:p w14:paraId="43480176"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Ellen MacArthur Foundation (2022) Circular economy in fashion. Available at: </w:t>
      </w:r>
      <w:hyperlink r:id="rId30">
        <w:r>
          <w:rPr>
            <w:rFonts w:ascii="Arial" w:eastAsia="Arial" w:hAnsi="Arial" w:cs="Arial"/>
            <w:color w:val="0000FF"/>
            <w:sz w:val="24"/>
            <w:szCs w:val="24"/>
            <w:u w:val="single"/>
          </w:rPr>
          <w:t>https://ellenmacarthurfoundation.org/fashion</w:t>
        </w:r>
      </w:hyperlink>
      <w:r>
        <w:rPr>
          <w:rFonts w:ascii="Arial" w:eastAsia="Arial" w:hAnsi="Arial" w:cs="Arial"/>
          <w:color w:val="000000"/>
          <w:sz w:val="24"/>
          <w:szCs w:val="24"/>
        </w:rPr>
        <w:t xml:space="preserve"> (Accessed: 4 May 2026). </w:t>
      </w:r>
    </w:p>
    <w:p w14:paraId="3C6CED80"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UN Environment Programme (2023) Sustainability in textiles. Available at: </w:t>
      </w:r>
      <w:hyperlink r:id="rId31">
        <w:r>
          <w:rPr>
            <w:rFonts w:ascii="Arial" w:eastAsia="Arial" w:hAnsi="Arial" w:cs="Arial"/>
            <w:color w:val="0000FF"/>
            <w:sz w:val="24"/>
            <w:szCs w:val="24"/>
            <w:u w:val="single"/>
          </w:rPr>
          <w:t>https://www.unep.org/resources</w:t>
        </w:r>
      </w:hyperlink>
      <w:r>
        <w:rPr>
          <w:rFonts w:ascii="Arial" w:eastAsia="Arial" w:hAnsi="Arial" w:cs="Arial"/>
          <w:color w:val="000000"/>
          <w:sz w:val="24"/>
          <w:szCs w:val="24"/>
        </w:rPr>
        <w:t xml:space="preserve"> (Accessed: 4 May 2026). </w:t>
      </w:r>
    </w:p>
    <w:p w14:paraId="39E014FA"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European Commission (2024) Sustainable textiles strategy. Available at: </w:t>
      </w:r>
      <w:hyperlink r:id="rId32">
        <w:r>
          <w:rPr>
            <w:rFonts w:ascii="Arial" w:eastAsia="Arial" w:hAnsi="Arial" w:cs="Arial"/>
            <w:color w:val="0000FF"/>
            <w:sz w:val="24"/>
            <w:szCs w:val="24"/>
            <w:u w:val="single"/>
          </w:rPr>
          <w:t>https://environment.ec.europa.eu</w:t>
        </w:r>
      </w:hyperlink>
      <w:r>
        <w:rPr>
          <w:rFonts w:ascii="Arial" w:eastAsia="Arial" w:hAnsi="Arial" w:cs="Arial"/>
          <w:color w:val="000000"/>
          <w:sz w:val="24"/>
          <w:szCs w:val="24"/>
        </w:rPr>
        <w:t xml:space="preserve"> (Accessed: 4 May 2026). </w:t>
      </w:r>
    </w:p>
    <w:p w14:paraId="64918D9D"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Statista (2024) Sportswear market sustainability trends. Available at: </w:t>
      </w:r>
      <w:hyperlink r:id="rId33">
        <w:r>
          <w:rPr>
            <w:rFonts w:ascii="Arial" w:eastAsia="Arial" w:hAnsi="Arial" w:cs="Arial"/>
            <w:color w:val="0000FF"/>
            <w:sz w:val="24"/>
            <w:szCs w:val="24"/>
            <w:u w:val="single"/>
          </w:rPr>
          <w:t>https://www.statista.com/topics/</w:t>
        </w:r>
      </w:hyperlink>
      <w:r>
        <w:rPr>
          <w:rFonts w:ascii="Arial" w:eastAsia="Arial" w:hAnsi="Arial" w:cs="Arial"/>
          <w:color w:val="000000"/>
          <w:sz w:val="24"/>
          <w:szCs w:val="24"/>
        </w:rPr>
        <w:t xml:space="preserve"> (Accessed: 4 May 2026). </w:t>
      </w:r>
    </w:p>
    <w:p w14:paraId="3EF2B53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Harvard Business Review (2022) Why consumers don’t buy sustainable products. Available at: </w:t>
      </w:r>
      <w:hyperlink r:id="rId34">
        <w:r>
          <w:rPr>
            <w:rFonts w:ascii="Arial" w:eastAsia="Arial" w:hAnsi="Arial" w:cs="Arial"/>
            <w:color w:val="0000FF"/>
            <w:sz w:val="24"/>
            <w:szCs w:val="24"/>
            <w:u w:val="single"/>
          </w:rPr>
          <w:t>https://hbr.org</w:t>
        </w:r>
      </w:hyperlink>
      <w:r>
        <w:rPr>
          <w:rFonts w:ascii="Arial" w:eastAsia="Arial" w:hAnsi="Arial" w:cs="Arial"/>
          <w:color w:val="000000"/>
          <w:sz w:val="24"/>
          <w:szCs w:val="24"/>
        </w:rPr>
        <w:t xml:space="preserve"> (Accessed: 4 May 2026). </w:t>
      </w:r>
    </w:p>
    <w:p w14:paraId="001F28D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Bloomberg (2023) Green marketing and corporate accountability. Available at: </w:t>
      </w:r>
      <w:hyperlink r:id="rId35">
        <w:r>
          <w:rPr>
            <w:rFonts w:ascii="Arial" w:eastAsia="Arial" w:hAnsi="Arial" w:cs="Arial"/>
            <w:color w:val="0000FF"/>
            <w:sz w:val="24"/>
            <w:szCs w:val="24"/>
            <w:u w:val="single"/>
          </w:rPr>
          <w:t>https://www.bloomberg.com/sustainability</w:t>
        </w:r>
      </w:hyperlink>
      <w:r>
        <w:rPr>
          <w:rFonts w:ascii="Arial" w:eastAsia="Arial" w:hAnsi="Arial" w:cs="Arial"/>
          <w:color w:val="000000"/>
          <w:sz w:val="24"/>
          <w:szCs w:val="24"/>
        </w:rPr>
        <w:t xml:space="preserve"> (Accessed: 4 May 2026). </w:t>
      </w:r>
    </w:p>
    <w:p w14:paraId="466EB7D7"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Kumar, P. et al. (2024) Sustainable consumption behaviour. Available at: https://doi.org/10.1016/j.jbusres.2024.113456 (Accessed: 4 May 2026). </w:t>
      </w:r>
    </w:p>
    <w:p w14:paraId="208F96FD"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Shen, B. et al. (2022) Sustainable fashion supply chain. Available at: https://doi.org/10.1016/j.fash.2022.100345 (Accessed: 4 May 2026). </w:t>
      </w:r>
    </w:p>
    <w:p w14:paraId="3FA02EA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Sogn-</w:t>
      </w:r>
      <w:proofErr w:type="spellStart"/>
      <w:r>
        <w:rPr>
          <w:rFonts w:ascii="Arial" w:eastAsia="Arial" w:hAnsi="Arial" w:cs="Arial"/>
          <w:color w:val="000000"/>
          <w:sz w:val="24"/>
          <w:szCs w:val="24"/>
        </w:rPr>
        <w:t>Grundvåg</w:t>
      </w:r>
      <w:proofErr w:type="spellEnd"/>
      <w:r>
        <w:rPr>
          <w:rFonts w:ascii="Arial" w:eastAsia="Arial" w:hAnsi="Arial" w:cs="Arial"/>
          <w:color w:val="000000"/>
          <w:sz w:val="24"/>
          <w:szCs w:val="24"/>
        </w:rPr>
        <w:t xml:space="preserve">, G. et al. (2022) Consumer trust in sustainability labels. Available at: https://doi.org/10.1016/j.foodqual.2022.104567 (Accessed: 4 May 2026). </w:t>
      </w:r>
    </w:p>
    <w:p w14:paraId="7F2A356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Hair, J.F. et al. (2022) Multivariate data analysis. Available at: </w:t>
      </w:r>
      <w:hyperlink r:id="rId36">
        <w:r>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4 May 2026). </w:t>
      </w:r>
    </w:p>
    <w:p w14:paraId="114F7282"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Saunders, M., Lewis, P. and Thornhill, A. (2023) Research methods for business students. Available at: </w:t>
      </w:r>
      <w:hyperlink r:id="rId37">
        <w:r>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4 May 2026). </w:t>
      </w:r>
    </w:p>
    <w:p w14:paraId="2FE8A0CC"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Bryman, A. (2022) Social research methods. Available at: </w:t>
      </w:r>
      <w:hyperlink r:id="rId38">
        <w:r>
          <w:rPr>
            <w:rFonts w:ascii="Arial" w:eastAsia="Arial" w:hAnsi="Arial" w:cs="Arial"/>
            <w:color w:val="0000FF"/>
            <w:sz w:val="24"/>
            <w:szCs w:val="24"/>
            <w:u w:val="single"/>
          </w:rPr>
          <w:t>https://global.oup.com</w:t>
        </w:r>
      </w:hyperlink>
      <w:r>
        <w:rPr>
          <w:rFonts w:ascii="Arial" w:eastAsia="Arial" w:hAnsi="Arial" w:cs="Arial"/>
          <w:color w:val="000000"/>
          <w:sz w:val="24"/>
          <w:szCs w:val="24"/>
        </w:rPr>
        <w:t xml:space="preserve"> (Accessed: 4 May 2026). </w:t>
      </w:r>
    </w:p>
    <w:p w14:paraId="0A6D751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Kautish</w:t>
      </w:r>
      <w:proofErr w:type="spellEnd"/>
      <w:r>
        <w:rPr>
          <w:rFonts w:ascii="Arial" w:eastAsia="Arial" w:hAnsi="Arial" w:cs="Arial"/>
          <w:color w:val="000000"/>
          <w:sz w:val="24"/>
          <w:szCs w:val="24"/>
        </w:rPr>
        <w:t xml:space="preserve">, P. and Sharma, R. (2021) Green purchase behaviour. Available at: https://doi.org/10.1016/j.jretconser.2021.102456 (Accessed: 4 May 2026). </w:t>
      </w:r>
    </w:p>
    <w:p w14:paraId="2432026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Kotler, P. et al. (2022) Marketing management. Available at: </w:t>
      </w:r>
      <w:hyperlink r:id="rId39">
        <w:r>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4 May 2026). </w:t>
      </w:r>
    </w:p>
    <w:p w14:paraId="2D92AD04"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Armstrong, G. and Kotler, P. (2021) Principles of marketing. Available at: </w:t>
      </w:r>
      <w:hyperlink r:id="rId40">
        <w:r>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4 May 2026). </w:t>
      </w:r>
    </w:p>
    <w:p w14:paraId="6F044180"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OECD (2023) Sustainable consumption policies. Available at: </w:t>
      </w:r>
      <w:hyperlink r:id="rId41">
        <w:r>
          <w:rPr>
            <w:rFonts w:ascii="Arial" w:eastAsia="Arial" w:hAnsi="Arial" w:cs="Arial"/>
            <w:color w:val="0000FF"/>
            <w:sz w:val="24"/>
            <w:szCs w:val="24"/>
            <w:u w:val="single"/>
          </w:rPr>
          <w:t>https://www.oecd.org</w:t>
        </w:r>
      </w:hyperlink>
      <w:r>
        <w:rPr>
          <w:rFonts w:ascii="Arial" w:eastAsia="Arial" w:hAnsi="Arial" w:cs="Arial"/>
          <w:color w:val="000000"/>
          <w:sz w:val="24"/>
          <w:szCs w:val="24"/>
        </w:rPr>
        <w:t xml:space="preserve"> (Accessed: 4 May 2026). </w:t>
      </w:r>
    </w:p>
    <w:p w14:paraId="1151BD8B"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World Bank (2024) Environmental sustainability report. Available at: </w:t>
      </w:r>
      <w:hyperlink r:id="rId42">
        <w:r>
          <w:rPr>
            <w:rFonts w:ascii="Arial" w:eastAsia="Arial" w:hAnsi="Arial" w:cs="Arial"/>
            <w:color w:val="0000FF"/>
            <w:sz w:val="24"/>
            <w:szCs w:val="24"/>
            <w:u w:val="single"/>
          </w:rPr>
          <w:t>https://www.worldbank.org</w:t>
        </w:r>
      </w:hyperlink>
      <w:r>
        <w:rPr>
          <w:rFonts w:ascii="Arial" w:eastAsia="Arial" w:hAnsi="Arial" w:cs="Arial"/>
          <w:color w:val="000000"/>
          <w:sz w:val="24"/>
          <w:szCs w:val="24"/>
        </w:rPr>
        <w:t xml:space="preserve"> (Accessed: 4 May 2026). </w:t>
      </w:r>
    </w:p>
    <w:p w14:paraId="07E142A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IMF (2023) Climate and economic sustainability. Available at: </w:t>
      </w:r>
      <w:hyperlink r:id="rId43">
        <w:r>
          <w:rPr>
            <w:rFonts w:ascii="Arial" w:eastAsia="Arial" w:hAnsi="Arial" w:cs="Arial"/>
            <w:color w:val="0000FF"/>
            <w:sz w:val="24"/>
            <w:szCs w:val="24"/>
            <w:u w:val="single"/>
          </w:rPr>
          <w:t>https://www.imf.org</w:t>
        </w:r>
      </w:hyperlink>
      <w:r>
        <w:rPr>
          <w:rFonts w:ascii="Arial" w:eastAsia="Arial" w:hAnsi="Arial" w:cs="Arial"/>
          <w:color w:val="000000"/>
          <w:sz w:val="24"/>
          <w:szCs w:val="24"/>
        </w:rPr>
        <w:t xml:space="preserve"> (Accessed: 4 May 2026). </w:t>
      </w:r>
    </w:p>
    <w:p w14:paraId="67C6F39B"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PwC (2024) ESG and consumer behaviour. Available at: </w:t>
      </w:r>
      <w:hyperlink r:id="rId44">
        <w:r>
          <w:rPr>
            <w:rFonts w:ascii="Arial" w:eastAsia="Arial" w:hAnsi="Arial" w:cs="Arial"/>
            <w:color w:val="0000FF"/>
            <w:sz w:val="24"/>
            <w:szCs w:val="24"/>
            <w:u w:val="single"/>
          </w:rPr>
          <w:t>https://www.pwc.com</w:t>
        </w:r>
      </w:hyperlink>
      <w:r>
        <w:rPr>
          <w:rFonts w:ascii="Arial" w:eastAsia="Arial" w:hAnsi="Arial" w:cs="Arial"/>
          <w:color w:val="000000"/>
          <w:sz w:val="24"/>
          <w:szCs w:val="24"/>
        </w:rPr>
        <w:t xml:space="preserve"> (Accessed: 4 May 2026). </w:t>
      </w:r>
    </w:p>
    <w:p w14:paraId="567C7393"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Accenture (2023) Consumer sustainability survey. Available at: </w:t>
      </w:r>
      <w:hyperlink r:id="rId45">
        <w:r>
          <w:rPr>
            <w:rFonts w:ascii="Arial" w:eastAsia="Arial" w:hAnsi="Arial" w:cs="Arial"/>
            <w:color w:val="0000FF"/>
            <w:sz w:val="24"/>
            <w:szCs w:val="24"/>
            <w:u w:val="single"/>
          </w:rPr>
          <w:t>https://www.accenture.com</w:t>
        </w:r>
      </w:hyperlink>
      <w:r>
        <w:rPr>
          <w:rFonts w:ascii="Arial" w:eastAsia="Arial" w:hAnsi="Arial" w:cs="Arial"/>
          <w:color w:val="000000"/>
          <w:sz w:val="24"/>
          <w:szCs w:val="24"/>
        </w:rPr>
        <w:t xml:space="preserve"> (Accessed: 4 May 2026). </w:t>
      </w:r>
    </w:p>
    <w:p w14:paraId="7F6AA850"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Bain &amp; Company (2024) Sustainability trends report. Available at: </w:t>
      </w:r>
      <w:hyperlink r:id="rId46">
        <w:r>
          <w:rPr>
            <w:rFonts w:ascii="Arial" w:eastAsia="Arial" w:hAnsi="Arial" w:cs="Arial"/>
            <w:color w:val="0000FF"/>
            <w:sz w:val="24"/>
            <w:szCs w:val="24"/>
            <w:u w:val="single"/>
          </w:rPr>
          <w:t>https://www.bain.com</w:t>
        </w:r>
      </w:hyperlink>
      <w:r>
        <w:rPr>
          <w:rFonts w:ascii="Arial" w:eastAsia="Arial" w:hAnsi="Arial" w:cs="Arial"/>
          <w:color w:val="000000"/>
          <w:sz w:val="24"/>
          <w:szCs w:val="24"/>
        </w:rPr>
        <w:t xml:space="preserve"> (Accessed: 4 May 2026). </w:t>
      </w:r>
    </w:p>
    <w:p w14:paraId="39C80411"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Forrester (2023) Green consumer insights. Available at: </w:t>
      </w:r>
      <w:hyperlink r:id="rId47">
        <w:r>
          <w:rPr>
            <w:rFonts w:ascii="Arial" w:eastAsia="Arial" w:hAnsi="Arial" w:cs="Arial"/>
            <w:color w:val="0000FF"/>
            <w:sz w:val="24"/>
            <w:szCs w:val="24"/>
            <w:u w:val="single"/>
          </w:rPr>
          <w:t>https://www.forrester.com</w:t>
        </w:r>
      </w:hyperlink>
      <w:r>
        <w:rPr>
          <w:rFonts w:ascii="Arial" w:eastAsia="Arial" w:hAnsi="Arial" w:cs="Arial"/>
          <w:color w:val="000000"/>
          <w:sz w:val="24"/>
          <w:szCs w:val="24"/>
        </w:rPr>
        <w:t xml:space="preserve"> (Accessed: 4 May 2026). </w:t>
      </w:r>
    </w:p>
    <w:p w14:paraId="4950D585"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lastRenderedPageBreak/>
        <w:t>NielsenIQ</w:t>
      </w:r>
      <w:proofErr w:type="spellEnd"/>
      <w:r>
        <w:rPr>
          <w:rFonts w:ascii="Arial" w:eastAsia="Arial" w:hAnsi="Arial" w:cs="Arial"/>
          <w:color w:val="000000"/>
          <w:sz w:val="24"/>
          <w:szCs w:val="24"/>
        </w:rPr>
        <w:t xml:space="preserve"> (2023) Sustainable shopping behaviour. Available at: </w:t>
      </w:r>
      <w:hyperlink r:id="rId48">
        <w:r>
          <w:rPr>
            <w:rFonts w:ascii="Arial" w:eastAsia="Arial" w:hAnsi="Arial" w:cs="Arial"/>
            <w:color w:val="0000FF"/>
            <w:sz w:val="24"/>
            <w:szCs w:val="24"/>
            <w:u w:val="single"/>
          </w:rPr>
          <w:t>https://nielseniq.com</w:t>
        </w:r>
      </w:hyperlink>
      <w:r>
        <w:rPr>
          <w:rFonts w:ascii="Arial" w:eastAsia="Arial" w:hAnsi="Arial" w:cs="Arial"/>
          <w:color w:val="000000"/>
          <w:sz w:val="24"/>
          <w:szCs w:val="24"/>
        </w:rPr>
        <w:t xml:space="preserve"> (Accessed: 4 May 2026). </w:t>
      </w:r>
    </w:p>
    <w:p w14:paraId="3D1C24E3"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WWF (2024) Environmental awareness report. Available at: </w:t>
      </w:r>
      <w:hyperlink r:id="rId49">
        <w:r>
          <w:rPr>
            <w:rFonts w:ascii="Arial" w:eastAsia="Arial" w:hAnsi="Arial" w:cs="Arial"/>
            <w:color w:val="0000FF"/>
            <w:sz w:val="24"/>
            <w:szCs w:val="24"/>
            <w:u w:val="single"/>
          </w:rPr>
          <w:t>https://www.wwf.org</w:t>
        </w:r>
      </w:hyperlink>
      <w:r>
        <w:rPr>
          <w:rFonts w:ascii="Arial" w:eastAsia="Arial" w:hAnsi="Arial" w:cs="Arial"/>
          <w:color w:val="000000"/>
          <w:sz w:val="24"/>
          <w:szCs w:val="24"/>
        </w:rPr>
        <w:t xml:space="preserve"> (Accessed: 4 May 2026). </w:t>
      </w:r>
    </w:p>
    <w:p w14:paraId="7BBFDC92"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Greenpeace (2023) Fast fashion environmental impact. Available at: </w:t>
      </w:r>
      <w:hyperlink r:id="rId50">
        <w:r>
          <w:rPr>
            <w:rFonts w:ascii="Arial" w:eastAsia="Arial" w:hAnsi="Arial" w:cs="Arial"/>
            <w:color w:val="0000FF"/>
            <w:sz w:val="24"/>
            <w:szCs w:val="24"/>
            <w:u w:val="single"/>
          </w:rPr>
          <w:t>https://www.greenpeace.org</w:t>
        </w:r>
      </w:hyperlink>
      <w:r>
        <w:rPr>
          <w:rFonts w:ascii="Arial" w:eastAsia="Arial" w:hAnsi="Arial" w:cs="Arial"/>
          <w:color w:val="000000"/>
          <w:sz w:val="24"/>
          <w:szCs w:val="24"/>
        </w:rPr>
        <w:t xml:space="preserve"> (Accessed: 4 May 2026). </w:t>
      </w:r>
    </w:p>
    <w:p w14:paraId="0A7DD184"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Fashion Revolution (2024) Transparency index. Available at: </w:t>
      </w:r>
      <w:hyperlink r:id="rId51">
        <w:r>
          <w:rPr>
            <w:rFonts w:ascii="Arial" w:eastAsia="Arial" w:hAnsi="Arial" w:cs="Arial"/>
            <w:color w:val="0000FF"/>
            <w:sz w:val="24"/>
            <w:szCs w:val="24"/>
            <w:u w:val="single"/>
          </w:rPr>
          <w:t>https://www.fashionrevolution.org</w:t>
        </w:r>
      </w:hyperlink>
      <w:r>
        <w:rPr>
          <w:rFonts w:ascii="Arial" w:eastAsia="Arial" w:hAnsi="Arial" w:cs="Arial"/>
          <w:color w:val="000000"/>
          <w:sz w:val="24"/>
          <w:szCs w:val="24"/>
        </w:rPr>
        <w:t xml:space="preserve"> (Accessed: 4 May 2026). </w:t>
      </w:r>
    </w:p>
    <w:p w14:paraId="17DB6DD4"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ISO (2023) Environmental management standards. Available at: </w:t>
      </w:r>
      <w:hyperlink r:id="rId52">
        <w:r>
          <w:rPr>
            <w:rFonts w:ascii="Arial" w:eastAsia="Arial" w:hAnsi="Arial" w:cs="Arial"/>
            <w:color w:val="0000FF"/>
            <w:sz w:val="24"/>
            <w:szCs w:val="24"/>
            <w:u w:val="single"/>
          </w:rPr>
          <w:t>https://www.iso.org</w:t>
        </w:r>
      </w:hyperlink>
      <w:r>
        <w:rPr>
          <w:rFonts w:ascii="Arial" w:eastAsia="Arial" w:hAnsi="Arial" w:cs="Arial"/>
          <w:color w:val="000000"/>
          <w:sz w:val="24"/>
          <w:szCs w:val="24"/>
        </w:rPr>
        <w:t xml:space="preserve"> (Accessed: 4 May 2026). </w:t>
      </w:r>
    </w:p>
    <w:p w14:paraId="58110C52"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Global Fashion Agenda (2023) Fashion sustainability report. Available at: </w:t>
      </w:r>
      <w:hyperlink r:id="rId53">
        <w:r>
          <w:rPr>
            <w:rFonts w:ascii="Arial" w:eastAsia="Arial" w:hAnsi="Arial" w:cs="Arial"/>
            <w:color w:val="0000FF"/>
            <w:sz w:val="24"/>
            <w:szCs w:val="24"/>
            <w:u w:val="single"/>
          </w:rPr>
          <w:t>https://globalfashionagenda.org</w:t>
        </w:r>
      </w:hyperlink>
      <w:r>
        <w:rPr>
          <w:rFonts w:ascii="Arial" w:eastAsia="Arial" w:hAnsi="Arial" w:cs="Arial"/>
          <w:color w:val="000000"/>
          <w:sz w:val="24"/>
          <w:szCs w:val="24"/>
        </w:rPr>
        <w:t xml:space="preserve"> (Accessed: 4 May 2026). </w:t>
      </w:r>
    </w:p>
    <w:p w14:paraId="2112895F"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UNDP (2024) Sustainable development goals report. Available at: </w:t>
      </w:r>
      <w:hyperlink r:id="rId54">
        <w:r>
          <w:rPr>
            <w:rFonts w:ascii="Arial" w:eastAsia="Arial" w:hAnsi="Arial" w:cs="Arial"/>
            <w:color w:val="0000FF"/>
            <w:sz w:val="24"/>
            <w:szCs w:val="24"/>
            <w:u w:val="single"/>
          </w:rPr>
          <w:t>https://www.undp.org</w:t>
        </w:r>
      </w:hyperlink>
      <w:r>
        <w:rPr>
          <w:rFonts w:ascii="Arial" w:eastAsia="Arial" w:hAnsi="Arial" w:cs="Arial"/>
          <w:color w:val="000000"/>
          <w:sz w:val="24"/>
          <w:szCs w:val="24"/>
        </w:rPr>
        <w:t xml:space="preserve"> (Accessed: 4 May 2026). </w:t>
      </w:r>
    </w:p>
    <w:p w14:paraId="5F2CC459"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European Environment Agency (2023) Textile environmental impact. Available at: </w:t>
      </w:r>
      <w:hyperlink r:id="rId55">
        <w:r>
          <w:rPr>
            <w:rFonts w:ascii="Arial" w:eastAsia="Arial" w:hAnsi="Arial" w:cs="Arial"/>
            <w:color w:val="0000FF"/>
            <w:sz w:val="24"/>
            <w:szCs w:val="24"/>
            <w:u w:val="single"/>
          </w:rPr>
          <w:t>https://www.eea.europa.eu</w:t>
        </w:r>
      </w:hyperlink>
      <w:r>
        <w:rPr>
          <w:rFonts w:ascii="Arial" w:eastAsia="Arial" w:hAnsi="Arial" w:cs="Arial"/>
          <w:color w:val="000000"/>
          <w:sz w:val="24"/>
          <w:szCs w:val="24"/>
        </w:rPr>
        <w:t xml:space="preserve"> (Accessed: 4 May 2026). </w:t>
      </w:r>
    </w:p>
    <w:p w14:paraId="53756512"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Statista (2025) Consumer attitudes towards sustainability. Available at: </w:t>
      </w:r>
      <w:hyperlink r:id="rId56">
        <w:r>
          <w:rPr>
            <w:rFonts w:ascii="Arial" w:eastAsia="Arial" w:hAnsi="Arial" w:cs="Arial"/>
            <w:color w:val="0000FF"/>
            <w:sz w:val="24"/>
            <w:szCs w:val="24"/>
            <w:u w:val="single"/>
          </w:rPr>
          <w:t>https://www.statista.com</w:t>
        </w:r>
      </w:hyperlink>
      <w:r>
        <w:rPr>
          <w:rFonts w:ascii="Arial" w:eastAsia="Arial" w:hAnsi="Arial" w:cs="Arial"/>
          <w:color w:val="000000"/>
          <w:sz w:val="24"/>
          <w:szCs w:val="24"/>
        </w:rPr>
        <w:t xml:space="preserve"> (Accessed: 4 May 2026). </w:t>
      </w:r>
    </w:p>
    <w:p w14:paraId="59B33C1A"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McKinsey (2024) ESG and consumer trends. Available at: </w:t>
      </w:r>
      <w:hyperlink r:id="rId57">
        <w:r>
          <w:rPr>
            <w:rFonts w:ascii="Arial" w:eastAsia="Arial" w:hAnsi="Arial" w:cs="Arial"/>
            <w:color w:val="0000FF"/>
            <w:sz w:val="24"/>
            <w:szCs w:val="24"/>
            <w:u w:val="single"/>
          </w:rPr>
          <w:t>https://www.mckinsey.com</w:t>
        </w:r>
      </w:hyperlink>
      <w:r>
        <w:rPr>
          <w:rFonts w:ascii="Arial" w:eastAsia="Arial" w:hAnsi="Arial" w:cs="Arial"/>
          <w:color w:val="000000"/>
          <w:sz w:val="24"/>
          <w:szCs w:val="24"/>
        </w:rPr>
        <w:t xml:space="preserve"> (Accessed: 4 May 2026). </w:t>
      </w:r>
    </w:p>
    <w:p w14:paraId="4C15A61C"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Deloitte (2023) ESG consumer insights. Available at: </w:t>
      </w:r>
      <w:hyperlink r:id="rId58">
        <w:r>
          <w:rPr>
            <w:rFonts w:ascii="Arial" w:eastAsia="Arial" w:hAnsi="Arial" w:cs="Arial"/>
            <w:color w:val="0000FF"/>
            <w:sz w:val="24"/>
            <w:szCs w:val="24"/>
            <w:u w:val="single"/>
          </w:rPr>
          <w:t>https://www2.deloitte.com</w:t>
        </w:r>
      </w:hyperlink>
      <w:r>
        <w:rPr>
          <w:rFonts w:ascii="Arial" w:eastAsia="Arial" w:hAnsi="Arial" w:cs="Arial"/>
          <w:color w:val="000000"/>
          <w:sz w:val="24"/>
          <w:szCs w:val="24"/>
        </w:rPr>
        <w:t xml:space="preserve"> (Accessed: 4 May 2026). </w:t>
      </w:r>
    </w:p>
    <w:p w14:paraId="759252E4"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EY (2024) Sustainability and brand perception. Available at: </w:t>
      </w:r>
      <w:hyperlink r:id="rId59">
        <w:r>
          <w:rPr>
            <w:rFonts w:ascii="Arial" w:eastAsia="Arial" w:hAnsi="Arial" w:cs="Arial"/>
            <w:color w:val="0000FF"/>
            <w:sz w:val="24"/>
            <w:szCs w:val="24"/>
            <w:u w:val="single"/>
          </w:rPr>
          <w:t>https://www.ey.com</w:t>
        </w:r>
      </w:hyperlink>
      <w:r>
        <w:rPr>
          <w:rFonts w:ascii="Arial" w:eastAsia="Arial" w:hAnsi="Arial" w:cs="Arial"/>
          <w:color w:val="000000"/>
          <w:sz w:val="24"/>
          <w:szCs w:val="24"/>
        </w:rPr>
        <w:t xml:space="preserve"> (Accessed: 4 May 2026). </w:t>
      </w:r>
    </w:p>
    <w:p w14:paraId="0982E30D" w14:textId="77777777" w:rsidR="00E336C2" w:rsidRDefault="00000000">
      <w:pPr>
        <w:numPr>
          <w:ilvl w:val="0"/>
          <w:numId w:val="9"/>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KPMG (2023) Corporate sustainability survey. Available at: </w:t>
      </w:r>
      <w:hyperlink r:id="rId60">
        <w:r>
          <w:rPr>
            <w:rFonts w:ascii="Arial" w:eastAsia="Arial" w:hAnsi="Arial" w:cs="Arial"/>
            <w:color w:val="0000FF"/>
            <w:sz w:val="24"/>
            <w:szCs w:val="24"/>
            <w:u w:val="single"/>
          </w:rPr>
          <w:t>https://kpmg.com</w:t>
        </w:r>
      </w:hyperlink>
      <w:r>
        <w:rPr>
          <w:rFonts w:ascii="Arial" w:eastAsia="Arial" w:hAnsi="Arial" w:cs="Arial"/>
          <w:color w:val="000000"/>
          <w:sz w:val="24"/>
          <w:szCs w:val="24"/>
        </w:rPr>
        <w:t xml:space="preserve"> (Accessed: 4 May 2026). </w:t>
      </w:r>
    </w:p>
    <w:p w14:paraId="7D4D24B0" w14:textId="77777777" w:rsidR="00E336C2" w:rsidRDefault="00000000">
      <w:pPr>
        <w:numPr>
          <w:ilvl w:val="0"/>
          <w:numId w:val="9"/>
        </w:numPr>
        <w:pBdr>
          <w:top w:val="nil"/>
          <w:left w:val="nil"/>
          <w:bottom w:val="nil"/>
          <w:right w:val="nil"/>
          <w:between w:val="nil"/>
        </w:pBdr>
        <w:spacing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UN Global Compact (2024) Corporate sustainability framework. Available at: </w:t>
      </w:r>
      <w:hyperlink r:id="rId61">
        <w:r>
          <w:rPr>
            <w:rFonts w:ascii="Arial" w:eastAsia="Arial" w:hAnsi="Arial" w:cs="Arial"/>
            <w:color w:val="0000FF"/>
            <w:sz w:val="24"/>
            <w:szCs w:val="24"/>
            <w:u w:val="single"/>
          </w:rPr>
          <w:t>https://www.unglobalcompact.org</w:t>
        </w:r>
      </w:hyperlink>
      <w:r>
        <w:rPr>
          <w:rFonts w:ascii="Arial" w:eastAsia="Arial" w:hAnsi="Arial" w:cs="Arial"/>
          <w:color w:val="000000"/>
          <w:sz w:val="24"/>
          <w:szCs w:val="24"/>
        </w:rPr>
        <w:t xml:space="preserve"> (Accessed: 4 May 2026).</w:t>
      </w:r>
    </w:p>
    <w:p w14:paraId="13857245" w14:textId="77777777" w:rsidR="00E336C2" w:rsidRDefault="00000000">
      <w:pPr>
        <w:rPr>
          <w:rFonts w:ascii="Arial" w:eastAsia="Arial" w:hAnsi="Arial" w:cs="Arial"/>
          <w:sz w:val="24"/>
          <w:szCs w:val="24"/>
        </w:rPr>
      </w:pPr>
      <w:r>
        <w:br w:type="page"/>
      </w:r>
    </w:p>
    <w:p w14:paraId="017D7E23" w14:textId="77777777" w:rsidR="00E336C2" w:rsidRDefault="00E336C2">
      <w:pPr>
        <w:spacing w:before="280" w:after="280" w:line="360" w:lineRule="auto"/>
        <w:jc w:val="both"/>
        <w:rPr>
          <w:rFonts w:ascii="Arial" w:eastAsia="Arial" w:hAnsi="Arial" w:cs="Arial"/>
          <w:sz w:val="24"/>
          <w:szCs w:val="24"/>
        </w:rPr>
      </w:pPr>
    </w:p>
    <w:p w14:paraId="465CB99D" w14:textId="77777777" w:rsidR="00E336C2" w:rsidRDefault="00000000">
      <w:pPr>
        <w:pStyle w:val="Heading1"/>
      </w:pPr>
      <w:bookmarkStart w:id="82" w:name="_8qycs5ifziyn" w:colFirst="0" w:colLast="0"/>
      <w:bookmarkEnd w:id="82"/>
      <w:r>
        <w:t xml:space="preserve">Appendix A: </w:t>
      </w:r>
    </w:p>
    <w:p w14:paraId="6E499F04"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Pilot Study Feedback and Questionnaire Refinement</w:t>
      </w:r>
    </w:p>
    <w:p w14:paraId="19663FBC"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Appendix A1: Pilot Study Overview</w:t>
      </w:r>
    </w:p>
    <w:p w14:paraId="02A7DCB4"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 pilot study was conducted prior to the main survey distribution to assess the clarity, structure, reliability, and overall effectiveness of the questionnaire. The pilot test involved 8 participants who were familiar with sportswear products and sustainability-related concepts. The purpose of the pilot study was to identify any issues relating to question wording, ambiguity, questionnaire length, and response format before the final data collection stage.</w:t>
      </w:r>
    </w:p>
    <w:p w14:paraId="7CCA8ADA"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participants completed the questionnaire through Google Forms and provided feedback regarding:</w:t>
      </w:r>
    </w:p>
    <w:p w14:paraId="013DC683" w14:textId="77777777" w:rsidR="00E336C2" w:rsidRDefault="00000000">
      <w:pPr>
        <w:numPr>
          <w:ilvl w:val="0"/>
          <w:numId w:val="4"/>
        </w:numPr>
        <w:pBdr>
          <w:top w:val="nil"/>
          <w:left w:val="nil"/>
          <w:bottom w:val="nil"/>
          <w:right w:val="nil"/>
          <w:between w:val="nil"/>
        </w:pBdr>
        <w:spacing w:before="280" w:after="0" w:line="360" w:lineRule="auto"/>
        <w:jc w:val="both"/>
        <w:rPr>
          <w:color w:val="000000"/>
          <w:sz w:val="24"/>
          <w:szCs w:val="24"/>
        </w:rPr>
      </w:pPr>
      <w:r>
        <w:rPr>
          <w:rFonts w:ascii="Arial" w:eastAsia="Arial" w:hAnsi="Arial" w:cs="Arial"/>
          <w:color w:val="000000"/>
          <w:sz w:val="24"/>
          <w:szCs w:val="24"/>
        </w:rPr>
        <w:t>Clarity of questions</w:t>
      </w:r>
    </w:p>
    <w:p w14:paraId="39F536A1" w14:textId="77777777" w:rsidR="00E336C2" w:rsidRDefault="00000000">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Ease of understanding</w:t>
      </w:r>
    </w:p>
    <w:p w14:paraId="0F3D8A52" w14:textId="77777777" w:rsidR="00E336C2" w:rsidRDefault="00000000">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Questionnaire structure and flow</w:t>
      </w:r>
    </w:p>
    <w:p w14:paraId="46F023D6" w14:textId="77777777" w:rsidR="00E336C2" w:rsidRDefault="00000000">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Relevance of questions to the research topic</w:t>
      </w:r>
    </w:p>
    <w:p w14:paraId="059B9D7D" w14:textId="77777777" w:rsidR="00E336C2" w:rsidRDefault="00000000">
      <w:pPr>
        <w:numPr>
          <w:ilvl w:val="0"/>
          <w:numId w:val="4"/>
        </w:numPr>
        <w:pBdr>
          <w:top w:val="nil"/>
          <w:left w:val="nil"/>
          <w:bottom w:val="nil"/>
          <w:right w:val="nil"/>
          <w:between w:val="nil"/>
        </w:pBdr>
        <w:spacing w:after="280" w:line="360" w:lineRule="auto"/>
        <w:jc w:val="both"/>
        <w:rPr>
          <w:color w:val="000000"/>
          <w:sz w:val="24"/>
          <w:szCs w:val="24"/>
        </w:rPr>
      </w:pPr>
      <w:r>
        <w:rPr>
          <w:rFonts w:ascii="Arial" w:eastAsia="Arial" w:hAnsi="Arial" w:cs="Arial"/>
          <w:color w:val="000000"/>
          <w:sz w:val="24"/>
          <w:szCs w:val="24"/>
        </w:rPr>
        <w:t>Time required to complete the survey</w:t>
      </w:r>
    </w:p>
    <w:p w14:paraId="3DF58898"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pilot study helped improve the reliability and validity of the questionnaire by identifying areas requiring minor refinement (Saunders et al., 2023).</w:t>
      </w:r>
    </w:p>
    <w:p w14:paraId="0F86144D"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Appendix A2: Summary of Pilot Study Feedback</w:t>
      </w:r>
    </w:p>
    <w:tbl>
      <w:tblPr>
        <w:tblStyle w:val="a5"/>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E336C2" w14:paraId="2E04EE4B" w14:textId="77777777">
        <w:tc>
          <w:tcPr>
            <w:tcW w:w="3005" w:type="dxa"/>
          </w:tcPr>
          <w:p w14:paraId="25C582B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Issue Identified</w:t>
            </w:r>
          </w:p>
        </w:tc>
        <w:tc>
          <w:tcPr>
            <w:tcW w:w="3005" w:type="dxa"/>
          </w:tcPr>
          <w:p w14:paraId="2534C84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Participant Feedback</w:t>
            </w:r>
          </w:p>
        </w:tc>
        <w:tc>
          <w:tcPr>
            <w:tcW w:w="3006" w:type="dxa"/>
          </w:tcPr>
          <w:p w14:paraId="74F31F4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Action Taken</w:t>
            </w:r>
          </w:p>
        </w:tc>
      </w:tr>
      <w:tr w:rsidR="00E336C2" w14:paraId="09ED14BD" w14:textId="77777777">
        <w:tc>
          <w:tcPr>
            <w:tcW w:w="3005" w:type="dxa"/>
          </w:tcPr>
          <w:p w14:paraId="0E368FF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Technical sustainability terms</w:t>
            </w:r>
          </w:p>
        </w:tc>
        <w:tc>
          <w:tcPr>
            <w:tcW w:w="3005" w:type="dxa"/>
          </w:tcPr>
          <w:p w14:paraId="5E3C91C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Some terms were difficult to understand</w:t>
            </w:r>
          </w:p>
        </w:tc>
        <w:tc>
          <w:tcPr>
            <w:tcW w:w="3006" w:type="dxa"/>
          </w:tcPr>
          <w:p w14:paraId="54B048F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Simplified wording of statements</w:t>
            </w:r>
          </w:p>
        </w:tc>
      </w:tr>
      <w:tr w:rsidR="00E336C2" w14:paraId="0F47354B" w14:textId="77777777">
        <w:tc>
          <w:tcPr>
            <w:tcW w:w="3005" w:type="dxa"/>
          </w:tcPr>
          <w:p w14:paraId="67414FA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Length of questionnaire</w:t>
            </w:r>
          </w:p>
        </w:tc>
        <w:tc>
          <w:tcPr>
            <w:tcW w:w="3005" w:type="dxa"/>
          </w:tcPr>
          <w:p w14:paraId="4F9AA8D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Questionnaire length considered appropriate</w:t>
            </w:r>
          </w:p>
        </w:tc>
        <w:tc>
          <w:tcPr>
            <w:tcW w:w="3006" w:type="dxa"/>
          </w:tcPr>
          <w:p w14:paraId="7B4B354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No major changes required</w:t>
            </w:r>
          </w:p>
        </w:tc>
      </w:tr>
      <w:tr w:rsidR="00E336C2" w14:paraId="5DCCABFE" w14:textId="77777777">
        <w:tc>
          <w:tcPr>
            <w:tcW w:w="3005" w:type="dxa"/>
          </w:tcPr>
          <w:p w14:paraId="39D42BB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Structure of questions</w:t>
            </w:r>
          </w:p>
        </w:tc>
        <w:tc>
          <w:tcPr>
            <w:tcW w:w="3005" w:type="dxa"/>
          </w:tcPr>
          <w:p w14:paraId="1B9E623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Flow generally logical</w:t>
            </w:r>
          </w:p>
        </w:tc>
        <w:tc>
          <w:tcPr>
            <w:tcW w:w="3006" w:type="dxa"/>
          </w:tcPr>
          <w:p w14:paraId="262B14E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Minor formatting improvements</w:t>
            </w:r>
          </w:p>
        </w:tc>
      </w:tr>
      <w:tr w:rsidR="00E336C2" w14:paraId="1C4A4EBC" w14:textId="77777777">
        <w:tc>
          <w:tcPr>
            <w:tcW w:w="3005" w:type="dxa"/>
          </w:tcPr>
          <w:p w14:paraId="0FEF0837"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Likert scale clarity</w:t>
            </w:r>
          </w:p>
        </w:tc>
        <w:tc>
          <w:tcPr>
            <w:tcW w:w="3005" w:type="dxa"/>
          </w:tcPr>
          <w:p w14:paraId="601AF0C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Scale easy to follow</w:t>
            </w:r>
          </w:p>
        </w:tc>
        <w:tc>
          <w:tcPr>
            <w:tcW w:w="3006" w:type="dxa"/>
          </w:tcPr>
          <w:p w14:paraId="049326F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Retained original 5-point scale</w:t>
            </w:r>
          </w:p>
        </w:tc>
      </w:tr>
      <w:tr w:rsidR="00E336C2" w14:paraId="1B1FC4B6" w14:textId="77777777">
        <w:tc>
          <w:tcPr>
            <w:tcW w:w="3005" w:type="dxa"/>
          </w:tcPr>
          <w:p w14:paraId="69BB51F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Repetitive wording</w:t>
            </w:r>
          </w:p>
        </w:tc>
        <w:tc>
          <w:tcPr>
            <w:tcW w:w="3005" w:type="dxa"/>
          </w:tcPr>
          <w:p w14:paraId="52438DF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 few statements appeared repetitive</w:t>
            </w:r>
          </w:p>
        </w:tc>
        <w:tc>
          <w:tcPr>
            <w:tcW w:w="3006" w:type="dxa"/>
          </w:tcPr>
          <w:p w14:paraId="04AA7A3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Revised sentence structure</w:t>
            </w:r>
          </w:p>
        </w:tc>
      </w:tr>
    </w:tbl>
    <w:p w14:paraId="2CCA3217"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Appendix A3: Examples of Questionnaire Revisions</w:t>
      </w:r>
    </w:p>
    <w:tbl>
      <w:tblPr>
        <w:tblStyle w:val="a6"/>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23E9ABBD" w14:textId="77777777">
        <w:tc>
          <w:tcPr>
            <w:tcW w:w="4508" w:type="dxa"/>
          </w:tcPr>
          <w:p w14:paraId="63F06A2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Original Statement</w:t>
            </w:r>
          </w:p>
        </w:tc>
        <w:tc>
          <w:tcPr>
            <w:tcW w:w="4508" w:type="dxa"/>
          </w:tcPr>
          <w:p w14:paraId="192462A9"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Revised Statement</w:t>
            </w:r>
          </w:p>
        </w:tc>
      </w:tr>
      <w:tr w:rsidR="00E336C2" w14:paraId="7972055B" w14:textId="77777777">
        <w:tc>
          <w:tcPr>
            <w:tcW w:w="4508" w:type="dxa"/>
          </w:tcPr>
          <w:p w14:paraId="566E29E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demonstrates environmental sustainability commitment through circular production systems.”</w:t>
            </w:r>
          </w:p>
        </w:tc>
        <w:tc>
          <w:tcPr>
            <w:tcW w:w="4508" w:type="dxa"/>
          </w:tcPr>
          <w:p w14:paraId="5B4B791C"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is committed to environmentally friendly production.”</w:t>
            </w:r>
          </w:p>
        </w:tc>
      </w:tr>
      <w:tr w:rsidR="00E336C2" w14:paraId="7EF4C46A" w14:textId="77777777">
        <w:tc>
          <w:tcPr>
            <w:tcW w:w="4508" w:type="dxa"/>
          </w:tcPr>
          <w:p w14:paraId="26445A4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initiatives positively affect my consumption behaviour.”</w:t>
            </w:r>
          </w:p>
        </w:tc>
        <w:tc>
          <w:tcPr>
            <w:tcW w:w="4508" w:type="dxa"/>
          </w:tcPr>
          <w:p w14:paraId="27478CE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initiatives influence my buying decisions.”</w:t>
            </w:r>
          </w:p>
        </w:tc>
      </w:tr>
      <w:tr w:rsidR="00E336C2" w14:paraId="760CFA5D" w14:textId="77777777">
        <w:tc>
          <w:tcPr>
            <w:tcW w:w="4508" w:type="dxa"/>
          </w:tcPr>
          <w:p w14:paraId="0F20228D"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“The brand effectively communicates environmental sustainability performance.”</w:t>
            </w:r>
          </w:p>
        </w:tc>
        <w:tc>
          <w:tcPr>
            <w:tcW w:w="4508" w:type="dxa"/>
          </w:tcPr>
          <w:p w14:paraId="5EDA416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clearly communicates its sustainability activities.”</w:t>
            </w:r>
          </w:p>
        </w:tc>
      </w:tr>
    </w:tbl>
    <w:p w14:paraId="6AEDC715"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Appendix A4: Pilot Study Outcome</w:t>
      </w:r>
    </w:p>
    <w:p w14:paraId="3EFB4FDD"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pilot study confirmed that the questionnaire was generally clear, relevant, and suitable for the target respondents. Minor revisions improved readability and reduced ambiguity. Following these adjustments, the final questionnaire was distributed online through Google Forms for the main data collection process.</w:t>
      </w:r>
    </w:p>
    <w:p w14:paraId="4A33A607"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pilot testing process contributed to:</w:t>
      </w:r>
    </w:p>
    <w:p w14:paraId="3A754517" w14:textId="77777777" w:rsidR="00E336C2" w:rsidRDefault="00000000">
      <w:pPr>
        <w:numPr>
          <w:ilvl w:val="0"/>
          <w:numId w:val="3"/>
        </w:numPr>
        <w:pBdr>
          <w:top w:val="nil"/>
          <w:left w:val="nil"/>
          <w:bottom w:val="nil"/>
          <w:right w:val="nil"/>
          <w:between w:val="nil"/>
        </w:pBdr>
        <w:spacing w:before="280" w:after="0" w:line="360" w:lineRule="auto"/>
        <w:jc w:val="both"/>
        <w:rPr>
          <w:color w:val="000000"/>
          <w:sz w:val="24"/>
          <w:szCs w:val="24"/>
        </w:rPr>
      </w:pPr>
      <w:r>
        <w:rPr>
          <w:rFonts w:ascii="Arial" w:eastAsia="Arial" w:hAnsi="Arial" w:cs="Arial"/>
          <w:color w:val="000000"/>
          <w:sz w:val="24"/>
          <w:szCs w:val="24"/>
        </w:rPr>
        <w:t>Improved content validity</w:t>
      </w:r>
    </w:p>
    <w:p w14:paraId="3FE8686F" w14:textId="77777777" w:rsidR="00E336C2" w:rsidRDefault="00000000">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Enhanced reliability of responses</w:t>
      </w:r>
    </w:p>
    <w:p w14:paraId="51FB4570" w14:textId="77777777" w:rsidR="00E336C2" w:rsidRDefault="00000000">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Better respondent understanding</w:t>
      </w:r>
    </w:p>
    <w:p w14:paraId="2FA3AEBC" w14:textId="77777777" w:rsidR="00E336C2" w:rsidRDefault="00000000">
      <w:pPr>
        <w:numPr>
          <w:ilvl w:val="0"/>
          <w:numId w:val="3"/>
        </w:numPr>
        <w:pBdr>
          <w:top w:val="nil"/>
          <w:left w:val="nil"/>
          <w:bottom w:val="nil"/>
          <w:right w:val="nil"/>
          <w:between w:val="nil"/>
        </w:pBdr>
        <w:spacing w:after="280" w:line="360" w:lineRule="auto"/>
        <w:jc w:val="both"/>
        <w:rPr>
          <w:color w:val="000000"/>
          <w:sz w:val="24"/>
          <w:szCs w:val="24"/>
        </w:rPr>
      </w:pPr>
      <w:r>
        <w:rPr>
          <w:rFonts w:ascii="Arial" w:eastAsia="Arial" w:hAnsi="Arial" w:cs="Arial"/>
          <w:color w:val="000000"/>
          <w:sz w:val="24"/>
          <w:szCs w:val="24"/>
        </w:rPr>
        <w:t>Reduced risk of misinterpretation</w:t>
      </w:r>
    </w:p>
    <w:p w14:paraId="35731BFE"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Overall, the pilot study ensured that the questionnaire was appropriate for collecting reliable quantitative data relating to sustainability perception, brand trust, brand image, and purchase intention in the sportswear industry.</w:t>
      </w:r>
    </w:p>
    <w:p w14:paraId="1C05B3DF" w14:textId="77777777" w:rsidR="00E336C2" w:rsidRDefault="00000000">
      <w:pPr>
        <w:pStyle w:val="Heading1"/>
      </w:pPr>
      <w:bookmarkStart w:id="83" w:name="_igst18k0rz3k" w:colFirst="0" w:colLast="0"/>
      <w:bookmarkEnd w:id="83"/>
      <w:r>
        <w:lastRenderedPageBreak/>
        <w:t>Questionnaire (Appendix B)</w:t>
      </w:r>
    </w:p>
    <w:p w14:paraId="21D22843"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Appendix B: Final Survey Questionnaire</w:t>
      </w:r>
    </w:p>
    <w:p w14:paraId="165F594D"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Section A: Demographic Information</w:t>
      </w:r>
    </w:p>
    <w:p w14:paraId="62F192F9"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What is your gender?</w:t>
      </w:r>
    </w:p>
    <w:p w14:paraId="68A0368B"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Male</w:t>
      </w:r>
    </w:p>
    <w:p w14:paraId="65595566"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Female</w:t>
      </w:r>
    </w:p>
    <w:p w14:paraId="2F2E2144"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Prefer not to say</w:t>
      </w:r>
    </w:p>
    <w:p w14:paraId="17BF072C"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What is your age group?</w:t>
      </w:r>
    </w:p>
    <w:p w14:paraId="1682D1D1"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18–24</w:t>
      </w:r>
    </w:p>
    <w:p w14:paraId="33B8068F"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25–30</w:t>
      </w:r>
    </w:p>
    <w:p w14:paraId="35E0684D"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31–40</w:t>
      </w:r>
    </w:p>
    <w:p w14:paraId="7D0E2F54"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41 and above</w:t>
      </w:r>
    </w:p>
    <w:p w14:paraId="243AB628"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How often do you purchase sportswear products?</w:t>
      </w:r>
    </w:p>
    <w:p w14:paraId="7B6AF41E"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Frequently</w:t>
      </w:r>
    </w:p>
    <w:p w14:paraId="51243010"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Monthly</w:t>
      </w:r>
    </w:p>
    <w:p w14:paraId="7454B7BE"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Occasionally</w:t>
      </w:r>
    </w:p>
    <w:p w14:paraId="7119DD5F"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Rarely</w:t>
      </w:r>
    </w:p>
    <w:p w14:paraId="084E6E57"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Are you familiar with Adidas sustainability initiatives?</w:t>
      </w:r>
    </w:p>
    <w:p w14:paraId="43EBB794"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Yes</w:t>
      </w:r>
    </w:p>
    <w:p w14:paraId="44EE768B" w14:textId="77777777" w:rsidR="00E336C2"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No</w:t>
      </w:r>
    </w:p>
    <w:p w14:paraId="0B467ACE"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lastRenderedPageBreak/>
        <w:t>Section B: Sustainability Awareness</w:t>
      </w:r>
    </w:p>
    <w:tbl>
      <w:tblPr>
        <w:tblStyle w:val="a7"/>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32"/>
        <w:gridCol w:w="1476"/>
        <w:gridCol w:w="1477"/>
        <w:gridCol w:w="1477"/>
        <w:gridCol w:w="1477"/>
        <w:gridCol w:w="1477"/>
      </w:tblGrid>
      <w:tr w:rsidR="00E336C2" w14:paraId="60B42A74" w14:textId="77777777">
        <w:tc>
          <w:tcPr>
            <w:tcW w:w="1632" w:type="dxa"/>
          </w:tcPr>
          <w:p w14:paraId="29E1EF2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Statement</w:t>
            </w:r>
          </w:p>
        </w:tc>
        <w:tc>
          <w:tcPr>
            <w:tcW w:w="1476" w:type="dxa"/>
          </w:tcPr>
          <w:p w14:paraId="5BA16FF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w:t>
            </w:r>
          </w:p>
        </w:tc>
        <w:tc>
          <w:tcPr>
            <w:tcW w:w="1477" w:type="dxa"/>
          </w:tcPr>
          <w:p w14:paraId="5B51D9D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2</w:t>
            </w:r>
          </w:p>
        </w:tc>
        <w:tc>
          <w:tcPr>
            <w:tcW w:w="1477" w:type="dxa"/>
          </w:tcPr>
          <w:p w14:paraId="6E1E9E9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w:t>
            </w:r>
          </w:p>
        </w:tc>
        <w:tc>
          <w:tcPr>
            <w:tcW w:w="1477" w:type="dxa"/>
          </w:tcPr>
          <w:p w14:paraId="27B5E08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1477" w:type="dxa"/>
          </w:tcPr>
          <w:p w14:paraId="0772F88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5</w:t>
            </w:r>
          </w:p>
        </w:tc>
      </w:tr>
      <w:tr w:rsidR="00E336C2" w14:paraId="6B02B217" w14:textId="77777777">
        <w:tc>
          <w:tcPr>
            <w:tcW w:w="1632" w:type="dxa"/>
          </w:tcPr>
          <w:p w14:paraId="7ACD89D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 am aware of sustainability issues in the sportswear industry</w:t>
            </w:r>
          </w:p>
        </w:tc>
        <w:tc>
          <w:tcPr>
            <w:tcW w:w="1476" w:type="dxa"/>
          </w:tcPr>
          <w:p w14:paraId="3A2D036C"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BE920AC"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997498A"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BED1211"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00DAF55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050A6C07" w14:textId="77777777">
        <w:tc>
          <w:tcPr>
            <w:tcW w:w="1632" w:type="dxa"/>
          </w:tcPr>
          <w:p w14:paraId="617711F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 am aware of Adidas sustainability initiatives</w:t>
            </w:r>
          </w:p>
        </w:tc>
        <w:tc>
          <w:tcPr>
            <w:tcW w:w="1476" w:type="dxa"/>
          </w:tcPr>
          <w:p w14:paraId="2FFA296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2B12E5A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0F0108F8"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35C1C8A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63B1E68"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66043C74" w14:textId="77777777">
        <w:tc>
          <w:tcPr>
            <w:tcW w:w="1632" w:type="dxa"/>
          </w:tcPr>
          <w:p w14:paraId="7BDEFFC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is important when purchasing sportswear</w:t>
            </w:r>
          </w:p>
        </w:tc>
        <w:tc>
          <w:tcPr>
            <w:tcW w:w="1476" w:type="dxa"/>
          </w:tcPr>
          <w:p w14:paraId="3506D70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273CC5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0F72B9D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3F50223B"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003E02F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bl>
    <w:p w14:paraId="4B902AF9"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Section C: Sustainability Perception</w:t>
      </w:r>
    </w:p>
    <w:tbl>
      <w:tblPr>
        <w:tblStyle w:val="a8"/>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97"/>
        <w:gridCol w:w="1423"/>
        <w:gridCol w:w="1424"/>
        <w:gridCol w:w="1424"/>
        <w:gridCol w:w="1424"/>
        <w:gridCol w:w="1424"/>
      </w:tblGrid>
      <w:tr w:rsidR="00E336C2" w14:paraId="6CDFDABD" w14:textId="77777777">
        <w:tc>
          <w:tcPr>
            <w:tcW w:w="1897" w:type="dxa"/>
          </w:tcPr>
          <w:p w14:paraId="74CD6BD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Statement</w:t>
            </w:r>
          </w:p>
        </w:tc>
        <w:tc>
          <w:tcPr>
            <w:tcW w:w="1423" w:type="dxa"/>
          </w:tcPr>
          <w:p w14:paraId="07AF321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w:t>
            </w:r>
          </w:p>
        </w:tc>
        <w:tc>
          <w:tcPr>
            <w:tcW w:w="1424" w:type="dxa"/>
          </w:tcPr>
          <w:p w14:paraId="6720353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2</w:t>
            </w:r>
          </w:p>
        </w:tc>
        <w:tc>
          <w:tcPr>
            <w:tcW w:w="1424" w:type="dxa"/>
          </w:tcPr>
          <w:p w14:paraId="59A5D7D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w:t>
            </w:r>
          </w:p>
        </w:tc>
        <w:tc>
          <w:tcPr>
            <w:tcW w:w="1424" w:type="dxa"/>
          </w:tcPr>
          <w:p w14:paraId="4A57408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1424" w:type="dxa"/>
          </w:tcPr>
          <w:p w14:paraId="105375E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5</w:t>
            </w:r>
          </w:p>
        </w:tc>
      </w:tr>
      <w:tr w:rsidR="00E336C2" w14:paraId="7210D99D" w14:textId="77777777">
        <w:tc>
          <w:tcPr>
            <w:tcW w:w="1897" w:type="dxa"/>
          </w:tcPr>
          <w:p w14:paraId="62D7761A"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is environmentally responsible</w:t>
            </w:r>
          </w:p>
        </w:tc>
        <w:tc>
          <w:tcPr>
            <w:tcW w:w="1423" w:type="dxa"/>
          </w:tcPr>
          <w:p w14:paraId="7EDA9D9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23DC4AAD"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552997E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37B5569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42C7478E"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49D0EC8E" w14:textId="77777777">
        <w:tc>
          <w:tcPr>
            <w:tcW w:w="1897" w:type="dxa"/>
          </w:tcPr>
          <w:p w14:paraId="0B7963BC"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uses sustainable materials effectively</w:t>
            </w:r>
          </w:p>
        </w:tc>
        <w:tc>
          <w:tcPr>
            <w:tcW w:w="1423" w:type="dxa"/>
          </w:tcPr>
          <w:p w14:paraId="4AF3D4F9"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073E3EB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79F86EF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4AC5989A"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197C1F7E"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3065B8D1" w14:textId="77777777">
        <w:tc>
          <w:tcPr>
            <w:tcW w:w="1897" w:type="dxa"/>
          </w:tcPr>
          <w:p w14:paraId="6F0FDDD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demonstrates commitment to environmental sustainability</w:t>
            </w:r>
          </w:p>
        </w:tc>
        <w:tc>
          <w:tcPr>
            <w:tcW w:w="1423" w:type="dxa"/>
          </w:tcPr>
          <w:p w14:paraId="4EBFAF7E"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2ABC5BCD"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171A97F3"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7243FBE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24" w:type="dxa"/>
          </w:tcPr>
          <w:p w14:paraId="3523905B"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bl>
    <w:p w14:paraId="497007E3"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Section D: Brand Trust and Brand Image</w:t>
      </w:r>
    </w:p>
    <w:tbl>
      <w:tblPr>
        <w:tblStyle w:val="a9"/>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4"/>
        <w:gridCol w:w="1457"/>
        <w:gridCol w:w="1458"/>
        <w:gridCol w:w="1459"/>
        <w:gridCol w:w="1459"/>
        <w:gridCol w:w="1459"/>
      </w:tblGrid>
      <w:tr w:rsidR="00E336C2" w14:paraId="57A81F41" w14:textId="77777777">
        <w:tc>
          <w:tcPr>
            <w:tcW w:w="1724" w:type="dxa"/>
          </w:tcPr>
          <w:p w14:paraId="69EB60C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Statement</w:t>
            </w:r>
          </w:p>
        </w:tc>
        <w:tc>
          <w:tcPr>
            <w:tcW w:w="1457" w:type="dxa"/>
          </w:tcPr>
          <w:p w14:paraId="05EBF5C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w:t>
            </w:r>
          </w:p>
        </w:tc>
        <w:tc>
          <w:tcPr>
            <w:tcW w:w="1458" w:type="dxa"/>
          </w:tcPr>
          <w:p w14:paraId="483FA99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2</w:t>
            </w:r>
          </w:p>
        </w:tc>
        <w:tc>
          <w:tcPr>
            <w:tcW w:w="1459" w:type="dxa"/>
          </w:tcPr>
          <w:p w14:paraId="4D59830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w:t>
            </w:r>
          </w:p>
        </w:tc>
        <w:tc>
          <w:tcPr>
            <w:tcW w:w="1459" w:type="dxa"/>
          </w:tcPr>
          <w:p w14:paraId="7E03C14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1459" w:type="dxa"/>
          </w:tcPr>
          <w:p w14:paraId="711BEEE1"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5</w:t>
            </w:r>
          </w:p>
        </w:tc>
      </w:tr>
      <w:tr w:rsidR="00E336C2" w14:paraId="08F024B4" w14:textId="77777777">
        <w:tc>
          <w:tcPr>
            <w:tcW w:w="1724" w:type="dxa"/>
          </w:tcPr>
          <w:p w14:paraId="67C3E1A5"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 trust Adidas sustainability claims</w:t>
            </w:r>
          </w:p>
        </w:tc>
        <w:tc>
          <w:tcPr>
            <w:tcW w:w="1457" w:type="dxa"/>
          </w:tcPr>
          <w:p w14:paraId="60B4596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8" w:type="dxa"/>
          </w:tcPr>
          <w:p w14:paraId="01D66B7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19E5335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08EF16D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574B906A"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6F1BBE52" w14:textId="77777777">
        <w:tc>
          <w:tcPr>
            <w:tcW w:w="1724" w:type="dxa"/>
          </w:tcPr>
          <w:p w14:paraId="7FBCB9F8"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Adidas has a positive environmental reputation</w:t>
            </w:r>
          </w:p>
        </w:tc>
        <w:tc>
          <w:tcPr>
            <w:tcW w:w="1457" w:type="dxa"/>
          </w:tcPr>
          <w:p w14:paraId="06376239"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8" w:type="dxa"/>
          </w:tcPr>
          <w:p w14:paraId="15BFD36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7B1D5D05"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308683C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337A1F9E"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17CA738C" w14:textId="77777777">
        <w:tc>
          <w:tcPr>
            <w:tcW w:w="1724" w:type="dxa"/>
          </w:tcPr>
          <w:p w14:paraId="16614C6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initiatives improve my perception of Adidas</w:t>
            </w:r>
          </w:p>
        </w:tc>
        <w:tc>
          <w:tcPr>
            <w:tcW w:w="1457" w:type="dxa"/>
          </w:tcPr>
          <w:p w14:paraId="2DBC9B3B"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8" w:type="dxa"/>
          </w:tcPr>
          <w:p w14:paraId="379BE66C"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72E39BB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20D9BD8F"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59" w:type="dxa"/>
          </w:tcPr>
          <w:p w14:paraId="5C49D703"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bl>
    <w:p w14:paraId="4CBF7316" w14:textId="77777777" w:rsidR="00E336C2"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Section E: Purchase Intention</w:t>
      </w:r>
    </w:p>
    <w:tbl>
      <w:tblPr>
        <w:tblStyle w:val="a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32"/>
        <w:gridCol w:w="1476"/>
        <w:gridCol w:w="1477"/>
        <w:gridCol w:w="1477"/>
        <w:gridCol w:w="1477"/>
        <w:gridCol w:w="1477"/>
      </w:tblGrid>
      <w:tr w:rsidR="00E336C2" w14:paraId="600413C4" w14:textId="77777777">
        <w:tc>
          <w:tcPr>
            <w:tcW w:w="1632" w:type="dxa"/>
          </w:tcPr>
          <w:p w14:paraId="67AEF9CB"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Statement</w:t>
            </w:r>
          </w:p>
        </w:tc>
        <w:tc>
          <w:tcPr>
            <w:tcW w:w="1476" w:type="dxa"/>
          </w:tcPr>
          <w:p w14:paraId="3EB1C2A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1</w:t>
            </w:r>
          </w:p>
        </w:tc>
        <w:tc>
          <w:tcPr>
            <w:tcW w:w="1477" w:type="dxa"/>
          </w:tcPr>
          <w:p w14:paraId="44865032"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2</w:t>
            </w:r>
          </w:p>
        </w:tc>
        <w:tc>
          <w:tcPr>
            <w:tcW w:w="1477" w:type="dxa"/>
          </w:tcPr>
          <w:p w14:paraId="6FBF76D6"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3</w:t>
            </w:r>
          </w:p>
        </w:tc>
        <w:tc>
          <w:tcPr>
            <w:tcW w:w="1477" w:type="dxa"/>
          </w:tcPr>
          <w:p w14:paraId="1F3EE66E"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4</w:t>
            </w:r>
          </w:p>
        </w:tc>
        <w:tc>
          <w:tcPr>
            <w:tcW w:w="1477" w:type="dxa"/>
          </w:tcPr>
          <w:p w14:paraId="4B1AD903"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5</w:t>
            </w:r>
          </w:p>
        </w:tc>
      </w:tr>
      <w:tr w:rsidR="00E336C2" w14:paraId="2B2CBD77" w14:textId="77777777">
        <w:tc>
          <w:tcPr>
            <w:tcW w:w="1632" w:type="dxa"/>
          </w:tcPr>
          <w:p w14:paraId="17773194"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 intend to purchase Adidas products in the future</w:t>
            </w:r>
          </w:p>
        </w:tc>
        <w:tc>
          <w:tcPr>
            <w:tcW w:w="1476" w:type="dxa"/>
          </w:tcPr>
          <w:p w14:paraId="52B5B968"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20969EEE"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4D5BC343"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545EC106"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521FDB4B"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439A4B01" w14:textId="77777777">
        <w:tc>
          <w:tcPr>
            <w:tcW w:w="1632" w:type="dxa"/>
          </w:tcPr>
          <w:p w14:paraId="6E6D4350"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Sustainability initiatives influence my buying decisions</w:t>
            </w:r>
          </w:p>
        </w:tc>
        <w:tc>
          <w:tcPr>
            <w:tcW w:w="1476" w:type="dxa"/>
          </w:tcPr>
          <w:p w14:paraId="70BC4008"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00F1695F"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48641BBB"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4388B3F2"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6E6C162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r w:rsidR="00E336C2" w14:paraId="317B6F88" w14:textId="77777777">
        <w:tc>
          <w:tcPr>
            <w:tcW w:w="1632" w:type="dxa"/>
          </w:tcPr>
          <w:p w14:paraId="113C3CCF" w14:textId="77777777" w:rsidR="00E336C2" w:rsidRDefault="00000000">
            <w:pPr>
              <w:spacing w:line="360" w:lineRule="auto"/>
              <w:jc w:val="both"/>
              <w:rPr>
                <w:rFonts w:ascii="Arial" w:eastAsia="Arial" w:hAnsi="Arial" w:cs="Arial"/>
                <w:sz w:val="24"/>
                <w:szCs w:val="24"/>
              </w:rPr>
            </w:pPr>
            <w:r>
              <w:rPr>
                <w:rFonts w:ascii="Arial" w:eastAsia="Arial" w:hAnsi="Arial" w:cs="Arial"/>
                <w:sz w:val="24"/>
                <w:szCs w:val="24"/>
              </w:rPr>
              <w:t>I would consider paying more for sustainable sportswear products</w:t>
            </w:r>
          </w:p>
        </w:tc>
        <w:tc>
          <w:tcPr>
            <w:tcW w:w="1476" w:type="dxa"/>
          </w:tcPr>
          <w:p w14:paraId="4EF583B3"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3BCA543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5C0D1120"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7C56E857"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c>
          <w:tcPr>
            <w:tcW w:w="1477" w:type="dxa"/>
          </w:tcPr>
          <w:p w14:paraId="2D1C4B24" w14:textId="77777777" w:rsidR="00E336C2"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w:t>
            </w:r>
          </w:p>
        </w:tc>
      </w:tr>
    </w:tbl>
    <w:p w14:paraId="67728ADF" w14:textId="77777777" w:rsidR="00E336C2" w:rsidRDefault="00E336C2">
      <w:pPr>
        <w:spacing w:after="0" w:line="240" w:lineRule="auto"/>
        <w:rPr>
          <w:rFonts w:ascii="Arial" w:eastAsia="Arial" w:hAnsi="Arial" w:cs="Arial"/>
          <w:b/>
          <w:bCs/>
          <w:color w:val="C00000"/>
          <w:sz w:val="24"/>
          <w:szCs w:val="24"/>
        </w:rPr>
      </w:pPr>
    </w:p>
    <w:p w14:paraId="30467E61" w14:textId="77777777" w:rsidR="00E336C2" w:rsidRDefault="00000000">
      <w:pPr>
        <w:pStyle w:val="Heading1"/>
      </w:pPr>
      <w:bookmarkStart w:id="84" w:name="_2u8jmy5q8nj6" w:colFirst="0" w:colLast="0"/>
      <w:bookmarkEnd w:id="84"/>
      <w:r>
        <w:t>Appendix C: Raw Demographic Data Summary</w:t>
      </w:r>
    </w:p>
    <w:p w14:paraId="1B6B2243" w14:textId="77777777" w:rsidR="00E336C2" w:rsidRDefault="00E336C2">
      <w:pPr>
        <w:spacing w:after="0" w:line="360" w:lineRule="auto"/>
        <w:jc w:val="both"/>
        <w:rPr>
          <w:rFonts w:ascii="Arial" w:eastAsia="Arial" w:hAnsi="Arial" w:cs="Arial"/>
          <w:b/>
          <w:bCs/>
          <w:color w:val="000000"/>
          <w:sz w:val="24"/>
          <w:szCs w:val="24"/>
        </w:rPr>
      </w:pPr>
    </w:p>
    <w:p w14:paraId="780E21B4"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raw demographic data collected from respondents were coded and </w:t>
      </w:r>
      <w:proofErr w:type="gramStart"/>
      <w:r>
        <w:rPr>
          <w:rFonts w:ascii="Arial" w:eastAsia="Arial" w:hAnsi="Arial" w:cs="Arial"/>
          <w:color w:val="000000"/>
          <w:sz w:val="24"/>
          <w:szCs w:val="24"/>
        </w:rPr>
        <w:t>entered into</w:t>
      </w:r>
      <w:proofErr w:type="gramEnd"/>
      <w:r>
        <w:rPr>
          <w:rFonts w:ascii="Arial" w:eastAsia="Arial" w:hAnsi="Arial" w:cs="Arial"/>
          <w:color w:val="000000"/>
          <w:sz w:val="24"/>
          <w:szCs w:val="24"/>
        </w:rPr>
        <w:t xml:space="preserve"> Microsoft Excel and IBM SPSS for statistical analysis. A total of 100 valid responses were included in the final dataset. The table below presents the raw frequency data used to generate Table 2: Demographic Summary.</w:t>
      </w:r>
    </w:p>
    <w:p w14:paraId="512FED87" w14:textId="77777777" w:rsidR="00E336C2" w:rsidRDefault="00000000">
      <w:pPr>
        <w:spacing w:after="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Appendix C1: Raw Demographic Data</w:t>
      </w:r>
    </w:p>
    <w:tbl>
      <w:tblPr>
        <w:tblStyle w:val="ab"/>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E336C2" w14:paraId="32D3504A" w14:textId="77777777">
        <w:tc>
          <w:tcPr>
            <w:tcW w:w="1803" w:type="dxa"/>
          </w:tcPr>
          <w:p w14:paraId="36B826B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Respondent ID</w:t>
            </w:r>
          </w:p>
        </w:tc>
        <w:tc>
          <w:tcPr>
            <w:tcW w:w="1803" w:type="dxa"/>
          </w:tcPr>
          <w:p w14:paraId="51B1153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Gender</w:t>
            </w:r>
          </w:p>
        </w:tc>
        <w:tc>
          <w:tcPr>
            <w:tcW w:w="1803" w:type="dxa"/>
          </w:tcPr>
          <w:p w14:paraId="1186B7D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Age Group</w:t>
            </w:r>
          </w:p>
        </w:tc>
        <w:tc>
          <w:tcPr>
            <w:tcW w:w="1803" w:type="dxa"/>
          </w:tcPr>
          <w:p w14:paraId="78469D8C"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Purchasing Frequency</w:t>
            </w:r>
          </w:p>
        </w:tc>
        <w:tc>
          <w:tcPr>
            <w:tcW w:w="1804" w:type="dxa"/>
          </w:tcPr>
          <w:p w14:paraId="4816EEC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Awareness of Adidas Sustainability Initiatives</w:t>
            </w:r>
          </w:p>
        </w:tc>
      </w:tr>
      <w:tr w:rsidR="00E336C2" w14:paraId="2F11ACEA" w14:textId="77777777">
        <w:tc>
          <w:tcPr>
            <w:tcW w:w="1803" w:type="dxa"/>
          </w:tcPr>
          <w:p w14:paraId="6FBBF45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w:t>
            </w:r>
          </w:p>
        </w:tc>
        <w:tc>
          <w:tcPr>
            <w:tcW w:w="1803" w:type="dxa"/>
          </w:tcPr>
          <w:p w14:paraId="189A403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709E733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09B7F5A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7156EEB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586B2BEB" w14:textId="77777777">
        <w:tc>
          <w:tcPr>
            <w:tcW w:w="1803" w:type="dxa"/>
          </w:tcPr>
          <w:p w14:paraId="5423685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R2</w:t>
            </w:r>
          </w:p>
        </w:tc>
        <w:tc>
          <w:tcPr>
            <w:tcW w:w="1803" w:type="dxa"/>
          </w:tcPr>
          <w:p w14:paraId="6D66E1E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1EF5C81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26–35</w:t>
            </w:r>
          </w:p>
        </w:tc>
        <w:tc>
          <w:tcPr>
            <w:tcW w:w="1803" w:type="dxa"/>
          </w:tcPr>
          <w:p w14:paraId="560909F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Occasionally</w:t>
            </w:r>
          </w:p>
        </w:tc>
        <w:tc>
          <w:tcPr>
            <w:tcW w:w="1804" w:type="dxa"/>
          </w:tcPr>
          <w:p w14:paraId="33D0481C"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655E5BCD" w14:textId="77777777">
        <w:tc>
          <w:tcPr>
            <w:tcW w:w="1803" w:type="dxa"/>
          </w:tcPr>
          <w:p w14:paraId="2280B6B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R3</w:t>
            </w:r>
          </w:p>
        </w:tc>
        <w:tc>
          <w:tcPr>
            <w:tcW w:w="1803" w:type="dxa"/>
          </w:tcPr>
          <w:p w14:paraId="3EEEEE0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6F2EC1C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6FCC1E4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Weekly</w:t>
            </w:r>
          </w:p>
        </w:tc>
        <w:tc>
          <w:tcPr>
            <w:tcW w:w="1804" w:type="dxa"/>
          </w:tcPr>
          <w:p w14:paraId="04B315F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606E0D09" w14:textId="77777777">
        <w:tc>
          <w:tcPr>
            <w:tcW w:w="1803" w:type="dxa"/>
          </w:tcPr>
          <w:p w14:paraId="6FF4B4B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R4</w:t>
            </w:r>
          </w:p>
        </w:tc>
        <w:tc>
          <w:tcPr>
            <w:tcW w:w="1803" w:type="dxa"/>
          </w:tcPr>
          <w:p w14:paraId="19C5CA3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53EC667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36–45</w:t>
            </w:r>
          </w:p>
        </w:tc>
        <w:tc>
          <w:tcPr>
            <w:tcW w:w="1803" w:type="dxa"/>
          </w:tcPr>
          <w:p w14:paraId="2F22E68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68F37F7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No</w:t>
            </w:r>
          </w:p>
        </w:tc>
      </w:tr>
      <w:tr w:rsidR="00E336C2" w14:paraId="2D5FE590" w14:textId="77777777">
        <w:tc>
          <w:tcPr>
            <w:tcW w:w="1803" w:type="dxa"/>
          </w:tcPr>
          <w:p w14:paraId="78F7086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R5</w:t>
            </w:r>
          </w:p>
        </w:tc>
        <w:tc>
          <w:tcPr>
            <w:tcW w:w="1803" w:type="dxa"/>
          </w:tcPr>
          <w:p w14:paraId="380B4EF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24E0F58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26–35</w:t>
            </w:r>
          </w:p>
        </w:tc>
        <w:tc>
          <w:tcPr>
            <w:tcW w:w="1803" w:type="dxa"/>
          </w:tcPr>
          <w:p w14:paraId="653824C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Occasionally</w:t>
            </w:r>
          </w:p>
        </w:tc>
        <w:tc>
          <w:tcPr>
            <w:tcW w:w="1804" w:type="dxa"/>
          </w:tcPr>
          <w:p w14:paraId="35E8570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528FD953" w14:textId="77777777">
        <w:tc>
          <w:tcPr>
            <w:tcW w:w="1803" w:type="dxa"/>
          </w:tcPr>
          <w:p w14:paraId="52F6915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R6</w:t>
            </w:r>
          </w:p>
        </w:tc>
        <w:tc>
          <w:tcPr>
            <w:tcW w:w="1803" w:type="dxa"/>
          </w:tcPr>
          <w:p w14:paraId="583384A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4B74319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43A02A0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727A22A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6C3FFCD3" w14:textId="77777777">
        <w:tc>
          <w:tcPr>
            <w:tcW w:w="1803" w:type="dxa"/>
          </w:tcPr>
          <w:p w14:paraId="739126C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R7</w:t>
            </w:r>
          </w:p>
        </w:tc>
        <w:tc>
          <w:tcPr>
            <w:tcW w:w="1803" w:type="dxa"/>
          </w:tcPr>
          <w:p w14:paraId="2289BA7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18C46D1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45+</w:t>
            </w:r>
          </w:p>
        </w:tc>
        <w:tc>
          <w:tcPr>
            <w:tcW w:w="1803" w:type="dxa"/>
          </w:tcPr>
          <w:p w14:paraId="42999B6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Rarely</w:t>
            </w:r>
          </w:p>
        </w:tc>
        <w:tc>
          <w:tcPr>
            <w:tcW w:w="1804" w:type="dxa"/>
          </w:tcPr>
          <w:p w14:paraId="19EB203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No</w:t>
            </w:r>
          </w:p>
        </w:tc>
      </w:tr>
      <w:tr w:rsidR="00E336C2" w14:paraId="331AD166" w14:textId="77777777">
        <w:tc>
          <w:tcPr>
            <w:tcW w:w="1803" w:type="dxa"/>
          </w:tcPr>
          <w:p w14:paraId="6DD32DD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R8</w:t>
            </w:r>
          </w:p>
        </w:tc>
        <w:tc>
          <w:tcPr>
            <w:tcW w:w="1803" w:type="dxa"/>
          </w:tcPr>
          <w:p w14:paraId="5992E02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72AD4D6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26–35</w:t>
            </w:r>
          </w:p>
        </w:tc>
        <w:tc>
          <w:tcPr>
            <w:tcW w:w="1803" w:type="dxa"/>
          </w:tcPr>
          <w:p w14:paraId="7D7EFBB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0B8CC97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45A88A2D" w14:textId="77777777">
        <w:tc>
          <w:tcPr>
            <w:tcW w:w="1803" w:type="dxa"/>
          </w:tcPr>
          <w:p w14:paraId="26DFFBB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R9</w:t>
            </w:r>
          </w:p>
        </w:tc>
        <w:tc>
          <w:tcPr>
            <w:tcW w:w="1803" w:type="dxa"/>
          </w:tcPr>
          <w:p w14:paraId="79C958A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3C5AD41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03872C8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Weekly</w:t>
            </w:r>
          </w:p>
        </w:tc>
        <w:tc>
          <w:tcPr>
            <w:tcW w:w="1804" w:type="dxa"/>
          </w:tcPr>
          <w:p w14:paraId="73C41D6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2B21C8E7" w14:textId="77777777">
        <w:tc>
          <w:tcPr>
            <w:tcW w:w="1803" w:type="dxa"/>
          </w:tcPr>
          <w:p w14:paraId="6DC9BC2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R10</w:t>
            </w:r>
          </w:p>
        </w:tc>
        <w:tc>
          <w:tcPr>
            <w:tcW w:w="1803" w:type="dxa"/>
          </w:tcPr>
          <w:p w14:paraId="6F4351B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04A3EDB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36–45</w:t>
            </w:r>
          </w:p>
        </w:tc>
        <w:tc>
          <w:tcPr>
            <w:tcW w:w="1803" w:type="dxa"/>
          </w:tcPr>
          <w:p w14:paraId="1FE383E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Occasionally</w:t>
            </w:r>
          </w:p>
        </w:tc>
        <w:tc>
          <w:tcPr>
            <w:tcW w:w="1804" w:type="dxa"/>
          </w:tcPr>
          <w:p w14:paraId="76475F5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1F75373E" w14:textId="77777777">
        <w:tc>
          <w:tcPr>
            <w:tcW w:w="1803" w:type="dxa"/>
          </w:tcPr>
          <w:p w14:paraId="4A250B3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R11</w:t>
            </w:r>
          </w:p>
        </w:tc>
        <w:tc>
          <w:tcPr>
            <w:tcW w:w="1803" w:type="dxa"/>
          </w:tcPr>
          <w:p w14:paraId="0A2C8A9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69CD602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06EE92D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0983C6F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2AA29017" w14:textId="77777777">
        <w:tc>
          <w:tcPr>
            <w:tcW w:w="1803" w:type="dxa"/>
          </w:tcPr>
          <w:p w14:paraId="6ED517D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R12</w:t>
            </w:r>
          </w:p>
        </w:tc>
        <w:tc>
          <w:tcPr>
            <w:tcW w:w="1803" w:type="dxa"/>
          </w:tcPr>
          <w:p w14:paraId="00019165"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573378F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Below 18</w:t>
            </w:r>
          </w:p>
        </w:tc>
        <w:tc>
          <w:tcPr>
            <w:tcW w:w="1803" w:type="dxa"/>
          </w:tcPr>
          <w:p w14:paraId="6CB4EBE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Rarely</w:t>
            </w:r>
          </w:p>
        </w:tc>
        <w:tc>
          <w:tcPr>
            <w:tcW w:w="1804" w:type="dxa"/>
          </w:tcPr>
          <w:p w14:paraId="73CA155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No</w:t>
            </w:r>
          </w:p>
        </w:tc>
      </w:tr>
      <w:tr w:rsidR="00E336C2" w14:paraId="5E5F0201" w14:textId="77777777">
        <w:tc>
          <w:tcPr>
            <w:tcW w:w="1803" w:type="dxa"/>
          </w:tcPr>
          <w:p w14:paraId="397E8D3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R13</w:t>
            </w:r>
          </w:p>
        </w:tc>
        <w:tc>
          <w:tcPr>
            <w:tcW w:w="1803" w:type="dxa"/>
          </w:tcPr>
          <w:p w14:paraId="46FC15B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4FD9600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26–35</w:t>
            </w:r>
          </w:p>
        </w:tc>
        <w:tc>
          <w:tcPr>
            <w:tcW w:w="1803" w:type="dxa"/>
          </w:tcPr>
          <w:p w14:paraId="6144B00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2321AFB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44467520" w14:textId="77777777">
        <w:tc>
          <w:tcPr>
            <w:tcW w:w="1803" w:type="dxa"/>
          </w:tcPr>
          <w:p w14:paraId="7DDCCA3C"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R14</w:t>
            </w:r>
          </w:p>
        </w:tc>
        <w:tc>
          <w:tcPr>
            <w:tcW w:w="1803" w:type="dxa"/>
          </w:tcPr>
          <w:p w14:paraId="1A4752E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3D43A84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18–25</w:t>
            </w:r>
          </w:p>
        </w:tc>
        <w:tc>
          <w:tcPr>
            <w:tcW w:w="1803" w:type="dxa"/>
          </w:tcPr>
          <w:p w14:paraId="679C8A0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Occasionally</w:t>
            </w:r>
          </w:p>
        </w:tc>
        <w:tc>
          <w:tcPr>
            <w:tcW w:w="1804" w:type="dxa"/>
          </w:tcPr>
          <w:p w14:paraId="7B67481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06363CA8" w14:textId="77777777">
        <w:tc>
          <w:tcPr>
            <w:tcW w:w="1803" w:type="dxa"/>
          </w:tcPr>
          <w:p w14:paraId="5E08186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R15</w:t>
            </w:r>
          </w:p>
        </w:tc>
        <w:tc>
          <w:tcPr>
            <w:tcW w:w="1803" w:type="dxa"/>
          </w:tcPr>
          <w:p w14:paraId="779C0D3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Male</w:t>
            </w:r>
          </w:p>
        </w:tc>
        <w:tc>
          <w:tcPr>
            <w:tcW w:w="1803" w:type="dxa"/>
          </w:tcPr>
          <w:p w14:paraId="38B3D7D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36–45</w:t>
            </w:r>
          </w:p>
        </w:tc>
        <w:tc>
          <w:tcPr>
            <w:tcW w:w="1803" w:type="dxa"/>
          </w:tcPr>
          <w:p w14:paraId="666D0DE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Monthly</w:t>
            </w:r>
          </w:p>
        </w:tc>
        <w:tc>
          <w:tcPr>
            <w:tcW w:w="1804" w:type="dxa"/>
          </w:tcPr>
          <w:p w14:paraId="00BA4D5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r w:rsidR="00E336C2" w14:paraId="0F8EE473" w14:textId="77777777">
        <w:tc>
          <w:tcPr>
            <w:tcW w:w="1803" w:type="dxa"/>
          </w:tcPr>
          <w:p w14:paraId="69C1AD0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t>
            </w:r>
          </w:p>
        </w:tc>
        <w:tc>
          <w:tcPr>
            <w:tcW w:w="1803" w:type="dxa"/>
          </w:tcPr>
          <w:p w14:paraId="4617F37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t>
            </w:r>
          </w:p>
        </w:tc>
        <w:tc>
          <w:tcPr>
            <w:tcW w:w="1803" w:type="dxa"/>
          </w:tcPr>
          <w:p w14:paraId="1FE4EC5C"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t>
            </w:r>
          </w:p>
        </w:tc>
        <w:tc>
          <w:tcPr>
            <w:tcW w:w="1803" w:type="dxa"/>
          </w:tcPr>
          <w:p w14:paraId="2C4C591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t>
            </w:r>
          </w:p>
        </w:tc>
        <w:tc>
          <w:tcPr>
            <w:tcW w:w="1804" w:type="dxa"/>
          </w:tcPr>
          <w:p w14:paraId="0803A99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w:t>
            </w:r>
          </w:p>
        </w:tc>
      </w:tr>
      <w:tr w:rsidR="00E336C2" w14:paraId="2B48EA59" w14:textId="77777777">
        <w:tc>
          <w:tcPr>
            <w:tcW w:w="1803" w:type="dxa"/>
          </w:tcPr>
          <w:p w14:paraId="77DEBF4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R100</w:t>
            </w:r>
          </w:p>
        </w:tc>
        <w:tc>
          <w:tcPr>
            <w:tcW w:w="1803" w:type="dxa"/>
          </w:tcPr>
          <w:p w14:paraId="375D0D2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Female</w:t>
            </w:r>
          </w:p>
        </w:tc>
        <w:tc>
          <w:tcPr>
            <w:tcW w:w="1803" w:type="dxa"/>
          </w:tcPr>
          <w:p w14:paraId="07CDEBC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26–35</w:t>
            </w:r>
          </w:p>
        </w:tc>
        <w:tc>
          <w:tcPr>
            <w:tcW w:w="1803" w:type="dxa"/>
          </w:tcPr>
          <w:p w14:paraId="01DB18F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Occasionally</w:t>
            </w:r>
          </w:p>
        </w:tc>
        <w:tc>
          <w:tcPr>
            <w:tcW w:w="1804" w:type="dxa"/>
          </w:tcPr>
          <w:p w14:paraId="4D5AB11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Yes</w:t>
            </w:r>
          </w:p>
        </w:tc>
      </w:tr>
    </w:tbl>
    <w:p w14:paraId="27530FC8" w14:textId="77777777" w:rsidR="00E336C2" w:rsidRDefault="00E336C2">
      <w:pPr>
        <w:spacing w:after="0" w:line="360" w:lineRule="auto"/>
        <w:jc w:val="both"/>
        <w:rPr>
          <w:rFonts w:ascii="Arial" w:eastAsia="Arial" w:hAnsi="Arial" w:cs="Arial"/>
          <w:color w:val="000000"/>
          <w:sz w:val="24"/>
          <w:szCs w:val="24"/>
        </w:rPr>
      </w:pPr>
    </w:p>
    <w:p w14:paraId="38912F04" w14:textId="77777777" w:rsidR="00E336C2" w:rsidRDefault="00000000">
      <w:pPr>
        <w:spacing w:after="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Appendix C2: Coding Structure Used in SPSS</w:t>
      </w:r>
    </w:p>
    <w:tbl>
      <w:tblPr>
        <w:tblStyle w:val="ac"/>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4D8DD240" w14:textId="77777777">
        <w:tc>
          <w:tcPr>
            <w:tcW w:w="4508" w:type="dxa"/>
          </w:tcPr>
          <w:p w14:paraId="34C5919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Variable</w:t>
            </w:r>
          </w:p>
        </w:tc>
        <w:tc>
          <w:tcPr>
            <w:tcW w:w="4508" w:type="dxa"/>
          </w:tcPr>
          <w:p w14:paraId="1A6FC96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Coding</w:t>
            </w:r>
          </w:p>
        </w:tc>
      </w:tr>
      <w:tr w:rsidR="00E336C2" w14:paraId="4D23D34F" w14:textId="77777777">
        <w:tc>
          <w:tcPr>
            <w:tcW w:w="4508" w:type="dxa"/>
          </w:tcPr>
          <w:p w14:paraId="54C7C1A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Gender</w:t>
            </w:r>
          </w:p>
        </w:tc>
        <w:tc>
          <w:tcPr>
            <w:tcW w:w="4508" w:type="dxa"/>
          </w:tcPr>
          <w:p w14:paraId="0E5E27A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 = Male, 2 = Female</w:t>
            </w:r>
          </w:p>
        </w:tc>
      </w:tr>
      <w:tr w:rsidR="00E336C2" w14:paraId="6B720D23" w14:textId="77777777">
        <w:tc>
          <w:tcPr>
            <w:tcW w:w="4508" w:type="dxa"/>
          </w:tcPr>
          <w:p w14:paraId="726E6CE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Age Group</w:t>
            </w:r>
          </w:p>
        </w:tc>
        <w:tc>
          <w:tcPr>
            <w:tcW w:w="4508" w:type="dxa"/>
          </w:tcPr>
          <w:p w14:paraId="115455F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 = Below 18, 2 = 18–25, 3 = 26–35, 4 = 36–45, 5 = 45+</w:t>
            </w:r>
          </w:p>
        </w:tc>
      </w:tr>
      <w:tr w:rsidR="00E336C2" w14:paraId="7CC2E40A" w14:textId="77777777">
        <w:tc>
          <w:tcPr>
            <w:tcW w:w="4508" w:type="dxa"/>
          </w:tcPr>
          <w:p w14:paraId="116EEAF5"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Purchasing Frequency</w:t>
            </w:r>
          </w:p>
        </w:tc>
        <w:tc>
          <w:tcPr>
            <w:tcW w:w="4508" w:type="dxa"/>
          </w:tcPr>
          <w:p w14:paraId="67387A9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 = Weekly, 2 = Monthly, 3 = Occasionally, 4 = Rarely</w:t>
            </w:r>
          </w:p>
        </w:tc>
      </w:tr>
      <w:tr w:rsidR="00E336C2" w14:paraId="4C0B655B" w14:textId="77777777">
        <w:tc>
          <w:tcPr>
            <w:tcW w:w="4508" w:type="dxa"/>
          </w:tcPr>
          <w:p w14:paraId="5BB34BE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Awareness</w:t>
            </w:r>
          </w:p>
        </w:tc>
        <w:tc>
          <w:tcPr>
            <w:tcW w:w="4508" w:type="dxa"/>
          </w:tcPr>
          <w:p w14:paraId="0873583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1 = Yes, 2 = No</w:t>
            </w:r>
          </w:p>
        </w:tc>
      </w:tr>
    </w:tbl>
    <w:p w14:paraId="6C3C432D" w14:textId="77777777" w:rsidR="00E336C2" w:rsidRDefault="00E336C2">
      <w:pPr>
        <w:spacing w:after="0" w:line="360" w:lineRule="auto"/>
        <w:jc w:val="both"/>
        <w:rPr>
          <w:rFonts w:ascii="Arial" w:eastAsia="Arial" w:hAnsi="Arial" w:cs="Arial"/>
          <w:color w:val="000000"/>
          <w:sz w:val="24"/>
          <w:szCs w:val="24"/>
        </w:rPr>
      </w:pPr>
    </w:p>
    <w:p w14:paraId="5EE9FD7F" w14:textId="77777777" w:rsidR="00E336C2" w:rsidRDefault="00000000">
      <w:pPr>
        <w:spacing w:after="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Appendix C3: Explanation of Raw Data Usage</w:t>
      </w:r>
    </w:p>
    <w:p w14:paraId="51AEDD8F" w14:textId="77777777" w:rsidR="00E336C2" w:rsidRDefault="00E336C2">
      <w:pPr>
        <w:spacing w:after="0" w:line="360" w:lineRule="auto"/>
        <w:jc w:val="both"/>
        <w:rPr>
          <w:rFonts w:ascii="Arial" w:eastAsia="Arial" w:hAnsi="Arial" w:cs="Arial"/>
          <w:color w:val="000000"/>
          <w:sz w:val="24"/>
          <w:szCs w:val="24"/>
        </w:rPr>
      </w:pPr>
    </w:p>
    <w:p w14:paraId="3C768A6B"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The raw demographic data were entered into SPSS and Excel for cleaning, coding, and statistical analysis. Frequency distributions and percentages were generated from these responses to produce the demographic summary presented in Chapter 4. The use of raw respondent-level data enhances transparency, reliability, and research credibility (Saunders et al., 2023).</w:t>
      </w:r>
    </w:p>
    <w:p w14:paraId="2AA9120D" w14:textId="77777777" w:rsidR="00E336C2" w:rsidRDefault="00E336C2">
      <w:pPr>
        <w:spacing w:after="0" w:line="360" w:lineRule="auto"/>
        <w:jc w:val="both"/>
        <w:rPr>
          <w:rFonts w:ascii="Arial" w:eastAsia="Arial" w:hAnsi="Arial" w:cs="Arial"/>
          <w:color w:val="000000"/>
          <w:sz w:val="24"/>
          <w:szCs w:val="24"/>
        </w:rPr>
      </w:pPr>
    </w:p>
    <w:p w14:paraId="332634C5" w14:textId="77777777" w:rsidR="00E336C2" w:rsidRDefault="00000000">
      <w:pPr>
        <w:pStyle w:val="Heading1"/>
        <w:jc w:val="both"/>
      </w:pPr>
      <w:bookmarkStart w:id="85" w:name="_p31uyy2pb6xr" w:colFirst="0" w:colLast="0"/>
      <w:bookmarkEnd w:id="85"/>
      <w:r>
        <w:t>Appendix D: Measurement Items and Calculation of Descriptive Statistics</w:t>
      </w:r>
    </w:p>
    <w:p w14:paraId="5BC33E4F" w14:textId="77777777" w:rsidR="00E336C2" w:rsidRDefault="00E336C2">
      <w:pPr>
        <w:spacing w:after="0" w:line="360" w:lineRule="auto"/>
        <w:jc w:val="both"/>
        <w:rPr>
          <w:rFonts w:ascii="Arial" w:eastAsia="Arial" w:hAnsi="Arial" w:cs="Arial"/>
          <w:color w:val="000000"/>
          <w:sz w:val="24"/>
          <w:szCs w:val="24"/>
        </w:rPr>
      </w:pPr>
    </w:p>
    <w:p w14:paraId="6C3A473F"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To improve transparency and research reliability, the descriptive statistics presented in Chapter 4 were calculated based on responses collected from multiple questionnaire items for each construct. Each variable was measured using four Likert-scale statements adapted from previous literature relating to sustainability and consumer behaviour (Joshi and Rahman, 2023; Hair et al., 2022).</w:t>
      </w:r>
    </w:p>
    <w:p w14:paraId="12CC20F8" w14:textId="77777777" w:rsidR="00E336C2" w:rsidRDefault="00E336C2">
      <w:pPr>
        <w:spacing w:after="0" w:line="360" w:lineRule="auto"/>
        <w:jc w:val="both"/>
        <w:rPr>
          <w:rFonts w:ascii="Arial" w:eastAsia="Arial" w:hAnsi="Arial" w:cs="Arial"/>
          <w:color w:val="000000"/>
          <w:sz w:val="24"/>
          <w:szCs w:val="24"/>
        </w:rPr>
      </w:pPr>
    </w:p>
    <w:p w14:paraId="3C197EEB"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The mean (M) and standard deviation (SD) values were calculated by averaging respondent scores across all items belonging to each variable. Responses were measured using a 5-point Likert scale where:</w:t>
      </w:r>
    </w:p>
    <w:p w14:paraId="3926D962" w14:textId="77777777" w:rsidR="00E336C2" w:rsidRDefault="00E336C2">
      <w:pPr>
        <w:spacing w:after="0" w:line="360" w:lineRule="auto"/>
        <w:jc w:val="both"/>
        <w:rPr>
          <w:rFonts w:ascii="Arial" w:eastAsia="Arial" w:hAnsi="Arial" w:cs="Arial"/>
          <w:color w:val="000000"/>
          <w:sz w:val="24"/>
          <w:szCs w:val="24"/>
        </w:rPr>
      </w:pPr>
    </w:p>
    <w:p w14:paraId="226E608A"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1 = Strongly Disagree</w:t>
      </w:r>
    </w:p>
    <w:p w14:paraId="7F7A6319"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2 = Disagree</w:t>
      </w:r>
    </w:p>
    <w:p w14:paraId="1538B58A"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3 = Neutral</w:t>
      </w:r>
    </w:p>
    <w:p w14:paraId="3B99218F"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4 = Agree</w:t>
      </w:r>
    </w:p>
    <w:p w14:paraId="7CA94E27"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5 = Strongly Agree</w:t>
      </w:r>
    </w:p>
    <w:p w14:paraId="06281AE5" w14:textId="77777777" w:rsidR="00E336C2" w:rsidRDefault="00E336C2">
      <w:pPr>
        <w:spacing w:after="0" w:line="360" w:lineRule="auto"/>
        <w:jc w:val="both"/>
        <w:rPr>
          <w:rFonts w:ascii="Arial" w:eastAsia="Arial" w:hAnsi="Arial" w:cs="Arial"/>
          <w:color w:val="000000"/>
          <w:sz w:val="24"/>
          <w:szCs w:val="24"/>
        </w:rPr>
      </w:pPr>
    </w:p>
    <w:p w14:paraId="4B9C65E2" w14:textId="77777777" w:rsidR="00E336C2" w:rsidRDefault="00000000">
      <w:pPr>
        <w:spacing w:after="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Appendix D1: Measurement Items Used in the Questionnaire</w:t>
      </w:r>
    </w:p>
    <w:p w14:paraId="49FD6CC3"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Variable 1: Sustainability Perception (4 Items)</w:t>
      </w:r>
    </w:p>
    <w:tbl>
      <w:tblPr>
        <w:tblStyle w:val="ad"/>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34F38AA6" w14:textId="77777777">
        <w:tc>
          <w:tcPr>
            <w:tcW w:w="4508" w:type="dxa"/>
          </w:tcPr>
          <w:p w14:paraId="1A4250A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Code</w:t>
            </w:r>
          </w:p>
        </w:tc>
        <w:tc>
          <w:tcPr>
            <w:tcW w:w="4508" w:type="dxa"/>
          </w:tcPr>
          <w:p w14:paraId="7D1BF78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Questionnaire Item</w:t>
            </w:r>
          </w:p>
        </w:tc>
      </w:tr>
      <w:tr w:rsidR="00E336C2" w14:paraId="4F73C9B3" w14:textId="77777777">
        <w:tc>
          <w:tcPr>
            <w:tcW w:w="4508" w:type="dxa"/>
          </w:tcPr>
          <w:p w14:paraId="7E1ADA5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SP1</w:t>
            </w:r>
          </w:p>
        </w:tc>
        <w:tc>
          <w:tcPr>
            <w:tcW w:w="4508" w:type="dxa"/>
          </w:tcPr>
          <w:p w14:paraId="67374C3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is environmentally responsible</w:t>
            </w:r>
          </w:p>
        </w:tc>
      </w:tr>
      <w:tr w:rsidR="00E336C2" w14:paraId="190D49EA" w14:textId="77777777">
        <w:tc>
          <w:tcPr>
            <w:tcW w:w="4508" w:type="dxa"/>
          </w:tcPr>
          <w:p w14:paraId="280DAB3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SP2</w:t>
            </w:r>
          </w:p>
        </w:tc>
        <w:tc>
          <w:tcPr>
            <w:tcW w:w="4508" w:type="dxa"/>
          </w:tcPr>
          <w:p w14:paraId="2F6D8ED5"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effectively uses sustainable materials</w:t>
            </w:r>
          </w:p>
        </w:tc>
      </w:tr>
      <w:tr w:rsidR="00E336C2" w14:paraId="17FF64DC" w14:textId="77777777">
        <w:tc>
          <w:tcPr>
            <w:tcW w:w="4508" w:type="dxa"/>
          </w:tcPr>
          <w:p w14:paraId="2DD942E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SP3</w:t>
            </w:r>
          </w:p>
        </w:tc>
        <w:tc>
          <w:tcPr>
            <w:tcW w:w="4508" w:type="dxa"/>
          </w:tcPr>
          <w:p w14:paraId="02E7F71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demonstrates commitment to environmental sustainability</w:t>
            </w:r>
          </w:p>
        </w:tc>
      </w:tr>
      <w:tr w:rsidR="00E336C2" w14:paraId="700F8554" w14:textId="77777777">
        <w:tc>
          <w:tcPr>
            <w:tcW w:w="4508" w:type="dxa"/>
          </w:tcPr>
          <w:p w14:paraId="3BCCF92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SP4</w:t>
            </w:r>
          </w:p>
        </w:tc>
        <w:tc>
          <w:tcPr>
            <w:tcW w:w="4508" w:type="dxa"/>
          </w:tcPr>
          <w:p w14:paraId="41803F7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sustainability initiatives positively influence my perception of the brand</w:t>
            </w:r>
          </w:p>
        </w:tc>
      </w:tr>
    </w:tbl>
    <w:p w14:paraId="1E7AE433"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Variable 2: Brand Trust (4 Items)</w:t>
      </w:r>
    </w:p>
    <w:tbl>
      <w:tblPr>
        <w:tblStyle w:val="ae"/>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7540C8D0" w14:textId="77777777">
        <w:tc>
          <w:tcPr>
            <w:tcW w:w="4508" w:type="dxa"/>
          </w:tcPr>
          <w:p w14:paraId="6B91359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Code</w:t>
            </w:r>
          </w:p>
        </w:tc>
        <w:tc>
          <w:tcPr>
            <w:tcW w:w="4508" w:type="dxa"/>
          </w:tcPr>
          <w:p w14:paraId="3CC1E37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Questionnaire Item</w:t>
            </w:r>
          </w:p>
        </w:tc>
      </w:tr>
      <w:tr w:rsidR="00E336C2" w14:paraId="72804219" w14:textId="77777777">
        <w:tc>
          <w:tcPr>
            <w:tcW w:w="4508" w:type="dxa"/>
          </w:tcPr>
          <w:p w14:paraId="5164B95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BT1</w:t>
            </w:r>
          </w:p>
        </w:tc>
        <w:tc>
          <w:tcPr>
            <w:tcW w:w="4508" w:type="dxa"/>
          </w:tcPr>
          <w:p w14:paraId="202625A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I trust Adidas sustainability claims</w:t>
            </w:r>
          </w:p>
        </w:tc>
      </w:tr>
      <w:tr w:rsidR="00E336C2" w14:paraId="2EB23E18" w14:textId="77777777">
        <w:tc>
          <w:tcPr>
            <w:tcW w:w="4508" w:type="dxa"/>
          </w:tcPr>
          <w:p w14:paraId="3D74BAA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BT2</w:t>
            </w:r>
          </w:p>
        </w:tc>
        <w:tc>
          <w:tcPr>
            <w:tcW w:w="4508" w:type="dxa"/>
          </w:tcPr>
          <w:p w14:paraId="4228B4F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behaves responsibly toward the environment</w:t>
            </w:r>
          </w:p>
        </w:tc>
      </w:tr>
      <w:tr w:rsidR="00E336C2" w14:paraId="10ECA546" w14:textId="77777777">
        <w:tc>
          <w:tcPr>
            <w:tcW w:w="4508" w:type="dxa"/>
          </w:tcPr>
          <w:p w14:paraId="0704EF9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BT3</w:t>
            </w:r>
          </w:p>
        </w:tc>
        <w:tc>
          <w:tcPr>
            <w:tcW w:w="4508" w:type="dxa"/>
          </w:tcPr>
          <w:p w14:paraId="6367672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provides honest sustainability information</w:t>
            </w:r>
          </w:p>
        </w:tc>
      </w:tr>
      <w:tr w:rsidR="00E336C2" w14:paraId="53C1B89E" w14:textId="77777777">
        <w:tc>
          <w:tcPr>
            <w:tcW w:w="4508" w:type="dxa"/>
          </w:tcPr>
          <w:p w14:paraId="618D360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BT4</w:t>
            </w:r>
          </w:p>
        </w:tc>
        <w:tc>
          <w:tcPr>
            <w:tcW w:w="4508" w:type="dxa"/>
          </w:tcPr>
          <w:p w14:paraId="015FD02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sustainability initiatives increase my trust in the brand</w:t>
            </w:r>
          </w:p>
        </w:tc>
      </w:tr>
    </w:tbl>
    <w:p w14:paraId="49D46BAD"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Variable 3: Brand Image (4 Items)</w:t>
      </w:r>
    </w:p>
    <w:tbl>
      <w:tblPr>
        <w:tblStyle w:val="af"/>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18930ABA" w14:textId="77777777">
        <w:tc>
          <w:tcPr>
            <w:tcW w:w="4508" w:type="dxa"/>
          </w:tcPr>
          <w:p w14:paraId="7533AED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Code</w:t>
            </w:r>
          </w:p>
        </w:tc>
        <w:tc>
          <w:tcPr>
            <w:tcW w:w="4508" w:type="dxa"/>
          </w:tcPr>
          <w:p w14:paraId="5AC6D2D5"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Questionnaire Item</w:t>
            </w:r>
          </w:p>
        </w:tc>
      </w:tr>
      <w:tr w:rsidR="00E336C2" w14:paraId="1A357B88" w14:textId="77777777">
        <w:tc>
          <w:tcPr>
            <w:tcW w:w="4508" w:type="dxa"/>
          </w:tcPr>
          <w:p w14:paraId="5C0F30C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BI1</w:t>
            </w:r>
          </w:p>
        </w:tc>
        <w:tc>
          <w:tcPr>
            <w:tcW w:w="4508" w:type="dxa"/>
          </w:tcPr>
          <w:p w14:paraId="4DCF066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has a positive environmental reputation</w:t>
            </w:r>
          </w:p>
        </w:tc>
      </w:tr>
      <w:tr w:rsidR="00E336C2" w14:paraId="3DC7FB73" w14:textId="77777777">
        <w:tc>
          <w:tcPr>
            <w:tcW w:w="4508" w:type="dxa"/>
          </w:tcPr>
          <w:p w14:paraId="10D0C94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BI2</w:t>
            </w:r>
          </w:p>
        </w:tc>
        <w:tc>
          <w:tcPr>
            <w:tcW w:w="4508" w:type="dxa"/>
          </w:tcPr>
          <w:p w14:paraId="34C67D7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Sustainability improves Adidas brand image</w:t>
            </w:r>
          </w:p>
        </w:tc>
      </w:tr>
      <w:tr w:rsidR="00E336C2" w14:paraId="20DA167F" w14:textId="77777777">
        <w:tc>
          <w:tcPr>
            <w:tcW w:w="4508" w:type="dxa"/>
          </w:tcPr>
          <w:p w14:paraId="3C062D9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BI3</w:t>
            </w:r>
          </w:p>
        </w:tc>
        <w:tc>
          <w:tcPr>
            <w:tcW w:w="4508" w:type="dxa"/>
          </w:tcPr>
          <w:p w14:paraId="5410BAC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is perceived as a socially responsible company</w:t>
            </w:r>
          </w:p>
        </w:tc>
      </w:tr>
      <w:tr w:rsidR="00E336C2" w14:paraId="784F46FF" w14:textId="77777777">
        <w:tc>
          <w:tcPr>
            <w:tcW w:w="4508" w:type="dxa"/>
          </w:tcPr>
          <w:p w14:paraId="699DD46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BI4</w:t>
            </w:r>
          </w:p>
        </w:tc>
        <w:tc>
          <w:tcPr>
            <w:tcW w:w="4508" w:type="dxa"/>
          </w:tcPr>
          <w:p w14:paraId="66EB9F6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Adidas sustainability initiatives differentiate the brand positively</w:t>
            </w:r>
          </w:p>
        </w:tc>
      </w:tr>
    </w:tbl>
    <w:p w14:paraId="1463AC43"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Variable 4: Purchase Intention (4 Items)</w:t>
      </w:r>
    </w:p>
    <w:tbl>
      <w:tblPr>
        <w:tblStyle w:val="af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336C2" w14:paraId="292C43A8" w14:textId="77777777">
        <w:tc>
          <w:tcPr>
            <w:tcW w:w="4508" w:type="dxa"/>
          </w:tcPr>
          <w:p w14:paraId="4ED4312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Code</w:t>
            </w:r>
          </w:p>
        </w:tc>
        <w:tc>
          <w:tcPr>
            <w:tcW w:w="4508" w:type="dxa"/>
          </w:tcPr>
          <w:p w14:paraId="3D6D679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Questionnaire Item</w:t>
            </w:r>
          </w:p>
        </w:tc>
      </w:tr>
      <w:tr w:rsidR="00E336C2" w14:paraId="4102A659" w14:textId="77777777">
        <w:tc>
          <w:tcPr>
            <w:tcW w:w="4508" w:type="dxa"/>
          </w:tcPr>
          <w:p w14:paraId="222C4D2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PI1</w:t>
            </w:r>
          </w:p>
        </w:tc>
        <w:tc>
          <w:tcPr>
            <w:tcW w:w="4508" w:type="dxa"/>
          </w:tcPr>
          <w:p w14:paraId="1899028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I intend to purchase Adidas products in the future</w:t>
            </w:r>
          </w:p>
        </w:tc>
      </w:tr>
      <w:tr w:rsidR="00E336C2" w14:paraId="70DC5851" w14:textId="77777777">
        <w:tc>
          <w:tcPr>
            <w:tcW w:w="4508" w:type="dxa"/>
          </w:tcPr>
          <w:p w14:paraId="1DB46BB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PI2</w:t>
            </w:r>
          </w:p>
        </w:tc>
        <w:tc>
          <w:tcPr>
            <w:tcW w:w="4508" w:type="dxa"/>
          </w:tcPr>
          <w:p w14:paraId="2D960F7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Sustainability initiatives influence my buying decisions</w:t>
            </w:r>
          </w:p>
        </w:tc>
      </w:tr>
      <w:tr w:rsidR="00E336C2" w14:paraId="45C6887F" w14:textId="77777777">
        <w:tc>
          <w:tcPr>
            <w:tcW w:w="4508" w:type="dxa"/>
          </w:tcPr>
          <w:p w14:paraId="5035009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PI3</w:t>
            </w:r>
          </w:p>
        </w:tc>
        <w:tc>
          <w:tcPr>
            <w:tcW w:w="4508" w:type="dxa"/>
          </w:tcPr>
          <w:p w14:paraId="1C64100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I would recommend Adidas sustainable products to others</w:t>
            </w:r>
          </w:p>
        </w:tc>
      </w:tr>
      <w:tr w:rsidR="00E336C2" w14:paraId="3C4C1A92" w14:textId="77777777">
        <w:tc>
          <w:tcPr>
            <w:tcW w:w="4508" w:type="dxa"/>
          </w:tcPr>
          <w:p w14:paraId="6C6F485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PI4</w:t>
            </w:r>
          </w:p>
        </w:tc>
        <w:tc>
          <w:tcPr>
            <w:tcW w:w="4508" w:type="dxa"/>
          </w:tcPr>
          <w:p w14:paraId="0436905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I would consider paying more for sustainable Adidas products</w:t>
            </w:r>
          </w:p>
        </w:tc>
      </w:tr>
    </w:tbl>
    <w:p w14:paraId="4EA41906" w14:textId="77777777" w:rsidR="00E336C2" w:rsidRDefault="00E336C2">
      <w:pPr>
        <w:spacing w:after="0" w:line="360" w:lineRule="auto"/>
        <w:jc w:val="both"/>
        <w:rPr>
          <w:rFonts w:ascii="Arial" w:eastAsia="Arial" w:hAnsi="Arial" w:cs="Arial"/>
          <w:color w:val="000000"/>
          <w:sz w:val="24"/>
          <w:szCs w:val="24"/>
        </w:rPr>
      </w:pPr>
    </w:p>
    <w:p w14:paraId="0860C7AF"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Appendix D2: Example of Mean Calculation</w:t>
      </w:r>
    </w:p>
    <w:p w14:paraId="03D94983"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Example: Sustainability Perception</w:t>
      </w:r>
    </w:p>
    <w:p w14:paraId="41E5DE43" w14:textId="77777777" w:rsidR="00E336C2" w:rsidRDefault="00E336C2">
      <w:pPr>
        <w:spacing w:after="0" w:line="360" w:lineRule="auto"/>
        <w:jc w:val="both"/>
        <w:rPr>
          <w:rFonts w:ascii="Arial" w:eastAsia="Arial" w:hAnsi="Arial" w:cs="Arial"/>
          <w:color w:val="000000"/>
          <w:sz w:val="24"/>
          <w:szCs w:val="24"/>
        </w:rPr>
      </w:pPr>
    </w:p>
    <w:p w14:paraId="2A8C889B"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The Sustainability Perception construct included four questionnaire items (SP1–SP4). The mean score was calculated using the following process:</w:t>
      </w:r>
    </w:p>
    <w:p w14:paraId="6C617B19" w14:textId="77777777" w:rsidR="00E336C2" w:rsidRDefault="00E336C2">
      <w:pPr>
        <w:spacing w:after="0" w:line="360" w:lineRule="auto"/>
        <w:jc w:val="both"/>
        <w:rPr>
          <w:rFonts w:ascii="Arial" w:eastAsia="Arial" w:hAnsi="Arial" w:cs="Arial"/>
          <w:color w:val="000000"/>
          <w:sz w:val="24"/>
          <w:szCs w:val="24"/>
        </w:rPr>
      </w:pPr>
    </w:p>
    <w:p w14:paraId="72BC5149"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Total Score of All Sustainability Items</w:t>
      </w:r>
    </w:p>
    <w:p w14:paraId="3D874A3E"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p>
    <w:p w14:paraId="0A37F595"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(Number of Respondents × Number of Items)</w:t>
      </w:r>
    </w:p>
    <w:p w14:paraId="1FD50C6E"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p>
    <w:p w14:paraId="4B4A8D62"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Mean Score</w:t>
      </w:r>
    </w:p>
    <w:p w14:paraId="061ED600"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Illustration</w:t>
      </w:r>
    </w:p>
    <w:tbl>
      <w:tblPr>
        <w:tblStyle w:val="af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11"/>
        <w:gridCol w:w="1500"/>
        <w:gridCol w:w="1501"/>
        <w:gridCol w:w="1501"/>
        <w:gridCol w:w="1501"/>
        <w:gridCol w:w="1502"/>
      </w:tblGrid>
      <w:tr w:rsidR="00E336C2" w14:paraId="30F24C9B" w14:textId="77777777">
        <w:tc>
          <w:tcPr>
            <w:tcW w:w="1511" w:type="dxa"/>
          </w:tcPr>
          <w:p w14:paraId="680478F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Respondent</w:t>
            </w:r>
          </w:p>
        </w:tc>
        <w:tc>
          <w:tcPr>
            <w:tcW w:w="1500" w:type="dxa"/>
          </w:tcPr>
          <w:p w14:paraId="0EA19A1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SP1</w:t>
            </w:r>
          </w:p>
        </w:tc>
        <w:tc>
          <w:tcPr>
            <w:tcW w:w="1501" w:type="dxa"/>
          </w:tcPr>
          <w:p w14:paraId="68A014B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SP2</w:t>
            </w:r>
          </w:p>
        </w:tc>
        <w:tc>
          <w:tcPr>
            <w:tcW w:w="1501" w:type="dxa"/>
          </w:tcPr>
          <w:p w14:paraId="6048174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SP3</w:t>
            </w:r>
          </w:p>
        </w:tc>
        <w:tc>
          <w:tcPr>
            <w:tcW w:w="1501" w:type="dxa"/>
          </w:tcPr>
          <w:p w14:paraId="48B12A33"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SP4</w:t>
            </w:r>
          </w:p>
        </w:tc>
        <w:tc>
          <w:tcPr>
            <w:tcW w:w="1502" w:type="dxa"/>
          </w:tcPr>
          <w:p w14:paraId="4FACBD9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Average</w:t>
            </w:r>
          </w:p>
        </w:tc>
      </w:tr>
      <w:tr w:rsidR="00E336C2" w14:paraId="093FD907" w14:textId="77777777">
        <w:tc>
          <w:tcPr>
            <w:tcW w:w="1511" w:type="dxa"/>
          </w:tcPr>
          <w:p w14:paraId="5A71AEB9"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R1</w:t>
            </w:r>
          </w:p>
        </w:tc>
        <w:tc>
          <w:tcPr>
            <w:tcW w:w="1500" w:type="dxa"/>
          </w:tcPr>
          <w:p w14:paraId="5648D5E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43440CC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5</w:t>
            </w:r>
          </w:p>
        </w:tc>
        <w:tc>
          <w:tcPr>
            <w:tcW w:w="1501" w:type="dxa"/>
          </w:tcPr>
          <w:p w14:paraId="24AB687E"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5ED46BB5"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2" w:type="dxa"/>
          </w:tcPr>
          <w:p w14:paraId="1634F8F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4.25</w:t>
            </w:r>
          </w:p>
        </w:tc>
      </w:tr>
      <w:tr w:rsidR="00E336C2" w14:paraId="4DA304AE" w14:textId="77777777">
        <w:tc>
          <w:tcPr>
            <w:tcW w:w="1511" w:type="dxa"/>
          </w:tcPr>
          <w:p w14:paraId="717584FB"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R2</w:t>
            </w:r>
          </w:p>
        </w:tc>
        <w:tc>
          <w:tcPr>
            <w:tcW w:w="1500" w:type="dxa"/>
          </w:tcPr>
          <w:p w14:paraId="447B8E2A"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5</w:t>
            </w:r>
          </w:p>
        </w:tc>
        <w:tc>
          <w:tcPr>
            <w:tcW w:w="1501" w:type="dxa"/>
          </w:tcPr>
          <w:p w14:paraId="5309BA3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3739014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20F3F1D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2" w:type="dxa"/>
          </w:tcPr>
          <w:p w14:paraId="4990A8A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4.25</w:t>
            </w:r>
          </w:p>
        </w:tc>
      </w:tr>
      <w:tr w:rsidR="00E336C2" w14:paraId="01F55AB0" w14:textId="77777777">
        <w:tc>
          <w:tcPr>
            <w:tcW w:w="1511" w:type="dxa"/>
          </w:tcPr>
          <w:p w14:paraId="01F7644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R3</w:t>
            </w:r>
          </w:p>
        </w:tc>
        <w:tc>
          <w:tcPr>
            <w:tcW w:w="1500" w:type="dxa"/>
          </w:tcPr>
          <w:p w14:paraId="0ACE9BD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333D2262"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4B5CD891"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5</w:t>
            </w:r>
          </w:p>
        </w:tc>
        <w:tc>
          <w:tcPr>
            <w:tcW w:w="1501" w:type="dxa"/>
          </w:tcPr>
          <w:p w14:paraId="43ED0E8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2" w:type="dxa"/>
          </w:tcPr>
          <w:p w14:paraId="78522228"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4.25</w:t>
            </w:r>
          </w:p>
        </w:tc>
      </w:tr>
      <w:tr w:rsidR="00E336C2" w14:paraId="41010F44" w14:textId="77777777">
        <w:tc>
          <w:tcPr>
            <w:tcW w:w="1511" w:type="dxa"/>
          </w:tcPr>
          <w:p w14:paraId="3CA4B2AF"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R4</w:t>
            </w:r>
          </w:p>
        </w:tc>
        <w:tc>
          <w:tcPr>
            <w:tcW w:w="1500" w:type="dxa"/>
          </w:tcPr>
          <w:p w14:paraId="1567A584"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3</w:t>
            </w:r>
          </w:p>
        </w:tc>
        <w:tc>
          <w:tcPr>
            <w:tcW w:w="1501" w:type="dxa"/>
          </w:tcPr>
          <w:p w14:paraId="44457D70"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38EA0C47"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w:t>
            </w:r>
          </w:p>
        </w:tc>
        <w:tc>
          <w:tcPr>
            <w:tcW w:w="1501" w:type="dxa"/>
          </w:tcPr>
          <w:p w14:paraId="05E5CA6D"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5</w:t>
            </w:r>
          </w:p>
        </w:tc>
        <w:tc>
          <w:tcPr>
            <w:tcW w:w="1502" w:type="dxa"/>
          </w:tcPr>
          <w:p w14:paraId="5B9367C6" w14:textId="77777777" w:rsidR="00E336C2"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4.00</w:t>
            </w:r>
          </w:p>
        </w:tc>
      </w:tr>
    </w:tbl>
    <w:p w14:paraId="60B3729A" w14:textId="77777777" w:rsidR="00E336C2" w:rsidRDefault="00E336C2">
      <w:pPr>
        <w:spacing w:after="0" w:line="360" w:lineRule="auto"/>
        <w:jc w:val="both"/>
        <w:rPr>
          <w:rFonts w:ascii="Arial" w:eastAsia="Arial" w:hAnsi="Arial" w:cs="Arial"/>
          <w:color w:val="000000"/>
          <w:sz w:val="24"/>
          <w:szCs w:val="24"/>
        </w:rPr>
      </w:pPr>
    </w:p>
    <w:p w14:paraId="5F40620C" w14:textId="77777777" w:rsidR="00E336C2" w:rsidRDefault="00E336C2">
      <w:pPr>
        <w:spacing w:after="0" w:line="360" w:lineRule="auto"/>
        <w:jc w:val="both"/>
        <w:rPr>
          <w:rFonts w:ascii="Arial" w:eastAsia="Arial" w:hAnsi="Arial" w:cs="Arial"/>
          <w:color w:val="000000"/>
          <w:sz w:val="24"/>
          <w:szCs w:val="24"/>
        </w:rPr>
      </w:pPr>
    </w:p>
    <w:p w14:paraId="43FE59F9" w14:textId="77777777" w:rsidR="00E336C2"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The use of multiple-item measurement scales improves construct reliability and validity, ensuring that the variables accurately reflect consumer perceptions and behavioural intentions (Saunders et al., 2023).</w:t>
      </w:r>
    </w:p>
    <w:p w14:paraId="0FCE89B7" w14:textId="77777777" w:rsidR="00E336C2" w:rsidRDefault="00E336C2">
      <w:pPr>
        <w:rPr>
          <w:rFonts w:ascii="Arial" w:eastAsia="Arial" w:hAnsi="Arial" w:cs="Arial"/>
          <w:color w:val="000000"/>
          <w:sz w:val="24"/>
          <w:szCs w:val="24"/>
        </w:rPr>
      </w:pPr>
    </w:p>
    <w:sectPr w:rsidR="00E336C2">
      <w:headerReference w:type="default" r:id="rId62"/>
      <w:footerReference w:type="default" r:id="rId6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E1DD7" w14:textId="77777777" w:rsidR="007115E1" w:rsidRDefault="007115E1">
      <w:pPr>
        <w:spacing w:after="0" w:line="240" w:lineRule="auto"/>
      </w:pPr>
      <w:r>
        <w:separator/>
      </w:r>
    </w:p>
  </w:endnote>
  <w:endnote w:type="continuationSeparator" w:id="0">
    <w:p w14:paraId="0370C025" w14:textId="77777777" w:rsidR="007115E1" w:rsidRDefault="0071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D9E87B8-CA2B-554E-A5E8-8CBCBE52D2EF}"/>
  </w:font>
  <w:font w:name="Courier New">
    <w:panose1 w:val="02070309020205020404"/>
    <w:charset w:val="00"/>
    <w:family w:val="modern"/>
    <w:pitch w:val="fixed"/>
    <w:sig w:usb0="E0002AFF" w:usb1="C0007843" w:usb2="00000009" w:usb3="00000000" w:csb0="000001FF" w:csb1="00000000"/>
    <w:embedRegular r:id="rId2" w:fontKey="{3C94DF1C-4F57-2D4A-AED7-117439585420}"/>
  </w:font>
  <w:font w:name="Times New Roman">
    <w:panose1 w:val="02020603050405020304"/>
    <w:charset w:val="00"/>
    <w:family w:val="roman"/>
    <w:pitch w:val="variable"/>
    <w:sig w:usb0="E0002EFF" w:usb1="C000785B" w:usb2="00000009" w:usb3="00000000" w:csb0="000001FF" w:csb1="00000000"/>
    <w:embedRegular r:id="rId3" w:fontKey="{15737AC5-0AC1-8A46-A9EA-85785E1A7F3B}"/>
    <w:embedBold r:id="rId4" w:fontKey="{67323FC0-819B-A54E-8207-2356F2341577}"/>
  </w:font>
  <w:font w:name="Calibri">
    <w:panose1 w:val="020F0502020204030204"/>
    <w:charset w:val="00"/>
    <w:family w:val="swiss"/>
    <w:pitch w:val="variable"/>
    <w:sig w:usb0="E0002AFF" w:usb1="C000247B" w:usb2="00000009" w:usb3="00000000" w:csb0="000001FF" w:csb1="00000000"/>
    <w:embedRegular r:id="rId5" w:fontKey="{D542209A-60AF-A44B-A634-AAF21241CFAF}"/>
    <w:embedItalic r:id="rId6" w:fontKey="{CCAEF415-EE4A-2145-B9D2-E3B9D9D1DE49}"/>
  </w:font>
  <w:font w:name="Arial">
    <w:panose1 w:val="020B0604020202020204"/>
    <w:charset w:val="00"/>
    <w:family w:val="swiss"/>
    <w:pitch w:val="variable"/>
    <w:sig w:usb0="E0002AFF" w:usb1="C0007843" w:usb2="00000009" w:usb3="00000000" w:csb0="000001FF" w:csb1="00000000"/>
    <w:embedRegular r:id="rId7" w:fontKey="{3BD82B32-191C-5D4E-8DD7-30D4B8A5686D}"/>
    <w:embedBold r:id="rId8" w:fontKey="{7D84AE81-2D4A-8A47-90FF-CE0CB71266DD}"/>
    <w:embedItalic r:id="rId9" w:fontKey="{3F2D08C9-521D-3A40-A49C-188DAEE6A45F}"/>
  </w:font>
  <w:font w:name="Cambria">
    <w:panose1 w:val="02040503050406030204"/>
    <w:charset w:val="00"/>
    <w:family w:val="roman"/>
    <w:pitch w:val="variable"/>
    <w:sig w:usb0="E00002FF" w:usb1="400004FF" w:usb2="00000000" w:usb3="00000000" w:csb0="0000019F" w:csb1="00000000"/>
    <w:embedRegular r:id="rId10" w:fontKey="{8A3C246F-CF19-C943-AFEE-956E5A91A305}"/>
  </w:font>
  <w:font w:name="Cambria Math">
    <w:panose1 w:val="02040503050406030204"/>
    <w:charset w:val="00"/>
    <w:family w:val="roman"/>
    <w:pitch w:val="variable"/>
    <w:sig w:usb0="E00002FF" w:usb1="420024FF" w:usb2="00000000" w:usb3="00000000" w:csb0="0000019F" w:csb1="00000000"/>
    <w:embedRegular r:id="rId11" w:fontKey="{A2275E54-1B1D-5D4B-BEB4-F55BC970373D}"/>
  </w:font>
  <w:font w:name="Arial Unicode MS">
    <w:panose1 w:val="020B0604020202020204"/>
    <w:charset w:val="80"/>
    <w:family w:val="swiss"/>
    <w:pitch w:val="variable"/>
    <w:sig w:usb0="F7FFAFFF" w:usb1="E9DFFFFF" w:usb2="0000003F" w:usb3="00000000" w:csb0="003F01FF" w:csb1="00000000"/>
    <w:embedRegular r:id="rId12" w:subsetted="1" w:fontKey="{09A3862E-A3B2-4644-972C-2DCD3F1401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04ACB" w14:textId="45B0523A" w:rsidR="00E336C2"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7697B">
      <w:rPr>
        <w:noProof/>
        <w:color w:val="000000"/>
      </w:rPr>
      <w:t>1</w:t>
    </w:r>
    <w:r>
      <w:rPr>
        <w:color w:val="000000"/>
      </w:rPr>
      <w:fldChar w:fldCharType="end"/>
    </w:r>
  </w:p>
  <w:p w14:paraId="55E22410" w14:textId="77777777" w:rsidR="00E336C2" w:rsidRDefault="00E336C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C6FE4" w14:textId="184F4D0B" w:rsidR="00E336C2"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7697B">
      <w:rPr>
        <w:noProof/>
        <w:color w:val="000000"/>
      </w:rPr>
      <w:t>1</w:t>
    </w:r>
    <w:r>
      <w:rPr>
        <w:color w:val="000000"/>
      </w:rPr>
      <w:fldChar w:fldCharType="end"/>
    </w:r>
  </w:p>
  <w:p w14:paraId="27FD5A24" w14:textId="77777777" w:rsidR="00E336C2" w:rsidRDefault="00E336C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DC717" w14:textId="77777777" w:rsidR="007115E1" w:rsidRDefault="007115E1">
      <w:pPr>
        <w:spacing w:after="0" w:line="240" w:lineRule="auto"/>
      </w:pPr>
      <w:r>
        <w:separator/>
      </w:r>
    </w:p>
  </w:footnote>
  <w:footnote w:type="continuationSeparator" w:id="0">
    <w:p w14:paraId="38F57A9D" w14:textId="77777777" w:rsidR="007115E1" w:rsidRDefault="00711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9BEEC9" w14:textId="77777777" w:rsidR="00E336C2" w:rsidRDefault="00E336C2">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5989"/>
    <w:multiLevelType w:val="multilevel"/>
    <w:tmpl w:val="5CB624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1730BA5"/>
    <w:multiLevelType w:val="multilevel"/>
    <w:tmpl w:val="B2B43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126258"/>
    <w:multiLevelType w:val="multilevel"/>
    <w:tmpl w:val="1DD258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39B35ED"/>
    <w:multiLevelType w:val="multilevel"/>
    <w:tmpl w:val="FD16CF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DF2643B"/>
    <w:multiLevelType w:val="multilevel"/>
    <w:tmpl w:val="142A0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513394"/>
    <w:multiLevelType w:val="multilevel"/>
    <w:tmpl w:val="D5D86F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CEF2591"/>
    <w:multiLevelType w:val="multilevel"/>
    <w:tmpl w:val="DE120B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7406D06"/>
    <w:multiLevelType w:val="multilevel"/>
    <w:tmpl w:val="A0B488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AAE1E50"/>
    <w:multiLevelType w:val="multilevel"/>
    <w:tmpl w:val="2EB06C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0912F63"/>
    <w:multiLevelType w:val="multilevel"/>
    <w:tmpl w:val="584E39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49422D8"/>
    <w:multiLevelType w:val="multilevel"/>
    <w:tmpl w:val="E35A85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B170077"/>
    <w:multiLevelType w:val="multilevel"/>
    <w:tmpl w:val="FA1A6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3700126">
    <w:abstractNumId w:val="1"/>
  </w:num>
  <w:num w:numId="2" w16cid:durableId="1008630499">
    <w:abstractNumId w:val="9"/>
  </w:num>
  <w:num w:numId="3" w16cid:durableId="792749836">
    <w:abstractNumId w:val="6"/>
  </w:num>
  <w:num w:numId="4" w16cid:durableId="605580692">
    <w:abstractNumId w:val="7"/>
  </w:num>
  <w:num w:numId="5" w16cid:durableId="479537521">
    <w:abstractNumId w:val="0"/>
  </w:num>
  <w:num w:numId="6" w16cid:durableId="784231638">
    <w:abstractNumId w:val="5"/>
  </w:num>
  <w:num w:numId="7" w16cid:durableId="1737241781">
    <w:abstractNumId w:val="3"/>
  </w:num>
  <w:num w:numId="8" w16cid:durableId="1334986966">
    <w:abstractNumId w:val="8"/>
  </w:num>
  <w:num w:numId="9" w16cid:durableId="366754901">
    <w:abstractNumId w:val="10"/>
  </w:num>
  <w:num w:numId="10" w16cid:durableId="52044117">
    <w:abstractNumId w:val="2"/>
  </w:num>
  <w:num w:numId="11" w16cid:durableId="2145345744">
    <w:abstractNumId w:val="11"/>
  </w:num>
  <w:num w:numId="12" w16cid:durableId="19754100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6C2"/>
    <w:rsid w:val="002B4379"/>
    <w:rsid w:val="003E3497"/>
    <w:rsid w:val="006005E2"/>
    <w:rsid w:val="007115E1"/>
    <w:rsid w:val="0077697B"/>
    <w:rsid w:val="00782FCC"/>
    <w:rsid w:val="007C7E94"/>
    <w:rsid w:val="00863FB8"/>
    <w:rsid w:val="008B6DB9"/>
    <w:rsid w:val="009A3145"/>
    <w:rsid w:val="00A27EE4"/>
    <w:rsid w:val="00A55D30"/>
    <w:rsid w:val="00AD1A9C"/>
    <w:rsid w:val="00B81541"/>
    <w:rsid w:val="00C66B95"/>
    <w:rsid w:val="00D02EE6"/>
    <w:rsid w:val="00D12706"/>
    <w:rsid w:val="00D634FA"/>
    <w:rsid w:val="00DA6F4A"/>
    <w:rsid w:val="00E17EE0"/>
    <w:rsid w:val="00E33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0A717A"/>
  <w15:docId w15:val="{6C717C48-A738-9E49-B815-E82B7B51A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Arial" w:eastAsia="Arial" w:hAnsi="Arial" w:cs="Arial"/>
      <w:b/>
      <w:bCs/>
      <w:color w:val="000000"/>
      <w:sz w:val="32"/>
      <w:szCs w:val="32"/>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color w:val="000000"/>
      <w:sz w:val="28"/>
      <w:szCs w:val="28"/>
    </w:rPr>
  </w:style>
  <w:style w:type="paragraph" w:styleId="Heading3">
    <w:name w:val="heading 3"/>
    <w:basedOn w:val="Normal"/>
    <w:next w:val="Normal"/>
    <w:uiPriority w:val="9"/>
    <w:unhideWhenUsed/>
    <w:qFormat/>
    <w:pPr>
      <w:keepNext/>
      <w:keepLines/>
      <w:spacing w:before="160" w:after="80"/>
      <w:outlineLvl w:val="2"/>
    </w:pPr>
    <w:rPr>
      <w:rFonts w:ascii="Arial" w:eastAsia="Arial" w:hAnsi="Arial" w:cs="Arial"/>
      <w:b/>
      <w:bCs/>
      <w:color w:val="000000"/>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c">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d">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e">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21203/rs.3.rs-8244998/v1" TargetMode="External"/><Relationship Id="rId21" Type="http://schemas.openxmlformats.org/officeDocument/2006/relationships/hyperlink" Target="https://doi.org/10.1038/s41558-021-01215-5" TargetMode="External"/><Relationship Id="rId34" Type="http://schemas.openxmlformats.org/officeDocument/2006/relationships/hyperlink" Target="https://hbr.org" TargetMode="External"/><Relationship Id="rId42" Type="http://schemas.openxmlformats.org/officeDocument/2006/relationships/hyperlink" Target="https://www.worldbank.org" TargetMode="External"/><Relationship Id="rId47" Type="http://schemas.openxmlformats.org/officeDocument/2006/relationships/hyperlink" Target="https://www.forrester.com" TargetMode="External"/><Relationship Id="rId50" Type="http://schemas.openxmlformats.org/officeDocument/2006/relationships/hyperlink" Target="https://www.greenpeace.org" TargetMode="External"/><Relationship Id="rId55" Type="http://schemas.openxmlformats.org/officeDocument/2006/relationships/hyperlink" Target="https://www.eea.europa.eu" TargetMode="External"/><Relationship Id="rId63"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jbusres.2023.02.011" TargetMode="External"/><Relationship Id="rId29" Type="http://schemas.openxmlformats.org/officeDocument/2006/relationships/hyperlink" Target="https://www.mckinsey.com/industries/retail/our-insights" TargetMode="External"/><Relationship Id="rId11" Type="http://schemas.openxmlformats.org/officeDocument/2006/relationships/hyperlink" Target="https://doi.org/10.1016/j.jbusres.2021.01.034" TargetMode="External"/><Relationship Id="rId24" Type="http://schemas.openxmlformats.org/officeDocument/2006/relationships/hyperlink" Target="https://www.researchgate.net/publication/333148316" TargetMode="External"/><Relationship Id="rId32" Type="http://schemas.openxmlformats.org/officeDocument/2006/relationships/hyperlink" Target="https://environment.ec.europa.eu" TargetMode="External"/><Relationship Id="rId37" Type="http://schemas.openxmlformats.org/officeDocument/2006/relationships/hyperlink" Target="https://www.pearson.com" TargetMode="External"/><Relationship Id="rId40" Type="http://schemas.openxmlformats.org/officeDocument/2006/relationships/hyperlink" Target="https://www.pearson.com" TargetMode="External"/><Relationship Id="rId45" Type="http://schemas.openxmlformats.org/officeDocument/2006/relationships/hyperlink" Target="https://www.accenture.com" TargetMode="External"/><Relationship Id="rId53" Type="http://schemas.openxmlformats.org/officeDocument/2006/relationships/hyperlink" Target="https://globalfashionagenda.org" TargetMode="External"/><Relationship Id="rId58" Type="http://schemas.openxmlformats.org/officeDocument/2006/relationships/hyperlink" Target="https://www2.deloitte.com" TargetMode="External"/><Relationship Id="rId5" Type="http://schemas.openxmlformats.org/officeDocument/2006/relationships/footnotes" Target="footnotes.xml"/><Relationship Id="rId61" Type="http://schemas.openxmlformats.org/officeDocument/2006/relationships/hyperlink" Target="https://www.unglobalcompact.org" TargetMode="External"/><Relationship Id="rId19" Type="http://schemas.openxmlformats.org/officeDocument/2006/relationships/hyperlink" Target="https://doi.org/10.1038/s43017-022-00308-3" TargetMode="External"/><Relationship Id="rId14" Type="http://schemas.openxmlformats.org/officeDocument/2006/relationships/hyperlink" Target="https://doi.org/10.1108/JKM-2022-03-015" TargetMode="External"/><Relationship Id="rId22" Type="http://schemas.openxmlformats.org/officeDocument/2006/relationships/hyperlink" Target="https://www.nature.com/articles/s41598-025-04186-y?utm_source=chatgpt.com" TargetMode="External"/><Relationship Id="rId27" Type="http://schemas.openxmlformats.org/officeDocument/2006/relationships/hyperlink" Target="https://www.adidas-group.com/en/sustainability/" TargetMode="External"/><Relationship Id="rId30" Type="http://schemas.openxmlformats.org/officeDocument/2006/relationships/hyperlink" Target="https://ellenmacarthurfoundation.org/fashion" TargetMode="External"/><Relationship Id="rId35" Type="http://schemas.openxmlformats.org/officeDocument/2006/relationships/hyperlink" Target="https://www.bloomberg.com/sustainability" TargetMode="External"/><Relationship Id="rId43" Type="http://schemas.openxmlformats.org/officeDocument/2006/relationships/hyperlink" Target="https://www.imf.org" TargetMode="External"/><Relationship Id="rId48" Type="http://schemas.openxmlformats.org/officeDocument/2006/relationships/hyperlink" Target="https://nielseniq.com" TargetMode="External"/><Relationship Id="rId56" Type="http://schemas.openxmlformats.org/officeDocument/2006/relationships/hyperlink" Target="https://www.statista.com"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fashionrevolution.org" TargetMode="External"/><Relationship Id="rId3" Type="http://schemas.openxmlformats.org/officeDocument/2006/relationships/settings" Target="settings.xml"/><Relationship Id="rId12" Type="http://schemas.openxmlformats.org/officeDocument/2006/relationships/hyperlink" Target="https://www2.deloitte.com/global/en/pages/consumer-business/articles/sustainable-consumer.html" TargetMode="External"/><Relationship Id="rId17" Type="http://schemas.openxmlformats.org/officeDocument/2006/relationships/hyperlink" Target="https://www.pearson.com/en-us/subject-catalog/p/strategic-brand-management/P200000003293" TargetMode="External"/><Relationship Id="rId25" Type="http://schemas.openxmlformats.org/officeDocument/2006/relationships/hyperlink" Target="https://doi.org/10.54254/2754-1169/2025.BJ30307" TargetMode="External"/><Relationship Id="rId33" Type="http://schemas.openxmlformats.org/officeDocument/2006/relationships/hyperlink" Target="https://www.statista.com/topics/" TargetMode="External"/><Relationship Id="rId38" Type="http://schemas.openxmlformats.org/officeDocument/2006/relationships/hyperlink" Target="https://global.oup.com" TargetMode="External"/><Relationship Id="rId46" Type="http://schemas.openxmlformats.org/officeDocument/2006/relationships/hyperlink" Target="https://www.bain.com" TargetMode="External"/><Relationship Id="rId59" Type="http://schemas.openxmlformats.org/officeDocument/2006/relationships/hyperlink" Target="https://www.ey.com" TargetMode="External"/><Relationship Id="rId20" Type="http://schemas.openxmlformats.org/officeDocument/2006/relationships/hyperlink" Target="https://doi.org/10.1002/mar.21408" TargetMode="External"/><Relationship Id="rId41" Type="http://schemas.openxmlformats.org/officeDocument/2006/relationships/hyperlink" Target="https://www.oecd.org" TargetMode="External"/><Relationship Id="rId54" Type="http://schemas.openxmlformats.org/officeDocument/2006/relationships/hyperlink" Target="https://www.undp.org"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7/CBO9780511815768" TargetMode="External"/><Relationship Id="rId23" Type="http://schemas.openxmlformats.org/officeDocument/2006/relationships/hyperlink" Target="https://doi.org/10.1016/j.jclepro.2024.144232" TargetMode="External"/><Relationship Id="rId28" Type="http://schemas.openxmlformats.org/officeDocument/2006/relationships/hyperlink" Target="https://www.adidas-group.com/en/investors/annual-reports/" TargetMode="External"/><Relationship Id="rId36" Type="http://schemas.openxmlformats.org/officeDocument/2006/relationships/hyperlink" Target="https://www.pearson.com" TargetMode="External"/><Relationship Id="rId49" Type="http://schemas.openxmlformats.org/officeDocument/2006/relationships/hyperlink" Target="https://www.wwf.org" TargetMode="External"/><Relationship Id="rId57" Type="http://schemas.openxmlformats.org/officeDocument/2006/relationships/hyperlink" Target="https://www.mckinsey.com" TargetMode="External"/><Relationship Id="rId10" Type="http://schemas.openxmlformats.org/officeDocument/2006/relationships/image" Target="media/image3.png"/><Relationship Id="rId31" Type="http://schemas.openxmlformats.org/officeDocument/2006/relationships/hyperlink" Target="https://www.unep.org/resources" TargetMode="External"/><Relationship Id="rId44" Type="http://schemas.openxmlformats.org/officeDocument/2006/relationships/hyperlink" Target="https://www.pwc.com" TargetMode="External"/><Relationship Id="rId52" Type="http://schemas.openxmlformats.org/officeDocument/2006/relationships/hyperlink" Target="https://www.iso.org" TargetMode="External"/><Relationship Id="rId60" Type="http://schemas.openxmlformats.org/officeDocument/2006/relationships/hyperlink" Target="https://kpmg.com"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hyperlink" Target="https://doi.org/10.1002/bse.2920" TargetMode="External"/><Relationship Id="rId18" Type="http://schemas.openxmlformats.org/officeDocument/2006/relationships/hyperlink" Target="https://www.nature.com/articles/s41598-024-80279-4" TargetMode="External"/><Relationship Id="rId39" Type="http://schemas.openxmlformats.org/officeDocument/2006/relationships/hyperlink" Target="https://www.pearson.com"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74</Pages>
  <Words>19367</Words>
  <Characters>110395</Characters>
  <Application>Microsoft Office Word</Application>
  <DocSecurity>0</DocSecurity>
  <Lines>919</Lines>
  <Paragraphs>259</Paragraphs>
  <ScaleCrop>false</ScaleCrop>
  <Company/>
  <LinksUpToDate>false</LinksUpToDate>
  <CharactersWithSpaces>129503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Ashikur Rahman (2421727)</cp:lastModifiedBy>
  <cp:revision>19</cp:revision>
  <dcterms:created xsi:type="dcterms:W3CDTF">2026-06-08T03:21:00Z</dcterms:created>
  <dcterms:modified xsi:type="dcterms:W3CDTF">2026-06-08T03:40:00Z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189c1e96-eb4d-49e7-9687-354478cb82cf</vt:lpwstr>
  </property>
</Properties>
</file>