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7C0983" w14:textId="387F57BA" w:rsidR="00804D52" w:rsidRPr="00804D52" w:rsidRDefault="00804D52" w:rsidP="00804D52">
      <w:r w:rsidRPr="00804D52">
        <w:t>Having worked in</w:t>
      </w:r>
      <w:r>
        <w:t xml:space="preserve"> educational and </w:t>
      </w:r>
      <w:r w:rsidRPr="00804D52">
        <w:t>early</w:t>
      </w:r>
      <w:r w:rsidRPr="00804D52">
        <w:t xml:space="preserve"> years settings for </w:t>
      </w:r>
      <w:r>
        <w:t>the last 14 years</w:t>
      </w:r>
      <w:r w:rsidRPr="00804D52">
        <w:t xml:space="preserve"> years, safeguarding has always been a key part of my role. It’s something I’ve practised daily—through vigilant observation, strong communication with families, and working within multi-agency frameworks. However, what has truly deepened my understanding and shifted my perspective is learning about the legislation behind safeguarding, and more importantly, the tragic real-life stories that led to these laws being created.</w:t>
      </w:r>
    </w:p>
    <w:p w14:paraId="312AEB7E" w14:textId="31CF4219" w:rsidR="00804D52" w:rsidRPr="00804D52" w:rsidRDefault="00804D52" w:rsidP="00804D52">
      <w:r w:rsidRPr="00804D52">
        <w:t xml:space="preserve">Initially, safeguarding felt like a procedural responsibility—following policy, filling out concern forms, and ensuring a safe environment. But as I studied the Children Act 1989 and 2004, Section 17 and </w:t>
      </w:r>
      <w:r w:rsidRPr="00804D52">
        <w:t>47, it</w:t>
      </w:r>
      <w:r w:rsidRPr="00804D52">
        <w:t xml:space="preserve"> became clear that these were not just policy documents; they were shaped by the lives, and unfortunately the deaths, of children who were failed by the system. Learning about the case of Victoria Climbié, for example, was a turning point for me. Her story brought to life the devastating consequences of poor communication between agencies and lack of professional challenge. It made me realise that safeguarding isn’t just about ticking boxes—it’s about professional curiosity, persistence, and ensuring the child is always at the centre of our practice.</w:t>
      </w:r>
    </w:p>
    <w:p w14:paraId="487CA347" w14:textId="403FA896" w:rsidR="00804D52" w:rsidRPr="00804D52" w:rsidRDefault="00804D52" w:rsidP="00804D52">
      <w:r w:rsidRPr="00804D52">
        <w:t>I also came to appreciate the role of Working Together to Safeguard Children (2018) and how it underpins multi-agency collaboration. I used to view these meetings and joint working practices as time-consuming, but now I see them as essential lifelines for vulnerable children. I’ve become much more confident in challenging decisions and advocating more firmly for the children in my care.</w:t>
      </w:r>
    </w:p>
    <w:p w14:paraId="7CB8E223" w14:textId="653355A9" w:rsidR="00804D52" w:rsidRPr="00804D52" w:rsidRDefault="00804D52" w:rsidP="00804D52">
      <w:r w:rsidRPr="00804D52">
        <w:t>Critically reflecting, I recognise that while my experience has given me confidence, it also made me slightly complacent in the past. Studying the real cases has humbled me. It reminded me that safeguarding is constantly evolving, and staying updated with legislation like Keeping Children Safe in Education (2023) is essential—not just for compliance, but for genuinely protecting children’s lives.</w:t>
      </w:r>
    </w:p>
    <w:p w14:paraId="5BC85BEA" w14:textId="2114B8B1" w:rsidR="00804D52" w:rsidRPr="00804D52" w:rsidRDefault="00804D52" w:rsidP="00804D52">
      <w:r>
        <w:t>My</w:t>
      </w:r>
      <w:r w:rsidRPr="00804D52">
        <w:t xml:space="preserve"> practice is now more informed, emotionally engaged, and driven by a deeper understanding of why these frameworks exist. The stories behind the legislation gave safeguarding a human face—and that’s what I will carry with me most.</w:t>
      </w:r>
    </w:p>
    <w:p w14:paraId="2634F10C" w14:textId="5C24611D" w:rsidR="00804D52" w:rsidRPr="00804D52" w:rsidRDefault="00804D52" w:rsidP="00804D52">
      <w:r w:rsidRPr="00804D52">
        <w:t xml:space="preserve">The 5 </w:t>
      </w:r>
      <w:r w:rsidRPr="00804D52">
        <w:t>Rs</w:t>
      </w:r>
      <w:r w:rsidRPr="00804D52">
        <w:t xml:space="preserve"> of safeguarding—Recognise, Respond, Report, Record, and Refer—are central to protecting children, especially in early years settings where young children may be unable to verbalise abuse or neglect. With years of experience in early years, I’ve found that understanding and applying the 5 R’s consistently is essential to ensuring every child’s safety.</w:t>
      </w:r>
    </w:p>
    <w:p w14:paraId="7E69B5A3" w14:textId="20B3BBC2" w:rsidR="00804D52" w:rsidRPr="00804D52" w:rsidRDefault="00804D52" w:rsidP="00804D52">
      <w:r w:rsidRPr="00804D52">
        <w:t>The first R, Recognise, is about being alert to the signs of abuse. In early years, this can be subtle—such as changes in behaviour, delayed development, or unexplained injuries. As staff, we must observe carefully and trust our professional instincts. According to Department for Education (DfE, 2023), practitioners are in a prime position to identify concerns early.</w:t>
      </w:r>
    </w:p>
    <w:p w14:paraId="5E2FDD46" w14:textId="2A36B2A2" w:rsidR="00804D52" w:rsidRPr="00804D52" w:rsidRDefault="00804D52" w:rsidP="00804D52">
      <w:r w:rsidRPr="00804D52">
        <w:t>Respond involves taking concerns seriously and offering a calm, supportive environment. I’ve learned never to dismiss anything a child says or shows. The key is to remain non-judgemental and ensure the child feels heard (NSPCC, 2022).</w:t>
      </w:r>
    </w:p>
    <w:p w14:paraId="4C5A90CC" w14:textId="77777777" w:rsidR="00804D52" w:rsidRDefault="00804D52" w:rsidP="00804D52">
      <w:r w:rsidRPr="00804D52">
        <w:t>Report means acting without delay. In my experience, hesitation can be dangerous. It’s our duty to report concerns to the Designated Safeguarding Lead (DSL), even if we only have a ‘nagging doubt’. As per Working Together to Safeguard Children (HM Government, 2018), early reporting can be the difference between safety and continued harm.</w:t>
      </w:r>
    </w:p>
    <w:p w14:paraId="6D0152FE" w14:textId="4971AF49" w:rsidR="00804D52" w:rsidRPr="00804D52" w:rsidRDefault="00804D52" w:rsidP="00804D52">
      <w:r w:rsidRPr="00804D52">
        <w:lastRenderedPageBreak/>
        <w:t xml:space="preserve">Record is about accurate, timely, and objective </w:t>
      </w:r>
      <w:r w:rsidRPr="00804D52">
        <w:t>notetaking</w:t>
      </w:r>
      <w:r w:rsidRPr="00804D52">
        <w:t>. I’ve learned that detailed records, including the child’s words and actions, can become crucial evidence. Poor recording can lead to safeguarding failures (Laming, 2003).</w:t>
      </w:r>
    </w:p>
    <w:p w14:paraId="4AE4F701" w14:textId="295E60CF" w:rsidR="00804D52" w:rsidRPr="00804D52" w:rsidRDefault="00804D52" w:rsidP="00804D52">
      <w:r w:rsidRPr="00804D52">
        <w:t>Finally, Refer is when the concern is escalated to children’s social care or external agencies. I’ve seen cases where swift referral led to immediate intervention and protection. It reminds me that safeguarding is a shared responsibility—not something we handle alone.</w:t>
      </w:r>
    </w:p>
    <w:p w14:paraId="4CE4B4D5" w14:textId="77777777" w:rsidR="00804D52" w:rsidRDefault="00804D52" w:rsidP="00804D52">
      <w:r w:rsidRPr="00804D52">
        <w:t xml:space="preserve">In early years, where children are especially vulnerable, applying the 5 </w:t>
      </w:r>
      <w:proofErr w:type="gramStart"/>
      <w:r w:rsidRPr="00804D52">
        <w:t>R’s</w:t>
      </w:r>
      <w:proofErr w:type="gramEnd"/>
      <w:r w:rsidRPr="00804D52">
        <w:t xml:space="preserve"> can literally save lives. This approach promotes professional accountability and protects both the child and the practitioner.</w:t>
      </w:r>
    </w:p>
    <w:p w14:paraId="332027A4" w14:textId="77777777" w:rsidR="00804D52" w:rsidRDefault="00804D52" w:rsidP="00804D52"/>
    <w:p w14:paraId="7BCB4222" w14:textId="77777777" w:rsidR="00804D52" w:rsidRDefault="00804D52" w:rsidP="00804D52"/>
    <w:p w14:paraId="1DD842E4" w14:textId="77777777" w:rsidR="00804D52" w:rsidRDefault="00804D52" w:rsidP="00804D52"/>
    <w:p w14:paraId="47C980CA" w14:textId="77777777" w:rsidR="00804D52" w:rsidRDefault="00804D52" w:rsidP="00804D52"/>
    <w:p w14:paraId="014B7CAB" w14:textId="77777777" w:rsidR="00804D52" w:rsidRDefault="00804D52" w:rsidP="00804D52"/>
    <w:p w14:paraId="69A873F8" w14:textId="77777777" w:rsidR="00804D52" w:rsidRDefault="00804D52" w:rsidP="00804D52"/>
    <w:p w14:paraId="0DBC8207" w14:textId="77777777" w:rsidR="00804D52" w:rsidRDefault="00804D52" w:rsidP="00804D52"/>
    <w:p w14:paraId="6B3AF27D" w14:textId="77777777" w:rsidR="00804D52" w:rsidRDefault="00804D52" w:rsidP="00804D52"/>
    <w:p w14:paraId="6C34AE40" w14:textId="77777777" w:rsidR="00804D52" w:rsidRDefault="00804D52" w:rsidP="00804D52"/>
    <w:p w14:paraId="75793060" w14:textId="77777777" w:rsidR="00804D52" w:rsidRDefault="00804D52" w:rsidP="00804D52"/>
    <w:p w14:paraId="492FF8DF" w14:textId="77777777" w:rsidR="00804D52" w:rsidRDefault="00804D52" w:rsidP="00804D52"/>
    <w:p w14:paraId="444E4C6A" w14:textId="77777777" w:rsidR="00804D52" w:rsidRDefault="00804D52" w:rsidP="00804D52"/>
    <w:p w14:paraId="5E134877" w14:textId="77777777" w:rsidR="00804D52" w:rsidRDefault="00804D52" w:rsidP="00804D52"/>
    <w:p w14:paraId="56FE823E" w14:textId="77777777" w:rsidR="00804D52" w:rsidRDefault="00804D52" w:rsidP="00804D52"/>
    <w:p w14:paraId="6CDEAC5E" w14:textId="77777777" w:rsidR="00804D52" w:rsidRDefault="00804D52" w:rsidP="00804D52"/>
    <w:p w14:paraId="2D6DD3CA" w14:textId="77777777" w:rsidR="00804D52" w:rsidRDefault="00804D52" w:rsidP="00804D52"/>
    <w:p w14:paraId="0959188D" w14:textId="77777777" w:rsidR="00804D52" w:rsidRDefault="00804D52" w:rsidP="00804D52"/>
    <w:p w14:paraId="0386CA54" w14:textId="77777777" w:rsidR="00804D52" w:rsidRDefault="00804D52" w:rsidP="00804D52"/>
    <w:p w14:paraId="3482062D" w14:textId="77777777" w:rsidR="00804D52" w:rsidRDefault="00804D52" w:rsidP="00804D52"/>
    <w:p w14:paraId="0AD9E18A" w14:textId="77777777" w:rsidR="00804D52" w:rsidRDefault="00804D52" w:rsidP="00804D52"/>
    <w:p w14:paraId="0696B742" w14:textId="77777777" w:rsidR="00804D52" w:rsidRDefault="00804D52" w:rsidP="00804D52"/>
    <w:p w14:paraId="488F4DE8" w14:textId="77777777" w:rsidR="00804D52" w:rsidRDefault="00804D52" w:rsidP="00804D52"/>
    <w:p w14:paraId="42E3C0CE" w14:textId="77777777" w:rsidR="00804D52" w:rsidRDefault="00804D52" w:rsidP="00804D52"/>
    <w:p w14:paraId="62E15FE3" w14:textId="77777777" w:rsidR="00804D52" w:rsidRPr="00804D52" w:rsidRDefault="00804D52" w:rsidP="00804D52"/>
    <w:p w14:paraId="29E7C798" w14:textId="77777777" w:rsidR="00804D52" w:rsidRPr="00804D52" w:rsidRDefault="00804D52" w:rsidP="00804D52">
      <w:r w:rsidRPr="00804D52">
        <w:lastRenderedPageBreak/>
        <w:t>Department for Education (DfE). (2023) Keeping Children Safe in Education. London: HMSO.</w:t>
      </w:r>
    </w:p>
    <w:p w14:paraId="3BE0CDCA" w14:textId="77777777" w:rsidR="00804D52" w:rsidRPr="00804D52" w:rsidRDefault="00804D52" w:rsidP="00804D52"/>
    <w:p w14:paraId="3A43815F" w14:textId="77777777" w:rsidR="00804D52" w:rsidRPr="00804D52" w:rsidRDefault="00804D52" w:rsidP="00804D52">
      <w:r w:rsidRPr="00804D52">
        <w:t>HM Government. (2018) Working Together to Safeguard Children. London: Department for Education.</w:t>
      </w:r>
    </w:p>
    <w:p w14:paraId="4AC6DBD3" w14:textId="77777777" w:rsidR="00804D52" w:rsidRPr="00804D52" w:rsidRDefault="00804D52" w:rsidP="00804D52"/>
    <w:p w14:paraId="49EBFDFA" w14:textId="77777777" w:rsidR="00804D52" w:rsidRPr="00804D52" w:rsidRDefault="00804D52" w:rsidP="00804D52">
      <w:r w:rsidRPr="00804D52">
        <w:t>Laming, H. (2003) The Victoria Climbié Inquiry. London: HMSO.</w:t>
      </w:r>
    </w:p>
    <w:p w14:paraId="7D7B2EDE" w14:textId="77777777" w:rsidR="00804D52" w:rsidRPr="00804D52" w:rsidRDefault="00804D52" w:rsidP="00804D52"/>
    <w:p w14:paraId="79C1ECB0" w14:textId="77777777" w:rsidR="00804D52" w:rsidRPr="00804D52" w:rsidRDefault="00804D52" w:rsidP="00804D52">
      <w:r w:rsidRPr="00804D52">
        <w:t>NSPCC. (2022) Recognising and Responding to Abuse. [Online] Available at: </w:t>
      </w:r>
      <w:hyperlink r:id="rId4" w:tooltip="Protected by Outlook: https://www.nspcc.org.uk/. Click or tap to follow the link." w:history="1">
        <w:r w:rsidRPr="00804D52">
          <w:rPr>
            <w:rStyle w:val="Hyperlink"/>
          </w:rPr>
          <w:t>https://www.nspcc.org.uk</w:t>
        </w:r>
      </w:hyperlink>
      <w:r w:rsidRPr="00804D52">
        <w:t> [Accessed 7 July 2025].</w:t>
      </w:r>
    </w:p>
    <w:p w14:paraId="5D140250" w14:textId="77777777" w:rsidR="00004DB2" w:rsidRDefault="00004DB2"/>
    <w:sectPr w:rsidR="00004D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D52"/>
    <w:rsid w:val="00004DB2"/>
    <w:rsid w:val="00410695"/>
    <w:rsid w:val="00607C52"/>
    <w:rsid w:val="00804D52"/>
    <w:rsid w:val="008E29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FF197"/>
  <w15:chartTrackingRefBased/>
  <w15:docId w15:val="{D8909E07-799F-422B-992B-8C4AC2878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4D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4D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4D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4D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4D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4D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4D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4D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4D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4D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4D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4D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4D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4D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4D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4D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4D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4D52"/>
    <w:rPr>
      <w:rFonts w:eastAsiaTheme="majorEastAsia" w:cstheme="majorBidi"/>
      <w:color w:val="272727" w:themeColor="text1" w:themeTint="D8"/>
    </w:rPr>
  </w:style>
  <w:style w:type="paragraph" w:styleId="Title">
    <w:name w:val="Title"/>
    <w:basedOn w:val="Normal"/>
    <w:next w:val="Normal"/>
    <w:link w:val="TitleChar"/>
    <w:uiPriority w:val="10"/>
    <w:qFormat/>
    <w:rsid w:val="00804D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4D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4D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4D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4D52"/>
    <w:pPr>
      <w:spacing w:before="160"/>
      <w:jc w:val="center"/>
    </w:pPr>
    <w:rPr>
      <w:i/>
      <w:iCs/>
      <w:color w:val="404040" w:themeColor="text1" w:themeTint="BF"/>
    </w:rPr>
  </w:style>
  <w:style w:type="character" w:customStyle="1" w:styleId="QuoteChar">
    <w:name w:val="Quote Char"/>
    <w:basedOn w:val="DefaultParagraphFont"/>
    <w:link w:val="Quote"/>
    <w:uiPriority w:val="29"/>
    <w:rsid w:val="00804D52"/>
    <w:rPr>
      <w:i/>
      <w:iCs/>
      <w:color w:val="404040" w:themeColor="text1" w:themeTint="BF"/>
    </w:rPr>
  </w:style>
  <w:style w:type="paragraph" w:styleId="ListParagraph">
    <w:name w:val="List Paragraph"/>
    <w:basedOn w:val="Normal"/>
    <w:uiPriority w:val="34"/>
    <w:qFormat/>
    <w:rsid w:val="00804D52"/>
    <w:pPr>
      <w:ind w:left="720"/>
      <w:contextualSpacing/>
    </w:pPr>
  </w:style>
  <w:style w:type="character" w:styleId="IntenseEmphasis">
    <w:name w:val="Intense Emphasis"/>
    <w:basedOn w:val="DefaultParagraphFont"/>
    <w:uiPriority w:val="21"/>
    <w:qFormat/>
    <w:rsid w:val="00804D52"/>
    <w:rPr>
      <w:i/>
      <w:iCs/>
      <w:color w:val="0F4761" w:themeColor="accent1" w:themeShade="BF"/>
    </w:rPr>
  </w:style>
  <w:style w:type="paragraph" w:styleId="IntenseQuote">
    <w:name w:val="Intense Quote"/>
    <w:basedOn w:val="Normal"/>
    <w:next w:val="Normal"/>
    <w:link w:val="IntenseQuoteChar"/>
    <w:uiPriority w:val="30"/>
    <w:qFormat/>
    <w:rsid w:val="00804D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4D52"/>
    <w:rPr>
      <w:i/>
      <w:iCs/>
      <w:color w:val="0F4761" w:themeColor="accent1" w:themeShade="BF"/>
    </w:rPr>
  </w:style>
  <w:style w:type="character" w:styleId="IntenseReference">
    <w:name w:val="Intense Reference"/>
    <w:basedOn w:val="DefaultParagraphFont"/>
    <w:uiPriority w:val="32"/>
    <w:qFormat/>
    <w:rsid w:val="00804D52"/>
    <w:rPr>
      <w:b/>
      <w:bCs/>
      <w:smallCaps/>
      <w:color w:val="0F4761" w:themeColor="accent1" w:themeShade="BF"/>
      <w:spacing w:val="5"/>
    </w:rPr>
  </w:style>
  <w:style w:type="character" w:styleId="Hyperlink">
    <w:name w:val="Hyperlink"/>
    <w:basedOn w:val="DefaultParagraphFont"/>
    <w:uiPriority w:val="99"/>
    <w:unhideWhenUsed/>
    <w:rsid w:val="00804D52"/>
    <w:rPr>
      <w:color w:val="467886" w:themeColor="hyperlink"/>
      <w:u w:val="single"/>
    </w:rPr>
  </w:style>
  <w:style w:type="character" w:styleId="UnresolvedMention">
    <w:name w:val="Unresolved Mention"/>
    <w:basedOn w:val="DefaultParagraphFont"/>
    <w:uiPriority w:val="99"/>
    <w:semiHidden/>
    <w:unhideWhenUsed/>
    <w:rsid w:val="00804D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736257">
      <w:bodyDiv w:val="1"/>
      <w:marLeft w:val="0"/>
      <w:marRight w:val="0"/>
      <w:marTop w:val="0"/>
      <w:marBottom w:val="0"/>
      <w:divBdr>
        <w:top w:val="none" w:sz="0" w:space="0" w:color="auto"/>
        <w:left w:val="none" w:sz="0" w:space="0" w:color="auto"/>
        <w:bottom w:val="none" w:sz="0" w:space="0" w:color="auto"/>
        <w:right w:val="none" w:sz="0" w:space="0" w:color="auto"/>
      </w:divBdr>
    </w:div>
    <w:div w:id="362050694">
      <w:bodyDiv w:val="1"/>
      <w:marLeft w:val="0"/>
      <w:marRight w:val="0"/>
      <w:marTop w:val="0"/>
      <w:marBottom w:val="0"/>
      <w:divBdr>
        <w:top w:val="none" w:sz="0" w:space="0" w:color="auto"/>
        <w:left w:val="none" w:sz="0" w:space="0" w:color="auto"/>
        <w:bottom w:val="none" w:sz="0" w:space="0" w:color="auto"/>
        <w:right w:val="none" w:sz="0" w:space="0" w:color="auto"/>
      </w:divBdr>
    </w:div>
    <w:div w:id="529027708">
      <w:bodyDiv w:val="1"/>
      <w:marLeft w:val="0"/>
      <w:marRight w:val="0"/>
      <w:marTop w:val="0"/>
      <w:marBottom w:val="0"/>
      <w:divBdr>
        <w:top w:val="none" w:sz="0" w:space="0" w:color="auto"/>
        <w:left w:val="none" w:sz="0" w:space="0" w:color="auto"/>
        <w:bottom w:val="none" w:sz="0" w:space="0" w:color="auto"/>
        <w:right w:val="none" w:sz="0" w:space="0" w:color="auto"/>
      </w:divBdr>
    </w:div>
    <w:div w:id="854811537">
      <w:bodyDiv w:val="1"/>
      <w:marLeft w:val="0"/>
      <w:marRight w:val="0"/>
      <w:marTop w:val="0"/>
      <w:marBottom w:val="0"/>
      <w:divBdr>
        <w:top w:val="none" w:sz="0" w:space="0" w:color="auto"/>
        <w:left w:val="none" w:sz="0" w:space="0" w:color="auto"/>
        <w:bottom w:val="none" w:sz="0" w:space="0" w:color="auto"/>
        <w:right w:val="none" w:sz="0" w:space="0" w:color="auto"/>
      </w:divBdr>
    </w:div>
    <w:div w:id="1246840997">
      <w:bodyDiv w:val="1"/>
      <w:marLeft w:val="0"/>
      <w:marRight w:val="0"/>
      <w:marTop w:val="0"/>
      <w:marBottom w:val="0"/>
      <w:divBdr>
        <w:top w:val="none" w:sz="0" w:space="0" w:color="auto"/>
        <w:left w:val="none" w:sz="0" w:space="0" w:color="auto"/>
        <w:bottom w:val="none" w:sz="0" w:space="0" w:color="auto"/>
        <w:right w:val="none" w:sz="0" w:space="0" w:color="auto"/>
      </w:divBdr>
    </w:div>
    <w:div w:id="1370375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emea01.safelinks.protection.outlook.com/?url=https%3A%2F%2Fwww.nspcc.org.uk%2F&amp;data=05%7C02%7C%7C08747960045d4108adf308ddbd61b5f2%7C84df9e7fe9f640afb435aaaaaaaaaaaa%7C1%7C0%7C638874949534723529%7CUnknown%7CTWFpbGZsb3d8eyJFbXB0eU1hcGkiOnRydWUsIlYiOiIwLjAuMDAwMCIsIlAiOiJXaW4zMiIsIkFOIjoiTWFpbCIsIldUIjoyfQ%3D%3D%7C0%7C%7C%7C&amp;sdata=hqoij%2F%2FRrjcSawCB5LvKdperGmhl8uKbZZ9UoWucxuk%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776</Words>
  <Characters>4426</Characters>
  <Application>Microsoft Office Word</Application>
  <DocSecurity>0</DocSecurity>
  <Lines>36</Lines>
  <Paragraphs>10</Paragraphs>
  <ScaleCrop>false</ScaleCrop>
  <Company/>
  <LinksUpToDate>false</LinksUpToDate>
  <CharactersWithSpaces>5192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Gwawr Lewis</dc:creator>
  <cp:keywords/>
  <dc:description/>
  <cp:lastModifiedBy>Gwawr Lewis</cp:lastModifiedBy>
  <cp:revision>1</cp:revision>
  <cp:lastPrinted>2025-07-07T14:51:00Z</cp:lastPrinted>
  <dcterms:created xsi:type="dcterms:W3CDTF">2025-07-07T14:43:00Z</dcterms:created>
  <dcterms:modified xsi:type="dcterms:W3CDTF">2025-07-07T14:51:00Z</dcterms:modified>
</cp:coreProperties>
</file>