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38053395"/>
        <w:docPartObj>
          <w:docPartGallery w:val="Cover Pages"/>
          <w:docPartUnique/>
        </w:docPartObj>
      </w:sdtPr>
      <w:sdtEndPr>
        <w:rPr>
          <w:rFonts w:asciiTheme="minorBidi" w:eastAsia="Calibri" w:hAnsiTheme="minorBidi"/>
          <w:b/>
          <w:bCs/>
          <w:sz w:val="24"/>
          <w:szCs w:val="24"/>
        </w:rPr>
      </w:sdtEndPr>
      <w:sdtContent>
        <w:p w14:paraId="6494CF72" w14:textId="2CD9A661" w:rsidR="00C65104" w:rsidRDefault="00C65104">
          <w:r>
            <w:rPr>
              <w:noProof/>
            </w:rPr>
            <mc:AlternateContent>
              <mc:Choice Requires="wps">
                <w:drawing>
                  <wp:anchor distT="0" distB="0" distL="114300" distR="114300" simplePos="0" relativeHeight="251664384" behindDoc="0" locked="0" layoutInCell="1" allowOverlap="1" wp14:anchorId="3BE73669" wp14:editId="301F267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067E21F" w14:textId="7BC447CE" w:rsidR="00C6510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27A5B">
                                      <w:rPr>
                                        <w:noProof/>
                                        <w:color w:val="44546A" w:themeColor="text2"/>
                                      </w:rPr>
                                      <w:t>Cerimarie Jones                                   1806930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BE73669"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067E21F" w14:textId="7BC447CE" w:rsidR="00C65104"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27A5B">
                                <w:rPr>
                                  <w:noProof/>
                                  <w:color w:val="44546A" w:themeColor="text2"/>
                                </w:rPr>
                                <w:t>Cerimarie Jones                                   1806930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614B380" wp14:editId="5336F56A">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C3A1A67" w14:textId="77777777" w:rsidR="00C65104" w:rsidRDefault="00C6510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614B380"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C3A1A67" w14:textId="77777777" w:rsidR="00C65104" w:rsidRDefault="00C6510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E71BB05" wp14:editId="20F8FBC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D374E4" w14:textId="630B73E1" w:rsidR="00C65104" w:rsidRDefault="00822B72" w:rsidP="00C65104">
                                <w:pPr>
                                  <w:spacing w:before="240"/>
                                  <w:rPr>
                                    <w:color w:val="FFFFFF" w:themeColor="background1"/>
                                  </w:rPr>
                                </w:pPr>
                                <w:r w:rsidRPr="00822B72">
                                  <w:rPr>
                                    <w:noProof/>
                                  </w:rPr>
                                  <w:drawing>
                                    <wp:inline distT="0" distB="0" distL="0" distR="0" wp14:anchorId="49697008" wp14:editId="12587E88">
                                      <wp:extent cx="2418715" cy="846455"/>
                                      <wp:effectExtent l="0" t="0" r="635" b="0"/>
                                      <wp:docPr id="106890538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05384" name="Picture 1" descr="A black background with white text&#10;&#10;Description automatically generated"/>
                                              <pic:cNvPicPr/>
                                            </pic:nvPicPr>
                                            <pic:blipFill>
                                              <a:blip r:embed="rId7"/>
                                              <a:stretch>
                                                <a:fillRect/>
                                              </a:stretch>
                                            </pic:blipFill>
                                            <pic:spPr>
                                              <a:xfrm>
                                                <a:off x="0" y="0"/>
                                                <a:ext cx="2418715" cy="846455"/>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E71BB05"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7D374E4" w14:textId="630B73E1" w:rsidR="00C65104" w:rsidRDefault="00822B72" w:rsidP="00C65104">
                          <w:pPr>
                            <w:spacing w:before="240"/>
                            <w:rPr>
                              <w:color w:val="FFFFFF" w:themeColor="background1"/>
                            </w:rPr>
                          </w:pPr>
                          <w:r w:rsidRPr="00822B72">
                            <w:rPr>
                              <w:noProof/>
                            </w:rPr>
                            <w:drawing>
                              <wp:inline distT="0" distB="0" distL="0" distR="0" wp14:anchorId="49697008" wp14:editId="12587E88">
                                <wp:extent cx="2418715" cy="846455"/>
                                <wp:effectExtent l="0" t="0" r="635" b="0"/>
                                <wp:docPr id="106890538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05384" name="Picture 1" descr="A black background with white text&#10;&#10;Description automatically generated"/>
                                        <pic:cNvPicPr/>
                                      </pic:nvPicPr>
                                      <pic:blipFill>
                                        <a:blip r:embed="rId7"/>
                                        <a:stretch>
                                          <a:fillRect/>
                                        </a:stretch>
                                      </pic:blipFill>
                                      <pic:spPr>
                                        <a:xfrm>
                                          <a:off x="0" y="0"/>
                                          <a:ext cx="2418715" cy="846455"/>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DCD1A38" wp14:editId="0073A00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17C2925"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ECDE8AE" wp14:editId="6C643C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EA8CAA6"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C6DC455" wp14:editId="7A11E2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E137821" w14:textId="5622C88D" w:rsidR="00C65104" w:rsidRDefault="009D5C5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Action Research</w:t>
                                    </w:r>
                                    <w:r w:rsidR="00E13EE1">
                                      <w:rPr>
                                        <w:rFonts w:asciiTheme="majorHAnsi" w:eastAsiaTheme="majorEastAsia" w:hAnsiTheme="majorHAnsi" w:cstheme="majorBidi"/>
                                        <w:noProof/>
                                        <w:color w:val="4472C4" w:themeColor="accent1"/>
                                        <w:sz w:val="72"/>
                                        <w:szCs w:val="72"/>
                                      </w:rPr>
                                      <w:t xml:space="preserve"> Project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BF45AD6" w14:textId="3E9FD422" w:rsidR="00C65104" w:rsidRDefault="00827A5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ECPT6009                                        Lecturer: Mark Flagg                      Word Count:</w:t>
                                    </w:r>
                                    <w:r w:rsidR="009E584F">
                                      <w:rPr>
                                        <w:rFonts w:asciiTheme="majorHAnsi" w:eastAsiaTheme="majorEastAsia" w:hAnsiTheme="majorHAnsi" w:cstheme="majorBidi"/>
                                        <w:noProof/>
                                        <w:color w:val="44546A" w:themeColor="text2"/>
                                        <w:sz w:val="32"/>
                                        <w:szCs w:val="32"/>
                                      </w:rPr>
                                      <w:t>4039</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C6DC455"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E137821" w14:textId="5622C88D" w:rsidR="00C65104" w:rsidRDefault="009D5C5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Action Research</w:t>
                              </w:r>
                              <w:r w:rsidR="00E13EE1">
                                <w:rPr>
                                  <w:rFonts w:asciiTheme="majorHAnsi" w:eastAsiaTheme="majorEastAsia" w:hAnsiTheme="majorHAnsi" w:cstheme="majorBidi"/>
                                  <w:noProof/>
                                  <w:color w:val="4472C4" w:themeColor="accent1"/>
                                  <w:sz w:val="72"/>
                                  <w:szCs w:val="72"/>
                                </w:rPr>
                                <w:t xml:space="preserve"> Project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BF45AD6" w14:textId="3E9FD422" w:rsidR="00C65104" w:rsidRDefault="00827A5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ECPT6009                                        Lecturer: Mark Flagg                      Word Count:</w:t>
                              </w:r>
                              <w:r w:rsidR="009E584F">
                                <w:rPr>
                                  <w:rFonts w:asciiTheme="majorHAnsi" w:eastAsiaTheme="majorEastAsia" w:hAnsiTheme="majorHAnsi" w:cstheme="majorBidi"/>
                                  <w:noProof/>
                                  <w:color w:val="44546A" w:themeColor="text2"/>
                                  <w:sz w:val="32"/>
                                  <w:szCs w:val="32"/>
                                </w:rPr>
                                <w:t>4039</w:t>
                              </w:r>
                            </w:p>
                          </w:sdtContent>
                        </w:sdt>
                      </w:txbxContent>
                    </v:textbox>
                    <w10:wrap type="square" anchorx="page" anchory="page"/>
                  </v:shape>
                </w:pict>
              </mc:Fallback>
            </mc:AlternateContent>
          </w:r>
        </w:p>
        <w:p w14:paraId="552CB9A4" w14:textId="6F81834C" w:rsidR="00C65104" w:rsidRDefault="00C65104">
          <w:pPr>
            <w:rPr>
              <w:rFonts w:asciiTheme="minorBidi" w:eastAsia="Calibri" w:hAnsiTheme="minorBidi"/>
              <w:b/>
              <w:bCs/>
              <w:sz w:val="24"/>
              <w:szCs w:val="24"/>
            </w:rPr>
          </w:pPr>
          <w:r>
            <w:rPr>
              <w:rFonts w:asciiTheme="minorBidi" w:eastAsia="Calibri" w:hAnsiTheme="minorBidi"/>
              <w:b/>
              <w:bCs/>
              <w:sz w:val="24"/>
              <w:szCs w:val="24"/>
            </w:rPr>
            <w:br w:type="page"/>
          </w:r>
        </w:p>
      </w:sdtContent>
    </w:sdt>
    <w:p w14:paraId="61A7F4A9" w14:textId="5B89EBED" w:rsidR="00517E2D" w:rsidRPr="00517E2D" w:rsidRDefault="00517E2D" w:rsidP="00A62EFA">
      <w:pPr>
        <w:spacing w:line="360" w:lineRule="auto"/>
        <w:rPr>
          <w:rFonts w:asciiTheme="minorBidi" w:eastAsia="Calibri" w:hAnsiTheme="minorBidi"/>
          <w:b/>
          <w:bCs/>
          <w:sz w:val="24"/>
          <w:szCs w:val="24"/>
        </w:rPr>
      </w:pPr>
      <w:r w:rsidRPr="00517E2D">
        <w:rPr>
          <w:rFonts w:asciiTheme="minorBidi" w:eastAsia="Calibri" w:hAnsiTheme="minorBidi"/>
          <w:b/>
          <w:bCs/>
          <w:sz w:val="24"/>
          <w:szCs w:val="24"/>
        </w:rPr>
        <w:lastRenderedPageBreak/>
        <w:t>Introduction</w:t>
      </w:r>
    </w:p>
    <w:p w14:paraId="2E4BE431" w14:textId="6A37FB48" w:rsidR="00A62EFA" w:rsidRPr="00EB17A9" w:rsidRDefault="00494516" w:rsidP="00A62EFA">
      <w:pPr>
        <w:spacing w:line="360" w:lineRule="auto"/>
        <w:rPr>
          <w:rFonts w:asciiTheme="minorBidi" w:eastAsia="Calibri" w:hAnsiTheme="minorBidi"/>
          <w:sz w:val="24"/>
          <w:szCs w:val="24"/>
        </w:rPr>
      </w:pPr>
      <w:r w:rsidRPr="00494516">
        <w:rPr>
          <w:rFonts w:asciiTheme="minorBidi" w:eastAsia="Calibri" w:hAnsiTheme="minorBidi"/>
          <w:sz w:val="24"/>
          <w:szCs w:val="24"/>
        </w:rPr>
        <w:t xml:space="preserve">Excellent education is a fundamental component of the UN's 2030 Sustainable Development Agenda. It aims to ensure that every student receives an inclusive and equal education. </w:t>
      </w:r>
      <w:proofErr w:type="gramStart"/>
      <w:r w:rsidRPr="00494516">
        <w:rPr>
          <w:rFonts w:asciiTheme="minorBidi" w:eastAsia="Calibri" w:hAnsiTheme="minorBidi"/>
          <w:sz w:val="24"/>
          <w:szCs w:val="24"/>
        </w:rPr>
        <w:t>In order to</w:t>
      </w:r>
      <w:proofErr w:type="gramEnd"/>
      <w:r w:rsidRPr="00494516">
        <w:rPr>
          <w:rFonts w:asciiTheme="minorBidi" w:eastAsia="Calibri" w:hAnsiTheme="minorBidi"/>
          <w:sz w:val="24"/>
          <w:szCs w:val="24"/>
        </w:rPr>
        <w:t xml:space="preserve"> achieve this goal, digital technology is now essential (Halem, et al., 2022).</w:t>
      </w:r>
    </w:p>
    <w:p w14:paraId="307DE93E" w14:textId="3F3CFEC1" w:rsidR="00A62EFA" w:rsidRPr="000C6478" w:rsidRDefault="00A62EFA" w:rsidP="00A62EFA">
      <w:pPr>
        <w:spacing w:line="360" w:lineRule="auto"/>
        <w:rPr>
          <w:rFonts w:asciiTheme="minorBidi" w:hAnsiTheme="minorBidi"/>
          <w:sz w:val="24"/>
          <w:szCs w:val="24"/>
        </w:rPr>
      </w:pPr>
      <w:r w:rsidRPr="00EB17A9">
        <w:rPr>
          <w:rFonts w:asciiTheme="minorBidi" w:eastAsia="Calibri" w:hAnsiTheme="minorBidi"/>
          <w:sz w:val="24"/>
          <w:szCs w:val="24"/>
        </w:rPr>
        <w:t>Over recent years, e-learning has become increasingly popular as a me</w:t>
      </w:r>
      <w:r w:rsidR="00494516">
        <w:rPr>
          <w:rFonts w:asciiTheme="minorBidi" w:eastAsia="Calibri" w:hAnsiTheme="minorBidi"/>
          <w:sz w:val="24"/>
          <w:szCs w:val="24"/>
        </w:rPr>
        <w:t>thod</w:t>
      </w:r>
      <w:r w:rsidRPr="00EB17A9">
        <w:rPr>
          <w:rFonts w:asciiTheme="minorBidi" w:eastAsia="Calibri" w:hAnsiTheme="minorBidi"/>
          <w:sz w:val="24"/>
          <w:szCs w:val="24"/>
        </w:rPr>
        <w:t xml:space="preserve"> of delivering instruction in post-compulsory education, providing a convenient and adaptable substitute for traditional classroom-based learning</w:t>
      </w:r>
      <w:r>
        <w:rPr>
          <w:rFonts w:asciiTheme="minorBidi" w:eastAsia="Calibri" w:hAnsiTheme="minorBidi"/>
          <w:sz w:val="24"/>
          <w:szCs w:val="24"/>
        </w:rPr>
        <w:t xml:space="preserve"> </w:t>
      </w:r>
      <w:r w:rsidR="00AC0C87">
        <w:rPr>
          <w:rFonts w:asciiTheme="minorBidi" w:eastAsia="Calibri" w:hAnsiTheme="minorBidi"/>
          <w:sz w:val="24"/>
          <w:szCs w:val="24"/>
        </w:rPr>
        <w:t xml:space="preserve">(Hammer and Smith, 2021). </w:t>
      </w:r>
      <w:r w:rsidRPr="00EB17A9">
        <w:rPr>
          <w:rFonts w:asciiTheme="minorBidi" w:eastAsia="Calibri" w:hAnsiTheme="minorBidi"/>
          <w:sz w:val="24"/>
          <w:szCs w:val="24"/>
        </w:rPr>
        <w:t>However, despite its widespread use, there is a need to critically assess the extent of its effectiveness in teaching and learning. This action research aims to address this by examining how e-learning influences pedagogy and student engagement.</w:t>
      </w:r>
    </w:p>
    <w:p w14:paraId="6969C743" w14:textId="35FCFFBC" w:rsidR="00A62EFA" w:rsidRDefault="00A62EFA" w:rsidP="00A62EFA">
      <w:pPr>
        <w:spacing w:line="360" w:lineRule="auto"/>
        <w:rPr>
          <w:rFonts w:asciiTheme="minorBidi" w:eastAsia="Calibri" w:hAnsiTheme="minorBidi"/>
          <w:sz w:val="24"/>
          <w:szCs w:val="24"/>
        </w:rPr>
      </w:pPr>
      <w:r w:rsidRPr="00EB17A9">
        <w:rPr>
          <w:rFonts w:asciiTheme="minorBidi" w:eastAsia="Calibri" w:hAnsiTheme="minorBidi"/>
          <w:sz w:val="24"/>
          <w:szCs w:val="24"/>
        </w:rPr>
        <w:t>The rationale behind this research comes from the increasing significance of technology-driven learning environments in higher education, vocational training</w:t>
      </w:r>
      <w:r>
        <w:rPr>
          <w:rFonts w:asciiTheme="minorBidi" w:eastAsia="Calibri" w:hAnsiTheme="minorBidi"/>
          <w:sz w:val="24"/>
          <w:szCs w:val="24"/>
        </w:rPr>
        <w:t>,</w:t>
      </w:r>
      <w:r w:rsidRPr="00EB17A9">
        <w:rPr>
          <w:rFonts w:asciiTheme="minorBidi" w:eastAsia="Calibri" w:hAnsiTheme="minorBidi"/>
          <w:sz w:val="24"/>
          <w:szCs w:val="24"/>
        </w:rPr>
        <w:t xml:space="preserve"> and adult education</w:t>
      </w:r>
      <w:r>
        <w:rPr>
          <w:rFonts w:asciiTheme="minorBidi" w:eastAsia="Calibri" w:hAnsiTheme="minorBidi"/>
          <w:sz w:val="24"/>
          <w:szCs w:val="24"/>
        </w:rPr>
        <w:t xml:space="preserve">. As educational institutes continue to embed digital technologies into their programmes, it becomes necessary to assess how it is impacting the learning environment. </w:t>
      </w:r>
      <w:r w:rsidRPr="007A55C9">
        <w:rPr>
          <w:rFonts w:asciiTheme="minorBidi" w:eastAsia="Calibri" w:hAnsiTheme="minorBidi"/>
          <w:sz w:val="24"/>
          <w:szCs w:val="24"/>
        </w:rPr>
        <w:t>Additionally, considering the current trends towards blended and hybrid learning models—which incorporate both in-person and virtual learning</w:t>
      </w:r>
      <w:r w:rsidR="00517E2D">
        <w:rPr>
          <w:rFonts w:asciiTheme="minorBidi" w:eastAsia="Calibri" w:hAnsiTheme="minorBidi"/>
          <w:sz w:val="24"/>
          <w:szCs w:val="24"/>
        </w:rPr>
        <w:t xml:space="preserve"> (Ali et al., 2023)</w:t>
      </w:r>
      <w:r>
        <w:rPr>
          <w:rFonts w:asciiTheme="minorBidi" w:eastAsia="Calibri" w:hAnsiTheme="minorBidi"/>
          <w:sz w:val="24"/>
          <w:szCs w:val="24"/>
        </w:rPr>
        <w:t xml:space="preserve"> </w:t>
      </w:r>
      <w:r w:rsidRPr="007A55C9">
        <w:rPr>
          <w:rFonts w:asciiTheme="minorBidi" w:eastAsia="Calibri" w:hAnsiTheme="minorBidi"/>
          <w:sz w:val="24"/>
          <w:szCs w:val="24"/>
        </w:rPr>
        <w:t xml:space="preserve">this research is highly relevant. Curriculum development projects and instructional design strategies must </w:t>
      </w:r>
      <w:proofErr w:type="gramStart"/>
      <w:r w:rsidRPr="007A55C9">
        <w:rPr>
          <w:rFonts w:asciiTheme="minorBidi" w:eastAsia="Calibri" w:hAnsiTheme="minorBidi"/>
          <w:sz w:val="24"/>
          <w:szCs w:val="24"/>
        </w:rPr>
        <w:t>take into account</w:t>
      </w:r>
      <w:proofErr w:type="gramEnd"/>
      <w:r w:rsidRPr="007A55C9">
        <w:rPr>
          <w:rFonts w:asciiTheme="minorBidi" w:eastAsia="Calibri" w:hAnsiTheme="minorBidi"/>
          <w:sz w:val="24"/>
          <w:szCs w:val="24"/>
        </w:rPr>
        <w:t xml:space="preserve"> the function that e-learning plays in these hybrid contexts. Furthermore, an increasing number of industries in today's digital economy </w:t>
      </w:r>
      <w:proofErr w:type="gramStart"/>
      <w:r w:rsidRPr="007A55C9">
        <w:rPr>
          <w:rFonts w:asciiTheme="minorBidi" w:eastAsia="Calibri" w:hAnsiTheme="minorBidi"/>
          <w:sz w:val="24"/>
          <w:szCs w:val="24"/>
        </w:rPr>
        <w:t>are in need of</w:t>
      </w:r>
      <w:proofErr w:type="gramEnd"/>
      <w:r w:rsidRPr="007A55C9">
        <w:rPr>
          <w:rFonts w:asciiTheme="minorBidi" w:eastAsia="Calibri" w:hAnsiTheme="minorBidi"/>
          <w:sz w:val="24"/>
          <w:szCs w:val="24"/>
        </w:rPr>
        <w:t xml:space="preserve"> strong digital capabilities. It is expected of educational institutions to modify their procedures and curricula to reflect these changes as post-compulsory education is essential in providing people with the </w:t>
      </w:r>
      <w:proofErr w:type="gramStart"/>
      <w:r w:rsidRPr="007A55C9">
        <w:rPr>
          <w:rFonts w:asciiTheme="minorBidi" w:eastAsia="Calibri" w:hAnsiTheme="minorBidi"/>
          <w:sz w:val="24"/>
          <w:szCs w:val="24"/>
        </w:rPr>
        <w:t>skills</w:t>
      </w:r>
      <w:proofErr w:type="gramEnd"/>
      <w:r w:rsidRPr="007A55C9">
        <w:rPr>
          <w:rFonts w:asciiTheme="minorBidi" w:eastAsia="Calibri" w:hAnsiTheme="minorBidi"/>
          <w:sz w:val="24"/>
          <w:szCs w:val="24"/>
        </w:rPr>
        <w:t xml:space="preserve"> they need to prosper in the </w:t>
      </w:r>
      <w:r w:rsidRPr="00041785">
        <w:rPr>
          <w:rFonts w:asciiTheme="minorBidi" w:eastAsia="Calibri" w:hAnsiTheme="minorBidi"/>
          <w:sz w:val="24"/>
          <w:szCs w:val="24"/>
        </w:rPr>
        <w:t xml:space="preserve">quickly changing digital </w:t>
      </w:r>
      <w:r w:rsidRPr="00A62EFA">
        <w:rPr>
          <w:rFonts w:asciiTheme="minorBidi" w:eastAsia="Calibri" w:hAnsiTheme="minorBidi"/>
          <w:sz w:val="24"/>
          <w:szCs w:val="24"/>
        </w:rPr>
        <w:t>world (Welsh</w:t>
      </w:r>
      <w:r>
        <w:rPr>
          <w:rFonts w:asciiTheme="minorBidi" w:eastAsia="Calibri" w:hAnsiTheme="minorBidi"/>
          <w:sz w:val="24"/>
          <w:szCs w:val="24"/>
        </w:rPr>
        <w:t xml:space="preserve"> Government, 2019). </w:t>
      </w:r>
    </w:p>
    <w:p w14:paraId="1A0E4A15" w14:textId="77777777" w:rsidR="00A62EFA" w:rsidRPr="00A21498" w:rsidRDefault="00A62EFA" w:rsidP="00A62EFA">
      <w:pPr>
        <w:spacing w:line="360" w:lineRule="auto"/>
        <w:rPr>
          <w:rFonts w:asciiTheme="minorBidi" w:eastAsia="Calibri" w:hAnsiTheme="minorBidi"/>
          <w:b/>
          <w:bCs/>
          <w:sz w:val="24"/>
          <w:szCs w:val="24"/>
        </w:rPr>
      </w:pPr>
      <w:r w:rsidRPr="00A21498">
        <w:rPr>
          <w:rFonts w:asciiTheme="minorBidi" w:eastAsia="Calibri" w:hAnsiTheme="minorBidi"/>
          <w:b/>
          <w:bCs/>
          <w:sz w:val="24"/>
          <w:szCs w:val="24"/>
        </w:rPr>
        <w:t>Aim</w:t>
      </w:r>
    </w:p>
    <w:p w14:paraId="313CBAF5" w14:textId="77777777" w:rsidR="00A62EFA" w:rsidRDefault="00A62EFA" w:rsidP="00A62EFA">
      <w:pPr>
        <w:spacing w:line="360" w:lineRule="auto"/>
        <w:rPr>
          <w:rFonts w:asciiTheme="minorBidi" w:hAnsiTheme="minorBidi"/>
          <w:sz w:val="24"/>
          <w:szCs w:val="24"/>
        </w:rPr>
      </w:pPr>
      <w:r>
        <w:rPr>
          <w:rFonts w:asciiTheme="minorBidi" w:hAnsiTheme="minorBidi"/>
          <w:sz w:val="24"/>
          <w:szCs w:val="24"/>
        </w:rPr>
        <w:t xml:space="preserve">This action research aims </w:t>
      </w:r>
      <w:r w:rsidRPr="00041785">
        <w:rPr>
          <w:rFonts w:asciiTheme="minorBidi" w:hAnsiTheme="minorBidi"/>
          <w:sz w:val="24"/>
          <w:szCs w:val="24"/>
        </w:rPr>
        <w:t xml:space="preserve">to assess the effectiveness of e-learning for both teaching and learning in post-compulsory education. </w:t>
      </w:r>
    </w:p>
    <w:p w14:paraId="01DD0CBE" w14:textId="77777777" w:rsidR="00A62EFA" w:rsidRDefault="00A62EFA" w:rsidP="00A62EFA">
      <w:pPr>
        <w:spacing w:line="360" w:lineRule="auto"/>
        <w:rPr>
          <w:rFonts w:asciiTheme="minorBidi" w:hAnsiTheme="minorBidi"/>
          <w:b/>
          <w:bCs/>
          <w:sz w:val="24"/>
          <w:szCs w:val="24"/>
        </w:rPr>
      </w:pPr>
      <w:r w:rsidRPr="00675FAF">
        <w:rPr>
          <w:rFonts w:asciiTheme="minorBidi" w:hAnsiTheme="minorBidi"/>
          <w:b/>
          <w:bCs/>
          <w:sz w:val="24"/>
          <w:szCs w:val="24"/>
        </w:rPr>
        <w:t>Research Focus</w:t>
      </w:r>
    </w:p>
    <w:p w14:paraId="183E904B" w14:textId="77777777" w:rsidR="00A62EFA" w:rsidRPr="00E2087F" w:rsidRDefault="00A62EFA" w:rsidP="00A62EFA">
      <w:pPr>
        <w:spacing w:line="360" w:lineRule="auto"/>
        <w:rPr>
          <w:rFonts w:asciiTheme="minorBidi" w:hAnsiTheme="minorBidi"/>
          <w:sz w:val="24"/>
          <w:szCs w:val="24"/>
        </w:rPr>
      </w:pPr>
      <w:r w:rsidRPr="00E2087F">
        <w:rPr>
          <w:rFonts w:asciiTheme="minorBidi" w:hAnsiTheme="minorBidi"/>
          <w:sz w:val="24"/>
          <w:szCs w:val="24"/>
        </w:rPr>
        <w:t>The following research questions will be addressed to achieve th</w:t>
      </w:r>
      <w:r>
        <w:rPr>
          <w:rFonts w:asciiTheme="minorBidi" w:hAnsiTheme="minorBidi"/>
          <w:sz w:val="24"/>
          <w:szCs w:val="24"/>
        </w:rPr>
        <w:t>is</w:t>
      </w:r>
      <w:r w:rsidRPr="00E2087F">
        <w:rPr>
          <w:rFonts w:asciiTheme="minorBidi" w:hAnsiTheme="minorBidi"/>
          <w:sz w:val="24"/>
          <w:szCs w:val="24"/>
        </w:rPr>
        <w:t xml:space="preserve"> ai</w:t>
      </w:r>
      <w:r>
        <w:rPr>
          <w:rFonts w:asciiTheme="minorBidi" w:hAnsiTheme="minorBidi"/>
          <w:sz w:val="24"/>
          <w:szCs w:val="24"/>
        </w:rPr>
        <w:t>m:</w:t>
      </w:r>
    </w:p>
    <w:p w14:paraId="33325ABA" w14:textId="77777777" w:rsidR="00A62EFA" w:rsidRPr="00A62EFA" w:rsidRDefault="00A62EFA" w:rsidP="00A62EFA">
      <w:pPr>
        <w:numPr>
          <w:ilvl w:val="0"/>
          <w:numId w:val="1"/>
        </w:numPr>
        <w:spacing w:line="360" w:lineRule="auto"/>
        <w:ind w:left="357" w:hanging="357"/>
        <w:rPr>
          <w:rFonts w:asciiTheme="minorBidi" w:hAnsiTheme="minorBidi"/>
          <w:sz w:val="24"/>
          <w:szCs w:val="24"/>
        </w:rPr>
      </w:pPr>
      <w:r w:rsidRPr="00A62EFA">
        <w:rPr>
          <w:rFonts w:asciiTheme="minorBidi" w:hAnsiTheme="minorBidi"/>
          <w:sz w:val="24"/>
          <w:szCs w:val="24"/>
        </w:rPr>
        <w:t>How do current educational policies influence the integration of technology in the classroom?</w:t>
      </w:r>
    </w:p>
    <w:p w14:paraId="2DCF5502" w14:textId="77777777" w:rsidR="00A62EFA" w:rsidRPr="00A62EFA" w:rsidRDefault="00A62EFA" w:rsidP="00A62EFA">
      <w:pPr>
        <w:numPr>
          <w:ilvl w:val="0"/>
          <w:numId w:val="1"/>
        </w:numPr>
        <w:spacing w:line="360" w:lineRule="auto"/>
        <w:ind w:left="357" w:hanging="357"/>
        <w:rPr>
          <w:rFonts w:asciiTheme="minorBidi" w:hAnsiTheme="minorBidi"/>
          <w:sz w:val="24"/>
          <w:szCs w:val="24"/>
        </w:rPr>
      </w:pPr>
      <w:r w:rsidRPr="00A62EFA">
        <w:rPr>
          <w:rFonts w:asciiTheme="minorBidi" w:hAnsiTheme="minorBidi"/>
          <w:sz w:val="24"/>
          <w:szCs w:val="24"/>
        </w:rPr>
        <w:t>What is the effect of e-learning on learner engagement in post-compulsory education?</w:t>
      </w:r>
    </w:p>
    <w:p w14:paraId="05FCF37D" w14:textId="77777777" w:rsidR="00A62EFA" w:rsidRDefault="00A62EFA" w:rsidP="00A62EFA">
      <w:pPr>
        <w:numPr>
          <w:ilvl w:val="0"/>
          <w:numId w:val="1"/>
        </w:numPr>
        <w:spacing w:line="360" w:lineRule="auto"/>
        <w:ind w:left="357" w:hanging="357"/>
        <w:rPr>
          <w:rFonts w:asciiTheme="minorBidi" w:hAnsiTheme="minorBidi"/>
          <w:sz w:val="24"/>
          <w:szCs w:val="24"/>
        </w:rPr>
      </w:pPr>
      <w:r w:rsidRPr="00A62EFA">
        <w:rPr>
          <w:rFonts w:asciiTheme="minorBidi" w:hAnsiTheme="minorBidi"/>
          <w:sz w:val="24"/>
          <w:szCs w:val="24"/>
        </w:rPr>
        <w:t>How does e-learning impact teaching practices in post-compulsory education settings?</w:t>
      </w:r>
    </w:p>
    <w:p w14:paraId="6D630FEA" w14:textId="77777777" w:rsidR="002F4564" w:rsidRDefault="002F4564" w:rsidP="002F4564">
      <w:pPr>
        <w:spacing w:line="360" w:lineRule="auto"/>
        <w:rPr>
          <w:rFonts w:asciiTheme="minorBidi" w:hAnsiTheme="minorBidi"/>
          <w:sz w:val="24"/>
          <w:szCs w:val="24"/>
        </w:rPr>
      </w:pPr>
    </w:p>
    <w:p w14:paraId="48CE5AE3" w14:textId="77777777" w:rsidR="002F4564" w:rsidRDefault="002F4564" w:rsidP="002F4564">
      <w:pPr>
        <w:spacing w:line="360" w:lineRule="auto"/>
        <w:rPr>
          <w:rFonts w:asciiTheme="minorBidi" w:hAnsiTheme="minorBidi"/>
          <w:sz w:val="24"/>
          <w:szCs w:val="24"/>
        </w:rPr>
      </w:pPr>
    </w:p>
    <w:p w14:paraId="1725620C" w14:textId="77777777" w:rsidR="002F4564" w:rsidRDefault="002F4564" w:rsidP="002F4564">
      <w:pPr>
        <w:spacing w:line="360" w:lineRule="auto"/>
        <w:rPr>
          <w:rFonts w:asciiTheme="minorBidi" w:hAnsiTheme="minorBidi"/>
          <w:sz w:val="24"/>
          <w:szCs w:val="24"/>
        </w:rPr>
      </w:pPr>
    </w:p>
    <w:p w14:paraId="7BC523FA" w14:textId="77777777" w:rsidR="002F4564" w:rsidRDefault="002F4564" w:rsidP="002F4564">
      <w:pPr>
        <w:spacing w:line="360" w:lineRule="auto"/>
        <w:rPr>
          <w:rFonts w:asciiTheme="minorBidi" w:hAnsiTheme="minorBidi"/>
          <w:sz w:val="24"/>
          <w:szCs w:val="24"/>
        </w:rPr>
      </w:pPr>
    </w:p>
    <w:p w14:paraId="4FC36CE4" w14:textId="77777777" w:rsidR="002F4564" w:rsidRDefault="002F4564" w:rsidP="002F4564">
      <w:pPr>
        <w:spacing w:line="360" w:lineRule="auto"/>
        <w:rPr>
          <w:rFonts w:asciiTheme="minorBidi" w:hAnsiTheme="minorBidi"/>
          <w:sz w:val="24"/>
          <w:szCs w:val="24"/>
        </w:rPr>
      </w:pPr>
    </w:p>
    <w:p w14:paraId="72C7BD3A" w14:textId="77777777" w:rsidR="002F4564" w:rsidRDefault="002F4564" w:rsidP="002F4564">
      <w:pPr>
        <w:spacing w:line="360" w:lineRule="auto"/>
        <w:rPr>
          <w:rFonts w:asciiTheme="minorBidi" w:hAnsiTheme="minorBidi"/>
          <w:sz w:val="24"/>
          <w:szCs w:val="24"/>
        </w:rPr>
      </w:pPr>
    </w:p>
    <w:p w14:paraId="4213E72E" w14:textId="77777777" w:rsidR="002F4564" w:rsidRDefault="002F4564" w:rsidP="002F4564">
      <w:pPr>
        <w:spacing w:line="360" w:lineRule="auto"/>
        <w:rPr>
          <w:rFonts w:asciiTheme="minorBidi" w:hAnsiTheme="minorBidi"/>
          <w:sz w:val="24"/>
          <w:szCs w:val="24"/>
        </w:rPr>
      </w:pPr>
    </w:p>
    <w:p w14:paraId="4BE6D54F" w14:textId="77777777" w:rsidR="002F4564" w:rsidRDefault="002F4564" w:rsidP="002F4564">
      <w:pPr>
        <w:spacing w:line="360" w:lineRule="auto"/>
        <w:rPr>
          <w:rFonts w:asciiTheme="minorBidi" w:hAnsiTheme="minorBidi"/>
          <w:sz w:val="24"/>
          <w:szCs w:val="24"/>
        </w:rPr>
      </w:pPr>
    </w:p>
    <w:p w14:paraId="0ACBF76A" w14:textId="77777777" w:rsidR="002F4564" w:rsidRDefault="002F4564" w:rsidP="002F4564">
      <w:pPr>
        <w:spacing w:line="360" w:lineRule="auto"/>
        <w:rPr>
          <w:rFonts w:asciiTheme="minorBidi" w:hAnsiTheme="minorBidi"/>
          <w:sz w:val="24"/>
          <w:szCs w:val="24"/>
        </w:rPr>
      </w:pPr>
    </w:p>
    <w:p w14:paraId="0A07B2AC" w14:textId="77777777" w:rsidR="002F4564" w:rsidRDefault="002F4564" w:rsidP="002F4564">
      <w:pPr>
        <w:spacing w:line="360" w:lineRule="auto"/>
        <w:rPr>
          <w:rFonts w:asciiTheme="minorBidi" w:hAnsiTheme="minorBidi"/>
          <w:sz w:val="24"/>
          <w:szCs w:val="24"/>
        </w:rPr>
      </w:pPr>
    </w:p>
    <w:p w14:paraId="0B821B70" w14:textId="77777777" w:rsidR="002F4564" w:rsidRDefault="002F4564" w:rsidP="002F4564">
      <w:pPr>
        <w:spacing w:line="360" w:lineRule="auto"/>
        <w:rPr>
          <w:rFonts w:asciiTheme="minorBidi" w:hAnsiTheme="minorBidi"/>
          <w:sz w:val="24"/>
          <w:szCs w:val="24"/>
        </w:rPr>
      </w:pPr>
    </w:p>
    <w:p w14:paraId="124FD009" w14:textId="77777777" w:rsidR="002F4564" w:rsidRDefault="002F4564" w:rsidP="002F4564">
      <w:pPr>
        <w:spacing w:line="360" w:lineRule="auto"/>
        <w:rPr>
          <w:rFonts w:asciiTheme="minorBidi" w:hAnsiTheme="minorBidi"/>
          <w:sz w:val="24"/>
          <w:szCs w:val="24"/>
        </w:rPr>
      </w:pPr>
    </w:p>
    <w:p w14:paraId="02E15614" w14:textId="77777777" w:rsidR="002F4564" w:rsidRDefault="002F4564" w:rsidP="002F4564">
      <w:pPr>
        <w:spacing w:line="360" w:lineRule="auto"/>
        <w:rPr>
          <w:rFonts w:asciiTheme="minorBidi" w:hAnsiTheme="minorBidi"/>
          <w:sz w:val="24"/>
          <w:szCs w:val="24"/>
        </w:rPr>
      </w:pPr>
    </w:p>
    <w:p w14:paraId="0EC76E49" w14:textId="77777777" w:rsidR="002F4564" w:rsidRDefault="002F4564" w:rsidP="002F4564">
      <w:pPr>
        <w:spacing w:line="360" w:lineRule="auto"/>
        <w:rPr>
          <w:rFonts w:asciiTheme="minorBidi" w:hAnsiTheme="minorBidi"/>
          <w:sz w:val="24"/>
          <w:szCs w:val="24"/>
        </w:rPr>
      </w:pPr>
    </w:p>
    <w:p w14:paraId="5F5BEB12" w14:textId="77777777" w:rsidR="002F4564" w:rsidRDefault="002F4564" w:rsidP="002F4564">
      <w:pPr>
        <w:spacing w:line="360" w:lineRule="auto"/>
        <w:rPr>
          <w:rFonts w:asciiTheme="minorBidi" w:hAnsiTheme="minorBidi"/>
          <w:sz w:val="24"/>
          <w:szCs w:val="24"/>
        </w:rPr>
      </w:pPr>
    </w:p>
    <w:p w14:paraId="540AA22B" w14:textId="77777777" w:rsidR="002F4564" w:rsidRDefault="002F4564" w:rsidP="002F4564">
      <w:pPr>
        <w:spacing w:line="360" w:lineRule="auto"/>
        <w:rPr>
          <w:rFonts w:asciiTheme="minorBidi" w:hAnsiTheme="minorBidi"/>
          <w:sz w:val="24"/>
          <w:szCs w:val="24"/>
        </w:rPr>
      </w:pPr>
    </w:p>
    <w:p w14:paraId="062CA3E4" w14:textId="77777777" w:rsidR="002F4564" w:rsidRDefault="002F4564" w:rsidP="002F4564">
      <w:pPr>
        <w:spacing w:line="360" w:lineRule="auto"/>
        <w:rPr>
          <w:rFonts w:asciiTheme="minorBidi" w:hAnsiTheme="minorBidi"/>
          <w:sz w:val="24"/>
          <w:szCs w:val="24"/>
        </w:rPr>
      </w:pPr>
    </w:p>
    <w:p w14:paraId="5ADABE7B" w14:textId="77777777" w:rsidR="002F4564" w:rsidRDefault="002F4564" w:rsidP="002F4564">
      <w:pPr>
        <w:spacing w:line="360" w:lineRule="auto"/>
        <w:rPr>
          <w:rFonts w:asciiTheme="minorBidi" w:hAnsiTheme="minorBidi"/>
          <w:sz w:val="24"/>
          <w:szCs w:val="24"/>
        </w:rPr>
      </w:pPr>
    </w:p>
    <w:p w14:paraId="31866D18" w14:textId="77777777" w:rsidR="002F4564" w:rsidRDefault="002F4564" w:rsidP="002F4564">
      <w:pPr>
        <w:spacing w:line="360" w:lineRule="auto"/>
        <w:rPr>
          <w:rFonts w:asciiTheme="minorBidi" w:hAnsiTheme="minorBidi"/>
          <w:sz w:val="24"/>
          <w:szCs w:val="24"/>
        </w:rPr>
      </w:pPr>
    </w:p>
    <w:p w14:paraId="1C5FB807" w14:textId="77777777" w:rsidR="00827A5B" w:rsidRPr="00827A5B" w:rsidRDefault="00827A5B" w:rsidP="00827A5B">
      <w:pPr>
        <w:spacing w:line="360" w:lineRule="auto"/>
        <w:rPr>
          <w:rFonts w:asciiTheme="minorBidi" w:hAnsiTheme="minorBidi"/>
          <w:b/>
          <w:bCs/>
          <w:sz w:val="24"/>
          <w:szCs w:val="24"/>
        </w:rPr>
      </w:pPr>
      <w:r w:rsidRPr="00827A5B">
        <w:rPr>
          <w:rFonts w:asciiTheme="minorBidi" w:hAnsiTheme="minorBidi"/>
          <w:b/>
          <w:bCs/>
          <w:sz w:val="24"/>
          <w:szCs w:val="24"/>
        </w:rPr>
        <w:t xml:space="preserve">Literature Review </w:t>
      </w:r>
    </w:p>
    <w:p w14:paraId="1F23A941" w14:textId="6BB45F73"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 xml:space="preserve">The concept of student engagement encompasses diverse interpretations </w:t>
      </w:r>
      <w:r w:rsidR="00494516" w:rsidRPr="00494516">
        <w:rPr>
          <w:rFonts w:asciiTheme="minorBidi" w:hAnsiTheme="minorBidi"/>
          <w:sz w:val="24"/>
          <w:szCs w:val="24"/>
        </w:rPr>
        <w:t xml:space="preserve">based on social, psychological, and cultural perspectives (Wimpenny and Savin-Baden, 2013; </w:t>
      </w:r>
      <w:proofErr w:type="spellStart"/>
      <w:r w:rsidR="00494516" w:rsidRPr="00494516">
        <w:rPr>
          <w:rFonts w:asciiTheme="minorBidi" w:hAnsiTheme="minorBidi"/>
          <w:sz w:val="24"/>
          <w:szCs w:val="24"/>
        </w:rPr>
        <w:t>Zepke</w:t>
      </w:r>
      <w:proofErr w:type="spellEnd"/>
      <w:r w:rsidR="00494516" w:rsidRPr="00494516">
        <w:rPr>
          <w:rFonts w:asciiTheme="minorBidi" w:hAnsiTheme="minorBidi"/>
          <w:sz w:val="24"/>
          <w:szCs w:val="24"/>
        </w:rPr>
        <w:t xml:space="preserve"> and Leach, 2016; Fredericks et al., 1994). Examining several definitions reveals that there are two primary approaches to student participation. According to one viewpoint, student involvement is the intended result that reflects a student's attitudes, feelings, and behaviours around learning. Student involvement, for example, is defined by Kahu (2013) as </w:t>
      </w:r>
      <w:proofErr w:type="gramStart"/>
      <w:r w:rsidR="00494516" w:rsidRPr="00494516">
        <w:rPr>
          <w:rFonts w:asciiTheme="minorBidi" w:hAnsiTheme="minorBidi"/>
          <w:sz w:val="24"/>
          <w:szCs w:val="24"/>
        </w:rPr>
        <w:t>a</w:t>
      </w:r>
      <w:proofErr w:type="gramEnd"/>
      <w:r w:rsidR="00494516" w:rsidRPr="00494516">
        <w:rPr>
          <w:rFonts w:asciiTheme="minorBidi" w:hAnsiTheme="minorBidi"/>
          <w:sz w:val="24"/>
          <w:szCs w:val="24"/>
        </w:rPr>
        <w:t xml:space="preserve"> "individual psychological state" that includes affect, cognition, and behaviour (p. 764). On the other hand, other definitions place more emphasis on how students behave; they define engagement as the "quality of effort and involvement in meaningful learning activities" (Kuh, 2009, p. 6) or the "degree to which students participate in activities" (Krause and Coates, 2008, p. 493). Furthermore, an alternative viewpoint sees student participation as a cooperative activity that involves the student and</w:t>
      </w:r>
      <w:r w:rsidR="00494516">
        <w:rPr>
          <w:rFonts w:asciiTheme="minorBidi" w:hAnsiTheme="minorBidi"/>
          <w:sz w:val="24"/>
          <w:szCs w:val="24"/>
        </w:rPr>
        <w:t xml:space="preserve"> </w:t>
      </w:r>
      <w:r w:rsidR="00494516" w:rsidRPr="00494516">
        <w:rPr>
          <w:rFonts w:asciiTheme="minorBidi" w:hAnsiTheme="minorBidi"/>
          <w:sz w:val="24"/>
          <w:szCs w:val="24"/>
        </w:rPr>
        <w:t>the</w:t>
      </w:r>
      <w:r w:rsidR="00494516" w:rsidRPr="00494516">
        <w:rPr>
          <w:rFonts w:asciiTheme="minorBidi" w:hAnsiTheme="minorBidi"/>
          <w:sz w:val="24"/>
          <w:szCs w:val="24"/>
        </w:rPr>
        <w:t xml:space="preserve"> institution of higher learning. Student engagement, for example, is defined as "the amount of time and effort students invest in their studies and other educational endeavours," as well as "how the institution utilises its resources and structures the curriculum and other learning opportunities to encourage student participation" (National Survey of Student Engagement, NSSE website) (Centre for Postsecondary Research, 2017, para. 1).</w:t>
      </w:r>
    </w:p>
    <w:p w14:paraId="3620EBBF"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According to Parsons and Taylor (2011), active participation of students in the learning process is fundamental for optimal learning outcomes, highlighting the pivotal role of engagement in educational environments. Barkley (2009) emphasizes that engaged students exhibit increased involvement in academic activities, utilizing advanced cognitive skills such as problem-solving and information analysis. The growing adoption of media and technology is increasingly acknowledged as a method to amplify student engagement with Finn and Zimmer (2012) affirming that heightened engagement is positively associated with academic success.</w:t>
      </w:r>
    </w:p>
    <w:p w14:paraId="2800BCA7" w14:textId="0DD3B1F2"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 xml:space="preserve">According to Pandita and Kiran (2023), </w:t>
      </w:r>
      <w:r w:rsidR="00494516" w:rsidRPr="00494516">
        <w:rPr>
          <w:rFonts w:asciiTheme="minorBidi" w:hAnsiTheme="minorBidi"/>
          <w:sz w:val="24"/>
          <w:szCs w:val="24"/>
        </w:rPr>
        <w:t>Some important factors that contribute to long-term student happiness are the technological interface and student involvement. Students that are actively involved</w:t>
      </w:r>
      <w:r w:rsidR="00494516" w:rsidRPr="00494516">
        <w:rPr>
          <w:rFonts w:asciiTheme="minorBidi" w:hAnsiTheme="minorBidi"/>
          <w:sz w:val="24"/>
          <w:szCs w:val="24"/>
        </w:rPr>
        <w:t xml:space="preserve"> </w:t>
      </w:r>
      <w:r w:rsidRPr="00827A5B">
        <w:rPr>
          <w:rFonts w:asciiTheme="minorBidi" w:hAnsiTheme="minorBidi"/>
          <w:sz w:val="24"/>
          <w:szCs w:val="24"/>
        </w:rPr>
        <w:t xml:space="preserve">are inclined to actively participate in educational discussions, pose questions, achieve higher grades, and demonstrate greater retention, persistence, and completion rates (Leach, 2016; McClenney, Marti, and Adkins, 2012; </w:t>
      </w:r>
      <w:proofErr w:type="spellStart"/>
      <w:r w:rsidRPr="00827A5B">
        <w:rPr>
          <w:rFonts w:asciiTheme="minorBidi" w:hAnsiTheme="minorBidi"/>
          <w:sz w:val="24"/>
          <w:szCs w:val="24"/>
        </w:rPr>
        <w:t>Trowler</w:t>
      </w:r>
      <w:proofErr w:type="spellEnd"/>
      <w:r w:rsidRPr="00827A5B">
        <w:rPr>
          <w:rFonts w:asciiTheme="minorBidi" w:hAnsiTheme="minorBidi"/>
          <w:sz w:val="24"/>
          <w:szCs w:val="24"/>
        </w:rPr>
        <w:t xml:space="preserve"> and </w:t>
      </w:r>
      <w:proofErr w:type="spellStart"/>
      <w:r w:rsidRPr="00827A5B">
        <w:rPr>
          <w:rFonts w:asciiTheme="minorBidi" w:hAnsiTheme="minorBidi"/>
          <w:sz w:val="24"/>
          <w:szCs w:val="24"/>
        </w:rPr>
        <w:t>Trowler</w:t>
      </w:r>
      <w:proofErr w:type="spellEnd"/>
      <w:r w:rsidRPr="00827A5B">
        <w:rPr>
          <w:rFonts w:asciiTheme="minorBidi" w:hAnsiTheme="minorBidi"/>
          <w:sz w:val="24"/>
          <w:szCs w:val="24"/>
        </w:rPr>
        <w:t>, 2010). When</w:t>
      </w:r>
      <w:r w:rsidR="00DD6334" w:rsidRPr="00DD6334">
        <w:t xml:space="preserve"> </w:t>
      </w:r>
      <w:r w:rsidR="00DD6334" w:rsidRPr="00DD6334">
        <w:rPr>
          <w:rFonts w:asciiTheme="minorBidi" w:hAnsiTheme="minorBidi"/>
          <w:sz w:val="24"/>
          <w:szCs w:val="24"/>
        </w:rPr>
        <w:t>Students that are actively involved in their education feel more in control of their educational process, which increases their pleasure. The phrase "technology interface" describes how people utilise technology, including the functionality, design, and usability of digital tools, hardware, and software (Brown, 2018). The design of learning management systems, online course platforms, and other educational technology tools falls under the purview of the technology interface in the educational setting.</w:t>
      </w:r>
      <w:r w:rsidRPr="00827A5B">
        <w:rPr>
          <w:rFonts w:asciiTheme="minorBidi" w:hAnsiTheme="minorBidi"/>
          <w:sz w:val="24"/>
          <w:szCs w:val="24"/>
        </w:rPr>
        <w:t xml:space="preserve"> (Johnson and Adams, 2020).</w:t>
      </w:r>
    </w:p>
    <w:p w14:paraId="3F522A56" w14:textId="17097719" w:rsidR="00827A5B" w:rsidRPr="00827A5B" w:rsidRDefault="00AD25FF" w:rsidP="00827A5B">
      <w:pPr>
        <w:spacing w:line="360" w:lineRule="auto"/>
        <w:rPr>
          <w:rFonts w:asciiTheme="minorBidi" w:hAnsiTheme="minorBidi"/>
          <w:sz w:val="24"/>
          <w:szCs w:val="24"/>
        </w:rPr>
      </w:pPr>
      <w:r w:rsidRPr="00AD25FF">
        <w:rPr>
          <w:rFonts w:asciiTheme="minorBidi" w:hAnsiTheme="minorBidi"/>
          <w:sz w:val="24"/>
          <w:szCs w:val="24"/>
        </w:rPr>
        <w:t xml:space="preserve">Studies looking at the effects of </w:t>
      </w:r>
      <w:proofErr w:type="gramStart"/>
      <w:r w:rsidRPr="00AD25FF">
        <w:rPr>
          <w:rFonts w:asciiTheme="minorBidi" w:hAnsiTheme="minorBidi"/>
          <w:sz w:val="24"/>
          <w:szCs w:val="24"/>
        </w:rPr>
        <w:t>particular technology</w:t>
      </w:r>
      <w:proofErr w:type="gramEnd"/>
      <w:r w:rsidRPr="00AD25FF">
        <w:rPr>
          <w:rFonts w:asciiTheme="minorBidi" w:hAnsiTheme="minorBidi"/>
          <w:sz w:val="24"/>
          <w:szCs w:val="24"/>
        </w:rPr>
        <w:t xml:space="preserve"> on student engagement have produced some interesting results. Students have noted, for example, that blogs improve communication and information sharing, which helps to foster peer engagement (Chu, Chan, and Tiwari, 2012; Ivala and </w:t>
      </w:r>
      <w:proofErr w:type="spellStart"/>
      <w:r w:rsidRPr="00AD25FF">
        <w:rPr>
          <w:rFonts w:asciiTheme="minorBidi" w:hAnsiTheme="minorBidi"/>
          <w:sz w:val="24"/>
          <w:szCs w:val="24"/>
        </w:rPr>
        <w:t>Gachago</w:t>
      </w:r>
      <w:proofErr w:type="spellEnd"/>
      <w:r w:rsidRPr="00AD25FF">
        <w:rPr>
          <w:rFonts w:asciiTheme="minorBidi" w:hAnsiTheme="minorBidi"/>
          <w:sz w:val="24"/>
          <w:szCs w:val="24"/>
        </w:rPr>
        <w:t xml:space="preserve">, 2012; Mansouri and Piki, 2016). According to blog post analysis, students build on each other's ideas and share their experiences and comprehension of the course material (Sharma and Tietjen, 2016). Furthermore, research already conducted provides proof of the beneficial effects of digital games on cognitive engagement. When compared to traditional teaching techniques, digital games have been demonstrated to promote a better knowledge of the course material and the development of </w:t>
      </w:r>
      <w:proofErr w:type="gramStart"/>
      <w:r w:rsidRPr="00AD25FF">
        <w:rPr>
          <w:rFonts w:asciiTheme="minorBidi" w:hAnsiTheme="minorBidi"/>
          <w:sz w:val="24"/>
          <w:szCs w:val="24"/>
        </w:rPr>
        <w:t>higher-order</w:t>
      </w:r>
      <w:proofErr w:type="gramEnd"/>
      <w:r w:rsidRPr="00AD25FF">
        <w:rPr>
          <w:rFonts w:asciiTheme="minorBidi" w:hAnsiTheme="minorBidi"/>
          <w:sz w:val="24"/>
          <w:szCs w:val="24"/>
        </w:rPr>
        <w:t xml:space="preserve"> thinking abilities (Beckem and Watkins, 2012; Farley, 2013; Ke, Xie, and Xie, 2016; Marriott, Tan, and Marriott, 2015).</w:t>
      </w:r>
      <w:r w:rsidRPr="00AD25FF">
        <w:t xml:space="preserve"> </w:t>
      </w:r>
      <w:r w:rsidRPr="00AD25FF">
        <w:rPr>
          <w:rFonts w:asciiTheme="minorBidi" w:hAnsiTheme="minorBidi"/>
          <w:sz w:val="24"/>
          <w:szCs w:val="24"/>
        </w:rPr>
        <w:t xml:space="preserve">for instance, lectures or readings from textbooks (Lu, Hallinger, and </w:t>
      </w:r>
      <w:proofErr w:type="spellStart"/>
      <w:r w:rsidRPr="00AD25FF">
        <w:rPr>
          <w:rFonts w:asciiTheme="minorBidi" w:hAnsiTheme="minorBidi"/>
          <w:sz w:val="24"/>
          <w:szCs w:val="24"/>
        </w:rPr>
        <w:t>Showanasai</w:t>
      </w:r>
      <w:proofErr w:type="spellEnd"/>
      <w:r w:rsidRPr="00AD25FF">
        <w:rPr>
          <w:rFonts w:asciiTheme="minorBidi" w:hAnsiTheme="minorBidi"/>
          <w:sz w:val="24"/>
          <w:szCs w:val="24"/>
        </w:rPr>
        <w:t>, 2014; Siddique, Ling, Roberson, Xu, and Geng, 2013; Zimmermann, 2013). On tests, for instance, engineering students who played an automobile simulator game intended to reinforce lecture material showed greater levels of critical thinking, including analysis and assessment, than those who only attended lectures.</w:t>
      </w:r>
      <w:r w:rsidRPr="00AD25FF">
        <w:rPr>
          <w:rFonts w:asciiTheme="minorBidi" w:hAnsiTheme="minorBidi"/>
          <w:sz w:val="24"/>
          <w:szCs w:val="24"/>
        </w:rPr>
        <w:t xml:space="preserve"> </w:t>
      </w:r>
      <w:r w:rsidR="00827A5B" w:rsidRPr="00827A5B">
        <w:rPr>
          <w:rFonts w:asciiTheme="minorBidi" w:hAnsiTheme="minorBidi"/>
          <w:sz w:val="24"/>
          <w:szCs w:val="24"/>
        </w:rPr>
        <w:t>(Siddique et al., 2013).</w:t>
      </w:r>
    </w:p>
    <w:p w14:paraId="4E2EECA6"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 xml:space="preserve">Despite these benefits, it is argued that that an overreliance on technology in fostering student engagement could foster a passive learning experience, where students passively consume information rather than actively participating in the educational process (Selwyn, 2016; Selwyn and Bulfin, 2018). Furthermore, concerns have surfaced regarding the potential for technology to widen existing disparities in access and opportunities among students, particularly those hailing from disadvantaged backgrounds (Warschauer, 2016; </w:t>
      </w:r>
      <w:proofErr w:type="spellStart"/>
      <w:r w:rsidRPr="00827A5B">
        <w:rPr>
          <w:rFonts w:asciiTheme="minorBidi" w:hAnsiTheme="minorBidi"/>
          <w:sz w:val="24"/>
          <w:szCs w:val="24"/>
        </w:rPr>
        <w:t>Hargittai</w:t>
      </w:r>
      <w:proofErr w:type="spellEnd"/>
      <w:r w:rsidRPr="00827A5B">
        <w:rPr>
          <w:rFonts w:asciiTheme="minorBidi" w:hAnsiTheme="minorBidi"/>
          <w:sz w:val="24"/>
          <w:szCs w:val="24"/>
        </w:rPr>
        <w:t xml:space="preserve"> and Walejko, 2008). Additionally, while digital games and online platforms offer novel avenues for interaction and collaboration, there exists a risk of oversimplifying intricate educational concepts and prioritizing entertainment over academic rigor (Hinrichs et al., 2017; Squire and Jenkins, 2003). Moreover, Research conducted by Rosen, Carrier, and Cheever (2015) indicates a correlation between multitasking, particularly involving digital media, and in contrast to the abovementioned evidence, diminished cognitive performance, alongside lower academic achievements. This phenomenon, termed media-induced task-switching, occurs when students transition between studying and engaging with social media platforms or other digital content. Moreover, the pervasive connectivity facilitated by technology poses challenges in sustaining attention during learning activities (Rosen et al., 2018). As students navigate diverse online platforms and notifications, their capacity to concentrate on academic content may diminish, thereby impacting their overall learning engagement and outcomes.</w:t>
      </w:r>
    </w:p>
    <w:p w14:paraId="79397A1D"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Furthermore, it is contended that although technology aids communication and collaboration, empirical data indicates that digital interactions may lack the depth and nuances found in face-to-face communication. These constraints have the potential to hinder students' ability to fully engage with course materials and interact with peers in a meaningful manner, thereby limiting the depth of their learning experiences (Uhls et al., 2014).</w:t>
      </w:r>
    </w:p>
    <w:p w14:paraId="2D0E9443"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 xml:space="preserve">In terms of pedagogy, digital technology has revolutionized assessment practices by offering a plethora of assessment tools and platforms. These include online quizzes, interactive simulations, and digital portfolios, enabling educators to provide real-time feedback and track student progress more effectively (Boud and </w:t>
      </w:r>
      <w:proofErr w:type="spellStart"/>
      <w:r w:rsidRPr="00827A5B">
        <w:rPr>
          <w:rFonts w:asciiTheme="minorBidi" w:hAnsiTheme="minorBidi"/>
          <w:sz w:val="24"/>
          <w:szCs w:val="24"/>
        </w:rPr>
        <w:t>Falchikov</w:t>
      </w:r>
      <w:proofErr w:type="spellEnd"/>
      <w:r w:rsidRPr="00827A5B">
        <w:rPr>
          <w:rFonts w:asciiTheme="minorBidi" w:hAnsiTheme="minorBidi"/>
          <w:sz w:val="24"/>
          <w:szCs w:val="24"/>
        </w:rPr>
        <w:t xml:space="preserve">, 2006). One significant benefit of digital technology is its capacity to enhance flexibility in teaching methods. For instance, tools like Microsoft Word and PowerPoint allow educators to optimize their preparation time by editing existing course materials instead of starting from scratch (Joram et al., 1990; McCormik and Scrimshaw, 2001). Specifically, Microsoft PowerPoint can foster an interactive learning atmosphere where educators can visually simplify complex concepts, incorporating multimedia elements like images and videos (Joram et al., 1990). These resources can then be shared on e-learning platforms such as Moodle, enabling students to access lecture notes and other materials from any location at any time (Taylor, 2000). </w:t>
      </w:r>
    </w:p>
    <w:p w14:paraId="235A8D35" w14:textId="77777777" w:rsidR="00827A5B" w:rsidRPr="00827A5B" w:rsidRDefault="00827A5B" w:rsidP="00827A5B">
      <w:pPr>
        <w:spacing w:line="360" w:lineRule="auto"/>
        <w:rPr>
          <w:rFonts w:asciiTheme="minorBidi" w:hAnsiTheme="minorBidi"/>
          <w:sz w:val="24"/>
          <w:szCs w:val="24"/>
        </w:rPr>
      </w:pPr>
    </w:p>
    <w:p w14:paraId="63E7ECF0"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A survey conducted among 1,400 classroom teachers revealed that various technology devices and online platforms significantly contributed to enhancing their teaching practices and student engagement. For example, a considerable percentage of teachers, around 68%, expressed their appreciation for interactive whiteboards as valuable tools to complement teaching methods effectively. Similarly, a study by Peterson and McClay (2012), involving over 300 teachers, demonstrated that utilizing smartboards in classrooms not only saved teaching time but also facilitated better demonstration of examples, which could be archived for future reference.</w:t>
      </w:r>
    </w:p>
    <w:p w14:paraId="5379A65A"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Moreover, teachers reported utilizing digital media for content management purposes, including tracking assessment scores, refining curriculum materials, developing individualized education plans, and accessing professional development resources and feedback. These technological aids are seen as freeing up valuable time for teachers in the classroom (The Scottish Government, 2015).</w:t>
      </w:r>
    </w:p>
    <w:p w14:paraId="7CEFAB80"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However, despite the evident benefits of digital technology in education, some educators argue that e-learning facilities are essentially extensions of traditional teaching methods, albeit at a higher cost. Cuban (1993) provides an example with the overhead projector (OHP), which, despite being an improvement over traditional chalkboards, still allows teachers to conduct lectures in a similar manner. Additionally, the successful integration of ICT across various subjects relies heavily on effective teaching and learning of ICT skills. Somekh (2007) emphasizes that the presumption that ICT seamlessly fits into existing practices is often rooted in the minds of technicians rather than educators, leading to a simplistic view of pedagogy as mere transmission of information.</w:t>
      </w:r>
    </w:p>
    <w:p w14:paraId="1193416B"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In conclusion, student engagement is can be viewed as a complex concept that encompasses various dimensions including psychological, social, and cultural aspects. It is understood in different ways, such as reflecting students' thoughts, emotions, and actions towards learning, as well as their active involvement in educational activities. Moreover, student engagement is seen as a collaborative process involving both students and educational institutions.</w:t>
      </w:r>
    </w:p>
    <w:p w14:paraId="59415958" w14:textId="77777777"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The emergence of technological advancements has significantly impacted student engagement by providing new avenues for interaction, collaboration, and assessment. Digital tools and platforms have proven to enhance communication, facilitate active learning, and offer educators valuable insights into student progress. Additionally, the flexibility offered by digital technology has streamlined teaching practices, allowing educators to create dynamic and interactive learning experiences.</w:t>
      </w:r>
    </w:p>
    <w:p w14:paraId="47A7C70A" w14:textId="3B0D7D01" w:rsidR="00827A5B" w:rsidRPr="00827A5B" w:rsidRDefault="00827A5B" w:rsidP="00827A5B">
      <w:pPr>
        <w:spacing w:line="360" w:lineRule="auto"/>
        <w:rPr>
          <w:rFonts w:asciiTheme="minorBidi" w:hAnsiTheme="minorBidi"/>
          <w:sz w:val="24"/>
          <w:szCs w:val="24"/>
        </w:rPr>
      </w:pPr>
      <w:r w:rsidRPr="00827A5B">
        <w:rPr>
          <w:rFonts w:asciiTheme="minorBidi" w:hAnsiTheme="minorBidi"/>
          <w:sz w:val="24"/>
          <w:szCs w:val="24"/>
        </w:rPr>
        <w:t>However, despite its benefits, concerns persist regarding technology's potential to promote passive learning experiences, exacerbate disparities in access, and compromise academic rigor. Challenges such as media-induced task-switching and the limitations of digital interactions highlight the need for a critical assessment of technology's role in education. Ultimately, the integration of digital technology into educational settings must be accompanied by thoughtful pedagogical strategies that prioritize meaningful engagement and learning outcomes. Rather than viewing technology as a cure-all, educators should consider it as a tool to complement and enrich traditional teaching methods. By harnessing technology effectively, educators can establish vibrant learning environments that empower students to actively participate in their education and attain academic success.</w:t>
      </w:r>
    </w:p>
    <w:p w14:paraId="2A68252C" w14:textId="77777777" w:rsidR="00827A5B" w:rsidRDefault="00827A5B" w:rsidP="002F4564">
      <w:pPr>
        <w:spacing w:line="360" w:lineRule="auto"/>
        <w:rPr>
          <w:rFonts w:asciiTheme="minorBidi" w:hAnsiTheme="minorBidi"/>
          <w:b/>
          <w:bCs/>
          <w:sz w:val="24"/>
          <w:szCs w:val="24"/>
        </w:rPr>
      </w:pPr>
    </w:p>
    <w:p w14:paraId="1DCAEDD2" w14:textId="77777777" w:rsidR="00827A5B" w:rsidRDefault="00827A5B" w:rsidP="002F4564">
      <w:pPr>
        <w:spacing w:line="360" w:lineRule="auto"/>
        <w:rPr>
          <w:rFonts w:asciiTheme="minorBidi" w:hAnsiTheme="minorBidi"/>
          <w:b/>
          <w:bCs/>
          <w:sz w:val="24"/>
          <w:szCs w:val="24"/>
        </w:rPr>
      </w:pPr>
    </w:p>
    <w:p w14:paraId="74D06712" w14:textId="77777777" w:rsidR="00827A5B" w:rsidRDefault="00827A5B" w:rsidP="002F4564">
      <w:pPr>
        <w:spacing w:line="360" w:lineRule="auto"/>
        <w:rPr>
          <w:rFonts w:asciiTheme="minorBidi" w:hAnsiTheme="minorBidi"/>
          <w:b/>
          <w:bCs/>
          <w:sz w:val="24"/>
          <w:szCs w:val="24"/>
        </w:rPr>
      </w:pPr>
    </w:p>
    <w:p w14:paraId="30599AC1" w14:textId="77777777" w:rsidR="00827A5B" w:rsidRDefault="00827A5B" w:rsidP="002F4564">
      <w:pPr>
        <w:spacing w:line="360" w:lineRule="auto"/>
        <w:rPr>
          <w:rFonts w:asciiTheme="minorBidi" w:hAnsiTheme="minorBidi"/>
          <w:b/>
          <w:bCs/>
          <w:sz w:val="24"/>
          <w:szCs w:val="24"/>
        </w:rPr>
      </w:pPr>
    </w:p>
    <w:p w14:paraId="2F7F9F20" w14:textId="77777777" w:rsidR="00827A5B" w:rsidRDefault="00827A5B" w:rsidP="002F4564">
      <w:pPr>
        <w:spacing w:line="360" w:lineRule="auto"/>
        <w:rPr>
          <w:rFonts w:asciiTheme="minorBidi" w:hAnsiTheme="minorBidi"/>
          <w:b/>
          <w:bCs/>
          <w:sz w:val="24"/>
          <w:szCs w:val="24"/>
        </w:rPr>
      </w:pPr>
    </w:p>
    <w:p w14:paraId="30B11087" w14:textId="77777777" w:rsidR="00827A5B" w:rsidRDefault="00827A5B" w:rsidP="002F4564">
      <w:pPr>
        <w:spacing w:line="360" w:lineRule="auto"/>
        <w:rPr>
          <w:rFonts w:asciiTheme="minorBidi" w:hAnsiTheme="minorBidi"/>
          <w:b/>
          <w:bCs/>
          <w:sz w:val="24"/>
          <w:szCs w:val="24"/>
        </w:rPr>
      </w:pPr>
    </w:p>
    <w:p w14:paraId="4287C935" w14:textId="77777777" w:rsidR="00827A5B" w:rsidRDefault="00827A5B" w:rsidP="002F4564">
      <w:pPr>
        <w:spacing w:line="360" w:lineRule="auto"/>
        <w:rPr>
          <w:rFonts w:asciiTheme="minorBidi" w:hAnsiTheme="minorBidi"/>
          <w:b/>
          <w:bCs/>
          <w:sz w:val="24"/>
          <w:szCs w:val="24"/>
        </w:rPr>
      </w:pPr>
    </w:p>
    <w:p w14:paraId="77E21B7F" w14:textId="77777777" w:rsidR="00827A5B" w:rsidRDefault="00827A5B" w:rsidP="002F4564">
      <w:pPr>
        <w:spacing w:line="360" w:lineRule="auto"/>
        <w:rPr>
          <w:rFonts w:asciiTheme="minorBidi" w:hAnsiTheme="minorBidi"/>
          <w:b/>
          <w:bCs/>
          <w:sz w:val="24"/>
          <w:szCs w:val="24"/>
        </w:rPr>
      </w:pPr>
    </w:p>
    <w:p w14:paraId="677797FA" w14:textId="77777777" w:rsidR="00827A5B" w:rsidRDefault="00827A5B" w:rsidP="002F4564">
      <w:pPr>
        <w:spacing w:line="360" w:lineRule="auto"/>
        <w:rPr>
          <w:rFonts w:asciiTheme="minorBidi" w:hAnsiTheme="minorBidi"/>
          <w:b/>
          <w:bCs/>
          <w:sz w:val="24"/>
          <w:szCs w:val="24"/>
        </w:rPr>
      </w:pPr>
    </w:p>
    <w:p w14:paraId="25405D79" w14:textId="77777777" w:rsidR="00827A5B" w:rsidRDefault="00827A5B" w:rsidP="002F4564">
      <w:pPr>
        <w:spacing w:line="360" w:lineRule="auto"/>
        <w:rPr>
          <w:rFonts w:asciiTheme="minorBidi" w:hAnsiTheme="minorBidi"/>
          <w:b/>
          <w:bCs/>
          <w:sz w:val="24"/>
          <w:szCs w:val="24"/>
        </w:rPr>
      </w:pPr>
    </w:p>
    <w:p w14:paraId="3311F81D" w14:textId="77777777" w:rsidR="00827A5B" w:rsidRDefault="00827A5B" w:rsidP="002F4564">
      <w:pPr>
        <w:spacing w:line="360" w:lineRule="auto"/>
        <w:rPr>
          <w:rFonts w:asciiTheme="minorBidi" w:hAnsiTheme="minorBidi"/>
          <w:b/>
          <w:bCs/>
          <w:sz w:val="24"/>
          <w:szCs w:val="24"/>
        </w:rPr>
      </w:pPr>
    </w:p>
    <w:p w14:paraId="621420E4" w14:textId="77777777" w:rsidR="00827A5B" w:rsidRDefault="00827A5B" w:rsidP="002F4564">
      <w:pPr>
        <w:spacing w:line="360" w:lineRule="auto"/>
        <w:rPr>
          <w:rFonts w:asciiTheme="minorBidi" w:hAnsiTheme="minorBidi"/>
          <w:b/>
          <w:bCs/>
          <w:sz w:val="24"/>
          <w:szCs w:val="24"/>
        </w:rPr>
      </w:pPr>
    </w:p>
    <w:p w14:paraId="7DBD2D4E" w14:textId="3D4700CA" w:rsidR="002F4564" w:rsidRPr="00362C40" w:rsidRDefault="002F4564" w:rsidP="002F4564">
      <w:pPr>
        <w:spacing w:line="360" w:lineRule="auto"/>
        <w:rPr>
          <w:rFonts w:asciiTheme="minorBidi" w:hAnsiTheme="minorBidi"/>
          <w:b/>
          <w:bCs/>
          <w:sz w:val="24"/>
          <w:szCs w:val="24"/>
        </w:rPr>
      </w:pPr>
      <w:r w:rsidRPr="00362C40">
        <w:rPr>
          <w:rFonts w:asciiTheme="minorBidi" w:hAnsiTheme="minorBidi"/>
          <w:b/>
          <w:bCs/>
          <w:sz w:val="24"/>
          <w:szCs w:val="24"/>
        </w:rPr>
        <w:t>Methodology</w:t>
      </w:r>
    </w:p>
    <w:p w14:paraId="5D800E8F" w14:textId="77777777" w:rsidR="002F4564" w:rsidRPr="002F4564" w:rsidRDefault="002F4564" w:rsidP="002F4564">
      <w:pPr>
        <w:spacing w:line="360" w:lineRule="auto"/>
        <w:rPr>
          <w:rFonts w:asciiTheme="minorBidi" w:hAnsiTheme="minorBidi"/>
          <w:sz w:val="24"/>
          <w:szCs w:val="24"/>
        </w:rPr>
      </w:pPr>
      <w:r w:rsidRPr="002F4564">
        <w:rPr>
          <w:rFonts w:asciiTheme="minorBidi" w:hAnsiTheme="minorBidi"/>
          <w:sz w:val="24"/>
          <w:szCs w:val="24"/>
        </w:rPr>
        <w:t>The integration of e-learning technologies has profoundly transformed the higher education landscape, bringing forth a multitude of opportunities and challenges, particularly in terms of student engagement. An examination of various studies sheds light on the intricate dynamics of this phenomenon.</w:t>
      </w:r>
    </w:p>
    <w:p w14:paraId="14BB5C4B" w14:textId="77777777" w:rsidR="002F4564" w:rsidRPr="002F4564" w:rsidRDefault="002F4564" w:rsidP="002F4564">
      <w:pPr>
        <w:spacing w:line="360" w:lineRule="auto"/>
        <w:rPr>
          <w:rFonts w:asciiTheme="minorBidi" w:hAnsiTheme="minorBidi"/>
          <w:sz w:val="24"/>
          <w:szCs w:val="24"/>
        </w:rPr>
      </w:pPr>
      <w:r w:rsidRPr="002F4564">
        <w:rPr>
          <w:rFonts w:asciiTheme="minorBidi" w:hAnsiTheme="minorBidi"/>
          <w:sz w:val="24"/>
          <w:szCs w:val="24"/>
        </w:rPr>
        <w:t xml:space="preserve">With a focus on gamification, personalised learning possibilities, and interactive functions, I have embraced technology-integrated education, drawing on the research of Sitzmann et al. (2006), Landers and Landers (2014), and </w:t>
      </w:r>
      <w:proofErr w:type="spellStart"/>
      <w:r w:rsidRPr="002F4564">
        <w:rPr>
          <w:rFonts w:asciiTheme="minorBidi" w:hAnsiTheme="minorBidi"/>
          <w:sz w:val="24"/>
          <w:szCs w:val="24"/>
        </w:rPr>
        <w:t>Tosuntaş</w:t>
      </w:r>
      <w:proofErr w:type="spellEnd"/>
      <w:r w:rsidRPr="002F4564">
        <w:rPr>
          <w:rFonts w:asciiTheme="minorBidi" w:hAnsiTheme="minorBidi"/>
          <w:sz w:val="24"/>
          <w:szCs w:val="24"/>
        </w:rPr>
        <w:t xml:space="preserve"> and Karadağ (2018). By using these methods, I have personally witnessed students' increased enthusiasm and engagement as they actively interact with the course contents and work together with classmates in online environments. </w:t>
      </w:r>
    </w:p>
    <w:p w14:paraId="72D062A3" w14:textId="77777777" w:rsidR="002F4564" w:rsidRPr="002F4564" w:rsidRDefault="002F4564" w:rsidP="002F4564">
      <w:pPr>
        <w:spacing w:line="360" w:lineRule="auto"/>
        <w:rPr>
          <w:rFonts w:asciiTheme="minorBidi" w:hAnsiTheme="minorBidi"/>
          <w:sz w:val="24"/>
          <w:szCs w:val="24"/>
        </w:rPr>
      </w:pPr>
      <w:r w:rsidRPr="002F4564">
        <w:rPr>
          <w:rFonts w:asciiTheme="minorBidi" w:hAnsiTheme="minorBidi"/>
          <w:sz w:val="24"/>
          <w:szCs w:val="24"/>
        </w:rPr>
        <w:t xml:space="preserve">However, I have also faced the difficulties that come with learning online, especially during the sudden change to learning remotely. The critiques outlined by Johnson &amp; Mejia (2022), Garrison &amp; Vaughan (2008), and Hodges et al. (2022) mirror some of the challenges I have encountered, including resolving student digital </w:t>
      </w:r>
      <w:proofErr w:type="gramStart"/>
      <w:r w:rsidRPr="002F4564">
        <w:rPr>
          <w:rFonts w:asciiTheme="minorBidi" w:hAnsiTheme="minorBidi"/>
          <w:sz w:val="24"/>
          <w:szCs w:val="24"/>
        </w:rPr>
        <w:t>disparities</w:t>
      </w:r>
      <w:proofErr w:type="gramEnd"/>
      <w:r w:rsidRPr="002F4564">
        <w:rPr>
          <w:rFonts w:asciiTheme="minorBidi" w:hAnsiTheme="minorBidi"/>
          <w:sz w:val="24"/>
          <w:szCs w:val="24"/>
        </w:rPr>
        <w:t xml:space="preserve"> and navigating passive learning settings.</w:t>
      </w:r>
    </w:p>
    <w:p w14:paraId="22A39C91" w14:textId="77777777" w:rsidR="002F4564" w:rsidRPr="002F4564" w:rsidRDefault="002F4564" w:rsidP="002F4564">
      <w:pPr>
        <w:spacing w:line="360" w:lineRule="auto"/>
        <w:rPr>
          <w:rFonts w:asciiTheme="minorBidi" w:hAnsiTheme="minorBidi"/>
          <w:sz w:val="24"/>
          <w:szCs w:val="24"/>
        </w:rPr>
      </w:pPr>
      <w:r w:rsidRPr="002F4564">
        <w:rPr>
          <w:rFonts w:asciiTheme="minorBidi" w:hAnsiTheme="minorBidi"/>
          <w:sz w:val="24"/>
          <w:szCs w:val="24"/>
        </w:rPr>
        <w:t>After giving these difficulties some thought, I realise how critical it is to overcome digital inequities and advance efficient online teaching techniques, as stressed by Means &amp; Neisler (2019) and Vaughn et al. (2019). In addition, I have tried to use technology in the virtual classroom to promote inclusion and accessibility in addition to increasing student involvement.</w:t>
      </w:r>
    </w:p>
    <w:p w14:paraId="47AA69D4" w14:textId="650B3154" w:rsidR="002F4564" w:rsidRPr="002F4564" w:rsidRDefault="002F4564" w:rsidP="00362C40">
      <w:pPr>
        <w:spacing w:line="360" w:lineRule="auto"/>
        <w:rPr>
          <w:rFonts w:asciiTheme="minorBidi" w:hAnsiTheme="minorBidi"/>
          <w:sz w:val="24"/>
          <w:szCs w:val="24"/>
        </w:rPr>
      </w:pPr>
      <w:r w:rsidRPr="002F4564">
        <w:rPr>
          <w:rFonts w:asciiTheme="minorBidi" w:hAnsiTheme="minorBidi"/>
          <w:sz w:val="24"/>
          <w:szCs w:val="24"/>
        </w:rPr>
        <w:t>I have accepted the possibility of technology to provide individualised care in line with the conclusions of Bower (2016), Graf et al. (2009), Hattie &amp; Timperley (2007), Hew &amp; Cheung (2014), and Mishra &amp; Koehler (2006). guidance, prompt feedback, and cooperative learning opportunities. These techniques have improved students' educational experiences while also giving them the confidence to take charge of their education via active engagement and self-directed inquiry</w:t>
      </w:r>
      <w:r w:rsidR="00362C40">
        <w:rPr>
          <w:rFonts w:asciiTheme="minorBidi" w:hAnsiTheme="minorBidi"/>
          <w:sz w:val="24"/>
          <w:szCs w:val="24"/>
        </w:rPr>
        <w:t xml:space="preserve">. </w:t>
      </w:r>
      <w:r w:rsidRPr="00362C40">
        <w:rPr>
          <w:rFonts w:asciiTheme="minorBidi" w:hAnsiTheme="minorBidi"/>
          <w:sz w:val="24"/>
          <w:szCs w:val="24"/>
        </w:rPr>
        <w:t xml:space="preserve">But as Goudeau et al. </w:t>
      </w:r>
      <w:r w:rsidRPr="002F4564">
        <w:rPr>
          <w:rFonts w:asciiTheme="minorBidi" w:hAnsiTheme="minorBidi"/>
          <w:sz w:val="24"/>
          <w:szCs w:val="24"/>
        </w:rPr>
        <w:t>(2021) have shown, the socio-economic ramifications of depending only on online education are considerable. Because of this, I have worked to promote digital literacy programmes and fair access to technology, understanding that inequities in digital access might worsen gaps in academic performance.</w:t>
      </w:r>
    </w:p>
    <w:p w14:paraId="6FAAC92C" w14:textId="77777777" w:rsidR="002F4564" w:rsidRPr="002F4564" w:rsidRDefault="002F4564" w:rsidP="002F4564">
      <w:pPr>
        <w:spacing w:line="360" w:lineRule="auto"/>
        <w:rPr>
          <w:rFonts w:asciiTheme="minorBidi" w:hAnsiTheme="minorBidi"/>
          <w:sz w:val="24"/>
          <w:szCs w:val="24"/>
        </w:rPr>
      </w:pPr>
    </w:p>
    <w:p w14:paraId="05F4910D" w14:textId="77777777" w:rsidR="002F4564" w:rsidRPr="002F4564" w:rsidRDefault="002F4564" w:rsidP="002F4564">
      <w:pPr>
        <w:spacing w:line="360" w:lineRule="auto"/>
        <w:rPr>
          <w:rFonts w:asciiTheme="minorBidi" w:hAnsiTheme="minorBidi"/>
          <w:sz w:val="24"/>
          <w:szCs w:val="24"/>
        </w:rPr>
      </w:pPr>
      <w:r w:rsidRPr="002F4564">
        <w:rPr>
          <w:rFonts w:asciiTheme="minorBidi" w:hAnsiTheme="minorBidi"/>
          <w:sz w:val="24"/>
          <w:szCs w:val="24"/>
        </w:rPr>
        <w:t>Incorporating e-learning tools has allowed me to cater to diverse learning styles and foster active participation among students. For instance, integrating elements of gamification and personalized learning experiences has proven effective. Also, online collaborative platforms and interactive resources have facilitated meaningful interactions and knowledge sharing among students, despite physical distance.</w:t>
      </w:r>
    </w:p>
    <w:p w14:paraId="126D6123" w14:textId="77777777" w:rsidR="002F4564" w:rsidRPr="002F4564" w:rsidRDefault="002F4564" w:rsidP="002F4564">
      <w:pPr>
        <w:spacing w:line="360" w:lineRule="auto"/>
        <w:rPr>
          <w:rFonts w:asciiTheme="minorBidi" w:hAnsiTheme="minorBidi"/>
          <w:sz w:val="24"/>
          <w:szCs w:val="24"/>
        </w:rPr>
      </w:pPr>
      <w:r w:rsidRPr="002F4564">
        <w:rPr>
          <w:rFonts w:asciiTheme="minorBidi" w:hAnsiTheme="minorBidi"/>
          <w:sz w:val="24"/>
          <w:szCs w:val="24"/>
        </w:rPr>
        <w:t>As I reflect on my journey as an educator, I am reminded of the imperative to remain adaptable and responsive to the evolving needs of students in the digital age. By embracing e-learning technologies thoughtfully and proactively addressing the challenges they present, I am committed to creating inclusive and engaging learning experiences that empower all students to succeed.</w:t>
      </w:r>
    </w:p>
    <w:p w14:paraId="51186C25" w14:textId="77777777" w:rsidR="002F4564" w:rsidRDefault="002F4564" w:rsidP="002F4564">
      <w:pPr>
        <w:spacing w:line="360" w:lineRule="auto"/>
        <w:rPr>
          <w:rFonts w:asciiTheme="minorBidi" w:hAnsiTheme="minorBidi"/>
          <w:sz w:val="24"/>
          <w:szCs w:val="24"/>
        </w:rPr>
      </w:pPr>
    </w:p>
    <w:p w14:paraId="7287E604" w14:textId="77777777" w:rsidR="002F4564" w:rsidRDefault="002F4564" w:rsidP="002F4564">
      <w:pPr>
        <w:spacing w:line="360" w:lineRule="auto"/>
        <w:rPr>
          <w:rFonts w:asciiTheme="minorBidi" w:hAnsiTheme="minorBidi"/>
          <w:sz w:val="24"/>
          <w:szCs w:val="24"/>
        </w:rPr>
      </w:pPr>
    </w:p>
    <w:p w14:paraId="4EFDAD66" w14:textId="77777777" w:rsidR="002F4564" w:rsidRDefault="002F4564" w:rsidP="002F4564">
      <w:pPr>
        <w:spacing w:line="360" w:lineRule="auto"/>
        <w:rPr>
          <w:rFonts w:asciiTheme="minorBidi" w:hAnsiTheme="minorBidi"/>
          <w:sz w:val="24"/>
          <w:szCs w:val="24"/>
        </w:rPr>
      </w:pPr>
    </w:p>
    <w:p w14:paraId="035EE619" w14:textId="77777777" w:rsidR="002F4564" w:rsidRDefault="002F4564" w:rsidP="002F4564">
      <w:pPr>
        <w:spacing w:line="360" w:lineRule="auto"/>
        <w:rPr>
          <w:rFonts w:asciiTheme="minorBidi" w:hAnsiTheme="minorBidi"/>
          <w:sz w:val="24"/>
          <w:szCs w:val="24"/>
        </w:rPr>
      </w:pPr>
    </w:p>
    <w:p w14:paraId="31947165" w14:textId="77777777" w:rsidR="002F4564" w:rsidRDefault="002F4564" w:rsidP="002F4564">
      <w:pPr>
        <w:spacing w:line="360" w:lineRule="auto"/>
        <w:rPr>
          <w:rFonts w:asciiTheme="minorBidi" w:hAnsiTheme="minorBidi"/>
          <w:sz w:val="24"/>
          <w:szCs w:val="24"/>
        </w:rPr>
      </w:pPr>
    </w:p>
    <w:p w14:paraId="70AA6CB2" w14:textId="77777777" w:rsidR="002F4564" w:rsidRDefault="002F4564" w:rsidP="002F4564">
      <w:pPr>
        <w:spacing w:line="360" w:lineRule="auto"/>
        <w:rPr>
          <w:rFonts w:asciiTheme="minorBidi" w:hAnsiTheme="minorBidi"/>
          <w:sz w:val="24"/>
          <w:szCs w:val="24"/>
        </w:rPr>
      </w:pPr>
    </w:p>
    <w:p w14:paraId="34FE3D2D" w14:textId="77777777" w:rsidR="002F4564" w:rsidRDefault="002F4564" w:rsidP="002F4564">
      <w:pPr>
        <w:spacing w:line="360" w:lineRule="auto"/>
        <w:rPr>
          <w:rFonts w:asciiTheme="minorBidi" w:hAnsiTheme="minorBidi"/>
          <w:sz w:val="24"/>
          <w:szCs w:val="24"/>
        </w:rPr>
      </w:pPr>
    </w:p>
    <w:p w14:paraId="5462F214" w14:textId="77777777" w:rsidR="00A62EFA" w:rsidRPr="00A62EFA" w:rsidRDefault="00A62EFA" w:rsidP="00A62EFA">
      <w:pPr>
        <w:spacing w:line="360" w:lineRule="auto"/>
        <w:rPr>
          <w:rFonts w:ascii="Arial" w:hAnsi="Arial" w:cs="Arial"/>
          <w:sz w:val="24"/>
          <w:szCs w:val="24"/>
        </w:rPr>
      </w:pPr>
    </w:p>
    <w:p w14:paraId="7AEB19BA" w14:textId="77777777" w:rsidR="00A62EFA" w:rsidRDefault="00A62EFA" w:rsidP="00A62EFA">
      <w:pPr>
        <w:spacing w:line="360" w:lineRule="auto"/>
        <w:rPr>
          <w:rFonts w:ascii="Arial" w:hAnsi="Arial" w:cs="Arial"/>
          <w:sz w:val="24"/>
          <w:szCs w:val="24"/>
        </w:rPr>
      </w:pPr>
    </w:p>
    <w:p w14:paraId="4645B4F3" w14:textId="77777777" w:rsidR="00A62EFA" w:rsidRDefault="00A62EFA" w:rsidP="00A62EFA">
      <w:pPr>
        <w:spacing w:line="360" w:lineRule="auto"/>
        <w:rPr>
          <w:rFonts w:ascii="Arial" w:hAnsi="Arial" w:cs="Arial"/>
          <w:sz w:val="24"/>
          <w:szCs w:val="24"/>
        </w:rPr>
      </w:pPr>
    </w:p>
    <w:p w14:paraId="390C8B53" w14:textId="77777777" w:rsidR="00A62EFA" w:rsidRDefault="00A62EFA" w:rsidP="00A62EFA">
      <w:pPr>
        <w:spacing w:line="360" w:lineRule="auto"/>
        <w:rPr>
          <w:rFonts w:ascii="Arial" w:hAnsi="Arial" w:cs="Arial"/>
          <w:sz w:val="24"/>
          <w:szCs w:val="24"/>
        </w:rPr>
      </w:pPr>
    </w:p>
    <w:p w14:paraId="743266A7" w14:textId="77777777" w:rsidR="00A62EFA" w:rsidRDefault="00A62EFA" w:rsidP="00A62EFA">
      <w:pPr>
        <w:spacing w:line="360" w:lineRule="auto"/>
        <w:rPr>
          <w:rFonts w:ascii="Arial" w:hAnsi="Arial" w:cs="Arial"/>
          <w:sz w:val="24"/>
          <w:szCs w:val="24"/>
        </w:rPr>
      </w:pPr>
    </w:p>
    <w:p w14:paraId="26D10BA0" w14:textId="77777777" w:rsidR="00A62EFA" w:rsidRDefault="00A62EFA" w:rsidP="00A62EFA">
      <w:pPr>
        <w:spacing w:line="360" w:lineRule="auto"/>
        <w:rPr>
          <w:rFonts w:ascii="Arial" w:hAnsi="Arial" w:cs="Arial"/>
          <w:sz w:val="24"/>
          <w:szCs w:val="24"/>
        </w:rPr>
      </w:pPr>
    </w:p>
    <w:p w14:paraId="6E81F4D0" w14:textId="77777777" w:rsidR="00A62EFA" w:rsidRDefault="00A62EFA" w:rsidP="00A62EFA">
      <w:pPr>
        <w:spacing w:line="360" w:lineRule="auto"/>
        <w:rPr>
          <w:rFonts w:ascii="Arial" w:hAnsi="Arial" w:cs="Arial"/>
          <w:sz w:val="24"/>
          <w:szCs w:val="24"/>
        </w:rPr>
      </w:pPr>
    </w:p>
    <w:p w14:paraId="460CEEAF" w14:textId="77777777" w:rsidR="00A62EFA" w:rsidRDefault="00A62EFA" w:rsidP="00A62EFA">
      <w:pPr>
        <w:spacing w:line="360" w:lineRule="auto"/>
        <w:rPr>
          <w:rFonts w:ascii="Arial" w:hAnsi="Arial" w:cs="Arial"/>
          <w:sz w:val="24"/>
          <w:szCs w:val="24"/>
        </w:rPr>
      </w:pPr>
    </w:p>
    <w:p w14:paraId="605FB750" w14:textId="77777777" w:rsidR="00A62EFA" w:rsidRDefault="00A62EFA" w:rsidP="00A62EFA">
      <w:pPr>
        <w:spacing w:line="360" w:lineRule="auto"/>
        <w:rPr>
          <w:rFonts w:ascii="Arial" w:hAnsi="Arial" w:cs="Arial"/>
          <w:sz w:val="24"/>
          <w:szCs w:val="24"/>
        </w:rPr>
      </w:pPr>
    </w:p>
    <w:p w14:paraId="11E63ED8" w14:textId="0EFB29AF" w:rsidR="00937F78" w:rsidRDefault="00937F78" w:rsidP="00A62EFA">
      <w:pPr>
        <w:spacing w:line="360" w:lineRule="auto"/>
        <w:rPr>
          <w:rFonts w:ascii="Arial" w:hAnsi="Arial" w:cs="Arial"/>
          <w:b/>
          <w:bCs/>
          <w:sz w:val="24"/>
          <w:szCs w:val="24"/>
        </w:rPr>
      </w:pPr>
      <w:r>
        <w:rPr>
          <w:rFonts w:ascii="Arial" w:hAnsi="Arial" w:cs="Arial"/>
          <w:b/>
          <w:bCs/>
          <w:sz w:val="24"/>
          <w:szCs w:val="24"/>
        </w:rPr>
        <w:t>Results</w:t>
      </w:r>
    </w:p>
    <w:p w14:paraId="64D5BA3F" w14:textId="5DBE308E" w:rsidR="00872A28" w:rsidRPr="00872A28" w:rsidRDefault="00872A28" w:rsidP="00872A28">
      <w:pPr>
        <w:spacing w:line="360" w:lineRule="auto"/>
        <w:rPr>
          <w:rFonts w:ascii="Arial" w:hAnsi="Arial" w:cs="Arial"/>
          <w:b/>
          <w:bCs/>
          <w:sz w:val="24"/>
          <w:szCs w:val="24"/>
        </w:rPr>
      </w:pPr>
      <w:r w:rsidRPr="00872A28">
        <w:rPr>
          <w:rFonts w:ascii="Arial" w:hAnsi="Arial" w:cs="Arial"/>
          <w:b/>
          <w:bCs/>
          <w:sz w:val="24"/>
          <w:szCs w:val="24"/>
        </w:rPr>
        <w:t>Question 1: Do current educational policies influence the integration of technology in the classroom?</w:t>
      </w:r>
    </w:p>
    <w:p w14:paraId="7656FE24" w14:textId="77777777"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 xml:space="preserve">In Welsh post-16 education, the incorporation of e-learning is pivotal in enriching the educational experience and readying students for the demands of higher education and employment and this has been reflected in the government policies in Wales. Between 2020 and 2024, Wales underwent a significant transformation in its post-16 education sector, with a notable emphasis on integrating e-learning methodologies to meet the evolving needs of the digital era., The newly devised curriculum underscores the significance of digital literacy and proficiency, urging further education establishments to utilize e-learning platforms, resources, and tools to bolster teaching and learning (Welsh Government 2022). Through the National e-Learning Offer spearheaded by the Welsh Government, post-16 learners gain access to a diverse array of online materials and courses tailored to supplement their studies and offer flexibility in their academic pursuits. Moreover, endeavours like the Post-16 Qualifications Review (2022) led by Qualifications Wales aim to ensure that certifications and assessments in post-16 education remain pertinent in an increasingly digital landscape, aligning with the evolving requirements of various industries and tertiary education providers. By integrating e-learning within post-16 education, Wales endeavours to equip students with the digital proficiencies indispensable for thriving in advanced studies, professional environments, and beyond. </w:t>
      </w:r>
    </w:p>
    <w:p w14:paraId="0260A391" w14:textId="77777777"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 xml:space="preserve">Recent scholarship suggests that policy directives pertaining to technology integration prioritize funding allocation for technological infrastructure, establish guidelines delineating curriculum standards infused with technology, and endorse professional development initiatives to capacitate educators in adeptly integrating technology into pedagogical practices (Kimmons &amp; Hall, 2020; </w:t>
      </w:r>
      <w:proofErr w:type="spellStart"/>
      <w:r w:rsidRPr="00872A28">
        <w:rPr>
          <w:rFonts w:ascii="Arial" w:hAnsi="Arial" w:cs="Arial"/>
          <w:sz w:val="24"/>
          <w:szCs w:val="24"/>
        </w:rPr>
        <w:t>Patsios</w:t>
      </w:r>
      <w:proofErr w:type="spellEnd"/>
      <w:r w:rsidRPr="00872A28">
        <w:rPr>
          <w:rFonts w:ascii="Arial" w:hAnsi="Arial" w:cs="Arial"/>
          <w:sz w:val="24"/>
          <w:szCs w:val="24"/>
        </w:rPr>
        <w:t xml:space="preserve"> &amp; Venkatesh, 2020).</w:t>
      </w:r>
    </w:p>
    <w:p w14:paraId="506FA826" w14:textId="2EF064AA" w:rsidR="00872A28" w:rsidRPr="00872A28" w:rsidRDefault="00AD25FF" w:rsidP="00872A28">
      <w:pPr>
        <w:spacing w:line="360" w:lineRule="auto"/>
        <w:rPr>
          <w:rFonts w:ascii="Arial" w:hAnsi="Arial" w:cs="Arial"/>
          <w:sz w:val="24"/>
          <w:szCs w:val="24"/>
        </w:rPr>
      </w:pPr>
      <w:r>
        <w:rPr>
          <w:rFonts w:ascii="Arial" w:hAnsi="Arial" w:cs="Arial"/>
          <w:sz w:val="24"/>
          <w:szCs w:val="24"/>
        </w:rPr>
        <w:t>T</w:t>
      </w:r>
      <w:r w:rsidRPr="00AD25FF">
        <w:rPr>
          <w:rFonts w:ascii="Arial" w:hAnsi="Arial" w:cs="Arial"/>
          <w:sz w:val="24"/>
          <w:szCs w:val="24"/>
        </w:rPr>
        <w:t xml:space="preserve">he significance of educators' continual professional growth. Programmes for professional development and training are designed to provide educators the skills and information they need. </w:t>
      </w:r>
      <w:r w:rsidR="00872A28" w:rsidRPr="00872A28">
        <w:rPr>
          <w:rFonts w:ascii="Arial" w:hAnsi="Arial" w:cs="Arial"/>
          <w:sz w:val="24"/>
          <w:szCs w:val="24"/>
        </w:rPr>
        <w:t>for seamless technology integration. This entails training on utilizing digital tools, devising strategies for incorporating technology into lesson plans, and fostering digital citizenship among students (European Commission, 2020; UNESCO, 2021).</w:t>
      </w:r>
    </w:p>
    <w:p w14:paraId="669295AB" w14:textId="3990DB8F"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 xml:space="preserve">Moreover, contemporary policies emphasize the integration of technology across curricula. They advocate for the inclusion </w:t>
      </w:r>
      <w:r w:rsidR="00AD25FF" w:rsidRPr="00AD25FF">
        <w:rPr>
          <w:rFonts w:ascii="Arial" w:hAnsi="Arial" w:cs="Arial"/>
          <w:sz w:val="24"/>
          <w:szCs w:val="24"/>
        </w:rPr>
        <w:t>of technical competences and digital literacy as crucial elements of educational standards and norms. By including these components into curricular frameworks, officials want to provide teachers with the support and resources they need to successfully integrate technology into their lesson plans.</w:t>
      </w:r>
      <w:r w:rsidR="00AD25FF" w:rsidRPr="00AD25FF">
        <w:rPr>
          <w:rFonts w:ascii="Arial" w:hAnsi="Arial" w:cs="Arial"/>
          <w:sz w:val="24"/>
          <w:szCs w:val="24"/>
        </w:rPr>
        <w:t xml:space="preserve"> </w:t>
      </w:r>
      <w:r w:rsidRPr="00872A28">
        <w:rPr>
          <w:rFonts w:ascii="Arial" w:hAnsi="Arial" w:cs="Arial"/>
          <w:sz w:val="24"/>
          <w:szCs w:val="24"/>
        </w:rPr>
        <w:t>(Johnson, 2018; OECD, 2019).</w:t>
      </w:r>
    </w:p>
    <w:p w14:paraId="2084A620" w14:textId="07020E2B"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In addition, educational policies significantly impact the</w:t>
      </w:r>
      <w:r w:rsidR="004515B5">
        <w:rPr>
          <w:rFonts w:ascii="Arial" w:hAnsi="Arial" w:cs="Arial"/>
          <w:sz w:val="24"/>
          <w:szCs w:val="24"/>
        </w:rPr>
        <w:t xml:space="preserve"> </w:t>
      </w:r>
      <w:r w:rsidR="004515B5" w:rsidRPr="004515B5">
        <w:rPr>
          <w:rFonts w:ascii="Arial" w:hAnsi="Arial" w:cs="Arial"/>
          <w:sz w:val="24"/>
          <w:szCs w:val="24"/>
        </w:rPr>
        <w:t>use of technology in the educational setting,</w:t>
      </w:r>
      <w:r w:rsidRPr="00872A28">
        <w:rPr>
          <w:rFonts w:ascii="Arial" w:hAnsi="Arial" w:cs="Arial"/>
          <w:sz w:val="24"/>
          <w:szCs w:val="24"/>
        </w:rPr>
        <w:t xml:space="preserve"> providing a framework for educators to incorporate technology effectively into teaching </w:t>
      </w:r>
      <w:r w:rsidR="004515B5">
        <w:rPr>
          <w:rFonts w:ascii="Arial" w:hAnsi="Arial" w:cs="Arial"/>
          <w:sz w:val="24"/>
          <w:szCs w:val="24"/>
        </w:rPr>
        <w:t>methods</w:t>
      </w:r>
      <w:r w:rsidRPr="00872A28">
        <w:rPr>
          <w:rFonts w:ascii="Arial" w:hAnsi="Arial" w:cs="Arial"/>
          <w:sz w:val="24"/>
          <w:szCs w:val="24"/>
        </w:rPr>
        <w:t xml:space="preserve"> (</w:t>
      </w:r>
      <w:proofErr w:type="spellStart"/>
      <w:r w:rsidRPr="00872A28">
        <w:rPr>
          <w:rFonts w:ascii="Arial" w:hAnsi="Arial" w:cs="Arial"/>
          <w:sz w:val="24"/>
          <w:szCs w:val="24"/>
        </w:rPr>
        <w:t>Bebell</w:t>
      </w:r>
      <w:proofErr w:type="spellEnd"/>
      <w:r w:rsidRPr="00872A28">
        <w:rPr>
          <w:rFonts w:ascii="Arial" w:hAnsi="Arial" w:cs="Arial"/>
          <w:sz w:val="24"/>
          <w:szCs w:val="24"/>
        </w:rPr>
        <w:t xml:space="preserve"> &amp; O'Dwyer, 2010). However, challenges arise in aligning these policies with practical implementation due to variations in institutional resources, teacher training opportunities, and specific policy objectives (Pritchard, 2018). Policies emphasizing digital literacy and support for educators in technology integration tend to have a more substantial impact on classroom practices (Fullan, 2013), enabling educators to leverage technology effectively to enhance student engagement and learning outcomes.</w:t>
      </w:r>
    </w:p>
    <w:p w14:paraId="1BE5EDC6" w14:textId="4DC1EA99"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 xml:space="preserve">Furthermore, current educational policies promote professional development opportunities for educators to enhance their technological proficiency. </w:t>
      </w:r>
      <w:r w:rsidR="004515B5" w:rsidRPr="00872A28">
        <w:rPr>
          <w:rFonts w:ascii="Arial" w:hAnsi="Arial" w:cs="Arial"/>
          <w:sz w:val="24"/>
          <w:szCs w:val="24"/>
        </w:rPr>
        <w:t>Training programs and initiatives are intended to equip teachers with the knowledge and skills required to utilize technology effectively in the classroom.</w:t>
      </w:r>
      <w:r w:rsidR="004515B5">
        <w:rPr>
          <w:rFonts w:ascii="Arial" w:hAnsi="Arial" w:cs="Arial"/>
          <w:sz w:val="24"/>
          <w:szCs w:val="24"/>
        </w:rPr>
        <w:t xml:space="preserve"> </w:t>
      </w:r>
      <w:r w:rsidRPr="00872A28">
        <w:rPr>
          <w:rFonts w:ascii="Arial" w:hAnsi="Arial" w:cs="Arial"/>
          <w:sz w:val="24"/>
          <w:szCs w:val="24"/>
        </w:rPr>
        <w:t>These professional development efforts empower educators to adapt their instructional practices and embrace innovative pedagogical approaches that leverage technology to enhance student learning outcomes (Johnson, 2018; OECD, 2019).</w:t>
      </w:r>
    </w:p>
    <w:p w14:paraId="5EDF77BB" w14:textId="77777777" w:rsidR="00872A28" w:rsidRPr="00872A28" w:rsidRDefault="00872A28" w:rsidP="00872A28">
      <w:pPr>
        <w:spacing w:line="360" w:lineRule="auto"/>
        <w:rPr>
          <w:rFonts w:ascii="Arial" w:hAnsi="Arial" w:cs="Arial"/>
          <w:sz w:val="24"/>
          <w:szCs w:val="24"/>
        </w:rPr>
      </w:pPr>
    </w:p>
    <w:p w14:paraId="3E01209E" w14:textId="77777777" w:rsidR="00872A28" w:rsidRPr="00872A28" w:rsidRDefault="00872A28" w:rsidP="00872A28">
      <w:pPr>
        <w:spacing w:line="360" w:lineRule="auto"/>
        <w:rPr>
          <w:rFonts w:ascii="Arial" w:hAnsi="Arial" w:cs="Arial"/>
          <w:sz w:val="24"/>
          <w:szCs w:val="24"/>
        </w:rPr>
      </w:pPr>
    </w:p>
    <w:p w14:paraId="4C4D2584" w14:textId="77777777" w:rsidR="00872A28" w:rsidRPr="00872A28" w:rsidRDefault="00872A28" w:rsidP="00872A28">
      <w:pPr>
        <w:spacing w:line="360" w:lineRule="auto"/>
        <w:rPr>
          <w:rFonts w:ascii="Arial" w:hAnsi="Arial" w:cs="Arial"/>
          <w:sz w:val="24"/>
          <w:szCs w:val="24"/>
        </w:rPr>
      </w:pPr>
    </w:p>
    <w:p w14:paraId="46A503CE" w14:textId="77777777" w:rsidR="00872A28" w:rsidRPr="00872A28" w:rsidRDefault="00872A28" w:rsidP="00872A28">
      <w:pPr>
        <w:spacing w:line="360" w:lineRule="auto"/>
        <w:rPr>
          <w:rFonts w:ascii="Arial" w:hAnsi="Arial" w:cs="Arial"/>
          <w:sz w:val="24"/>
          <w:szCs w:val="24"/>
        </w:rPr>
      </w:pPr>
    </w:p>
    <w:p w14:paraId="438FE149" w14:textId="6459A1FB" w:rsidR="00872A28" w:rsidRPr="00872A28" w:rsidRDefault="00872A28" w:rsidP="00872A28">
      <w:pPr>
        <w:spacing w:line="360" w:lineRule="auto"/>
        <w:rPr>
          <w:rFonts w:ascii="Arial" w:hAnsi="Arial" w:cs="Arial"/>
          <w:b/>
          <w:bCs/>
          <w:sz w:val="24"/>
          <w:szCs w:val="24"/>
        </w:rPr>
      </w:pPr>
      <w:r w:rsidRPr="00872A28">
        <w:rPr>
          <w:rFonts w:ascii="Arial" w:hAnsi="Arial" w:cs="Arial"/>
          <w:b/>
          <w:bCs/>
          <w:sz w:val="24"/>
          <w:szCs w:val="24"/>
        </w:rPr>
        <w:t>Question 2: What is the effect of e-learning on learner engagement in post-compulsory education?</w:t>
      </w:r>
    </w:p>
    <w:p w14:paraId="01C27322" w14:textId="1E734DD0"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Regarding the impact of e-learning on learner engagement within post-compulsory education, recent empirical findings present a nuanced perspective. While e-learning offers advantages such as flexibility and accessibility,</w:t>
      </w:r>
      <w:r w:rsidR="004515B5" w:rsidRPr="004515B5">
        <w:t xml:space="preserve"> </w:t>
      </w:r>
      <w:r w:rsidR="004515B5" w:rsidRPr="004515B5">
        <w:rPr>
          <w:rFonts w:ascii="Arial" w:hAnsi="Arial" w:cs="Arial"/>
          <w:sz w:val="24"/>
          <w:szCs w:val="24"/>
        </w:rPr>
        <w:t xml:space="preserve">allowing students to engage with the course materials at their own pace and </w:t>
      </w:r>
      <w:proofErr w:type="gramStart"/>
      <w:r w:rsidR="004515B5" w:rsidRPr="004515B5">
        <w:rPr>
          <w:rFonts w:ascii="Arial" w:hAnsi="Arial" w:cs="Arial"/>
          <w:sz w:val="24"/>
          <w:szCs w:val="24"/>
        </w:rPr>
        <w:t>convenience</w:t>
      </w:r>
      <w:r w:rsidRPr="00872A28">
        <w:rPr>
          <w:rFonts w:ascii="Arial" w:hAnsi="Arial" w:cs="Arial"/>
          <w:sz w:val="24"/>
          <w:szCs w:val="24"/>
        </w:rPr>
        <w:t xml:space="preserve"> ,</w:t>
      </w:r>
      <w:proofErr w:type="gramEnd"/>
      <w:r w:rsidRPr="00872A28">
        <w:rPr>
          <w:rFonts w:ascii="Arial" w:hAnsi="Arial" w:cs="Arial"/>
          <w:sz w:val="24"/>
          <w:szCs w:val="24"/>
        </w:rPr>
        <w:t xml:space="preserve"> challenges such as feelings of isolation, technical impediments, and diminished social interaction have also been highlighted in scholarly discourse (Tang </w:t>
      </w:r>
      <w:r>
        <w:rPr>
          <w:rFonts w:ascii="Arial" w:hAnsi="Arial" w:cs="Arial"/>
          <w:sz w:val="24"/>
          <w:szCs w:val="24"/>
        </w:rPr>
        <w:t>and</w:t>
      </w:r>
      <w:r w:rsidRPr="00872A28">
        <w:rPr>
          <w:rFonts w:ascii="Arial" w:hAnsi="Arial" w:cs="Arial"/>
          <w:sz w:val="24"/>
          <w:szCs w:val="24"/>
        </w:rPr>
        <w:t xml:space="preserve"> Hew, 2021; El Mansour &amp; </w:t>
      </w:r>
      <w:proofErr w:type="spellStart"/>
      <w:r w:rsidRPr="00872A28">
        <w:rPr>
          <w:rFonts w:ascii="Arial" w:hAnsi="Arial" w:cs="Arial"/>
          <w:sz w:val="24"/>
          <w:szCs w:val="24"/>
        </w:rPr>
        <w:t>Mupinga</w:t>
      </w:r>
      <w:proofErr w:type="spellEnd"/>
      <w:r w:rsidRPr="00872A28">
        <w:rPr>
          <w:rFonts w:ascii="Arial" w:hAnsi="Arial" w:cs="Arial"/>
          <w:sz w:val="24"/>
          <w:szCs w:val="24"/>
        </w:rPr>
        <w:t xml:space="preserve">, 2020). Factors influencing learner engagement in e-learning encompass course design, instructional material quality, interactivity levels, and the provision of social learning environments (Tang </w:t>
      </w:r>
      <w:r>
        <w:rPr>
          <w:rFonts w:ascii="Arial" w:hAnsi="Arial" w:cs="Arial"/>
          <w:sz w:val="24"/>
          <w:szCs w:val="24"/>
        </w:rPr>
        <w:t>an</w:t>
      </w:r>
      <w:r w:rsidR="00ED3710">
        <w:rPr>
          <w:rFonts w:ascii="Arial" w:hAnsi="Arial" w:cs="Arial"/>
          <w:sz w:val="24"/>
          <w:szCs w:val="24"/>
        </w:rPr>
        <w:t>d</w:t>
      </w:r>
      <w:r w:rsidRPr="00872A28">
        <w:rPr>
          <w:rFonts w:ascii="Arial" w:hAnsi="Arial" w:cs="Arial"/>
          <w:sz w:val="24"/>
          <w:szCs w:val="24"/>
        </w:rPr>
        <w:t xml:space="preserve"> Hew, 2021).</w:t>
      </w:r>
    </w:p>
    <w:p w14:paraId="1BC78904" w14:textId="7C2B8484"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 xml:space="preserve">Recent research suggests that e-learning offers both advantages and challenges concerning learner engagement. On one hand, e-learning provides learners with unprecedented flexibility and accessibility, enabling them to engage with course materials at their own pace and convenience (Tang </w:t>
      </w:r>
      <w:r>
        <w:rPr>
          <w:rFonts w:ascii="Arial" w:hAnsi="Arial" w:cs="Arial"/>
          <w:sz w:val="24"/>
          <w:szCs w:val="24"/>
        </w:rPr>
        <w:t>and</w:t>
      </w:r>
      <w:r w:rsidRPr="00872A28">
        <w:rPr>
          <w:rFonts w:ascii="Arial" w:hAnsi="Arial" w:cs="Arial"/>
          <w:sz w:val="24"/>
          <w:szCs w:val="24"/>
        </w:rPr>
        <w:t xml:space="preserve"> Hew, 2021; El Mansour </w:t>
      </w:r>
      <w:r>
        <w:rPr>
          <w:rFonts w:ascii="Arial" w:hAnsi="Arial" w:cs="Arial"/>
          <w:sz w:val="24"/>
          <w:szCs w:val="24"/>
        </w:rPr>
        <w:t>and</w:t>
      </w:r>
      <w:r w:rsidRPr="00872A28">
        <w:rPr>
          <w:rFonts w:ascii="Arial" w:hAnsi="Arial" w:cs="Arial"/>
          <w:sz w:val="24"/>
          <w:szCs w:val="24"/>
        </w:rPr>
        <w:t xml:space="preserve"> </w:t>
      </w:r>
      <w:proofErr w:type="spellStart"/>
      <w:r w:rsidRPr="00872A28">
        <w:rPr>
          <w:rFonts w:ascii="Arial" w:hAnsi="Arial" w:cs="Arial"/>
          <w:sz w:val="24"/>
          <w:szCs w:val="24"/>
        </w:rPr>
        <w:t>Mupinga</w:t>
      </w:r>
      <w:proofErr w:type="spellEnd"/>
      <w:r w:rsidRPr="00872A28">
        <w:rPr>
          <w:rFonts w:ascii="Arial" w:hAnsi="Arial" w:cs="Arial"/>
          <w:sz w:val="24"/>
          <w:szCs w:val="24"/>
        </w:rPr>
        <w:t>, 2020). Learners can access educational content anytime, anywhere, facilitating greater autonomy over their learning process.</w:t>
      </w:r>
    </w:p>
    <w:p w14:paraId="50E011A1" w14:textId="29E8CBCC"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 xml:space="preserve">However, studies have also highlighted challenges associated with e-learning that may impede learner engagement. Feelings of isolation, stemming from reduced face-to-face interaction, can negatively affect student motivation and engagement (Tang &amp; Hew, 2021; El Mansour </w:t>
      </w:r>
      <w:r>
        <w:rPr>
          <w:rFonts w:ascii="Arial" w:hAnsi="Arial" w:cs="Arial"/>
          <w:sz w:val="24"/>
          <w:szCs w:val="24"/>
        </w:rPr>
        <w:t>an</w:t>
      </w:r>
      <w:r w:rsidR="00ED3710">
        <w:rPr>
          <w:rFonts w:ascii="Arial" w:hAnsi="Arial" w:cs="Arial"/>
          <w:sz w:val="24"/>
          <w:szCs w:val="24"/>
        </w:rPr>
        <w:t>d</w:t>
      </w:r>
      <w:r w:rsidRPr="00872A28">
        <w:rPr>
          <w:rFonts w:ascii="Arial" w:hAnsi="Arial" w:cs="Arial"/>
          <w:sz w:val="24"/>
          <w:szCs w:val="24"/>
        </w:rPr>
        <w:t xml:space="preserve"> </w:t>
      </w:r>
      <w:proofErr w:type="spellStart"/>
      <w:r w:rsidRPr="00872A28">
        <w:rPr>
          <w:rFonts w:ascii="Arial" w:hAnsi="Arial" w:cs="Arial"/>
          <w:sz w:val="24"/>
          <w:szCs w:val="24"/>
        </w:rPr>
        <w:t>Mupinga</w:t>
      </w:r>
      <w:proofErr w:type="spellEnd"/>
      <w:r w:rsidRPr="00872A28">
        <w:rPr>
          <w:rFonts w:ascii="Arial" w:hAnsi="Arial" w:cs="Arial"/>
          <w:sz w:val="24"/>
          <w:szCs w:val="24"/>
        </w:rPr>
        <w:t>, 2020). Technical difficulties, such as unreliable internet connections or unfamiliarity with online platforms, may further hinder engagement and exacerbate frustrations among learners.</w:t>
      </w:r>
    </w:p>
    <w:p w14:paraId="3F1140A7" w14:textId="77777777"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Prior to the changes introduced after the pandemic of 2019, E-learning was already seen as beneficial as it often positively affects learner engagement in post-compulsory education settings by offering flexibility, interactivity, and personalized learning experiences (Means et al., 2013). Despite methodological limitations in research, at that time such as small sample sizes and short study durations (Allen &amp; Seaman, 2017), integrating e-learning tools and platforms were still seen to promote active participation and deeper engagement with course materials, providing tailored learning experiences for students (Bernard et al., 2014).</w:t>
      </w:r>
    </w:p>
    <w:p w14:paraId="13EA277A" w14:textId="1FCC7416"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In addition,</w:t>
      </w:r>
      <w:r w:rsidR="004515B5" w:rsidRPr="004515B5">
        <w:t xml:space="preserve"> </w:t>
      </w:r>
      <w:r w:rsidR="004515B5" w:rsidRPr="004515B5">
        <w:rPr>
          <w:rFonts w:ascii="Arial" w:hAnsi="Arial" w:cs="Arial"/>
          <w:sz w:val="24"/>
          <w:szCs w:val="24"/>
        </w:rPr>
        <w:t>the creation and provision of virtual education</w:t>
      </w:r>
      <w:r w:rsidRPr="00872A28">
        <w:rPr>
          <w:rFonts w:ascii="Arial" w:hAnsi="Arial" w:cs="Arial"/>
          <w:sz w:val="24"/>
          <w:szCs w:val="24"/>
        </w:rPr>
        <w:t xml:space="preserve"> play a crucial role in shaping learner engagement in e-learning environments. More recent scholarship underscores the importance of interactive and engaging instructional materials, as well as the incorporation of social learning environments, in fostering learner engagement (Tang </w:t>
      </w:r>
      <w:r>
        <w:rPr>
          <w:rFonts w:ascii="Arial" w:hAnsi="Arial" w:cs="Arial"/>
          <w:sz w:val="24"/>
          <w:szCs w:val="24"/>
        </w:rPr>
        <w:t>and</w:t>
      </w:r>
      <w:r w:rsidRPr="00872A28">
        <w:rPr>
          <w:rFonts w:ascii="Arial" w:hAnsi="Arial" w:cs="Arial"/>
          <w:sz w:val="24"/>
          <w:szCs w:val="24"/>
        </w:rPr>
        <w:t xml:space="preserve"> Hew, 2021).</w:t>
      </w:r>
    </w:p>
    <w:p w14:paraId="18F940E0" w14:textId="77777777"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Moreover, the effectiveness of e-learning in promoting learner engagement depends on how courses are designed and delivered. Well-designed courses with clear objectives, engaging content, and opportunities for interaction tend to foster higher levels of engagement. Conversely, courses lacking these elements may struggle to maintain student interest and participation.</w:t>
      </w:r>
    </w:p>
    <w:p w14:paraId="2D3A84C7" w14:textId="77777777"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In summary, the more recent scholarship underscores the pivotal role of current educational policies in shaping technology integration within post-16 educational contexts. E-learning in post-compulsory education exhibits the potential to enhance learner engagement while simultaneously presenting challenges. Educators have, therefore, been urged to adapt their pedagogical approaches to effectively navigate the terrain of online learning, emphasizing learner-centred methodologies and leveraging technological tools to personalize instruction and furnish timely feedback.</w:t>
      </w:r>
    </w:p>
    <w:p w14:paraId="390490FF" w14:textId="77777777"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Ultimately, the impact of e-learning on learner engagement in higher education is complex. While e-learning offers flexibility and interactive learning experiences that can enhance engagement, it also presents challenges such as feelings of isolation and technical difficulties. Educators and course designers must carefully consider these factors when developing e-learning courses to optimize engagement and learning outcomes.</w:t>
      </w:r>
    </w:p>
    <w:p w14:paraId="0A2DA362" w14:textId="1071653E" w:rsidR="00872A28" w:rsidRPr="00872A28" w:rsidRDefault="00872A28" w:rsidP="00872A28">
      <w:pPr>
        <w:spacing w:line="360" w:lineRule="auto"/>
        <w:rPr>
          <w:rFonts w:ascii="Arial" w:hAnsi="Arial" w:cs="Arial"/>
          <w:b/>
          <w:bCs/>
          <w:sz w:val="24"/>
          <w:szCs w:val="24"/>
        </w:rPr>
      </w:pPr>
      <w:r w:rsidRPr="00872A28">
        <w:rPr>
          <w:rFonts w:ascii="Arial" w:hAnsi="Arial" w:cs="Arial"/>
          <w:b/>
          <w:bCs/>
          <w:sz w:val="24"/>
          <w:szCs w:val="24"/>
        </w:rPr>
        <w:t>Question 3: How does e-learning impact teaching practices in post-compulsory education settings?</w:t>
      </w:r>
    </w:p>
    <w:p w14:paraId="13E1A7CB" w14:textId="77777777"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From 2018 onwards, there has been considerable exploration into how e-learning impacts teaching practices in post-compulsory education settings. E-learning, characterized by the delivery of educational content through digital platforms, has brought about notable changes in instructional methodologies and pedagogical approaches.  this will of course have developed further since the pandemic of 2019 when schools and colleges had no option but to develop their use of technology to facilitate distance learning.  Teachers also then needed to develop their skills and practice to accommodate these significant changes.</w:t>
      </w:r>
    </w:p>
    <w:p w14:paraId="52EECB45" w14:textId="0BBF320D"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One significant impact of e-learning on teaching practices is the shift towards more student-centred instructional methods. In e-learning environments, educators often adopt facilitative roles, guiding students through the learning process rather than serving as traditional lecturers. This shift fosters greater autonomy and responsibility among students, encouraging active participation and self-directed learning (</w:t>
      </w:r>
      <w:proofErr w:type="spellStart"/>
      <w:r w:rsidRPr="00872A28">
        <w:rPr>
          <w:rFonts w:ascii="Arial" w:hAnsi="Arial" w:cs="Arial"/>
          <w:sz w:val="24"/>
          <w:szCs w:val="24"/>
        </w:rPr>
        <w:t>Veletsianos</w:t>
      </w:r>
      <w:proofErr w:type="spellEnd"/>
      <w:r w:rsidRPr="00872A28">
        <w:rPr>
          <w:rFonts w:ascii="Arial" w:hAnsi="Arial" w:cs="Arial"/>
          <w:sz w:val="24"/>
          <w:szCs w:val="24"/>
        </w:rPr>
        <w:t xml:space="preserve"> &amp; Shepherdson, 2020; Hew </w:t>
      </w:r>
      <w:r>
        <w:rPr>
          <w:rFonts w:ascii="Arial" w:hAnsi="Arial" w:cs="Arial"/>
          <w:sz w:val="24"/>
          <w:szCs w:val="24"/>
        </w:rPr>
        <w:t>and</w:t>
      </w:r>
      <w:r w:rsidRPr="00872A28">
        <w:rPr>
          <w:rFonts w:ascii="Arial" w:hAnsi="Arial" w:cs="Arial"/>
          <w:sz w:val="24"/>
          <w:szCs w:val="24"/>
        </w:rPr>
        <w:t xml:space="preserve"> Cheung, 2021).</w:t>
      </w:r>
    </w:p>
    <w:p w14:paraId="2DF8FC92" w14:textId="3AD084AF"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Additionally, e-learning provides opportunities for personalized instruction. Educators can</w:t>
      </w:r>
      <w:r w:rsidR="009E584F" w:rsidRPr="009E584F">
        <w:t xml:space="preserve"> </w:t>
      </w:r>
      <w:r w:rsidR="009E584F" w:rsidRPr="009E584F">
        <w:rPr>
          <w:rFonts w:ascii="Arial" w:hAnsi="Arial" w:cs="Arial"/>
          <w:sz w:val="24"/>
          <w:szCs w:val="24"/>
        </w:rPr>
        <w:t>Adapt educational opportunities to each student's unique needs and interests</w:t>
      </w:r>
      <w:r w:rsidRPr="00872A28">
        <w:rPr>
          <w:rFonts w:ascii="Arial" w:hAnsi="Arial" w:cs="Arial"/>
          <w:sz w:val="24"/>
          <w:szCs w:val="24"/>
        </w:rPr>
        <w:t>, leveraging digital tools to adapt content, pacing, and instructional strategies. This customization enhances the relevance and effectiveness of instruction, promoting deeper engagement and understanding among learners (</w:t>
      </w:r>
      <w:proofErr w:type="spellStart"/>
      <w:r w:rsidRPr="00872A28">
        <w:rPr>
          <w:rFonts w:ascii="Arial" w:hAnsi="Arial" w:cs="Arial"/>
          <w:sz w:val="24"/>
          <w:szCs w:val="24"/>
        </w:rPr>
        <w:t>Veletsianos</w:t>
      </w:r>
      <w:proofErr w:type="spellEnd"/>
      <w:r w:rsidRPr="00872A28">
        <w:rPr>
          <w:rFonts w:ascii="Arial" w:hAnsi="Arial" w:cs="Arial"/>
          <w:sz w:val="24"/>
          <w:szCs w:val="24"/>
        </w:rPr>
        <w:t xml:space="preserve"> &amp; Shepherdson, 2020; Hew </w:t>
      </w:r>
      <w:r>
        <w:rPr>
          <w:rFonts w:ascii="Arial" w:hAnsi="Arial" w:cs="Arial"/>
          <w:sz w:val="24"/>
          <w:szCs w:val="24"/>
        </w:rPr>
        <w:t>and</w:t>
      </w:r>
      <w:r w:rsidRPr="00872A28">
        <w:rPr>
          <w:rFonts w:ascii="Arial" w:hAnsi="Arial" w:cs="Arial"/>
          <w:sz w:val="24"/>
          <w:szCs w:val="24"/>
        </w:rPr>
        <w:t xml:space="preserve"> Cheung, 2021).</w:t>
      </w:r>
    </w:p>
    <w:p w14:paraId="43FE3319" w14:textId="6B63B97C"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Furthermore, e-learning platforms offer features that facilitate timely feedback and assessment. Educators can use digital tools to provide immediate feedback on</w:t>
      </w:r>
      <w:r w:rsidR="009E584F" w:rsidRPr="009E584F">
        <w:t xml:space="preserve"> </w:t>
      </w:r>
      <w:r w:rsidR="009E584F" w:rsidRPr="009E584F">
        <w:rPr>
          <w:rFonts w:ascii="Arial" w:hAnsi="Arial" w:cs="Arial"/>
          <w:sz w:val="24"/>
          <w:szCs w:val="24"/>
        </w:rPr>
        <w:t>student success, pinpoint areas in need of development, and modify lessons as necessary</w:t>
      </w:r>
      <w:r w:rsidRPr="00872A28">
        <w:rPr>
          <w:rFonts w:ascii="Arial" w:hAnsi="Arial" w:cs="Arial"/>
          <w:sz w:val="24"/>
          <w:szCs w:val="24"/>
        </w:rPr>
        <w:t>. This real-time feedback loop enhances the effectiveness of teaching practices, enabling educators to address student needs more effectively and promote continuous learning (</w:t>
      </w:r>
      <w:proofErr w:type="spellStart"/>
      <w:r w:rsidRPr="00872A28">
        <w:rPr>
          <w:rFonts w:ascii="Arial" w:hAnsi="Arial" w:cs="Arial"/>
          <w:sz w:val="24"/>
          <w:szCs w:val="24"/>
        </w:rPr>
        <w:t>Veletsianos</w:t>
      </w:r>
      <w:proofErr w:type="spellEnd"/>
      <w:r w:rsidRPr="00872A28">
        <w:rPr>
          <w:rFonts w:ascii="Arial" w:hAnsi="Arial" w:cs="Arial"/>
          <w:sz w:val="24"/>
          <w:szCs w:val="24"/>
        </w:rPr>
        <w:t xml:space="preserve"> </w:t>
      </w:r>
      <w:r>
        <w:rPr>
          <w:rFonts w:ascii="Arial" w:hAnsi="Arial" w:cs="Arial"/>
          <w:sz w:val="24"/>
          <w:szCs w:val="24"/>
        </w:rPr>
        <w:t>and</w:t>
      </w:r>
      <w:r w:rsidRPr="00872A28">
        <w:rPr>
          <w:rFonts w:ascii="Arial" w:hAnsi="Arial" w:cs="Arial"/>
          <w:sz w:val="24"/>
          <w:szCs w:val="24"/>
        </w:rPr>
        <w:t xml:space="preserve"> Shepherdson, 2020; Hew </w:t>
      </w:r>
      <w:r>
        <w:rPr>
          <w:rFonts w:ascii="Arial" w:hAnsi="Arial" w:cs="Arial"/>
          <w:sz w:val="24"/>
          <w:szCs w:val="24"/>
        </w:rPr>
        <w:t>and</w:t>
      </w:r>
      <w:r w:rsidRPr="00872A28">
        <w:rPr>
          <w:rFonts w:ascii="Arial" w:hAnsi="Arial" w:cs="Arial"/>
          <w:sz w:val="24"/>
          <w:szCs w:val="24"/>
        </w:rPr>
        <w:t xml:space="preserve"> Cheung, 2021).</w:t>
      </w:r>
    </w:p>
    <w:p w14:paraId="09FB198E" w14:textId="2971EB84"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 xml:space="preserve">However, e-learning also presents challenges for teaching practices in post-compulsory education settings. Educators may encounter difficulties in </w:t>
      </w:r>
      <w:r w:rsidR="009E584F" w:rsidRPr="009E584F">
        <w:rPr>
          <w:rFonts w:ascii="Arial" w:hAnsi="Arial" w:cs="Arial"/>
          <w:sz w:val="24"/>
          <w:szCs w:val="24"/>
        </w:rPr>
        <w:t xml:space="preserve">maintaining the enthusiasm and involvement of students in online </w:t>
      </w:r>
      <w:r w:rsidRPr="00872A28">
        <w:rPr>
          <w:rFonts w:ascii="Arial" w:hAnsi="Arial" w:cs="Arial"/>
          <w:sz w:val="24"/>
          <w:szCs w:val="24"/>
        </w:rPr>
        <w:t xml:space="preserve">environments, particularly due to the absence of face-to-face interaction. Additionally, adapting instructional materials and activities for online delivery requires careful planning and design to ensure effectiveness and accessibility (Hew &amp; Cheung, 2021; </w:t>
      </w:r>
      <w:proofErr w:type="spellStart"/>
      <w:r w:rsidRPr="00872A28">
        <w:rPr>
          <w:rFonts w:ascii="Arial" w:hAnsi="Arial" w:cs="Arial"/>
          <w:sz w:val="24"/>
          <w:szCs w:val="24"/>
        </w:rPr>
        <w:t>Veletsianos</w:t>
      </w:r>
      <w:proofErr w:type="spellEnd"/>
      <w:r w:rsidRPr="00872A28">
        <w:rPr>
          <w:rFonts w:ascii="Arial" w:hAnsi="Arial" w:cs="Arial"/>
          <w:sz w:val="24"/>
          <w:szCs w:val="24"/>
        </w:rPr>
        <w:t xml:space="preserve"> </w:t>
      </w:r>
      <w:r>
        <w:rPr>
          <w:rFonts w:ascii="Arial" w:hAnsi="Arial" w:cs="Arial"/>
          <w:sz w:val="24"/>
          <w:szCs w:val="24"/>
        </w:rPr>
        <w:t>and</w:t>
      </w:r>
      <w:r w:rsidRPr="00872A28">
        <w:rPr>
          <w:rFonts w:ascii="Arial" w:hAnsi="Arial" w:cs="Arial"/>
          <w:sz w:val="24"/>
          <w:szCs w:val="24"/>
        </w:rPr>
        <w:t xml:space="preserve"> Shepherdson, 2020).</w:t>
      </w:r>
    </w:p>
    <w:p w14:paraId="01101D67" w14:textId="77777777"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E-learning significantly impacts teaching practices in post-compulsory education settings by changing instructional delivery methods and fostering collaborative learning environments (Ally, 2008). Despite requiring additional training and adaptation of pedagogical approaches (Graham, 2013), e-learning facilitates personalized learning experiences, supports individual learning needs more effectively, and enhances student engagement (Means et al., 2013).</w:t>
      </w:r>
    </w:p>
    <w:p w14:paraId="6244B076" w14:textId="198753BF" w:rsidR="00872A28" w:rsidRPr="00872A28" w:rsidRDefault="00872A28" w:rsidP="00872A28">
      <w:pPr>
        <w:spacing w:line="360" w:lineRule="auto"/>
        <w:rPr>
          <w:rFonts w:ascii="Arial" w:hAnsi="Arial" w:cs="Arial"/>
          <w:sz w:val="24"/>
          <w:szCs w:val="24"/>
        </w:rPr>
      </w:pPr>
      <w:r w:rsidRPr="00872A28">
        <w:rPr>
          <w:rFonts w:ascii="Arial" w:hAnsi="Arial" w:cs="Arial"/>
          <w:sz w:val="24"/>
          <w:szCs w:val="24"/>
        </w:rPr>
        <w:t>In addressing these questions, reflections on personal experiences as an educator shed light on</w:t>
      </w:r>
      <w:r w:rsidR="009E584F" w:rsidRPr="009E584F">
        <w:t xml:space="preserve"> </w:t>
      </w:r>
      <w:r w:rsidR="009E584F" w:rsidRPr="009E584F">
        <w:rPr>
          <w:rFonts w:ascii="Arial" w:hAnsi="Arial" w:cs="Arial"/>
          <w:sz w:val="24"/>
          <w:szCs w:val="24"/>
        </w:rPr>
        <w:t>the difficulties and possibilities of incorporating technology</w:t>
      </w:r>
      <w:r w:rsidRPr="00872A28">
        <w:rPr>
          <w:rFonts w:ascii="Arial" w:hAnsi="Arial" w:cs="Arial"/>
          <w:sz w:val="24"/>
          <w:szCs w:val="24"/>
        </w:rPr>
        <w:t xml:space="preserve"> into teaching practices. While e-learning holds promise for enhancing learner engagement and transforming teaching practices, acknowledging methodological limitations in research is crucial for exploring innovative approaches to maximize the benefits of technology in education.</w:t>
      </w:r>
    </w:p>
    <w:p w14:paraId="04EDE69A" w14:textId="77777777" w:rsidR="009E584F" w:rsidRDefault="00872A28" w:rsidP="009E584F">
      <w:pPr>
        <w:spacing w:line="360" w:lineRule="auto"/>
        <w:rPr>
          <w:rFonts w:ascii="Arial" w:hAnsi="Arial" w:cs="Arial"/>
          <w:sz w:val="24"/>
          <w:szCs w:val="24"/>
        </w:rPr>
      </w:pPr>
      <w:r w:rsidRPr="00872A28">
        <w:rPr>
          <w:rFonts w:ascii="Arial" w:hAnsi="Arial" w:cs="Arial"/>
          <w:sz w:val="24"/>
          <w:szCs w:val="24"/>
        </w:rPr>
        <w:t>In summary, e-learning has a profound impact on teaching practices in post-compulsory education settings. While promoting student-centred instruction, personalized learning experiences, and efficient feedback mechanisms, e-learning also poses challenges that educators must address to optimize teaching effectiveness in online environments.</w:t>
      </w:r>
    </w:p>
    <w:p w14:paraId="622FB82F" w14:textId="77777777" w:rsidR="009E584F" w:rsidRDefault="009E584F" w:rsidP="009E584F">
      <w:pPr>
        <w:spacing w:line="360" w:lineRule="auto"/>
        <w:rPr>
          <w:rFonts w:ascii="Arial" w:hAnsi="Arial" w:cs="Arial"/>
          <w:sz w:val="24"/>
          <w:szCs w:val="24"/>
        </w:rPr>
      </w:pPr>
    </w:p>
    <w:p w14:paraId="00EA1F2A" w14:textId="77777777" w:rsidR="009E584F" w:rsidRDefault="009E584F" w:rsidP="009E584F">
      <w:pPr>
        <w:spacing w:line="360" w:lineRule="auto"/>
        <w:rPr>
          <w:rFonts w:ascii="Arial" w:hAnsi="Arial" w:cs="Arial"/>
          <w:sz w:val="24"/>
          <w:szCs w:val="24"/>
        </w:rPr>
      </w:pPr>
    </w:p>
    <w:p w14:paraId="64FB4259" w14:textId="5BB9C5E7" w:rsidR="009E584F" w:rsidRPr="009E584F" w:rsidRDefault="009E584F" w:rsidP="009E584F">
      <w:pPr>
        <w:spacing w:line="360" w:lineRule="auto"/>
        <w:rPr>
          <w:rFonts w:ascii="Arial" w:hAnsi="Arial" w:cs="Arial"/>
          <w:b/>
          <w:bCs/>
          <w:sz w:val="24"/>
          <w:szCs w:val="24"/>
        </w:rPr>
      </w:pPr>
      <w:r w:rsidRPr="009E584F">
        <w:rPr>
          <w:rFonts w:ascii="Arial" w:hAnsi="Arial" w:cs="Arial"/>
          <w:b/>
          <w:bCs/>
          <w:sz w:val="24"/>
          <w:szCs w:val="24"/>
        </w:rPr>
        <w:t xml:space="preserve"> Conclusion</w:t>
      </w:r>
    </w:p>
    <w:p w14:paraId="7E8600A4" w14:textId="35B467B4" w:rsidR="009E584F" w:rsidRPr="009E584F" w:rsidRDefault="009E584F" w:rsidP="009E584F">
      <w:pPr>
        <w:spacing w:line="360" w:lineRule="auto"/>
        <w:rPr>
          <w:rFonts w:ascii="Arial" w:hAnsi="Arial" w:cs="Arial"/>
          <w:sz w:val="24"/>
          <w:szCs w:val="24"/>
        </w:rPr>
      </w:pPr>
      <w:r>
        <w:rPr>
          <w:rFonts w:ascii="Arial" w:hAnsi="Arial" w:cs="Arial"/>
          <w:sz w:val="24"/>
          <w:szCs w:val="24"/>
        </w:rPr>
        <w:t xml:space="preserve"> </w:t>
      </w:r>
      <w:r w:rsidRPr="009E584F">
        <w:rPr>
          <w:rFonts w:ascii="Arial" w:hAnsi="Arial" w:cs="Arial"/>
          <w:sz w:val="24"/>
          <w:szCs w:val="24"/>
        </w:rPr>
        <w:t>In conclusion, the examination of e-learning's impact on post-compulsory education reveals a complex interplay between policy, learner engagement, and teaching practices. The integration of digital technology into education is not merely a matter of adopting new tools but entails a fundamental shift in instructional methodologies and pedagogical approaches.</w:t>
      </w:r>
    </w:p>
    <w:p w14:paraId="52BEFB79" w14:textId="77777777" w:rsidR="009E584F" w:rsidRPr="009E584F" w:rsidRDefault="009E584F" w:rsidP="009E584F">
      <w:pPr>
        <w:spacing w:line="360" w:lineRule="auto"/>
        <w:rPr>
          <w:rFonts w:ascii="Arial" w:hAnsi="Arial" w:cs="Arial"/>
          <w:sz w:val="24"/>
          <w:szCs w:val="24"/>
        </w:rPr>
      </w:pPr>
      <w:r w:rsidRPr="009E584F">
        <w:rPr>
          <w:rFonts w:ascii="Arial" w:hAnsi="Arial" w:cs="Arial"/>
          <w:sz w:val="24"/>
          <w:szCs w:val="24"/>
        </w:rPr>
        <w:t>Current educational policies play a significant role in shaping the integration of technology in classrooms, emphasizing digital literacy, supporting educators' professional development, and advocating for the inclusion of technology across curricula. However, challenges persist in aligning policy directives with practical implementation due to resource disparities and varying institutional contexts.</w:t>
      </w:r>
    </w:p>
    <w:p w14:paraId="49FF30A5" w14:textId="77777777" w:rsidR="009E584F" w:rsidRPr="009E584F" w:rsidRDefault="009E584F" w:rsidP="009E584F">
      <w:pPr>
        <w:spacing w:line="360" w:lineRule="auto"/>
        <w:rPr>
          <w:rFonts w:ascii="Arial" w:hAnsi="Arial" w:cs="Arial"/>
          <w:sz w:val="24"/>
          <w:szCs w:val="24"/>
        </w:rPr>
      </w:pPr>
      <w:r w:rsidRPr="009E584F">
        <w:rPr>
          <w:rFonts w:ascii="Arial" w:hAnsi="Arial" w:cs="Arial"/>
          <w:sz w:val="24"/>
          <w:szCs w:val="24"/>
        </w:rPr>
        <w:t>Regarding learner engagement, e-learning offers both advantages and challenges. While providing flexibility and accessibility, it may also lead to feelings of isolation and technical difficulties. Successful engagement hinges on well-designed courses, interactive content, and the creation of social learning environments.</w:t>
      </w:r>
    </w:p>
    <w:p w14:paraId="5B9EAF84" w14:textId="77777777" w:rsidR="009E584F" w:rsidRDefault="009E584F" w:rsidP="009E584F">
      <w:pPr>
        <w:spacing w:line="360" w:lineRule="auto"/>
        <w:rPr>
          <w:rFonts w:ascii="Arial" w:hAnsi="Arial" w:cs="Arial"/>
          <w:sz w:val="24"/>
          <w:szCs w:val="24"/>
        </w:rPr>
      </w:pPr>
      <w:r w:rsidRPr="009E584F">
        <w:rPr>
          <w:rFonts w:ascii="Arial" w:hAnsi="Arial" w:cs="Arial"/>
          <w:sz w:val="24"/>
          <w:szCs w:val="24"/>
        </w:rPr>
        <w:t>In terms of teaching practices, e-learning encourages a shift towards student-centred instruction and personalized learning experiences. Educators must adapt to facilitate active participation, provide timely feedback, and navigate challenges such as maintaining student enthusiasm and accessibility.</w:t>
      </w:r>
    </w:p>
    <w:p w14:paraId="003299FB" w14:textId="115AE7B2" w:rsidR="00872A28" w:rsidRPr="00872A28" w:rsidRDefault="009E584F" w:rsidP="009E584F">
      <w:pPr>
        <w:spacing w:line="360" w:lineRule="auto"/>
        <w:rPr>
          <w:rFonts w:ascii="Arial" w:hAnsi="Arial" w:cs="Arial"/>
          <w:sz w:val="24"/>
          <w:szCs w:val="24"/>
        </w:rPr>
      </w:pPr>
      <w:r w:rsidRPr="009E584F">
        <w:rPr>
          <w:rFonts w:ascii="Arial" w:hAnsi="Arial" w:cs="Arial"/>
          <w:sz w:val="24"/>
          <w:szCs w:val="24"/>
        </w:rPr>
        <w:t xml:space="preserve">Overall, while e-learning presents opportunities to enhance education, it requires careful consideration of policy frameworks, learner needs, and pedagogical strategies. By addressing challenges and leveraging technology effectively, educators can create inclusive and engaging learning environments that empower students to succeed in the digital age. </w:t>
      </w:r>
    </w:p>
    <w:p w14:paraId="3049DB78" w14:textId="77777777" w:rsidR="00872A28" w:rsidRPr="00872A28" w:rsidRDefault="00872A28" w:rsidP="00872A28">
      <w:pPr>
        <w:spacing w:line="360" w:lineRule="auto"/>
        <w:rPr>
          <w:rFonts w:ascii="Arial" w:hAnsi="Arial" w:cs="Arial"/>
          <w:b/>
          <w:bCs/>
          <w:sz w:val="24"/>
          <w:szCs w:val="24"/>
        </w:rPr>
      </w:pPr>
    </w:p>
    <w:p w14:paraId="09D5ABFF" w14:textId="77777777" w:rsidR="00937F78" w:rsidRDefault="00937F78" w:rsidP="00A62EFA">
      <w:pPr>
        <w:spacing w:line="360" w:lineRule="auto"/>
        <w:rPr>
          <w:rFonts w:ascii="Arial" w:hAnsi="Arial" w:cs="Arial"/>
          <w:b/>
          <w:bCs/>
          <w:sz w:val="24"/>
          <w:szCs w:val="24"/>
        </w:rPr>
      </w:pPr>
    </w:p>
    <w:p w14:paraId="754CDFF9" w14:textId="77777777" w:rsidR="00937F78" w:rsidRDefault="00937F78" w:rsidP="00A62EFA">
      <w:pPr>
        <w:spacing w:line="360" w:lineRule="auto"/>
        <w:rPr>
          <w:rFonts w:ascii="Arial" w:hAnsi="Arial" w:cs="Arial"/>
          <w:b/>
          <w:bCs/>
          <w:sz w:val="24"/>
          <w:szCs w:val="24"/>
        </w:rPr>
      </w:pPr>
    </w:p>
    <w:p w14:paraId="2DFAFB59" w14:textId="77777777" w:rsidR="00937F78" w:rsidRDefault="00937F78" w:rsidP="00A62EFA">
      <w:pPr>
        <w:spacing w:line="360" w:lineRule="auto"/>
        <w:rPr>
          <w:rFonts w:ascii="Arial" w:hAnsi="Arial" w:cs="Arial"/>
          <w:b/>
          <w:bCs/>
          <w:sz w:val="24"/>
          <w:szCs w:val="24"/>
        </w:rPr>
      </w:pPr>
    </w:p>
    <w:p w14:paraId="009F11F6" w14:textId="77777777" w:rsidR="00937F78" w:rsidRDefault="00937F78" w:rsidP="00A62EFA">
      <w:pPr>
        <w:spacing w:line="360" w:lineRule="auto"/>
        <w:rPr>
          <w:rFonts w:ascii="Arial" w:hAnsi="Arial" w:cs="Arial"/>
          <w:b/>
          <w:bCs/>
          <w:sz w:val="24"/>
          <w:szCs w:val="24"/>
        </w:rPr>
      </w:pPr>
    </w:p>
    <w:p w14:paraId="75419F25" w14:textId="77777777" w:rsidR="00937F78" w:rsidRDefault="00937F78" w:rsidP="00A62EFA">
      <w:pPr>
        <w:spacing w:line="360" w:lineRule="auto"/>
        <w:rPr>
          <w:rFonts w:ascii="Arial" w:hAnsi="Arial" w:cs="Arial"/>
          <w:b/>
          <w:bCs/>
          <w:sz w:val="24"/>
          <w:szCs w:val="24"/>
        </w:rPr>
      </w:pPr>
    </w:p>
    <w:p w14:paraId="53B2359A" w14:textId="77777777" w:rsidR="00937F78" w:rsidRDefault="00937F78" w:rsidP="00A62EFA">
      <w:pPr>
        <w:spacing w:line="360" w:lineRule="auto"/>
        <w:rPr>
          <w:rFonts w:ascii="Arial" w:hAnsi="Arial" w:cs="Arial"/>
          <w:b/>
          <w:bCs/>
          <w:sz w:val="24"/>
          <w:szCs w:val="24"/>
        </w:rPr>
      </w:pPr>
    </w:p>
    <w:p w14:paraId="238EB75C" w14:textId="77777777" w:rsidR="00937F78" w:rsidRDefault="00937F78" w:rsidP="00A62EFA">
      <w:pPr>
        <w:spacing w:line="360" w:lineRule="auto"/>
        <w:rPr>
          <w:rFonts w:ascii="Arial" w:hAnsi="Arial" w:cs="Arial"/>
          <w:b/>
          <w:bCs/>
          <w:sz w:val="24"/>
          <w:szCs w:val="24"/>
        </w:rPr>
      </w:pPr>
    </w:p>
    <w:p w14:paraId="373BD7BD" w14:textId="77777777" w:rsidR="00937F78" w:rsidRDefault="00937F78" w:rsidP="00A62EFA">
      <w:pPr>
        <w:spacing w:line="360" w:lineRule="auto"/>
        <w:rPr>
          <w:rFonts w:ascii="Arial" w:hAnsi="Arial" w:cs="Arial"/>
          <w:b/>
          <w:bCs/>
          <w:sz w:val="24"/>
          <w:szCs w:val="24"/>
        </w:rPr>
      </w:pPr>
    </w:p>
    <w:p w14:paraId="0A8788D9" w14:textId="77777777" w:rsidR="00937F78" w:rsidRDefault="00937F78" w:rsidP="00A62EFA">
      <w:pPr>
        <w:spacing w:line="360" w:lineRule="auto"/>
        <w:rPr>
          <w:rFonts w:ascii="Arial" w:hAnsi="Arial" w:cs="Arial"/>
          <w:b/>
          <w:bCs/>
          <w:sz w:val="24"/>
          <w:szCs w:val="24"/>
        </w:rPr>
      </w:pPr>
    </w:p>
    <w:p w14:paraId="7CF844BF" w14:textId="77777777" w:rsidR="00937F78" w:rsidRDefault="00937F78" w:rsidP="00A62EFA">
      <w:pPr>
        <w:spacing w:line="360" w:lineRule="auto"/>
        <w:rPr>
          <w:rFonts w:ascii="Arial" w:hAnsi="Arial" w:cs="Arial"/>
          <w:b/>
          <w:bCs/>
          <w:sz w:val="24"/>
          <w:szCs w:val="24"/>
        </w:rPr>
      </w:pPr>
    </w:p>
    <w:p w14:paraId="4BE0DAE5" w14:textId="77777777" w:rsidR="00937F78" w:rsidRDefault="00937F78" w:rsidP="00A62EFA">
      <w:pPr>
        <w:spacing w:line="360" w:lineRule="auto"/>
        <w:rPr>
          <w:rFonts w:ascii="Arial" w:hAnsi="Arial" w:cs="Arial"/>
          <w:b/>
          <w:bCs/>
          <w:sz w:val="24"/>
          <w:szCs w:val="24"/>
        </w:rPr>
      </w:pPr>
    </w:p>
    <w:p w14:paraId="37771D6A" w14:textId="77777777" w:rsidR="00937F78" w:rsidRDefault="00937F78" w:rsidP="00A62EFA">
      <w:pPr>
        <w:spacing w:line="360" w:lineRule="auto"/>
        <w:rPr>
          <w:rFonts w:ascii="Arial" w:hAnsi="Arial" w:cs="Arial"/>
          <w:b/>
          <w:bCs/>
          <w:sz w:val="24"/>
          <w:szCs w:val="24"/>
        </w:rPr>
      </w:pPr>
    </w:p>
    <w:p w14:paraId="482BB43A" w14:textId="77777777" w:rsidR="00ED3710" w:rsidRDefault="00ED3710" w:rsidP="00A62EFA">
      <w:pPr>
        <w:spacing w:line="360" w:lineRule="auto"/>
        <w:rPr>
          <w:rFonts w:ascii="Arial" w:hAnsi="Arial" w:cs="Arial"/>
          <w:b/>
          <w:bCs/>
          <w:sz w:val="24"/>
          <w:szCs w:val="24"/>
        </w:rPr>
      </w:pPr>
    </w:p>
    <w:p w14:paraId="78FD7BA7" w14:textId="77777777" w:rsidR="009E584F" w:rsidRDefault="009E584F" w:rsidP="00021535">
      <w:pPr>
        <w:spacing w:line="360" w:lineRule="auto"/>
        <w:rPr>
          <w:rFonts w:ascii="Arial" w:hAnsi="Arial" w:cs="Arial"/>
          <w:b/>
          <w:bCs/>
          <w:sz w:val="24"/>
          <w:szCs w:val="24"/>
        </w:rPr>
      </w:pPr>
    </w:p>
    <w:p w14:paraId="028F1698" w14:textId="77777777" w:rsidR="009E584F" w:rsidRDefault="009E584F" w:rsidP="00021535">
      <w:pPr>
        <w:spacing w:line="360" w:lineRule="auto"/>
        <w:rPr>
          <w:rFonts w:ascii="Arial" w:hAnsi="Arial" w:cs="Arial"/>
          <w:b/>
          <w:bCs/>
          <w:sz w:val="24"/>
          <w:szCs w:val="24"/>
        </w:rPr>
      </w:pPr>
    </w:p>
    <w:p w14:paraId="498F43EB" w14:textId="77777777" w:rsidR="009E584F" w:rsidRDefault="009E584F" w:rsidP="00021535">
      <w:pPr>
        <w:spacing w:line="360" w:lineRule="auto"/>
        <w:rPr>
          <w:rFonts w:ascii="Arial" w:hAnsi="Arial" w:cs="Arial"/>
          <w:b/>
          <w:bCs/>
          <w:sz w:val="24"/>
          <w:szCs w:val="24"/>
        </w:rPr>
      </w:pPr>
    </w:p>
    <w:p w14:paraId="20403A16" w14:textId="77777777" w:rsidR="009E584F" w:rsidRDefault="009E584F" w:rsidP="00021535">
      <w:pPr>
        <w:spacing w:line="360" w:lineRule="auto"/>
        <w:rPr>
          <w:rFonts w:ascii="Arial" w:hAnsi="Arial" w:cs="Arial"/>
          <w:b/>
          <w:bCs/>
          <w:sz w:val="24"/>
          <w:szCs w:val="24"/>
        </w:rPr>
      </w:pPr>
    </w:p>
    <w:p w14:paraId="54B726DE" w14:textId="77777777" w:rsidR="009E584F" w:rsidRDefault="009E584F" w:rsidP="00021535">
      <w:pPr>
        <w:spacing w:line="360" w:lineRule="auto"/>
        <w:rPr>
          <w:rFonts w:ascii="Arial" w:hAnsi="Arial" w:cs="Arial"/>
          <w:b/>
          <w:bCs/>
          <w:sz w:val="24"/>
          <w:szCs w:val="24"/>
        </w:rPr>
      </w:pPr>
    </w:p>
    <w:p w14:paraId="36D22FD6" w14:textId="5B011CB5" w:rsidR="00021535" w:rsidRPr="00384818" w:rsidRDefault="00A62EFA" w:rsidP="00021535">
      <w:pPr>
        <w:spacing w:line="360" w:lineRule="auto"/>
        <w:rPr>
          <w:rFonts w:ascii="Arial" w:hAnsi="Arial" w:cs="Arial"/>
          <w:b/>
          <w:bCs/>
          <w:sz w:val="24"/>
          <w:szCs w:val="24"/>
        </w:rPr>
      </w:pPr>
      <w:r w:rsidRPr="00A62EFA">
        <w:rPr>
          <w:rFonts w:ascii="Arial" w:hAnsi="Arial" w:cs="Arial"/>
          <w:b/>
          <w:bCs/>
          <w:sz w:val="24"/>
          <w:szCs w:val="24"/>
        </w:rPr>
        <w:t>References</w:t>
      </w:r>
    </w:p>
    <w:p w14:paraId="3881EC86" w14:textId="589C5265" w:rsidR="00021535" w:rsidRPr="00937F78" w:rsidRDefault="00021535" w:rsidP="00FC5CBE">
      <w:pPr>
        <w:spacing w:line="240" w:lineRule="auto"/>
        <w:ind w:left="680" w:hanging="720"/>
        <w:rPr>
          <w:rFonts w:asciiTheme="minorBidi" w:hAnsiTheme="minorBidi"/>
          <w:sz w:val="24"/>
          <w:szCs w:val="24"/>
        </w:rPr>
      </w:pPr>
      <w:r w:rsidRPr="00937F78">
        <w:rPr>
          <w:rFonts w:asciiTheme="minorBidi" w:hAnsiTheme="minorBidi"/>
          <w:sz w:val="24"/>
          <w:szCs w:val="24"/>
        </w:rPr>
        <w:t xml:space="preserve">Ali, A., Khan, R. M. I and </w:t>
      </w:r>
      <w:proofErr w:type="spellStart"/>
      <w:r w:rsidRPr="00937F78">
        <w:rPr>
          <w:rFonts w:asciiTheme="minorBidi" w:hAnsiTheme="minorBidi"/>
          <w:sz w:val="24"/>
          <w:szCs w:val="24"/>
        </w:rPr>
        <w:t>Alouraini</w:t>
      </w:r>
      <w:proofErr w:type="spellEnd"/>
      <w:r w:rsidRPr="00937F78">
        <w:rPr>
          <w:rFonts w:asciiTheme="minorBidi" w:hAnsiTheme="minorBidi"/>
          <w:sz w:val="24"/>
          <w:szCs w:val="24"/>
        </w:rPr>
        <w:t>, A. (2023). ‘A Comparative Study on the Impact of Online and Blended Learning’. </w:t>
      </w:r>
      <w:r w:rsidRPr="00937F78">
        <w:rPr>
          <w:rFonts w:asciiTheme="minorBidi" w:hAnsiTheme="minorBidi"/>
          <w:i/>
          <w:iCs/>
          <w:sz w:val="24"/>
          <w:szCs w:val="24"/>
        </w:rPr>
        <w:t>Sage Open,</w:t>
      </w:r>
      <w:r w:rsidRPr="00937F78">
        <w:rPr>
          <w:rFonts w:asciiTheme="minorBidi" w:hAnsiTheme="minorBidi"/>
          <w:sz w:val="24"/>
          <w:szCs w:val="24"/>
        </w:rPr>
        <w:t> </w:t>
      </w:r>
      <w:r w:rsidRPr="00937F78">
        <w:rPr>
          <w:rFonts w:asciiTheme="minorBidi" w:hAnsiTheme="minorBidi"/>
          <w:i/>
          <w:iCs/>
          <w:sz w:val="24"/>
          <w:szCs w:val="24"/>
        </w:rPr>
        <w:t>13</w:t>
      </w:r>
      <w:r w:rsidRPr="00937F78">
        <w:rPr>
          <w:rFonts w:asciiTheme="minorBidi" w:hAnsiTheme="minorBidi"/>
          <w:sz w:val="24"/>
          <w:szCs w:val="24"/>
        </w:rPr>
        <w:t>(1). DOI: </w:t>
      </w:r>
      <w:hyperlink r:id="rId8" w:history="1">
        <w:r w:rsidRPr="00937F78">
          <w:rPr>
            <w:rStyle w:val="Hyperlink"/>
            <w:rFonts w:asciiTheme="minorBidi" w:hAnsiTheme="minorBidi"/>
            <w:sz w:val="24"/>
            <w:szCs w:val="24"/>
          </w:rPr>
          <w:t>https://doi.org/10.1177/21582440231154417</w:t>
        </w:r>
      </w:hyperlink>
    </w:p>
    <w:p w14:paraId="6B5BAAF7" w14:textId="73393BD6" w:rsidR="00021535" w:rsidRPr="002A492F" w:rsidRDefault="00021535" w:rsidP="00FC5CBE">
      <w:pPr>
        <w:spacing w:line="240" w:lineRule="auto"/>
        <w:ind w:left="680" w:hanging="720"/>
        <w:rPr>
          <w:rFonts w:asciiTheme="minorBidi" w:eastAsia="system-ui" w:hAnsiTheme="minorBidi"/>
          <w:color w:val="000000" w:themeColor="text1"/>
          <w:sz w:val="24"/>
          <w:szCs w:val="24"/>
        </w:rPr>
      </w:pPr>
      <w:r w:rsidRPr="002A492F">
        <w:rPr>
          <w:rFonts w:asciiTheme="minorBidi" w:eastAsia="system-ui" w:hAnsiTheme="minorBidi"/>
          <w:color w:val="000000" w:themeColor="text1"/>
          <w:sz w:val="24"/>
          <w:szCs w:val="24"/>
          <w:lang w:val="de-DE"/>
        </w:rPr>
        <w:t>Allen, I. E</w:t>
      </w:r>
      <w:r w:rsidR="002A492F" w:rsidRPr="002A492F">
        <w:rPr>
          <w:rFonts w:asciiTheme="minorBidi" w:eastAsia="system-ui" w:hAnsiTheme="minorBidi"/>
          <w:color w:val="000000" w:themeColor="text1"/>
          <w:sz w:val="24"/>
          <w:szCs w:val="24"/>
          <w:lang w:val="de-DE"/>
        </w:rPr>
        <w:t xml:space="preserve"> and</w:t>
      </w:r>
      <w:r w:rsidRPr="002A492F">
        <w:rPr>
          <w:rFonts w:asciiTheme="minorBidi" w:eastAsia="system-ui" w:hAnsiTheme="minorBidi"/>
          <w:color w:val="000000" w:themeColor="text1"/>
          <w:sz w:val="24"/>
          <w:szCs w:val="24"/>
          <w:lang w:val="de-DE"/>
        </w:rPr>
        <w:t xml:space="preserve"> Seaman, J. (2017). </w:t>
      </w:r>
      <w:r w:rsidRPr="002A492F">
        <w:rPr>
          <w:rFonts w:asciiTheme="minorBidi" w:eastAsia="system-ui" w:hAnsiTheme="minorBidi"/>
          <w:i/>
          <w:iCs/>
          <w:color w:val="000000" w:themeColor="text1"/>
          <w:sz w:val="24"/>
          <w:szCs w:val="24"/>
        </w:rPr>
        <w:t xml:space="preserve">Digital Learning Compass: Distance Education </w:t>
      </w:r>
      <w:r w:rsidR="002A492F" w:rsidRPr="002A492F">
        <w:rPr>
          <w:rFonts w:asciiTheme="minorBidi" w:eastAsia="system-ui" w:hAnsiTheme="minorBidi"/>
          <w:i/>
          <w:iCs/>
          <w:color w:val="000000" w:themeColor="text1"/>
          <w:sz w:val="24"/>
          <w:szCs w:val="24"/>
        </w:rPr>
        <w:t>Enrolment</w:t>
      </w:r>
      <w:r w:rsidRPr="002A492F">
        <w:rPr>
          <w:rFonts w:asciiTheme="minorBidi" w:eastAsia="system-ui" w:hAnsiTheme="minorBidi"/>
          <w:i/>
          <w:iCs/>
          <w:color w:val="000000" w:themeColor="text1"/>
          <w:sz w:val="24"/>
          <w:szCs w:val="24"/>
        </w:rPr>
        <w:t xml:space="preserve"> Report 2017</w:t>
      </w:r>
      <w:r w:rsidRPr="002A492F">
        <w:rPr>
          <w:rFonts w:asciiTheme="minorBidi" w:eastAsia="system-ui" w:hAnsiTheme="minorBidi"/>
          <w:color w:val="000000" w:themeColor="text1"/>
          <w:sz w:val="24"/>
          <w:szCs w:val="24"/>
        </w:rPr>
        <w:t>. Babson Survey Research Group.</w:t>
      </w:r>
    </w:p>
    <w:p w14:paraId="36BAC137" w14:textId="75B9667E" w:rsidR="00021535" w:rsidRPr="002A492F" w:rsidRDefault="00021535" w:rsidP="00FC5CBE">
      <w:pPr>
        <w:spacing w:line="240" w:lineRule="auto"/>
        <w:ind w:left="680" w:hanging="720"/>
        <w:rPr>
          <w:rFonts w:asciiTheme="minorBidi" w:eastAsia="system-ui" w:hAnsiTheme="minorBidi"/>
          <w:color w:val="000000" w:themeColor="text1"/>
          <w:sz w:val="24"/>
          <w:szCs w:val="24"/>
        </w:rPr>
      </w:pPr>
      <w:r w:rsidRPr="002A492F">
        <w:rPr>
          <w:rFonts w:asciiTheme="minorBidi" w:eastAsia="system-ui" w:hAnsiTheme="minorBidi"/>
          <w:color w:val="000000" w:themeColor="text1"/>
          <w:sz w:val="24"/>
          <w:szCs w:val="24"/>
        </w:rPr>
        <w:t xml:space="preserve">Ally, M. (2008). </w:t>
      </w:r>
      <w:r w:rsidRPr="002A492F">
        <w:rPr>
          <w:rFonts w:asciiTheme="minorBidi" w:eastAsia="system-ui" w:hAnsiTheme="minorBidi"/>
          <w:i/>
          <w:iCs/>
          <w:color w:val="000000" w:themeColor="text1"/>
          <w:sz w:val="24"/>
          <w:szCs w:val="24"/>
        </w:rPr>
        <w:t>Foundations of Educational Theory for Online Learning</w:t>
      </w:r>
      <w:r w:rsidRPr="002A492F">
        <w:rPr>
          <w:rFonts w:asciiTheme="minorBidi" w:eastAsia="system-ui" w:hAnsiTheme="minorBidi"/>
          <w:color w:val="000000" w:themeColor="text1"/>
          <w:sz w:val="24"/>
          <w:szCs w:val="24"/>
        </w:rPr>
        <w:t>. Athabasca</w:t>
      </w:r>
      <w:r w:rsidR="002A492F" w:rsidRPr="002A492F">
        <w:rPr>
          <w:rFonts w:asciiTheme="minorBidi" w:eastAsia="system-ui" w:hAnsiTheme="minorBidi"/>
          <w:color w:val="000000" w:themeColor="text1"/>
          <w:sz w:val="24"/>
          <w:szCs w:val="24"/>
        </w:rPr>
        <w:t>:</w:t>
      </w:r>
      <w:r w:rsidRPr="002A492F">
        <w:rPr>
          <w:rFonts w:asciiTheme="minorBidi" w:eastAsia="system-ui" w:hAnsiTheme="minorBidi"/>
          <w:color w:val="000000" w:themeColor="text1"/>
          <w:sz w:val="24"/>
          <w:szCs w:val="24"/>
        </w:rPr>
        <w:t xml:space="preserve"> University Press.</w:t>
      </w:r>
    </w:p>
    <w:p w14:paraId="35931BA5" w14:textId="77777777" w:rsidR="00021535" w:rsidRPr="002A492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Barkley, E.F. (2009) </w:t>
      </w:r>
      <w:r w:rsidRPr="005E63EB">
        <w:rPr>
          <w:rFonts w:asciiTheme="minorBidi" w:eastAsia="system-ui" w:hAnsiTheme="minorBidi"/>
          <w:i/>
          <w:iCs/>
          <w:color w:val="000000" w:themeColor="text1"/>
          <w:sz w:val="24"/>
          <w:szCs w:val="24"/>
        </w:rPr>
        <w:t xml:space="preserve">Student Engagement Techniques: A Handbook for College </w:t>
      </w:r>
      <w:r w:rsidRPr="0099000F">
        <w:rPr>
          <w:rFonts w:asciiTheme="minorBidi" w:eastAsia="system-ui" w:hAnsiTheme="minorBidi"/>
          <w:color w:val="000000" w:themeColor="text1"/>
          <w:sz w:val="24"/>
          <w:szCs w:val="24"/>
        </w:rPr>
        <w:t xml:space="preserve">Faculty. San Francisco: John Wiley </w:t>
      </w:r>
      <w:r w:rsidRPr="002A492F">
        <w:rPr>
          <w:rFonts w:asciiTheme="minorBidi" w:eastAsia="system-ui" w:hAnsiTheme="minorBidi"/>
          <w:color w:val="000000" w:themeColor="text1"/>
          <w:sz w:val="24"/>
          <w:szCs w:val="24"/>
        </w:rPr>
        <w:t>Sons, Inc.</w:t>
      </w:r>
    </w:p>
    <w:p w14:paraId="6798596A" w14:textId="6A1CC1F3" w:rsidR="00021535" w:rsidRPr="002A492F" w:rsidRDefault="00021535" w:rsidP="00FC5CBE">
      <w:pPr>
        <w:spacing w:line="240" w:lineRule="auto"/>
        <w:ind w:left="680" w:hanging="720"/>
        <w:rPr>
          <w:rFonts w:asciiTheme="minorBidi" w:eastAsia="system-ui" w:hAnsiTheme="minorBidi"/>
          <w:color w:val="000000" w:themeColor="text1"/>
          <w:sz w:val="24"/>
          <w:szCs w:val="24"/>
        </w:rPr>
      </w:pPr>
      <w:proofErr w:type="spellStart"/>
      <w:r w:rsidRPr="002A492F">
        <w:rPr>
          <w:rFonts w:asciiTheme="minorBidi" w:eastAsia="system-ui" w:hAnsiTheme="minorBidi"/>
          <w:color w:val="000000" w:themeColor="text1"/>
          <w:sz w:val="24"/>
          <w:szCs w:val="24"/>
        </w:rPr>
        <w:t>Bebell</w:t>
      </w:r>
      <w:proofErr w:type="spellEnd"/>
      <w:r w:rsidRPr="002A492F">
        <w:rPr>
          <w:rFonts w:asciiTheme="minorBidi" w:eastAsia="system-ui" w:hAnsiTheme="minorBidi"/>
          <w:color w:val="000000" w:themeColor="text1"/>
          <w:sz w:val="24"/>
          <w:szCs w:val="24"/>
        </w:rPr>
        <w:t>, D</w:t>
      </w:r>
      <w:r w:rsidR="002A492F" w:rsidRPr="002A492F">
        <w:rPr>
          <w:rFonts w:asciiTheme="minorBidi" w:eastAsia="system-ui" w:hAnsiTheme="minorBidi"/>
          <w:color w:val="000000" w:themeColor="text1"/>
          <w:sz w:val="24"/>
          <w:szCs w:val="24"/>
        </w:rPr>
        <w:t xml:space="preserve"> and</w:t>
      </w:r>
      <w:r w:rsidRPr="002A492F">
        <w:rPr>
          <w:rFonts w:asciiTheme="minorBidi" w:eastAsia="system-ui" w:hAnsiTheme="minorBidi"/>
          <w:color w:val="000000" w:themeColor="text1"/>
          <w:sz w:val="24"/>
          <w:szCs w:val="24"/>
        </w:rPr>
        <w:t xml:space="preserve"> O'Dwyer, L. M. (2010). ‘Educational Outcomes and Research from 1:1 Computing Settings’. </w:t>
      </w:r>
      <w:r w:rsidRPr="002A492F">
        <w:rPr>
          <w:rFonts w:asciiTheme="minorBidi" w:eastAsia="system-ui" w:hAnsiTheme="minorBidi"/>
          <w:i/>
          <w:iCs/>
          <w:color w:val="000000" w:themeColor="text1"/>
          <w:sz w:val="24"/>
          <w:szCs w:val="24"/>
        </w:rPr>
        <w:t>Journal of Technology, Learning, and Assessment, 9</w:t>
      </w:r>
      <w:r w:rsidRPr="002A492F">
        <w:rPr>
          <w:rFonts w:asciiTheme="minorBidi" w:eastAsia="system-ui" w:hAnsiTheme="minorBidi"/>
          <w:color w:val="000000" w:themeColor="text1"/>
          <w:sz w:val="24"/>
          <w:szCs w:val="24"/>
        </w:rPr>
        <w:t>(1), 1–32.</w:t>
      </w:r>
    </w:p>
    <w:p w14:paraId="5AAB147E"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Beckem, J and Watkins, R. (2012). ‘Exploring the use of games and simulations in higher education.’ In T. </w:t>
      </w:r>
      <w:proofErr w:type="spellStart"/>
      <w:r w:rsidRPr="0099000F">
        <w:rPr>
          <w:rFonts w:asciiTheme="minorBidi" w:eastAsia="system-ui" w:hAnsiTheme="minorBidi"/>
          <w:color w:val="000000" w:themeColor="text1"/>
          <w:sz w:val="24"/>
          <w:szCs w:val="24"/>
        </w:rPr>
        <w:t>Bastiaens</w:t>
      </w:r>
      <w:proofErr w:type="spellEnd"/>
      <w:r w:rsidRPr="0099000F">
        <w:rPr>
          <w:rFonts w:asciiTheme="minorBidi" w:eastAsia="system-ui" w:hAnsiTheme="minorBidi"/>
          <w:color w:val="000000" w:themeColor="text1"/>
          <w:sz w:val="24"/>
          <w:szCs w:val="24"/>
        </w:rPr>
        <w:t xml:space="preserve"> &amp; G. Marks (eds), </w:t>
      </w:r>
      <w:r w:rsidRPr="005E63EB">
        <w:rPr>
          <w:rFonts w:asciiTheme="minorBidi" w:eastAsia="system-ui" w:hAnsiTheme="minorBidi"/>
          <w:i/>
          <w:iCs/>
          <w:color w:val="000000" w:themeColor="text1"/>
          <w:sz w:val="24"/>
          <w:szCs w:val="24"/>
        </w:rPr>
        <w:t xml:space="preserve">Proceedings of World Conference on E-Learning in Corporate, Government, Healthcare, and Higher Education </w:t>
      </w:r>
      <w:r w:rsidRPr="0099000F">
        <w:rPr>
          <w:rFonts w:asciiTheme="minorBidi" w:eastAsia="system-ui" w:hAnsiTheme="minorBidi"/>
          <w:color w:val="000000" w:themeColor="text1"/>
          <w:sz w:val="24"/>
          <w:szCs w:val="24"/>
        </w:rPr>
        <w:t>(pp. 65–73). Association for the Advancement of Computing in Education (AACE).</w:t>
      </w:r>
    </w:p>
    <w:p w14:paraId="703E0F92"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Beckem, J. I and Watkins, M. (2012). ‘Bringing life to learning: Immersive experiential learning simulations for online and blended courses.’ </w:t>
      </w:r>
      <w:r w:rsidRPr="00AA75E1">
        <w:rPr>
          <w:rFonts w:asciiTheme="minorBidi" w:eastAsia="system-ui" w:hAnsiTheme="minorBidi"/>
          <w:i/>
          <w:iCs/>
          <w:color w:val="000000" w:themeColor="text1"/>
          <w:sz w:val="24"/>
          <w:szCs w:val="24"/>
        </w:rPr>
        <w:t>Journal of Asynchronous Learning Networks,</w:t>
      </w:r>
      <w:r w:rsidRPr="0099000F">
        <w:rPr>
          <w:rFonts w:asciiTheme="minorBidi" w:eastAsia="system-ui" w:hAnsiTheme="minorBidi"/>
          <w:color w:val="000000" w:themeColor="text1"/>
          <w:sz w:val="24"/>
          <w:szCs w:val="24"/>
        </w:rPr>
        <w:t xml:space="preserve"> 16(5), 61–70. DOI: https://doi.org/10.24059/olj.v16i5.287. </w:t>
      </w:r>
    </w:p>
    <w:p w14:paraId="17E8402A" w14:textId="0D68F666" w:rsidR="00021535" w:rsidRPr="002A492F" w:rsidRDefault="00021535" w:rsidP="00FC5CBE">
      <w:pPr>
        <w:spacing w:line="240" w:lineRule="auto"/>
        <w:ind w:left="680" w:hanging="720"/>
        <w:rPr>
          <w:rFonts w:asciiTheme="minorBidi" w:eastAsia="system-ui" w:hAnsiTheme="minorBidi"/>
          <w:color w:val="000000" w:themeColor="text1"/>
          <w:sz w:val="24"/>
          <w:szCs w:val="24"/>
        </w:rPr>
      </w:pPr>
      <w:r w:rsidRPr="002A492F">
        <w:rPr>
          <w:rFonts w:asciiTheme="minorBidi" w:eastAsia="system-ui" w:hAnsiTheme="minorBidi"/>
          <w:color w:val="000000" w:themeColor="text1"/>
          <w:sz w:val="24"/>
          <w:szCs w:val="24"/>
        </w:rPr>
        <w:t xml:space="preserve">Bernard, R. M., </w:t>
      </w:r>
      <w:proofErr w:type="spellStart"/>
      <w:r w:rsidRPr="002A492F">
        <w:rPr>
          <w:rFonts w:asciiTheme="minorBidi" w:eastAsia="system-ui" w:hAnsiTheme="minorBidi"/>
          <w:color w:val="000000" w:themeColor="text1"/>
          <w:sz w:val="24"/>
          <w:szCs w:val="24"/>
        </w:rPr>
        <w:t>Borokhovski</w:t>
      </w:r>
      <w:proofErr w:type="spellEnd"/>
      <w:r w:rsidRPr="002A492F">
        <w:rPr>
          <w:rFonts w:asciiTheme="minorBidi" w:eastAsia="system-ui" w:hAnsiTheme="minorBidi"/>
          <w:color w:val="000000" w:themeColor="text1"/>
          <w:sz w:val="24"/>
          <w:szCs w:val="24"/>
        </w:rPr>
        <w:t xml:space="preserve">, E., Schmid, R. F., Tamim, R. M., &amp; Abrami, P. C. (2014). ‘A Meta-Analysis of Blended Learning and Technology Use in Higher Education: From the General to the Applied’. </w:t>
      </w:r>
      <w:r w:rsidRPr="002A492F">
        <w:rPr>
          <w:rFonts w:asciiTheme="minorBidi" w:eastAsia="system-ui" w:hAnsiTheme="minorBidi"/>
          <w:i/>
          <w:iCs/>
          <w:color w:val="000000" w:themeColor="text1"/>
          <w:sz w:val="24"/>
          <w:szCs w:val="24"/>
        </w:rPr>
        <w:t>Journal of Computing in Higher Education, 26</w:t>
      </w:r>
      <w:r w:rsidRPr="002A492F">
        <w:rPr>
          <w:rFonts w:asciiTheme="minorBidi" w:eastAsia="system-ui" w:hAnsiTheme="minorBidi"/>
          <w:color w:val="000000" w:themeColor="text1"/>
          <w:sz w:val="24"/>
          <w:szCs w:val="24"/>
        </w:rPr>
        <w:t xml:space="preserve">(1), 87–122. </w:t>
      </w:r>
      <w:r w:rsidR="002A492F" w:rsidRPr="002A492F">
        <w:rPr>
          <w:rFonts w:asciiTheme="minorBidi" w:eastAsia="system-ui" w:hAnsiTheme="minorBidi"/>
          <w:color w:val="000000" w:themeColor="text1"/>
          <w:sz w:val="24"/>
          <w:szCs w:val="24"/>
        </w:rPr>
        <w:t xml:space="preserve">DOI: </w:t>
      </w:r>
      <w:hyperlink r:id="rId9" w:history="1">
        <w:r w:rsidR="002A492F" w:rsidRPr="002A492F">
          <w:rPr>
            <w:rStyle w:val="Hyperlink"/>
            <w:rFonts w:asciiTheme="minorBidi" w:eastAsia="system-ui" w:hAnsiTheme="minorBidi"/>
            <w:sz w:val="24"/>
            <w:szCs w:val="24"/>
          </w:rPr>
          <w:t>https://doi.org/10.1007/s12528-013-9077-3</w:t>
        </w:r>
      </w:hyperlink>
    </w:p>
    <w:p w14:paraId="43F242EE"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Bista, K. (2015). ‘Is Twitter an effective pedagogical tool in higher education? Perspectives of education graduate students.’ </w:t>
      </w:r>
      <w:r w:rsidRPr="00AA75E1">
        <w:rPr>
          <w:rFonts w:asciiTheme="minorBidi" w:eastAsia="system-ui" w:hAnsiTheme="minorBidi"/>
          <w:i/>
          <w:iCs/>
          <w:color w:val="000000" w:themeColor="text1"/>
          <w:sz w:val="24"/>
          <w:szCs w:val="24"/>
        </w:rPr>
        <w:t xml:space="preserve">Journal of the Scholarship </w:t>
      </w:r>
      <w:proofErr w:type="gramStart"/>
      <w:r w:rsidRPr="00AA75E1">
        <w:rPr>
          <w:rFonts w:asciiTheme="minorBidi" w:eastAsia="system-ui" w:hAnsiTheme="minorBidi"/>
          <w:i/>
          <w:iCs/>
          <w:color w:val="000000" w:themeColor="text1"/>
          <w:sz w:val="24"/>
          <w:szCs w:val="24"/>
        </w:rPr>
        <w:t>Of</w:t>
      </w:r>
      <w:proofErr w:type="gramEnd"/>
      <w:r w:rsidRPr="00AA75E1">
        <w:rPr>
          <w:rFonts w:asciiTheme="minorBidi" w:eastAsia="system-ui" w:hAnsiTheme="minorBidi"/>
          <w:i/>
          <w:iCs/>
          <w:color w:val="000000" w:themeColor="text1"/>
          <w:sz w:val="24"/>
          <w:szCs w:val="24"/>
        </w:rPr>
        <w:t xml:space="preserve"> Teaching And Learning</w:t>
      </w:r>
      <w:r w:rsidRPr="0099000F">
        <w:rPr>
          <w:rFonts w:asciiTheme="minorBidi" w:eastAsia="system-ui" w:hAnsiTheme="minorBidi"/>
          <w:color w:val="000000" w:themeColor="text1"/>
          <w:sz w:val="24"/>
          <w:szCs w:val="24"/>
        </w:rPr>
        <w:t>, 15(2), 83–102. DOI: https://doi.org/10.14434/josotl.v15i2</w:t>
      </w:r>
    </w:p>
    <w:p w14:paraId="3FFE7CBA" w14:textId="77777777" w:rsidR="00021535" w:rsidRPr="00937F78" w:rsidRDefault="00021535" w:rsidP="00FC5CBE">
      <w:pPr>
        <w:spacing w:line="240" w:lineRule="auto"/>
        <w:ind w:left="680" w:hanging="720"/>
        <w:rPr>
          <w:rFonts w:asciiTheme="minorBidi" w:hAnsiTheme="minorBidi"/>
          <w:sz w:val="24"/>
          <w:szCs w:val="24"/>
        </w:rPr>
      </w:pPr>
      <w:r w:rsidRPr="009D07D1">
        <w:rPr>
          <w:rFonts w:asciiTheme="minorBidi" w:eastAsia="system-ui" w:hAnsiTheme="minorBidi"/>
          <w:color w:val="000000" w:themeColor="text1"/>
          <w:sz w:val="24"/>
          <w:szCs w:val="24"/>
        </w:rPr>
        <w:t xml:space="preserve">Bower, M. (2016). </w:t>
      </w:r>
      <w:r w:rsidRPr="009D07D1">
        <w:rPr>
          <w:rFonts w:asciiTheme="minorBidi" w:eastAsia="system-ui" w:hAnsiTheme="minorBidi"/>
          <w:i/>
          <w:iCs/>
          <w:color w:val="000000" w:themeColor="text1"/>
          <w:sz w:val="24"/>
          <w:szCs w:val="24"/>
        </w:rPr>
        <w:t>Designing for learning: Online social networks as a classroom environment</w:t>
      </w:r>
      <w:r w:rsidRPr="009D07D1">
        <w:rPr>
          <w:rFonts w:asciiTheme="minorBidi" w:eastAsia="system-ui" w:hAnsiTheme="minorBidi"/>
          <w:color w:val="000000" w:themeColor="text1"/>
          <w:sz w:val="24"/>
          <w:szCs w:val="24"/>
        </w:rPr>
        <w:t>. Springer.</w:t>
      </w:r>
    </w:p>
    <w:p w14:paraId="2103C45D"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Brown, J. D. (2018). ‘Technology interface: A conceptual framework.’ </w:t>
      </w:r>
      <w:r w:rsidRPr="00AA75E1">
        <w:rPr>
          <w:rFonts w:asciiTheme="minorBidi" w:eastAsia="system-ui" w:hAnsiTheme="minorBidi"/>
          <w:i/>
          <w:iCs/>
          <w:color w:val="000000" w:themeColor="text1"/>
          <w:sz w:val="24"/>
          <w:szCs w:val="24"/>
        </w:rPr>
        <w:t>Journal of Human-Computer Interaction,</w:t>
      </w:r>
      <w:r w:rsidRPr="0099000F">
        <w:rPr>
          <w:rFonts w:asciiTheme="minorBidi" w:eastAsia="system-ui" w:hAnsiTheme="minorBidi"/>
          <w:color w:val="000000" w:themeColor="text1"/>
          <w:sz w:val="24"/>
          <w:szCs w:val="24"/>
        </w:rPr>
        <w:t xml:space="preserve"> 34(3), 275–289.</w:t>
      </w:r>
    </w:p>
    <w:p w14:paraId="2890E0A1" w14:textId="5425B6D4" w:rsidR="00021535" w:rsidRPr="00384818" w:rsidRDefault="00021535" w:rsidP="00FC5CBE">
      <w:pPr>
        <w:spacing w:line="240" w:lineRule="auto"/>
        <w:ind w:left="680" w:hanging="720"/>
        <w:rPr>
          <w:rFonts w:asciiTheme="minorBidi" w:eastAsia="system-ui" w:hAnsiTheme="minorBidi"/>
          <w:color w:val="000000" w:themeColor="text1"/>
          <w:sz w:val="24"/>
          <w:szCs w:val="24"/>
        </w:rPr>
      </w:pPr>
      <w:proofErr w:type="spellStart"/>
      <w:r w:rsidRPr="00384818">
        <w:rPr>
          <w:rFonts w:asciiTheme="minorBidi" w:eastAsia="system-ui" w:hAnsiTheme="minorBidi"/>
          <w:color w:val="000000" w:themeColor="text1"/>
          <w:sz w:val="24"/>
          <w:szCs w:val="24"/>
        </w:rPr>
        <w:t>Center</w:t>
      </w:r>
      <w:proofErr w:type="spellEnd"/>
      <w:r w:rsidRPr="00384818">
        <w:rPr>
          <w:rFonts w:asciiTheme="minorBidi" w:eastAsia="system-ui" w:hAnsiTheme="minorBidi"/>
          <w:color w:val="000000" w:themeColor="text1"/>
          <w:sz w:val="24"/>
          <w:szCs w:val="24"/>
        </w:rPr>
        <w:t xml:space="preserve"> for Postsecondary Research. (2017). </w:t>
      </w:r>
      <w:r w:rsidRPr="00384818">
        <w:rPr>
          <w:rFonts w:asciiTheme="minorBidi" w:eastAsia="system-ui" w:hAnsiTheme="minorBidi"/>
          <w:i/>
          <w:iCs/>
          <w:color w:val="000000" w:themeColor="text1"/>
          <w:sz w:val="24"/>
          <w:szCs w:val="24"/>
        </w:rPr>
        <w:t>National Survey of Student Engagement (NSSE)</w:t>
      </w:r>
      <w:r w:rsidR="00A43632" w:rsidRPr="007B2554">
        <w:rPr>
          <w:rFonts w:asciiTheme="minorBidi" w:eastAsia="system-ui" w:hAnsiTheme="minorBidi"/>
          <w:i/>
          <w:iCs/>
          <w:color w:val="000000" w:themeColor="text1"/>
          <w:sz w:val="24"/>
          <w:szCs w:val="24"/>
        </w:rPr>
        <w:t xml:space="preserve">. </w:t>
      </w:r>
      <w:r w:rsidR="00A43632" w:rsidRPr="007B2554">
        <w:rPr>
          <w:rFonts w:asciiTheme="minorBidi" w:eastAsia="system-ui" w:hAnsiTheme="minorBidi"/>
          <w:color w:val="000000" w:themeColor="text1"/>
          <w:sz w:val="24"/>
          <w:szCs w:val="24"/>
        </w:rPr>
        <w:t>Available at:</w:t>
      </w:r>
      <w:r w:rsidR="00A43632" w:rsidRPr="007B2554">
        <w:rPr>
          <w:rFonts w:asciiTheme="minorBidi" w:eastAsia="system-ui" w:hAnsiTheme="minorBidi"/>
          <w:i/>
          <w:iCs/>
          <w:color w:val="000000" w:themeColor="text1"/>
          <w:sz w:val="24"/>
          <w:szCs w:val="24"/>
        </w:rPr>
        <w:t xml:space="preserve"> </w:t>
      </w:r>
      <w:hyperlink r:id="rId10">
        <w:r w:rsidRPr="00384818">
          <w:rPr>
            <w:rStyle w:val="Hyperlink"/>
            <w:rFonts w:asciiTheme="minorBidi" w:eastAsia="system-ui" w:hAnsiTheme="minorBidi"/>
            <w:sz w:val="24"/>
            <w:szCs w:val="24"/>
          </w:rPr>
          <w:t>https://nsse.indiana.edu/</w:t>
        </w:r>
      </w:hyperlink>
      <w:r w:rsidR="00A43632" w:rsidRPr="007B2554">
        <w:rPr>
          <w:rFonts w:asciiTheme="minorBidi" w:eastAsia="system-ui" w:hAnsiTheme="minorBidi"/>
          <w:color w:val="000000" w:themeColor="text1"/>
          <w:sz w:val="24"/>
          <w:szCs w:val="24"/>
        </w:rPr>
        <w:t xml:space="preserve"> (Accessed: </w:t>
      </w:r>
      <w:r w:rsidR="007B2554" w:rsidRPr="007B2554">
        <w:rPr>
          <w:rFonts w:asciiTheme="minorBidi" w:eastAsia="system-ui" w:hAnsiTheme="minorBidi"/>
          <w:color w:val="000000" w:themeColor="text1"/>
          <w:sz w:val="24"/>
          <w:szCs w:val="24"/>
        </w:rPr>
        <w:t>15 March 2024)</w:t>
      </w:r>
    </w:p>
    <w:p w14:paraId="60D8BBCF"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Chu, S. K., Chan, C. K </w:t>
      </w:r>
      <w:proofErr w:type="gramStart"/>
      <w:r w:rsidRPr="0099000F">
        <w:rPr>
          <w:rFonts w:asciiTheme="minorBidi" w:eastAsia="system-ui" w:hAnsiTheme="minorBidi"/>
          <w:color w:val="000000" w:themeColor="text1"/>
          <w:sz w:val="24"/>
          <w:szCs w:val="24"/>
        </w:rPr>
        <w:t>and  Tiwari</w:t>
      </w:r>
      <w:proofErr w:type="gramEnd"/>
      <w:r w:rsidRPr="0099000F">
        <w:rPr>
          <w:rFonts w:asciiTheme="minorBidi" w:eastAsia="system-ui" w:hAnsiTheme="minorBidi"/>
          <w:color w:val="000000" w:themeColor="text1"/>
          <w:sz w:val="24"/>
          <w:szCs w:val="24"/>
        </w:rPr>
        <w:t xml:space="preserve">, A. F. (2012). ‘Using blogs to support learning during internship’, </w:t>
      </w:r>
      <w:r w:rsidRPr="00AA75E1">
        <w:rPr>
          <w:rFonts w:asciiTheme="minorBidi" w:eastAsia="system-ui" w:hAnsiTheme="minorBidi"/>
          <w:i/>
          <w:iCs/>
          <w:color w:val="000000" w:themeColor="text1"/>
          <w:sz w:val="24"/>
          <w:szCs w:val="24"/>
        </w:rPr>
        <w:t>Computers &amp; Education,</w:t>
      </w:r>
      <w:r w:rsidRPr="0099000F">
        <w:rPr>
          <w:rFonts w:asciiTheme="minorBidi" w:eastAsia="system-ui" w:hAnsiTheme="minorBidi"/>
          <w:color w:val="000000" w:themeColor="text1"/>
          <w:sz w:val="24"/>
          <w:szCs w:val="24"/>
        </w:rPr>
        <w:t xml:space="preserve"> 58(3), 989–1000. DOI: 10.1016/j.compedu.2011.08.027.</w:t>
      </w:r>
    </w:p>
    <w:p w14:paraId="75A9F140" w14:textId="14D7AF97"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 xml:space="preserve">Cuban, L. (1993). </w:t>
      </w:r>
      <w:r w:rsidRPr="00384818">
        <w:rPr>
          <w:rFonts w:asciiTheme="minorBidi" w:eastAsia="system-ui" w:hAnsiTheme="minorBidi"/>
          <w:i/>
          <w:iCs/>
          <w:color w:val="000000" w:themeColor="text1"/>
          <w:sz w:val="24"/>
          <w:szCs w:val="24"/>
        </w:rPr>
        <w:t>How Teachers Taught: Constancy and Change in American Classrooms, 1890-1980.</w:t>
      </w:r>
      <w:r w:rsidRPr="00384818">
        <w:rPr>
          <w:rFonts w:asciiTheme="minorBidi" w:eastAsia="system-ui" w:hAnsiTheme="minorBidi"/>
          <w:color w:val="000000" w:themeColor="text1"/>
          <w:sz w:val="24"/>
          <w:szCs w:val="24"/>
        </w:rPr>
        <w:t xml:space="preserve"> </w:t>
      </w:r>
      <w:r w:rsidR="006D650C" w:rsidRPr="006D650C">
        <w:rPr>
          <w:rFonts w:asciiTheme="minorBidi" w:eastAsia="system-ui" w:hAnsiTheme="minorBidi"/>
          <w:color w:val="000000" w:themeColor="text1"/>
          <w:sz w:val="24"/>
          <w:szCs w:val="24"/>
        </w:rPr>
        <w:t xml:space="preserve">New York: </w:t>
      </w:r>
      <w:r w:rsidRPr="00384818">
        <w:rPr>
          <w:rFonts w:asciiTheme="minorBidi" w:eastAsia="system-ui" w:hAnsiTheme="minorBidi"/>
          <w:color w:val="000000" w:themeColor="text1"/>
          <w:sz w:val="24"/>
          <w:szCs w:val="24"/>
        </w:rPr>
        <w:t>Teachers College Press.</w:t>
      </w:r>
    </w:p>
    <w:p w14:paraId="13992A86" w14:textId="046AAEB1" w:rsidR="00021535" w:rsidRPr="000A7F0D" w:rsidRDefault="00021535" w:rsidP="00FC5CBE">
      <w:pPr>
        <w:spacing w:line="240" w:lineRule="auto"/>
        <w:ind w:left="680" w:hanging="720"/>
        <w:rPr>
          <w:rFonts w:asciiTheme="minorBidi" w:eastAsia="system-ui" w:hAnsiTheme="minorBidi"/>
          <w:color w:val="000000" w:themeColor="text1"/>
          <w:sz w:val="24"/>
          <w:szCs w:val="24"/>
        </w:rPr>
      </w:pPr>
      <w:r w:rsidRPr="000A7F0D">
        <w:rPr>
          <w:rFonts w:asciiTheme="minorBidi" w:eastAsia="system-ui" w:hAnsiTheme="minorBidi"/>
          <w:color w:val="000000" w:themeColor="text1"/>
          <w:sz w:val="24"/>
          <w:szCs w:val="24"/>
        </w:rPr>
        <w:t>El Mansour, B</w:t>
      </w:r>
      <w:r w:rsidR="006D650C" w:rsidRPr="000A7F0D">
        <w:rPr>
          <w:rFonts w:asciiTheme="minorBidi" w:eastAsia="system-ui" w:hAnsiTheme="minorBidi"/>
          <w:color w:val="000000" w:themeColor="text1"/>
          <w:sz w:val="24"/>
          <w:szCs w:val="24"/>
        </w:rPr>
        <w:t xml:space="preserve"> and</w:t>
      </w:r>
      <w:r w:rsidRPr="000A7F0D">
        <w:rPr>
          <w:rFonts w:asciiTheme="minorBidi" w:eastAsia="system-ui" w:hAnsiTheme="minorBidi"/>
          <w:color w:val="000000" w:themeColor="text1"/>
          <w:sz w:val="24"/>
          <w:szCs w:val="24"/>
        </w:rPr>
        <w:t xml:space="preserve"> </w:t>
      </w:r>
      <w:proofErr w:type="spellStart"/>
      <w:r w:rsidRPr="000A7F0D">
        <w:rPr>
          <w:rFonts w:asciiTheme="minorBidi" w:eastAsia="system-ui" w:hAnsiTheme="minorBidi"/>
          <w:color w:val="000000" w:themeColor="text1"/>
          <w:sz w:val="24"/>
          <w:szCs w:val="24"/>
        </w:rPr>
        <w:t>Mupinga</w:t>
      </w:r>
      <w:proofErr w:type="spellEnd"/>
      <w:r w:rsidRPr="000A7F0D">
        <w:rPr>
          <w:rFonts w:asciiTheme="minorBidi" w:eastAsia="system-ui" w:hAnsiTheme="minorBidi"/>
          <w:color w:val="000000" w:themeColor="text1"/>
          <w:sz w:val="24"/>
          <w:szCs w:val="24"/>
        </w:rPr>
        <w:t xml:space="preserve">, D. M. (2020). ‘Students’ positive and negative experiences in hybrid and online </w:t>
      </w:r>
      <w:proofErr w:type="gramStart"/>
      <w:r w:rsidRPr="000A7F0D">
        <w:rPr>
          <w:rFonts w:asciiTheme="minorBidi" w:eastAsia="system-ui" w:hAnsiTheme="minorBidi"/>
          <w:color w:val="000000" w:themeColor="text1"/>
          <w:sz w:val="24"/>
          <w:szCs w:val="24"/>
        </w:rPr>
        <w:t>classes’</w:t>
      </w:r>
      <w:proofErr w:type="gramEnd"/>
      <w:r w:rsidRPr="000A7F0D">
        <w:rPr>
          <w:rFonts w:asciiTheme="minorBidi" w:eastAsia="system-ui" w:hAnsiTheme="minorBidi"/>
          <w:color w:val="000000" w:themeColor="text1"/>
          <w:sz w:val="24"/>
          <w:szCs w:val="24"/>
        </w:rPr>
        <w:t xml:space="preserve">. </w:t>
      </w:r>
      <w:r w:rsidRPr="000A7F0D">
        <w:rPr>
          <w:rFonts w:asciiTheme="minorBidi" w:eastAsia="system-ui" w:hAnsiTheme="minorBidi"/>
          <w:i/>
          <w:iCs/>
          <w:color w:val="000000" w:themeColor="text1"/>
          <w:sz w:val="24"/>
          <w:szCs w:val="24"/>
        </w:rPr>
        <w:t>Quarterly Review of Distance Education</w:t>
      </w:r>
      <w:r w:rsidRPr="000A7F0D">
        <w:rPr>
          <w:rFonts w:asciiTheme="minorBidi" w:eastAsia="system-ui" w:hAnsiTheme="minorBidi"/>
          <w:color w:val="000000" w:themeColor="text1"/>
          <w:sz w:val="24"/>
          <w:szCs w:val="24"/>
        </w:rPr>
        <w:t>, 21(3), 11–30.</w:t>
      </w:r>
    </w:p>
    <w:p w14:paraId="76011D56" w14:textId="091493BF" w:rsidR="00021535" w:rsidRPr="000A7F0D" w:rsidRDefault="00021535" w:rsidP="00FC5CBE">
      <w:pPr>
        <w:spacing w:line="240" w:lineRule="auto"/>
        <w:ind w:left="680" w:hanging="720"/>
        <w:rPr>
          <w:rFonts w:asciiTheme="minorBidi" w:eastAsia="system-ui" w:hAnsiTheme="minorBidi"/>
          <w:color w:val="000000" w:themeColor="text1"/>
          <w:sz w:val="24"/>
          <w:szCs w:val="24"/>
        </w:rPr>
      </w:pPr>
      <w:r w:rsidRPr="000A7F0D">
        <w:rPr>
          <w:rFonts w:asciiTheme="minorBidi" w:eastAsia="system-ui" w:hAnsiTheme="minorBidi"/>
          <w:color w:val="000000" w:themeColor="text1"/>
          <w:sz w:val="24"/>
          <w:szCs w:val="24"/>
        </w:rPr>
        <w:t xml:space="preserve">European Commission. (2020). </w:t>
      </w:r>
      <w:r w:rsidRPr="000A7F0D">
        <w:rPr>
          <w:rFonts w:asciiTheme="minorBidi" w:eastAsia="system-ui" w:hAnsiTheme="minorBidi"/>
          <w:i/>
          <w:iCs/>
          <w:color w:val="000000" w:themeColor="text1"/>
          <w:sz w:val="24"/>
          <w:szCs w:val="24"/>
        </w:rPr>
        <w:t>European Digital Education Action Plan</w:t>
      </w:r>
      <w:r w:rsidRPr="000A7F0D">
        <w:rPr>
          <w:rFonts w:asciiTheme="minorBidi" w:eastAsia="system-ui" w:hAnsiTheme="minorBidi"/>
          <w:color w:val="000000" w:themeColor="text1"/>
          <w:sz w:val="24"/>
          <w:szCs w:val="24"/>
        </w:rPr>
        <w:t xml:space="preserve">. </w:t>
      </w:r>
      <w:r w:rsidR="000A7F0D" w:rsidRPr="000A7F0D">
        <w:rPr>
          <w:rFonts w:asciiTheme="minorBidi" w:eastAsia="system-ui" w:hAnsiTheme="minorBidi"/>
          <w:color w:val="000000" w:themeColor="text1"/>
          <w:sz w:val="24"/>
          <w:szCs w:val="24"/>
        </w:rPr>
        <w:t xml:space="preserve">Available at: </w:t>
      </w:r>
      <w:r w:rsidRPr="000A7F0D">
        <w:rPr>
          <w:rFonts w:asciiTheme="minorBidi" w:eastAsia="system-ui" w:hAnsiTheme="minorBidi"/>
          <w:color w:val="000000" w:themeColor="text1"/>
          <w:sz w:val="24"/>
          <w:szCs w:val="24"/>
        </w:rPr>
        <w:t xml:space="preserve"> </w:t>
      </w:r>
      <w:hyperlink r:id="rId11">
        <w:r w:rsidRPr="000A7F0D">
          <w:rPr>
            <w:rStyle w:val="Hyperlink"/>
            <w:rFonts w:asciiTheme="minorBidi" w:eastAsia="system-ui" w:hAnsiTheme="minorBidi"/>
            <w:sz w:val="24"/>
            <w:szCs w:val="24"/>
          </w:rPr>
          <w:t>https://ec.europa.eu/education/education-in-the-eu/digital-education-action-plan_en</w:t>
        </w:r>
      </w:hyperlink>
      <w:r w:rsidR="000A7F0D" w:rsidRPr="000A7F0D">
        <w:rPr>
          <w:rStyle w:val="Hyperlink"/>
          <w:rFonts w:asciiTheme="minorBidi" w:eastAsia="system-ui" w:hAnsiTheme="minorBidi"/>
          <w:sz w:val="24"/>
          <w:szCs w:val="24"/>
        </w:rPr>
        <w:t xml:space="preserve"> </w:t>
      </w:r>
      <w:r w:rsidR="000A7F0D" w:rsidRPr="007B2554">
        <w:rPr>
          <w:rFonts w:asciiTheme="minorBidi" w:eastAsia="system-ui" w:hAnsiTheme="minorBidi"/>
          <w:color w:val="000000" w:themeColor="text1"/>
          <w:sz w:val="24"/>
          <w:szCs w:val="24"/>
        </w:rPr>
        <w:t>(Accessed: 15 March 2024)</w:t>
      </w:r>
    </w:p>
    <w:p w14:paraId="23CF5119"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Farley, H. (2013). ‘Digital games and higher education: Are </w:t>
      </w:r>
      <w:proofErr w:type="spellStart"/>
      <w:r w:rsidRPr="0099000F">
        <w:rPr>
          <w:rFonts w:asciiTheme="minorBidi" w:eastAsia="system-ui" w:hAnsiTheme="minorBidi"/>
          <w:color w:val="000000" w:themeColor="text1"/>
          <w:sz w:val="24"/>
          <w:szCs w:val="24"/>
        </w:rPr>
        <w:t>EDUgames</w:t>
      </w:r>
      <w:proofErr w:type="spellEnd"/>
      <w:r w:rsidRPr="0099000F">
        <w:rPr>
          <w:rFonts w:asciiTheme="minorBidi" w:eastAsia="system-ui" w:hAnsiTheme="minorBidi"/>
          <w:color w:val="000000" w:themeColor="text1"/>
          <w:sz w:val="24"/>
          <w:szCs w:val="24"/>
        </w:rPr>
        <w:t xml:space="preserve"> engaging?’ In Smelser, R.M and Baltes, B. P (eds), </w:t>
      </w:r>
      <w:r w:rsidRPr="000A7F0D">
        <w:rPr>
          <w:rFonts w:asciiTheme="minorBidi" w:eastAsia="system-ui" w:hAnsiTheme="minorBidi"/>
          <w:i/>
          <w:iCs/>
          <w:color w:val="000000" w:themeColor="text1"/>
          <w:sz w:val="24"/>
          <w:szCs w:val="24"/>
        </w:rPr>
        <w:t xml:space="preserve">International </w:t>
      </w:r>
      <w:proofErr w:type="spellStart"/>
      <w:r w:rsidRPr="000A7F0D">
        <w:rPr>
          <w:rFonts w:asciiTheme="minorBidi" w:eastAsia="system-ui" w:hAnsiTheme="minorBidi"/>
          <w:i/>
          <w:iCs/>
          <w:color w:val="000000" w:themeColor="text1"/>
          <w:sz w:val="24"/>
          <w:szCs w:val="24"/>
        </w:rPr>
        <w:t>Encyclopedia</w:t>
      </w:r>
      <w:proofErr w:type="spellEnd"/>
      <w:r w:rsidRPr="000A7F0D">
        <w:rPr>
          <w:rFonts w:asciiTheme="minorBidi" w:eastAsia="system-ui" w:hAnsiTheme="minorBidi"/>
          <w:i/>
          <w:iCs/>
          <w:color w:val="000000" w:themeColor="text1"/>
          <w:sz w:val="24"/>
          <w:szCs w:val="24"/>
        </w:rPr>
        <w:t xml:space="preserve"> of Education</w:t>
      </w:r>
      <w:r w:rsidRPr="0099000F">
        <w:rPr>
          <w:rFonts w:asciiTheme="minorBidi" w:eastAsia="system-ui" w:hAnsiTheme="minorBidi"/>
          <w:color w:val="000000" w:themeColor="text1"/>
          <w:sz w:val="24"/>
          <w:szCs w:val="24"/>
        </w:rPr>
        <w:t>. Elsevier, pp. 542–548.</w:t>
      </w:r>
    </w:p>
    <w:p w14:paraId="6366F270" w14:textId="5BA96C54" w:rsidR="00021535" w:rsidRPr="000A7F0D" w:rsidRDefault="00021535" w:rsidP="00FC5CBE">
      <w:pPr>
        <w:spacing w:line="240" w:lineRule="auto"/>
        <w:ind w:left="680" w:hanging="720"/>
        <w:rPr>
          <w:rFonts w:asciiTheme="minorBidi" w:eastAsia="system-ui" w:hAnsiTheme="minorBidi"/>
          <w:color w:val="000000" w:themeColor="text1"/>
          <w:sz w:val="24"/>
          <w:szCs w:val="24"/>
        </w:rPr>
      </w:pPr>
      <w:r w:rsidRPr="000A7F0D">
        <w:rPr>
          <w:rFonts w:asciiTheme="minorBidi" w:eastAsia="system-ui" w:hAnsiTheme="minorBidi"/>
          <w:color w:val="000000" w:themeColor="text1"/>
          <w:sz w:val="24"/>
          <w:szCs w:val="24"/>
        </w:rPr>
        <w:t>Finn, J.D and Zimmer, K.S. (2012)</w:t>
      </w:r>
      <w:r w:rsidR="000A7F0D" w:rsidRPr="000A7F0D">
        <w:rPr>
          <w:rFonts w:asciiTheme="minorBidi" w:eastAsia="system-ui" w:hAnsiTheme="minorBidi"/>
          <w:color w:val="000000" w:themeColor="text1"/>
          <w:sz w:val="24"/>
          <w:szCs w:val="24"/>
        </w:rPr>
        <w:t xml:space="preserve"> </w:t>
      </w:r>
      <w:r w:rsidR="000A7F0D">
        <w:rPr>
          <w:rFonts w:asciiTheme="minorBidi" w:eastAsia="system-ui" w:hAnsiTheme="minorBidi"/>
          <w:color w:val="000000" w:themeColor="text1"/>
          <w:sz w:val="24"/>
          <w:szCs w:val="24"/>
        </w:rPr>
        <w:t>‘</w:t>
      </w:r>
      <w:r w:rsidRPr="0099000F">
        <w:rPr>
          <w:rFonts w:asciiTheme="minorBidi" w:eastAsia="system-ui" w:hAnsiTheme="minorBidi"/>
          <w:color w:val="000000" w:themeColor="text1"/>
          <w:sz w:val="24"/>
          <w:szCs w:val="24"/>
        </w:rPr>
        <w:t xml:space="preserve">Student engagement: What is it? Why does it matter?’ In Christenson, S.L., Reschly, A.L., Wylie, C (eds) </w:t>
      </w:r>
      <w:r w:rsidRPr="000A7F0D">
        <w:rPr>
          <w:rFonts w:asciiTheme="minorBidi" w:eastAsia="system-ui" w:hAnsiTheme="minorBidi"/>
          <w:i/>
          <w:iCs/>
          <w:color w:val="000000" w:themeColor="text1"/>
          <w:sz w:val="24"/>
          <w:szCs w:val="24"/>
        </w:rPr>
        <w:t>Handbook of Research on Student Engagement.</w:t>
      </w:r>
      <w:r w:rsidRPr="000A7F0D">
        <w:rPr>
          <w:rFonts w:asciiTheme="minorBidi" w:eastAsia="system-ui" w:hAnsiTheme="minorBidi"/>
          <w:color w:val="000000" w:themeColor="text1"/>
          <w:sz w:val="24"/>
          <w:szCs w:val="24"/>
        </w:rPr>
        <w:t xml:space="preserve"> Boston, MA, USA: Springer. </w:t>
      </w:r>
    </w:p>
    <w:p w14:paraId="7F6FA207" w14:textId="5A0B6DAF"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Fredricks, J. A., Blumenfeld, P. C</w:t>
      </w:r>
      <w:r w:rsidR="000A7F0D" w:rsidRPr="000A7F0D">
        <w:rPr>
          <w:rFonts w:asciiTheme="minorBidi" w:eastAsia="system-ui" w:hAnsiTheme="minorBidi"/>
          <w:color w:val="000000" w:themeColor="text1"/>
          <w:sz w:val="24"/>
          <w:szCs w:val="24"/>
        </w:rPr>
        <w:t xml:space="preserve"> and</w:t>
      </w:r>
      <w:r w:rsidRPr="00384818">
        <w:rPr>
          <w:rFonts w:asciiTheme="minorBidi" w:eastAsia="system-ui" w:hAnsiTheme="minorBidi"/>
          <w:color w:val="000000" w:themeColor="text1"/>
          <w:sz w:val="24"/>
          <w:szCs w:val="24"/>
        </w:rPr>
        <w:t xml:space="preserve"> Paris, A. H. (1994). </w:t>
      </w:r>
      <w:r w:rsidR="000A7F0D" w:rsidRPr="000A7F0D">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School engagement: Potential of the concept, state of the evidence</w:t>
      </w:r>
      <w:r w:rsidR="000A7F0D" w:rsidRPr="000A7F0D">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Review of Educational Research,</w:t>
      </w:r>
      <w:r w:rsidRPr="00384818">
        <w:rPr>
          <w:rFonts w:asciiTheme="minorBidi" w:eastAsia="system-ui" w:hAnsiTheme="minorBidi"/>
          <w:color w:val="000000" w:themeColor="text1"/>
          <w:sz w:val="24"/>
          <w:szCs w:val="24"/>
        </w:rPr>
        <w:t xml:space="preserve"> 64(1), 59–109.</w:t>
      </w:r>
    </w:p>
    <w:p w14:paraId="52FA3C60" w14:textId="58484591" w:rsidR="00021535" w:rsidRPr="00C662EF" w:rsidRDefault="00021535" w:rsidP="00FC5CBE">
      <w:pPr>
        <w:spacing w:line="240" w:lineRule="auto"/>
        <w:ind w:left="680" w:hanging="720"/>
        <w:rPr>
          <w:rFonts w:asciiTheme="minorBidi" w:eastAsia="system-ui" w:hAnsiTheme="minorBidi"/>
          <w:color w:val="000000" w:themeColor="text1"/>
          <w:sz w:val="24"/>
          <w:szCs w:val="24"/>
        </w:rPr>
      </w:pPr>
      <w:r w:rsidRPr="00C52876">
        <w:rPr>
          <w:rFonts w:asciiTheme="minorBidi" w:eastAsia="system-ui" w:hAnsiTheme="minorBidi"/>
          <w:color w:val="000000" w:themeColor="text1"/>
          <w:sz w:val="24"/>
          <w:szCs w:val="24"/>
        </w:rPr>
        <w:t xml:space="preserve">Fullan, M. (2013). </w:t>
      </w:r>
      <w:r w:rsidRPr="00C52876">
        <w:rPr>
          <w:rFonts w:asciiTheme="minorBidi" w:eastAsia="system-ui" w:hAnsiTheme="minorBidi"/>
          <w:i/>
          <w:iCs/>
          <w:color w:val="000000" w:themeColor="text1"/>
          <w:sz w:val="24"/>
          <w:szCs w:val="24"/>
        </w:rPr>
        <w:t xml:space="preserve">Stratosphere: Integrating Technology, Pedagogy, and Change </w:t>
      </w:r>
      <w:r w:rsidRPr="00C662EF">
        <w:rPr>
          <w:rFonts w:asciiTheme="minorBidi" w:eastAsia="system-ui" w:hAnsiTheme="minorBidi"/>
          <w:i/>
          <w:iCs/>
          <w:color w:val="000000" w:themeColor="text1"/>
          <w:sz w:val="24"/>
          <w:szCs w:val="24"/>
        </w:rPr>
        <w:t>Knowledge</w:t>
      </w:r>
      <w:r w:rsidRPr="00C662EF">
        <w:rPr>
          <w:rFonts w:asciiTheme="minorBidi" w:eastAsia="system-ui" w:hAnsiTheme="minorBidi"/>
          <w:color w:val="000000" w:themeColor="text1"/>
          <w:sz w:val="24"/>
          <w:szCs w:val="24"/>
        </w:rPr>
        <w:t xml:space="preserve">. </w:t>
      </w:r>
      <w:r w:rsidR="00C52876" w:rsidRPr="00C662EF">
        <w:rPr>
          <w:rFonts w:asciiTheme="minorBidi" w:eastAsia="system-ui" w:hAnsiTheme="minorBidi"/>
          <w:color w:val="000000" w:themeColor="text1"/>
          <w:sz w:val="24"/>
          <w:szCs w:val="24"/>
        </w:rPr>
        <w:t xml:space="preserve">London: </w:t>
      </w:r>
      <w:r w:rsidRPr="00C662EF">
        <w:rPr>
          <w:rFonts w:asciiTheme="minorBidi" w:eastAsia="system-ui" w:hAnsiTheme="minorBidi"/>
          <w:color w:val="000000" w:themeColor="text1"/>
          <w:sz w:val="24"/>
          <w:szCs w:val="24"/>
        </w:rPr>
        <w:t>Pearson.</w:t>
      </w:r>
    </w:p>
    <w:p w14:paraId="64EB1693" w14:textId="735B0EB4" w:rsidR="00021535" w:rsidRPr="00C662EF" w:rsidRDefault="00021535" w:rsidP="00FC5CBE">
      <w:pPr>
        <w:spacing w:line="240" w:lineRule="auto"/>
        <w:ind w:left="680" w:hanging="720"/>
        <w:rPr>
          <w:rFonts w:asciiTheme="minorBidi" w:eastAsia="system-ui" w:hAnsiTheme="minorBidi"/>
          <w:color w:val="000000" w:themeColor="text1"/>
          <w:sz w:val="24"/>
          <w:szCs w:val="24"/>
        </w:rPr>
      </w:pPr>
      <w:r w:rsidRPr="00C662EF">
        <w:rPr>
          <w:rFonts w:asciiTheme="minorBidi" w:eastAsia="system-ui" w:hAnsiTheme="minorBidi"/>
          <w:color w:val="000000" w:themeColor="text1"/>
          <w:sz w:val="24"/>
          <w:szCs w:val="24"/>
        </w:rPr>
        <w:t>Garrison, D. R</w:t>
      </w:r>
      <w:r w:rsidR="00C52876" w:rsidRPr="00C662EF">
        <w:rPr>
          <w:rFonts w:asciiTheme="minorBidi" w:eastAsia="system-ui" w:hAnsiTheme="minorBidi"/>
          <w:color w:val="000000" w:themeColor="text1"/>
          <w:sz w:val="24"/>
          <w:szCs w:val="24"/>
        </w:rPr>
        <w:t xml:space="preserve"> and </w:t>
      </w:r>
      <w:r w:rsidRPr="00C662EF">
        <w:rPr>
          <w:rFonts w:asciiTheme="minorBidi" w:eastAsia="system-ui" w:hAnsiTheme="minorBidi"/>
          <w:color w:val="000000" w:themeColor="text1"/>
          <w:sz w:val="24"/>
          <w:szCs w:val="24"/>
        </w:rPr>
        <w:t xml:space="preserve">Vaughan, N. D. (2008). </w:t>
      </w:r>
      <w:r w:rsidRPr="00C662EF">
        <w:rPr>
          <w:rFonts w:asciiTheme="minorBidi" w:eastAsia="system-ui" w:hAnsiTheme="minorBidi"/>
          <w:i/>
          <w:iCs/>
          <w:color w:val="000000" w:themeColor="text1"/>
          <w:sz w:val="24"/>
          <w:szCs w:val="24"/>
        </w:rPr>
        <w:t xml:space="preserve">Blended learning in higher education: Framework, principles, and guidelines. </w:t>
      </w:r>
      <w:r w:rsidR="00C662EF" w:rsidRPr="00C662EF">
        <w:rPr>
          <w:rFonts w:asciiTheme="minorBidi" w:eastAsia="system-ui" w:hAnsiTheme="minorBidi"/>
          <w:color w:val="000000" w:themeColor="text1"/>
          <w:sz w:val="24"/>
          <w:szCs w:val="24"/>
        </w:rPr>
        <w:t xml:space="preserve">San Francisco: </w:t>
      </w:r>
      <w:r w:rsidRPr="00C662EF">
        <w:rPr>
          <w:rFonts w:asciiTheme="minorBidi" w:eastAsia="system-ui" w:hAnsiTheme="minorBidi"/>
          <w:color w:val="000000" w:themeColor="text1"/>
          <w:sz w:val="24"/>
          <w:szCs w:val="24"/>
        </w:rPr>
        <w:t>John Wiley &amp; Sons.</w:t>
      </w:r>
    </w:p>
    <w:p w14:paraId="29CDEE3B" w14:textId="6E087621" w:rsidR="00021535" w:rsidRPr="00C662EF" w:rsidRDefault="00021535" w:rsidP="00FC5CBE">
      <w:pPr>
        <w:spacing w:line="240" w:lineRule="auto"/>
        <w:ind w:left="680" w:hanging="720"/>
        <w:rPr>
          <w:rFonts w:asciiTheme="minorBidi" w:eastAsia="system-ui" w:hAnsiTheme="minorBidi"/>
          <w:color w:val="000000" w:themeColor="text1"/>
          <w:sz w:val="24"/>
          <w:szCs w:val="24"/>
        </w:rPr>
      </w:pPr>
      <w:r w:rsidRPr="00C662EF">
        <w:rPr>
          <w:rFonts w:asciiTheme="minorBidi" w:eastAsia="system-ui" w:hAnsiTheme="minorBidi"/>
          <w:color w:val="000000" w:themeColor="text1"/>
          <w:sz w:val="24"/>
          <w:szCs w:val="24"/>
        </w:rPr>
        <w:t xml:space="preserve">Goudeau, S., et al. (2021). </w:t>
      </w:r>
      <w:r w:rsidR="00C662EF" w:rsidRPr="00C662EF">
        <w:rPr>
          <w:rFonts w:asciiTheme="minorBidi" w:eastAsia="system-ui" w:hAnsiTheme="minorBidi"/>
          <w:color w:val="000000" w:themeColor="text1"/>
          <w:sz w:val="24"/>
          <w:szCs w:val="24"/>
        </w:rPr>
        <w:t>‘</w:t>
      </w:r>
      <w:r w:rsidRPr="00C662EF">
        <w:rPr>
          <w:rFonts w:asciiTheme="minorBidi" w:eastAsia="system-ui" w:hAnsiTheme="minorBidi"/>
          <w:color w:val="000000" w:themeColor="text1"/>
          <w:sz w:val="24"/>
          <w:szCs w:val="24"/>
        </w:rPr>
        <w:t>Why lockdown and distance learning during the COVID-19 pandemic are likely to increase the social class achievement gap</w:t>
      </w:r>
      <w:r w:rsidR="00C662EF" w:rsidRPr="00C662EF">
        <w:rPr>
          <w:rFonts w:asciiTheme="minorBidi" w:eastAsia="system-ui" w:hAnsiTheme="minorBidi"/>
          <w:color w:val="000000" w:themeColor="text1"/>
          <w:sz w:val="24"/>
          <w:szCs w:val="24"/>
        </w:rPr>
        <w:t>’</w:t>
      </w:r>
      <w:r w:rsidRPr="00C662EF">
        <w:rPr>
          <w:rFonts w:asciiTheme="minorBidi" w:eastAsia="system-ui" w:hAnsiTheme="minorBidi"/>
          <w:color w:val="000000" w:themeColor="text1"/>
          <w:sz w:val="24"/>
          <w:szCs w:val="24"/>
        </w:rPr>
        <w:t xml:space="preserve">. </w:t>
      </w:r>
      <w:r w:rsidRPr="00C662EF">
        <w:rPr>
          <w:rFonts w:asciiTheme="minorBidi" w:eastAsia="system-ui" w:hAnsiTheme="minorBidi"/>
          <w:i/>
          <w:iCs/>
          <w:color w:val="000000" w:themeColor="text1"/>
          <w:sz w:val="24"/>
          <w:szCs w:val="24"/>
        </w:rPr>
        <w:t>Nature Human Behaviour,</w:t>
      </w:r>
      <w:r w:rsidRPr="00C662EF">
        <w:rPr>
          <w:rFonts w:asciiTheme="minorBidi" w:eastAsia="system-ui" w:hAnsiTheme="minorBidi"/>
          <w:color w:val="000000" w:themeColor="text1"/>
          <w:sz w:val="24"/>
          <w:szCs w:val="24"/>
        </w:rPr>
        <w:t xml:space="preserve"> 5, 1273.</w:t>
      </w:r>
    </w:p>
    <w:p w14:paraId="5C390554" w14:textId="6B5F4DA4" w:rsidR="00021535" w:rsidRPr="00C662EF" w:rsidRDefault="00021535" w:rsidP="00FC5CBE">
      <w:pPr>
        <w:spacing w:line="240" w:lineRule="auto"/>
        <w:ind w:left="680" w:hanging="720"/>
        <w:rPr>
          <w:rFonts w:asciiTheme="minorBidi" w:eastAsia="system-ui" w:hAnsiTheme="minorBidi"/>
          <w:color w:val="000000" w:themeColor="text1"/>
          <w:sz w:val="24"/>
          <w:szCs w:val="24"/>
        </w:rPr>
      </w:pPr>
      <w:r w:rsidRPr="00C662EF">
        <w:rPr>
          <w:rFonts w:asciiTheme="minorBidi" w:eastAsia="system-ui" w:hAnsiTheme="minorBidi"/>
          <w:color w:val="000000" w:themeColor="text1"/>
          <w:sz w:val="24"/>
          <w:szCs w:val="24"/>
          <w:lang w:val="da-DK"/>
        </w:rPr>
        <w:t>Graf, S., Liu, T. C</w:t>
      </w:r>
      <w:r w:rsidR="00C662EF" w:rsidRPr="00C662EF">
        <w:rPr>
          <w:rFonts w:asciiTheme="minorBidi" w:eastAsia="system-ui" w:hAnsiTheme="minorBidi"/>
          <w:color w:val="000000" w:themeColor="text1"/>
          <w:sz w:val="24"/>
          <w:szCs w:val="24"/>
          <w:lang w:val="da-DK"/>
        </w:rPr>
        <w:t xml:space="preserve"> and </w:t>
      </w:r>
      <w:r w:rsidRPr="00C662EF">
        <w:rPr>
          <w:rFonts w:asciiTheme="minorBidi" w:eastAsia="system-ui" w:hAnsiTheme="minorBidi"/>
          <w:color w:val="000000" w:themeColor="text1"/>
          <w:sz w:val="24"/>
          <w:szCs w:val="24"/>
          <w:lang w:val="da-DK"/>
        </w:rPr>
        <w:t xml:space="preserve">Kinshuk. </w:t>
      </w:r>
      <w:r w:rsidRPr="00C662EF">
        <w:rPr>
          <w:rFonts w:asciiTheme="minorBidi" w:eastAsia="system-ui" w:hAnsiTheme="minorBidi"/>
          <w:color w:val="000000" w:themeColor="text1"/>
          <w:sz w:val="24"/>
          <w:szCs w:val="24"/>
        </w:rPr>
        <w:t xml:space="preserve">(2009). </w:t>
      </w:r>
      <w:r w:rsidR="00C662EF" w:rsidRPr="00C662EF">
        <w:rPr>
          <w:rFonts w:asciiTheme="minorBidi" w:eastAsia="system-ui" w:hAnsiTheme="minorBidi"/>
          <w:color w:val="000000" w:themeColor="text1"/>
          <w:sz w:val="24"/>
          <w:szCs w:val="24"/>
        </w:rPr>
        <w:t>‘</w:t>
      </w:r>
      <w:r w:rsidRPr="00C662EF">
        <w:rPr>
          <w:rFonts w:asciiTheme="minorBidi" w:eastAsia="system-ui" w:hAnsiTheme="minorBidi"/>
          <w:color w:val="000000" w:themeColor="text1"/>
          <w:sz w:val="24"/>
          <w:szCs w:val="24"/>
        </w:rPr>
        <w:t xml:space="preserve">Analysis of learners' navigational </w:t>
      </w:r>
      <w:proofErr w:type="spellStart"/>
      <w:r w:rsidRPr="00C662EF">
        <w:rPr>
          <w:rFonts w:asciiTheme="minorBidi" w:eastAsia="system-ui" w:hAnsiTheme="minorBidi"/>
          <w:color w:val="000000" w:themeColor="text1"/>
          <w:sz w:val="24"/>
          <w:szCs w:val="24"/>
        </w:rPr>
        <w:t>behavior</w:t>
      </w:r>
      <w:proofErr w:type="spellEnd"/>
      <w:r w:rsidRPr="00C662EF">
        <w:rPr>
          <w:rFonts w:asciiTheme="minorBidi" w:eastAsia="system-ui" w:hAnsiTheme="minorBidi"/>
          <w:color w:val="000000" w:themeColor="text1"/>
          <w:sz w:val="24"/>
          <w:szCs w:val="24"/>
        </w:rPr>
        <w:t xml:space="preserve"> and their learning styles in an online course.</w:t>
      </w:r>
      <w:r w:rsidR="00C662EF" w:rsidRPr="00C662EF">
        <w:rPr>
          <w:rFonts w:asciiTheme="minorBidi" w:eastAsia="system-ui" w:hAnsiTheme="minorBidi"/>
          <w:color w:val="000000" w:themeColor="text1"/>
          <w:sz w:val="24"/>
          <w:szCs w:val="24"/>
        </w:rPr>
        <w:t>’</w:t>
      </w:r>
      <w:r w:rsidRPr="00C662EF">
        <w:rPr>
          <w:rFonts w:asciiTheme="minorBidi" w:eastAsia="system-ui" w:hAnsiTheme="minorBidi"/>
          <w:color w:val="000000" w:themeColor="text1"/>
          <w:sz w:val="24"/>
          <w:szCs w:val="24"/>
        </w:rPr>
        <w:t xml:space="preserve"> </w:t>
      </w:r>
      <w:r w:rsidRPr="00C662EF">
        <w:rPr>
          <w:rFonts w:asciiTheme="minorBidi" w:eastAsia="system-ui" w:hAnsiTheme="minorBidi"/>
          <w:i/>
          <w:iCs/>
          <w:color w:val="000000" w:themeColor="text1"/>
          <w:sz w:val="24"/>
          <w:szCs w:val="24"/>
        </w:rPr>
        <w:t>Journal of Computer Assisted Learning</w:t>
      </w:r>
      <w:r w:rsidRPr="00C662EF">
        <w:rPr>
          <w:rFonts w:asciiTheme="minorBidi" w:eastAsia="system-ui" w:hAnsiTheme="minorBidi"/>
          <w:color w:val="000000" w:themeColor="text1"/>
          <w:sz w:val="24"/>
          <w:szCs w:val="24"/>
        </w:rPr>
        <w:t>, 25(1), 71-82.</w:t>
      </w:r>
    </w:p>
    <w:p w14:paraId="128E54B0" w14:textId="7AAA3912" w:rsidR="00021535" w:rsidRPr="00D31407" w:rsidRDefault="00021535" w:rsidP="00FC5CBE">
      <w:pPr>
        <w:spacing w:line="240" w:lineRule="auto"/>
        <w:ind w:left="680" w:hanging="720"/>
        <w:rPr>
          <w:rFonts w:asciiTheme="minorBidi" w:eastAsia="system-ui" w:hAnsiTheme="minorBidi"/>
          <w:color w:val="000000" w:themeColor="text1"/>
          <w:sz w:val="24"/>
          <w:szCs w:val="24"/>
        </w:rPr>
      </w:pPr>
      <w:r w:rsidRPr="00D31407">
        <w:rPr>
          <w:rFonts w:asciiTheme="minorBidi" w:eastAsia="system-ui" w:hAnsiTheme="minorBidi"/>
          <w:color w:val="000000" w:themeColor="text1"/>
          <w:sz w:val="24"/>
          <w:szCs w:val="24"/>
        </w:rPr>
        <w:t xml:space="preserve">Graham, C. R. (2013). ‘Emerging Practice and Research in Blended Learning’. In M. G. Moore (Ed.), </w:t>
      </w:r>
      <w:r w:rsidRPr="00D31407">
        <w:rPr>
          <w:rFonts w:asciiTheme="minorBidi" w:eastAsia="system-ui" w:hAnsiTheme="minorBidi"/>
          <w:i/>
          <w:iCs/>
          <w:color w:val="000000" w:themeColor="text1"/>
          <w:sz w:val="24"/>
          <w:szCs w:val="24"/>
        </w:rPr>
        <w:t>Handbook of Distance Education</w:t>
      </w:r>
      <w:r w:rsidR="00D31407" w:rsidRPr="00D31407">
        <w:rPr>
          <w:rFonts w:asciiTheme="minorBidi" w:eastAsia="system-ui" w:hAnsiTheme="minorBidi"/>
          <w:color w:val="000000" w:themeColor="text1"/>
          <w:sz w:val="24"/>
          <w:szCs w:val="24"/>
        </w:rPr>
        <w:t xml:space="preserve">, </w:t>
      </w:r>
      <w:r w:rsidRPr="00D31407">
        <w:rPr>
          <w:rFonts w:asciiTheme="minorBidi" w:eastAsia="system-ui" w:hAnsiTheme="minorBidi"/>
          <w:color w:val="000000" w:themeColor="text1"/>
          <w:sz w:val="24"/>
          <w:szCs w:val="24"/>
        </w:rPr>
        <w:t xml:space="preserve">3rd </w:t>
      </w:r>
      <w:proofErr w:type="spellStart"/>
      <w:r w:rsidRPr="00D31407">
        <w:rPr>
          <w:rFonts w:asciiTheme="minorBidi" w:eastAsia="system-ui" w:hAnsiTheme="minorBidi"/>
          <w:color w:val="000000" w:themeColor="text1"/>
          <w:sz w:val="24"/>
          <w:szCs w:val="24"/>
        </w:rPr>
        <w:t>ed</w:t>
      </w:r>
      <w:r w:rsidR="00D31407" w:rsidRPr="00D31407">
        <w:rPr>
          <w:rFonts w:asciiTheme="minorBidi" w:eastAsia="system-ui" w:hAnsiTheme="minorBidi"/>
          <w:color w:val="000000" w:themeColor="text1"/>
          <w:sz w:val="24"/>
          <w:szCs w:val="24"/>
        </w:rPr>
        <w:t>n</w:t>
      </w:r>
      <w:proofErr w:type="spellEnd"/>
      <w:r w:rsidRPr="00D31407">
        <w:rPr>
          <w:rFonts w:asciiTheme="minorBidi" w:eastAsia="system-ui" w:hAnsiTheme="minorBidi"/>
          <w:color w:val="000000" w:themeColor="text1"/>
          <w:sz w:val="24"/>
          <w:szCs w:val="24"/>
        </w:rPr>
        <w:t>, pp. 333–350</w:t>
      </w:r>
      <w:r w:rsidR="00D31407" w:rsidRPr="00D31407">
        <w:rPr>
          <w:rFonts w:asciiTheme="minorBidi" w:eastAsia="system-ui" w:hAnsiTheme="minorBidi"/>
          <w:color w:val="000000" w:themeColor="text1"/>
          <w:sz w:val="24"/>
          <w:szCs w:val="24"/>
        </w:rPr>
        <w:t xml:space="preserve">. London: </w:t>
      </w:r>
      <w:r w:rsidRPr="00D31407">
        <w:rPr>
          <w:rFonts w:asciiTheme="minorBidi" w:eastAsia="system-ui" w:hAnsiTheme="minorBidi"/>
          <w:color w:val="000000" w:themeColor="text1"/>
          <w:sz w:val="24"/>
          <w:szCs w:val="24"/>
        </w:rPr>
        <w:t>Routledge.</w:t>
      </w:r>
      <w:r w:rsidRPr="00D31407">
        <w:rPr>
          <w:rFonts w:asciiTheme="minorBidi" w:eastAsia="system-ui" w:hAnsiTheme="minorBidi"/>
          <w:color w:val="000000" w:themeColor="text1"/>
          <w:sz w:val="24"/>
          <w:szCs w:val="24"/>
          <w:u w:val="single"/>
        </w:rPr>
        <w:t xml:space="preserve"> </w:t>
      </w:r>
    </w:p>
    <w:p w14:paraId="7953B05C" w14:textId="77777777" w:rsidR="00021535" w:rsidRPr="00937F78" w:rsidRDefault="00021535" w:rsidP="00FC5CBE">
      <w:pPr>
        <w:spacing w:line="240" w:lineRule="auto"/>
        <w:ind w:left="680" w:hanging="720"/>
        <w:rPr>
          <w:rFonts w:asciiTheme="minorBidi" w:eastAsia="system-ui" w:hAnsiTheme="minorBidi"/>
          <w:color w:val="0D0D0D" w:themeColor="text1" w:themeTint="F2"/>
          <w:sz w:val="24"/>
          <w:szCs w:val="24"/>
        </w:rPr>
      </w:pPr>
      <w:r w:rsidRPr="00937F78">
        <w:rPr>
          <w:rFonts w:asciiTheme="minorBidi" w:eastAsia="system-ui" w:hAnsiTheme="minorBidi"/>
          <w:color w:val="0D0D0D" w:themeColor="text1" w:themeTint="F2"/>
          <w:sz w:val="24"/>
          <w:szCs w:val="24"/>
        </w:rPr>
        <w:t>Haleem, A., Javaid, M., Qadri, M. A and Suman, R. (2022) ‘Understanding the role of digital technologies in education: A review’</w:t>
      </w:r>
      <w:r w:rsidRPr="00937F78">
        <w:rPr>
          <w:rFonts w:asciiTheme="minorBidi" w:eastAsia="system-ui" w:hAnsiTheme="minorBidi"/>
          <w:i/>
          <w:iCs/>
          <w:color w:val="000000" w:themeColor="text1"/>
          <w:sz w:val="24"/>
          <w:szCs w:val="24"/>
        </w:rPr>
        <w:t xml:space="preserve">, </w:t>
      </w:r>
      <w:hyperlink r:id="rId12" w:tooltip="Go to Sustainable Operations and Computers on ScienceDirect" w:history="1">
        <w:r w:rsidRPr="00937F78">
          <w:rPr>
            <w:rStyle w:val="Hyperlink"/>
            <w:rFonts w:asciiTheme="minorBidi" w:eastAsia="system-ui" w:hAnsiTheme="minorBidi"/>
            <w:i/>
            <w:iCs/>
            <w:color w:val="000000" w:themeColor="text1"/>
            <w:sz w:val="24"/>
            <w:szCs w:val="24"/>
            <w:u w:val="none"/>
          </w:rPr>
          <w:t>Sustainable Operations and Computers</w:t>
        </w:r>
      </w:hyperlink>
      <w:r w:rsidRPr="00937F78">
        <w:rPr>
          <w:rFonts w:asciiTheme="minorBidi" w:eastAsia="system-ui" w:hAnsiTheme="minorBidi"/>
          <w:color w:val="0D0D0D" w:themeColor="text1" w:themeTint="F2"/>
          <w:sz w:val="24"/>
          <w:szCs w:val="24"/>
        </w:rPr>
        <w:t xml:space="preserve">, 3, pp. 275-285. DOI: </w:t>
      </w:r>
      <w:hyperlink r:id="rId13" w:history="1">
        <w:r w:rsidRPr="00937F78">
          <w:rPr>
            <w:rStyle w:val="Hyperlink"/>
            <w:rFonts w:asciiTheme="minorBidi" w:eastAsia="system-ui" w:hAnsiTheme="minorBidi"/>
            <w:sz w:val="24"/>
            <w:szCs w:val="24"/>
          </w:rPr>
          <w:t>https://doi.org/10.1016/j.susoc.2022.05.004</w:t>
        </w:r>
      </w:hyperlink>
      <w:r w:rsidRPr="00937F78">
        <w:rPr>
          <w:rFonts w:asciiTheme="minorBidi" w:eastAsia="system-ui" w:hAnsiTheme="minorBidi"/>
          <w:color w:val="0D0D0D" w:themeColor="text1" w:themeTint="F2"/>
          <w:sz w:val="24"/>
          <w:szCs w:val="24"/>
        </w:rPr>
        <w:t xml:space="preserve"> </w:t>
      </w:r>
    </w:p>
    <w:p w14:paraId="1AA1C41E" w14:textId="77777777" w:rsidR="00021535" w:rsidRPr="00937F78" w:rsidRDefault="00021535" w:rsidP="00FC5CBE">
      <w:pPr>
        <w:spacing w:line="240" w:lineRule="auto"/>
        <w:ind w:left="680" w:hanging="720"/>
        <w:rPr>
          <w:rFonts w:asciiTheme="minorBidi" w:eastAsia="system-ui" w:hAnsiTheme="minorBidi"/>
          <w:color w:val="0D0D0D" w:themeColor="text1" w:themeTint="F2"/>
          <w:sz w:val="24"/>
          <w:szCs w:val="24"/>
        </w:rPr>
      </w:pPr>
      <w:r w:rsidRPr="00937F78">
        <w:rPr>
          <w:rFonts w:asciiTheme="minorBidi" w:eastAsia="system-ui" w:hAnsiTheme="minorBidi"/>
          <w:color w:val="0D0D0D" w:themeColor="text1" w:themeTint="F2"/>
          <w:sz w:val="24"/>
          <w:szCs w:val="24"/>
        </w:rPr>
        <w:t xml:space="preserve">Hamer, J and Smith, Jenny. (2021). </w:t>
      </w:r>
      <w:r w:rsidRPr="00A05A9D">
        <w:rPr>
          <w:rFonts w:asciiTheme="minorBidi" w:eastAsia="system-ui" w:hAnsiTheme="minorBidi"/>
          <w:i/>
          <w:iCs/>
          <w:color w:val="0D0D0D" w:themeColor="text1" w:themeTint="F2"/>
          <w:sz w:val="24"/>
          <w:szCs w:val="24"/>
        </w:rPr>
        <w:t>Online and blended delivery in Further Education: A literature review into pedagogy, including digital forms of assessment</w:t>
      </w:r>
      <w:r w:rsidRPr="00937F78">
        <w:rPr>
          <w:rFonts w:asciiTheme="minorBidi" w:eastAsia="system-ui" w:hAnsiTheme="minorBidi"/>
          <w:color w:val="0D0D0D" w:themeColor="text1" w:themeTint="F2"/>
          <w:sz w:val="24"/>
          <w:szCs w:val="24"/>
        </w:rPr>
        <w:t xml:space="preserve">. Available at: </w:t>
      </w:r>
      <w:hyperlink r:id="rId14" w:history="1">
        <w:r w:rsidRPr="00937F78">
          <w:rPr>
            <w:rStyle w:val="Hyperlink"/>
            <w:rFonts w:asciiTheme="minorBidi" w:eastAsia="system-ui" w:hAnsiTheme="minorBidi"/>
            <w:sz w:val="24"/>
            <w:szCs w:val="24"/>
          </w:rPr>
          <w:t>https://assets.publishing.service.gov.uk/media/60d44b09d3bf7f4bd11a249f/online_and_blended_delivery_in_further_education.pdf</w:t>
        </w:r>
      </w:hyperlink>
      <w:r w:rsidRPr="00937F78">
        <w:rPr>
          <w:rFonts w:asciiTheme="minorBidi" w:eastAsia="system-ui" w:hAnsiTheme="minorBidi"/>
          <w:color w:val="0D0D0D" w:themeColor="text1" w:themeTint="F2"/>
          <w:sz w:val="24"/>
          <w:szCs w:val="24"/>
        </w:rPr>
        <w:t xml:space="preserve"> (</w:t>
      </w:r>
      <w:r w:rsidRPr="00937F78">
        <w:rPr>
          <w:rFonts w:asciiTheme="minorBidi" w:hAnsiTheme="minorBidi"/>
          <w:sz w:val="24"/>
          <w:szCs w:val="24"/>
        </w:rPr>
        <w:t>Accessed: 5 March 2024)</w:t>
      </w:r>
    </w:p>
    <w:p w14:paraId="4AED6EC4"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proofErr w:type="spellStart"/>
      <w:r w:rsidRPr="0099000F">
        <w:rPr>
          <w:rFonts w:asciiTheme="minorBidi" w:eastAsia="system-ui" w:hAnsiTheme="minorBidi"/>
          <w:color w:val="000000" w:themeColor="text1"/>
          <w:sz w:val="24"/>
          <w:szCs w:val="24"/>
        </w:rPr>
        <w:t>Hargittai</w:t>
      </w:r>
      <w:proofErr w:type="spellEnd"/>
      <w:r w:rsidRPr="0099000F">
        <w:rPr>
          <w:rFonts w:asciiTheme="minorBidi" w:eastAsia="system-ui" w:hAnsiTheme="minorBidi"/>
          <w:color w:val="000000" w:themeColor="text1"/>
          <w:sz w:val="24"/>
          <w:szCs w:val="24"/>
        </w:rPr>
        <w:t xml:space="preserve">, E and Walejko, G. (2008). ‘The participation divide: Content creation and sharing in the digital age.’ </w:t>
      </w:r>
      <w:r w:rsidRPr="00A05A9D">
        <w:rPr>
          <w:rFonts w:asciiTheme="minorBidi" w:eastAsia="system-ui" w:hAnsiTheme="minorBidi"/>
          <w:i/>
          <w:iCs/>
          <w:color w:val="000000" w:themeColor="text1"/>
          <w:sz w:val="24"/>
          <w:szCs w:val="24"/>
        </w:rPr>
        <w:t>Information, Communication &amp; Society,</w:t>
      </w:r>
      <w:r w:rsidRPr="0099000F">
        <w:rPr>
          <w:rFonts w:asciiTheme="minorBidi" w:eastAsia="system-ui" w:hAnsiTheme="minorBidi"/>
          <w:color w:val="000000" w:themeColor="text1"/>
          <w:sz w:val="24"/>
          <w:szCs w:val="24"/>
        </w:rPr>
        <w:t xml:space="preserve"> 11(2), 239–256.</w:t>
      </w:r>
    </w:p>
    <w:p w14:paraId="11BF3411" w14:textId="662787FF" w:rsidR="00021535" w:rsidRPr="00EF65CA" w:rsidRDefault="00021535" w:rsidP="00FC5CBE">
      <w:pPr>
        <w:spacing w:line="240" w:lineRule="auto"/>
        <w:ind w:left="680" w:hanging="720"/>
        <w:rPr>
          <w:rFonts w:asciiTheme="minorBidi" w:eastAsia="system-ui" w:hAnsiTheme="minorBidi"/>
          <w:color w:val="000000" w:themeColor="text1"/>
          <w:sz w:val="24"/>
          <w:szCs w:val="24"/>
        </w:rPr>
      </w:pPr>
      <w:r w:rsidRPr="00EF65CA">
        <w:rPr>
          <w:rFonts w:asciiTheme="minorBidi" w:eastAsia="system-ui" w:hAnsiTheme="minorBidi"/>
          <w:color w:val="000000" w:themeColor="text1"/>
          <w:sz w:val="24"/>
          <w:szCs w:val="24"/>
        </w:rPr>
        <w:t>Hattie, J</w:t>
      </w:r>
      <w:r w:rsidR="00D31407" w:rsidRPr="00EF65CA">
        <w:rPr>
          <w:rFonts w:asciiTheme="minorBidi" w:eastAsia="system-ui" w:hAnsiTheme="minorBidi"/>
          <w:color w:val="000000" w:themeColor="text1"/>
          <w:sz w:val="24"/>
          <w:szCs w:val="24"/>
        </w:rPr>
        <w:t xml:space="preserve"> and</w:t>
      </w:r>
      <w:r w:rsidRPr="00EF65CA">
        <w:rPr>
          <w:rFonts w:asciiTheme="minorBidi" w:eastAsia="system-ui" w:hAnsiTheme="minorBidi"/>
          <w:color w:val="000000" w:themeColor="text1"/>
          <w:sz w:val="24"/>
          <w:szCs w:val="24"/>
        </w:rPr>
        <w:t xml:space="preserve"> Timperley, H. (2007). </w:t>
      </w:r>
      <w:r w:rsidR="00D31407" w:rsidRPr="00EF65CA">
        <w:rPr>
          <w:rFonts w:asciiTheme="minorBidi" w:eastAsia="system-ui" w:hAnsiTheme="minorBidi"/>
          <w:color w:val="000000" w:themeColor="text1"/>
          <w:sz w:val="24"/>
          <w:szCs w:val="24"/>
        </w:rPr>
        <w:t>‘</w:t>
      </w:r>
      <w:r w:rsidRPr="00EF65CA">
        <w:rPr>
          <w:rFonts w:asciiTheme="minorBidi" w:eastAsia="system-ui" w:hAnsiTheme="minorBidi"/>
          <w:color w:val="000000" w:themeColor="text1"/>
          <w:sz w:val="24"/>
          <w:szCs w:val="24"/>
        </w:rPr>
        <w:t>The power of feedback</w:t>
      </w:r>
      <w:r w:rsidR="00D31407" w:rsidRPr="00EF65CA">
        <w:rPr>
          <w:rFonts w:asciiTheme="minorBidi" w:eastAsia="system-ui" w:hAnsiTheme="minorBidi"/>
          <w:color w:val="000000" w:themeColor="text1"/>
          <w:sz w:val="24"/>
          <w:szCs w:val="24"/>
        </w:rPr>
        <w:t>’</w:t>
      </w:r>
      <w:r w:rsidRPr="00EF65CA">
        <w:rPr>
          <w:rFonts w:asciiTheme="minorBidi" w:eastAsia="system-ui" w:hAnsiTheme="minorBidi"/>
          <w:color w:val="000000" w:themeColor="text1"/>
          <w:sz w:val="24"/>
          <w:szCs w:val="24"/>
        </w:rPr>
        <w:t xml:space="preserve">. </w:t>
      </w:r>
      <w:r w:rsidRPr="00EF65CA">
        <w:rPr>
          <w:rFonts w:asciiTheme="minorBidi" w:eastAsia="system-ui" w:hAnsiTheme="minorBidi"/>
          <w:i/>
          <w:iCs/>
          <w:color w:val="000000" w:themeColor="text1"/>
          <w:sz w:val="24"/>
          <w:szCs w:val="24"/>
        </w:rPr>
        <w:t>Review of Educational Research,</w:t>
      </w:r>
      <w:r w:rsidRPr="00EF65CA">
        <w:rPr>
          <w:rFonts w:asciiTheme="minorBidi" w:eastAsia="system-ui" w:hAnsiTheme="minorBidi"/>
          <w:color w:val="000000" w:themeColor="text1"/>
          <w:sz w:val="24"/>
          <w:szCs w:val="24"/>
        </w:rPr>
        <w:t xml:space="preserve"> 77(1), 81-112.</w:t>
      </w:r>
    </w:p>
    <w:p w14:paraId="6F3D2200" w14:textId="0813D961" w:rsidR="00021535" w:rsidRPr="00EF65CA" w:rsidRDefault="00021535" w:rsidP="00FC5CBE">
      <w:pPr>
        <w:spacing w:line="240" w:lineRule="auto"/>
        <w:ind w:left="680" w:hanging="720"/>
        <w:rPr>
          <w:rFonts w:asciiTheme="minorBidi" w:eastAsia="system-ui" w:hAnsiTheme="minorBidi"/>
          <w:color w:val="000000" w:themeColor="text1"/>
          <w:sz w:val="24"/>
          <w:szCs w:val="24"/>
        </w:rPr>
      </w:pPr>
      <w:r w:rsidRPr="00EF65CA">
        <w:rPr>
          <w:rFonts w:asciiTheme="minorBidi" w:eastAsia="system-ui" w:hAnsiTheme="minorBidi"/>
          <w:color w:val="000000" w:themeColor="text1"/>
          <w:sz w:val="24"/>
          <w:szCs w:val="24"/>
        </w:rPr>
        <w:t>Hew, K. F</w:t>
      </w:r>
      <w:r w:rsidR="00EF65CA" w:rsidRPr="00EF65CA">
        <w:rPr>
          <w:rFonts w:asciiTheme="minorBidi" w:eastAsia="system-ui" w:hAnsiTheme="minorBidi"/>
          <w:color w:val="000000" w:themeColor="text1"/>
          <w:sz w:val="24"/>
          <w:szCs w:val="24"/>
        </w:rPr>
        <w:t xml:space="preserve"> and</w:t>
      </w:r>
      <w:r w:rsidRPr="00EF65CA">
        <w:rPr>
          <w:rFonts w:asciiTheme="minorBidi" w:eastAsia="system-ui" w:hAnsiTheme="minorBidi"/>
          <w:color w:val="000000" w:themeColor="text1"/>
          <w:sz w:val="24"/>
          <w:szCs w:val="24"/>
        </w:rPr>
        <w:t xml:space="preserve"> Cheung, W. S. (2014). </w:t>
      </w:r>
      <w:r w:rsidR="00EF65CA" w:rsidRPr="00EF65CA">
        <w:rPr>
          <w:rFonts w:asciiTheme="minorBidi" w:eastAsia="system-ui" w:hAnsiTheme="minorBidi"/>
          <w:color w:val="000000" w:themeColor="text1"/>
          <w:sz w:val="24"/>
          <w:szCs w:val="24"/>
        </w:rPr>
        <w:t>‘</w:t>
      </w:r>
      <w:r w:rsidRPr="00EF65CA">
        <w:rPr>
          <w:rFonts w:asciiTheme="minorBidi" w:eastAsia="system-ui" w:hAnsiTheme="minorBidi"/>
          <w:color w:val="000000" w:themeColor="text1"/>
          <w:sz w:val="24"/>
          <w:szCs w:val="24"/>
        </w:rPr>
        <w:t>Students' and instructors' use of massive open online courses (MOOCs): Motivations and challenges.</w:t>
      </w:r>
      <w:r w:rsidR="00EF65CA" w:rsidRPr="00EF65CA">
        <w:rPr>
          <w:rFonts w:asciiTheme="minorBidi" w:eastAsia="system-ui" w:hAnsiTheme="minorBidi"/>
          <w:color w:val="000000" w:themeColor="text1"/>
          <w:sz w:val="24"/>
          <w:szCs w:val="24"/>
        </w:rPr>
        <w:t>’</w:t>
      </w:r>
      <w:r w:rsidRPr="00EF65CA">
        <w:rPr>
          <w:rFonts w:asciiTheme="minorBidi" w:eastAsia="system-ui" w:hAnsiTheme="minorBidi"/>
          <w:color w:val="000000" w:themeColor="text1"/>
          <w:sz w:val="24"/>
          <w:szCs w:val="24"/>
        </w:rPr>
        <w:t xml:space="preserve"> </w:t>
      </w:r>
      <w:r w:rsidRPr="00EF65CA">
        <w:rPr>
          <w:rFonts w:asciiTheme="minorBidi" w:eastAsia="system-ui" w:hAnsiTheme="minorBidi"/>
          <w:i/>
          <w:iCs/>
          <w:color w:val="000000" w:themeColor="text1"/>
          <w:sz w:val="24"/>
          <w:szCs w:val="24"/>
        </w:rPr>
        <w:t>Educational Research Review,</w:t>
      </w:r>
      <w:r w:rsidRPr="00EF65CA">
        <w:rPr>
          <w:rFonts w:asciiTheme="minorBidi" w:eastAsia="system-ui" w:hAnsiTheme="minorBidi"/>
          <w:color w:val="000000" w:themeColor="text1"/>
          <w:sz w:val="24"/>
          <w:szCs w:val="24"/>
        </w:rPr>
        <w:t xml:space="preserve"> 12, 45-58.</w:t>
      </w:r>
    </w:p>
    <w:p w14:paraId="174E5230" w14:textId="2C602F39" w:rsidR="00021535" w:rsidRPr="00EF65CA" w:rsidRDefault="00021535" w:rsidP="00FC5CBE">
      <w:pPr>
        <w:spacing w:line="240" w:lineRule="auto"/>
        <w:ind w:left="680" w:hanging="720"/>
        <w:rPr>
          <w:rFonts w:asciiTheme="minorBidi" w:eastAsia="system-ui" w:hAnsiTheme="minorBidi"/>
          <w:color w:val="000000" w:themeColor="text1"/>
          <w:sz w:val="24"/>
          <w:szCs w:val="24"/>
        </w:rPr>
      </w:pPr>
      <w:r w:rsidRPr="00EF65CA">
        <w:rPr>
          <w:rFonts w:asciiTheme="minorBidi" w:eastAsia="system-ui" w:hAnsiTheme="minorBidi"/>
          <w:color w:val="000000" w:themeColor="text1"/>
          <w:sz w:val="24"/>
          <w:szCs w:val="24"/>
        </w:rPr>
        <w:t>Hew, K. F</w:t>
      </w:r>
      <w:r w:rsidR="00EF65CA" w:rsidRPr="00EF65CA">
        <w:rPr>
          <w:rFonts w:asciiTheme="minorBidi" w:eastAsia="system-ui" w:hAnsiTheme="minorBidi"/>
          <w:color w:val="000000" w:themeColor="text1"/>
          <w:sz w:val="24"/>
          <w:szCs w:val="24"/>
        </w:rPr>
        <w:t xml:space="preserve"> and</w:t>
      </w:r>
      <w:r w:rsidRPr="00EF65CA">
        <w:rPr>
          <w:rFonts w:asciiTheme="minorBidi" w:eastAsia="system-ui" w:hAnsiTheme="minorBidi"/>
          <w:color w:val="000000" w:themeColor="text1"/>
          <w:sz w:val="24"/>
          <w:szCs w:val="24"/>
        </w:rPr>
        <w:t xml:space="preserve"> Cheung, W. S. (2021). ‘Students’ and instructors’ use of massive open online courses (MOOCs): Motivations and </w:t>
      </w:r>
      <w:proofErr w:type="gramStart"/>
      <w:r w:rsidRPr="00EF65CA">
        <w:rPr>
          <w:rFonts w:asciiTheme="minorBidi" w:eastAsia="system-ui" w:hAnsiTheme="minorBidi"/>
          <w:color w:val="000000" w:themeColor="text1"/>
          <w:sz w:val="24"/>
          <w:szCs w:val="24"/>
        </w:rPr>
        <w:t>challenges’</w:t>
      </w:r>
      <w:proofErr w:type="gramEnd"/>
      <w:r w:rsidRPr="00EF65CA">
        <w:rPr>
          <w:rFonts w:asciiTheme="minorBidi" w:eastAsia="system-ui" w:hAnsiTheme="minorBidi"/>
          <w:color w:val="000000" w:themeColor="text1"/>
          <w:sz w:val="24"/>
          <w:szCs w:val="24"/>
        </w:rPr>
        <w:t xml:space="preserve">. </w:t>
      </w:r>
      <w:r w:rsidRPr="00EF65CA">
        <w:rPr>
          <w:rFonts w:asciiTheme="minorBidi" w:eastAsia="system-ui" w:hAnsiTheme="minorBidi"/>
          <w:i/>
          <w:iCs/>
          <w:color w:val="000000" w:themeColor="text1"/>
          <w:sz w:val="24"/>
          <w:szCs w:val="24"/>
        </w:rPr>
        <w:t>Educational Technology Research and Development</w:t>
      </w:r>
      <w:r w:rsidRPr="00EF65CA">
        <w:rPr>
          <w:rFonts w:asciiTheme="minorBidi" w:eastAsia="system-ui" w:hAnsiTheme="minorBidi"/>
          <w:color w:val="000000" w:themeColor="text1"/>
          <w:sz w:val="24"/>
          <w:szCs w:val="24"/>
        </w:rPr>
        <w:t>, 69(2), 611-634.</w:t>
      </w:r>
    </w:p>
    <w:p w14:paraId="32B3BC67"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021535">
        <w:rPr>
          <w:rFonts w:asciiTheme="minorBidi" w:eastAsia="system-ui" w:hAnsiTheme="minorBidi"/>
          <w:color w:val="000000" w:themeColor="text1"/>
          <w:sz w:val="24"/>
          <w:szCs w:val="24"/>
          <w:lang w:val="de-DE"/>
        </w:rPr>
        <w:t xml:space="preserve">Hinrichs, S., Shonfeld, M and  Karabenick, S. A. (2017). </w:t>
      </w:r>
      <w:r w:rsidRPr="0099000F">
        <w:rPr>
          <w:rFonts w:asciiTheme="minorBidi" w:eastAsia="system-ui" w:hAnsiTheme="minorBidi"/>
          <w:color w:val="000000" w:themeColor="text1"/>
          <w:sz w:val="24"/>
          <w:szCs w:val="24"/>
        </w:rPr>
        <w:t>‘The impact of a game-based approach to learning on the motivation to learn science.’ Journal of Science Education and Technology, 26(2), 179–190. Available at: https://www.researchgate.net/publication/286615836_The_impact_of_game-based_learning_on_the_achievement_of_learning_goals_and_motivation_for_learning_mathematics_-_Literature_review (Accessed: 15 March 2024)</w:t>
      </w:r>
    </w:p>
    <w:p w14:paraId="692418EB"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Ivala, E </w:t>
      </w:r>
      <w:proofErr w:type="gramStart"/>
      <w:r w:rsidRPr="0099000F">
        <w:rPr>
          <w:rFonts w:asciiTheme="minorBidi" w:eastAsia="system-ui" w:hAnsiTheme="minorBidi"/>
          <w:color w:val="000000" w:themeColor="text1"/>
          <w:sz w:val="24"/>
          <w:szCs w:val="24"/>
        </w:rPr>
        <w:t xml:space="preserve">and  </w:t>
      </w:r>
      <w:proofErr w:type="spellStart"/>
      <w:r w:rsidRPr="0099000F">
        <w:rPr>
          <w:rFonts w:asciiTheme="minorBidi" w:eastAsia="system-ui" w:hAnsiTheme="minorBidi"/>
          <w:color w:val="000000" w:themeColor="text1"/>
          <w:sz w:val="24"/>
          <w:szCs w:val="24"/>
        </w:rPr>
        <w:t>Gachago</w:t>
      </w:r>
      <w:proofErr w:type="spellEnd"/>
      <w:proofErr w:type="gramEnd"/>
      <w:r w:rsidRPr="0099000F">
        <w:rPr>
          <w:rFonts w:asciiTheme="minorBidi" w:eastAsia="system-ui" w:hAnsiTheme="minorBidi"/>
          <w:color w:val="000000" w:themeColor="text1"/>
          <w:sz w:val="24"/>
          <w:szCs w:val="24"/>
        </w:rPr>
        <w:t xml:space="preserve">, D. (2012). ‘Role of emerging technologies in student learning experiences in an open distance learning context.’ </w:t>
      </w:r>
      <w:r w:rsidRPr="00A05A9D">
        <w:rPr>
          <w:rFonts w:asciiTheme="minorBidi" w:eastAsia="system-ui" w:hAnsiTheme="minorBidi"/>
          <w:i/>
          <w:iCs/>
          <w:color w:val="000000" w:themeColor="text1"/>
          <w:sz w:val="24"/>
          <w:szCs w:val="24"/>
        </w:rPr>
        <w:t xml:space="preserve">The International Review of Research in Open and Distributed Learning, </w:t>
      </w:r>
      <w:r w:rsidRPr="0099000F">
        <w:rPr>
          <w:rFonts w:asciiTheme="minorBidi" w:eastAsia="system-ui" w:hAnsiTheme="minorBidi"/>
          <w:color w:val="000000" w:themeColor="text1"/>
          <w:sz w:val="24"/>
          <w:szCs w:val="24"/>
        </w:rPr>
        <w:t>13(4), pp. 124–144.</w:t>
      </w:r>
    </w:p>
    <w:p w14:paraId="28DCDAAC" w14:textId="77777777" w:rsidR="00021535" w:rsidRPr="00EF65CA"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Johnson, A </w:t>
      </w:r>
      <w:proofErr w:type="gramStart"/>
      <w:r w:rsidRPr="0099000F">
        <w:rPr>
          <w:rFonts w:asciiTheme="minorBidi" w:eastAsia="system-ui" w:hAnsiTheme="minorBidi"/>
          <w:color w:val="000000" w:themeColor="text1"/>
          <w:sz w:val="24"/>
          <w:szCs w:val="24"/>
        </w:rPr>
        <w:t>and  Adams</w:t>
      </w:r>
      <w:proofErr w:type="gramEnd"/>
      <w:r w:rsidRPr="0099000F">
        <w:rPr>
          <w:rFonts w:asciiTheme="minorBidi" w:eastAsia="system-ui" w:hAnsiTheme="minorBidi"/>
          <w:color w:val="000000" w:themeColor="text1"/>
          <w:sz w:val="24"/>
          <w:szCs w:val="24"/>
        </w:rPr>
        <w:t xml:space="preserve">, K. (2020). ‘Enhancing student engagement through </w:t>
      </w:r>
      <w:r w:rsidRPr="00EF65CA">
        <w:rPr>
          <w:rFonts w:asciiTheme="minorBidi" w:eastAsia="system-ui" w:hAnsiTheme="minorBidi"/>
          <w:color w:val="000000" w:themeColor="text1"/>
          <w:sz w:val="24"/>
          <w:szCs w:val="24"/>
        </w:rPr>
        <w:t xml:space="preserve">effective technology interfaces.’ </w:t>
      </w:r>
      <w:r w:rsidRPr="00A05A9D">
        <w:rPr>
          <w:rFonts w:asciiTheme="minorBidi" w:eastAsia="system-ui" w:hAnsiTheme="minorBidi"/>
          <w:i/>
          <w:iCs/>
          <w:color w:val="000000" w:themeColor="text1"/>
          <w:sz w:val="24"/>
          <w:szCs w:val="24"/>
        </w:rPr>
        <w:t>International Journal of Educational Technology in Higher Education,</w:t>
      </w:r>
      <w:r w:rsidRPr="00EF65CA">
        <w:rPr>
          <w:rFonts w:asciiTheme="minorBidi" w:eastAsia="system-ui" w:hAnsiTheme="minorBidi"/>
          <w:color w:val="000000" w:themeColor="text1"/>
          <w:sz w:val="24"/>
          <w:szCs w:val="24"/>
        </w:rPr>
        <w:t xml:space="preserve"> 17(1), p. 1–18.</w:t>
      </w:r>
    </w:p>
    <w:p w14:paraId="3BBDB028" w14:textId="6AF55559" w:rsidR="00021535" w:rsidRPr="00EF65CA" w:rsidRDefault="00021535" w:rsidP="00FC5CBE">
      <w:pPr>
        <w:spacing w:line="240" w:lineRule="auto"/>
        <w:ind w:left="680" w:hanging="720"/>
        <w:rPr>
          <w:rFonts w:asciiTheme="minorBidi" w:eastAsia="system-ui" w:hAnsiTheme="minorBidi"/>
          <w:color w:val="000000" w:themeColor="text1"/>
          <w:sz w:val="24"/>
          <w:szCs w:val="24"/>
        </w:rPr>
      </w:pPr>
      <w:r w:rsidRPr="00EF65CA">
        <w:rPr>
          <w:rFonts w:asciiTheme="minorBidi" w:eastAsia="system-ui" w:hAnsiTheme="minorBidi"/>
          <w:color w:val="000000" w:themeColor="text1"/>
          <w:sz w:val="24"/>
          <w:szCs w:val="24"/>
        </w:rPr>
        <w:t>Johnson, G. M</w:t>
      </w:r>
      <w:r w:rsidR="00EF65CA" w:rsidRPr="00EF65CA">
        <w:rPr>
          <w:rFonts w:asciiTheme="minorBidi" w:eastAsia="system-ui" w:hAnsiTheme="minorBidi"/>
          <w:color w:val="000000" w:themeColor="text1"/>
          <w:sz w:val="24"/>
          <w:szCs w:val="24"/>
        </w:rPr>
        <w:t xml:space="preserve"> and</w:t>
      </w:r>
      <w:r w:rsidRPr="00EF65CA">
        <w:rPr>
          <w:rFonts w:asciiTheme="minorBidi" w:eastAsia="system-ui" w:hAnsiTheme="minorBidi"/>
          <w:color w:val="000000" w:themeColor="text1"/>
          <w:sz w:val="24"/>
          <w:szCs w:val="24"/>
        </w:rPr>
        <w:t xml:space="preserve"> Mejia, D. (2022).</w:t>
      </w:r>
      <w:r w:rsidR="00EF65CA" w:rsidRPr="00EF65CA">
        <w:rPr>
          <w:rFonts w:asciiTheme="minorBidi" w:eastAsia="system-ui" w:hAnsiTheme="minorBidi"/>
          <w:color w:val="000000" w:themeColor="text1"/>
          <w:sz w:val="24"/>
          <w:szCs w:val="24"/>
        </w:rPr>
        <w:t>’</w:t>
      </w:r>
      <w:r w:rsidRPr="00EF65CA">
        <w:rPr>
          <w:rFonts w:asciiTheme="minorBidi" w:eastAsia="system-ui" w:hAnsiTheme="minorBidi"/>
          <w:color w:val="000000" w:themeColor="text1"/>
          <w:sz w:val="24"/>
          <w:szCs w:val="24"/>
        </w:rPr>
        <w:t xml:space="preserve"> Student Engagement and Satisfaction in the Virtual Classroom: An Investigation of E-learning in Graduate Business Programs.</w:t>
      </w:r>
      <w:r w:rsidR="00EF65CA" w:rsidRPr="00EF65CA">
        <w:rPr>
          <w:rFonts w:asciiTheme="minorBidi" w:eastAsia="system-ui" w:hAnsiTheme="minorBidi"/>
          <w:color w:val="000000" w:themeColor="text1"/>
          <w:sz w:val="24"/>
          <w:szCs w:val="24"/>
        </w:rPr>
        <w:t>’</w:t>
      </w:r>
      <w:r w:rsidRPr="00EF65CA">
        <w:rPr>
          <w:rFonts w:asciiTheme="minorBidi" w:eastAsia="system-ui" w:hAnsiTheme="minorBidi"/>
          <w:color w:val="000000" w:themeColor="text1"/>
          <w:sz w:val="24"/>
          <w:szCs w:val="24"/>
        </w:rPr>
        <w:t xml:space="preserve"> </w:t>
      </w:r>
      <w:r w:rsidRPr="00EF65CA">
        <w:rPr>
          <w:rFonts w:asciiTheme="minorBidi" w:eastAsia="system-ui" w:hAnsiTheme="minorBidi"/>
          <w:i/>
          <w:iCs/>
          <w:color w:val="000000" w:themeColor="text1"/>
          <w:sz w:val="24"/>
          <w:szCs w:val="24"/>
        </w:rPr>
        <w:t>The International Journal of Management Education,</w:t>
      </w:r>
      <w:r w:rsidRPr="00EF65CA">
        <w:rPr>
          <w:rFonts w:asciiTheme="minorBidi" w:eastAsia="system-ui" w:hAnsiTheme="minorBidi"/>
          <w:color w:val="000000" w:themeColor="text1"/>
          <w:sz w:val="24"/>
          <w:szCs w:val="24"/>
        </w:rPr>
        <w:t xml:space="preserve"> 20(1), 100488.</w:t>
      </w:r>
    </w:p>
    <w:p w14:paraId="771BC6CB" w14:textId="51E25EB9" w:rsidR="00021535" w:rsidRPr="00EF65CA" w:rsidRDefault="00021535" w:rsidP="00FC5CBE">
      <w:pPr>
        <w:spacing w:line="240" w:lineRule="auto"/>
        <w:ind w:left="680" w:hanging="720"/>
        <w:rPr>
          <w:rFonts w:asciiTheme="minorBidi" w:eastAsia="system-ui" w:hAnsiTheme="minorBidi"/>
          <w:b/>
          <w:bCs/>
          <w:color w:val="000000" w:themeColor="text1"/>
          <w:sz w:val="24"/>
          <w:szCs w:val="24"/>
        </w:rPr>
      </w:pPr>
      <w:r w:rsidRPr="00EF65CA">
        <w:rPr>
          <w:rFonts w:asciiTheme="minorBidi" w:eastAsia="system-ui" w:hAnsiTheme="minorBidi"/>
          <w:color w:val="000000" w:themeColor="text1"/>
          <w:sz w:val="24"/>
          <w:szCs w:val="24"/>
        </w:rPr>
        <w:t xml:space="preserve">Johnson, L. (2018). </w:t>
      </w:r>
      <w:r w:rsidR="00EF65CA" w:rsidRPr="00EF65CA">
        <w:rPr>
          <w:rFonts w:asciiTheme="minorBidi" w:eastAsia="system-ui" w:hAnsiTheme="minorBidi"/>
          <w:color w:val="000000" w:themeColor="text1"/>
          <w:sz w:val="24"/>
          <w:szCs w:val="24"/>
        </w:rPr>
        <w:t>‘</w:t>
      </w:r>
      <w:r w:rsidRPr="00EF65CA">
        <w:rPr>
          <w:rFonts w:asciiTheme="minorBidi" w:eastAsia="system-ui" w:hAnsiTheme="minorBidi"/>
          <w:color w:val="000000" w:themeColor="text1"/>
          <w:sz w:val="24"/>
          <w:szCs w:val="24"/>
        </w:rPr>
        <w:t>Digital literacy in the age of fake news.</w:t>
      </w:r>
      <w:r w:rsidR="00EF65CA" w:rsidRPr="00EF65CA">
        <w:rPr>
          <w:rFonts w:asciiTheme="minorBidi" w:eastAsia="system-ui" w:hAnsiTheme="minorBidi"/>
          <w:color w:val="000000" w:themeColor="text1"/>
          <w:sz w:val="24"/>
          <w:szCs w:val="24"/>
        </w:rPr>
        <w:t>’</w:t>
      </w:r>
      <w:r w:rsidRPr="00EF65CA">
        <w:rPr>
          <w:rFonts w:asciiTheme="minorBidi" w:eastAsia="system-ui" w:hAnsiTheme="minorBidi"/>
          <w:color w:val="000000" w:themeColor="text1"/>
          <w:sz w:val="24"/>
          <w:szCs w:val="24"/>
        </w:rPr>
        <w:t xml:space="preserve"> </w:t>
      </w:r>
      <w:proofErr w:type="spellStart"/>
      <w:r w:rsidRPr="00EF65CA">
        <w:rPr>
          <w:rFonts w:asciiTheme="minorBidi" w:eastAsia="system-ui" w:hAnsiTheme="minorBidi"/>
          <w:i/>
          <w:iCs/>
          <w:color w:val="000000" w:themeColor="text1"/>
          <w:sz w:val="24"/>
          <w:szCs w:val="24"/>
        </w:rPr>
        <w:t>TechTrends</w:t>
      </w:r>
      <w:proofErr w:type="spellEnd"/>
      <w:r w:rsidRPr="00EF65CA">
        <w:rPr>
          <w:rFonts w:asciiTheme="minorBidi" w:eastAsia="system-ui" w:hAnsiTheme="minorBidi"/>
          <w:i/>
          <w:iCs/>
          <w:color w:val="000000" w:themeColor="text1"/>
          <w:sz w:val="24"/>
          <w:szCs w:val="24"/>
        </w:rPr>
        <w:t>,</w:t>
      </w:r>
      <w:r w:rsidRPr="00EF65CA">
        <w:rPr>
          <w:rFonts w:asciiTheme="minorBidi" w:eastAsia="system-ui" w:hAnsiTheme="minorBidi"/>
          <w:color w:val="000000" w:themeColor="text1"/>
          <w:sz w:val="24"/>
          <w:szCs w:val="24"/>
        </w:rPr>
        <w:t xml:space="preserve"> 62(5), 524–525.</w:t>
      </w:r>
    </w:p>
    <w:p w14:paraId="7FA658E5" w14:textId="7059F73C"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Joram, E., MacKay, A</w:t>
      </w:r>
      <w:r w:rsidR="00EF65CA" w:rsidRPr="00EF65CA">
        <w:rPr>
          <w:rFonts w:asciiTheme="minorBidi" w:eastAsia="system-ui" w:hAnsiTheme="minorBidi"/>
          <w:color w:val="000000" w:themeColor="text1"/>
          <w:sz w:val="24"/>
          <w:szCs w:val="24"/>
        </w:rPr>
        <w:t xml:space="preserve"> and</w:t>
      </w:r>
      <w:r w:rsidRPr="00384818">
        <w:rPr>
          <w:rFonts w:asciiTheme="minorBidi" w:eastAsia="system-ui" w:hAnsiTheme="minorBidi"/>
          <w:color w:val="000000" w:themeColor="text1"/>
          <w:sz w:val="24"/>
          <w:szCs w:val="24"/>
        </w:rPr>
        <w:t xml:space="preserve"> Bryce, T. (1990). </w:t>
      </w:r>
      <w:r w:rsidR="00EF65CA" w:rsidRPr="00EF65CA">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Pictures, </w:t>
      </w:r>
      <w:proofErr w:type="spellStart"/>
      <w:r w:rsidRPr="00384818">
        <w:rPr>
          <w:rFonts w:asciiTheme="minorBidi" w:eastAsia="system-ui" w:hAnsiTheme="minorBidi"/>
          <w:color w:val="000000" w:themeColor="text1"/>
          <w:sz w:val="24"/>
          <w:szCs w:val="24"/>
        </w:rPr>
        <w:t>Powerpoint</w:t>
      </w:r>
      <w:proofErr w:type="spellEnd"/>
      <w:r w:rsidRPr="00384818">
        <w:rPr>
          <w:rFonts w:asciiTheme="minorBidi" w:eastAsia="system-ui" w:hAnsiTheme="minorBidi"/>
          <w:color w:val="000000" w:themeColor="text1"/>
          <w:sz w:val="24"/>
          <w:szCs w:val="24"/>
        </w:rPr>
        <w:t xml:space="preserve"> and Pedagogy.</w:t>
      </w:r>
      <w:r w:rsidR="00EF65CA" w:rsidRPr="00EF65CA">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Education and Information Technologies</w:t>
      </w:r>
      <w:r w:rsidRPr="00384818">
        <w:rPr>
          <w:rFonts w:asciiTheme="minorBidi" w:eastAsia="system-ui" w:hAnsiTheme="minorBidi"/>
          <w:color w:val="000000" w:themeColor="text1"/>
          <w:sz w:val="24"/>
          <w:szCs w:val="24"/>
        </w:rPr>
        <w:t>, 2(2), 137-149.</w:t>
      </w:r>
    </w:p>
    <w:p w14:paraId="2BAD52D6" w14:textId="310D8A2C"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 xml:space="preserve">Kahu, E. R. (2013). </w:t>
      </w:r>
      <w:r w:rsidR="00EF65CA" w:rsidRPr="00EF65CA">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Framing student engagement in higher education.</w:t>
      </w:r>
      <w:r w:rsidR="00EF65CA" w:rsidRPr="00EF65CA">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 xml:space="preserve">Studies in Higher Education, </w:t>
      </w:r>
      <w:r w:rsidRPr="00384818">
        <w:rPr>
          <w:rFonts w:asciiTheme="minorBidi" w:eastAsia="system-ui" w:hAnsiTheme="minorBidi"/>
          <w:color w:val="000000" w:themeColor="text1"/>
          <w:sz w:val="24"/>
          <w:szCs w:val="24"/>
        </w:rPr>
        <w:t>38(5), 758-773.</w:t>
      </w:r>
    </w:p>
    <w:p w14:paraId="334FA925" w14:textId="77777777" w:rsidR="00021535" w:rsidRPr="00F93681"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Ke, F., Xie, K </w:t>
      </w:r>
      <w:proofErr w:type="gramStart"/>
      <w:r w:rsidRPr="0099000F">
        <w:rPr>
          <w:rFonts w:asciiTheme="minorBidi" w:eastAsia="system-ui" w:hAnsiTheme="minorBidi"/>
          <w:color w:val="000000" w:themeColor="text1"/>
          <w:sz w:val="24"/>
          <w:szCs w:val="24"/>
        </w:rPr>
        <w:t>and  Xie</w:t>
      </w:r>
      <w:proofErr w:type="gramEnd"/>
      <w:r w:rsidRPr="0099000F">
        <w:rPr>
          <w:rFonts w:asciiTheme="minorBidi" w:eastAsia="system-ui" w:hAnsiTheme="minorBidi"/>
          <w:color w:val="000000" w:themeColor="text1"/>
          <w:sz w:val="24"/>
          <w:szCs w:val="24"/>
        </w:rPr>
        <w:t xml:space="preserve">, Y. (2016). ‘Game-based learning engagement: A theory- and data-driven exploration.’ </w:t>
      </w:r>
      <w:r w:rsidRPr="00A05A9D">
        <w:rPr>
          <w:rFonts w:asciiTheme="minorBidi" w:eastAsia="system-ui" w:hAnsiTheme="minorBidi"/>
          <w:i/>
          <w:iCs/>
          <w:color w:val="000000" w:themeColor="text1"/>
          <w:sz w:val="24"/>
          <w:szCs w:val="24"/>
        </w:rPr>
        <w:t>British Journal of Educational Technology</w:t>
      </w:r>
      <w:r w:rsidRPr="0099000F">
        <w:rPr>
          <w:rFonts w:asciiTheme="minorBidi" w:eastAsia="system-ui" w:hAnsiTheme="minorBidi"/>
          <w:color w:val="000000" w:themeColor="text1"/>
          <w:sz w:val="24"/>
          <w:szCs w:val="24"/>
        </w:rPr>
        <w:t>, 47(6), pp. 1183–</w:t>
      </w:r>
      <w:r w:rsidRPr="00F93681">
        <w:rPr>
          <w:rFonts w:asciiTheme="minorBidi" w:eastAsia="system-ui" w:hAnsiTheme="minorBidi"/>
          <w:color w:val="000000" w:themeColor="text1"/>
          <w:sz w:val="24"/>
          <w:szCs w:val="24"/>
        </w:rPr>
        <w:t>1201. DOI: 10.1111/bjet.12314</w:t>
      </w:r>
    </w:p>
    <w:p w14:paraId="1218BC46" w14:textId="5A888DF0" w:rsidR="00021535" w:rsidRPr="00F93681" w:rsidRDefault="00021535" w:rsidP="00FC5CBE">
      <w:pPr>
        <w:spacing w:line="240" w:lineRule="auto"/>
        <w:ind w:left="680" w:hanging="720"/>
        <w:rPr>
          <w:rFonts w:asciiTheme="minorBidi" w:eastAsia="system-ui" w:hAnsiTheme="minorBidi"/>
          <w:color w:val="000000" w:themeColor="text1"/>
          <w:sz w:val="24"/>
          <w:szCs w:val="24"/>
        </w:rPr>
      </w:pPr>
      <w:r w:rsidRPr="00F93681">
        <w:rPr>
          <w:rFonts w:asciiTheme="minorBidi" w:eastAsia="system-ui" w:hAnsiTheme="minorBidi"/>
          <w:color w:val="000000" w:themeColor="text1"/>
          <w:sz w:val="24"/>
          <w:szCs w:val="24"/>
        </w:rPr>
        <w:t>Kimmons, R</w:t>
      </w:r>
      <w:r w:rsidR="00EF65CA" w:rsidRPr="00F93681">
        <w:rPr>
          <w:rFonts w:asciiTheme="minorBidi" w:eastAsia="system-ui" w:hAnsiTheme="minorBidi"/>
          <w:color w:val="000000" w:themeColor="text1"/>
          <w:sz w:val="24"/>
          <w:szCs w:val="24"/>
        </w:rPr>
        <w:t xml:space="preserve"> and </w:t>
      </w:r>
      <w:r w:rsidRPr="00F93681">
        <w:rPr>
          <w:rFonts w:asciiTheme="minorBidi" w:eastAsia="system-ui" w:hAnsiTheme="minorBidi"/>
          <w:color w:val="000000" w:themeColor="text1"/>
          <w:sz w:val="24"/>
          <w:szCs w:val="24"/>
        </w:rPr>
        <w:t xml:space="preserve">Hall, C. (2020). ‘School districts and social media policies: Promises and </w:t>
      </w:r>
      <w:proofErr w:type="gramStart"/>
      <w:r w:rsidRPr="00F93681">
        <w:rPr>
          <w:rFonts w:asciiTheme="minorBidi" w:eastAsia="system-ui" w:hAnsiTheme="minorBidi"/>
          <w:color w:val="000000" w:themeColor="text1"/>
          <w:sz w:val="24"/>
          <w:szCs w:val="24"/>
        </w:rPr>
        <w:t>practices’</w:t>
      </w:r>
      <w:proofErr w:type="gramEnd"/>
      <w:r w:rsidRPr="00F93681">
        <w:rPr>
          <w:rFonts w:asciiTheme="minorBidi" w:eastAsia="system-ui" w:hAnsiTheme="minorBidi"/>
          <w:color w:val="000000" w:themeColor="text1"/>
          <w:sz w:val="24"/>
          <w:szCs w:val="24"/>
        </w:rPr>
        <w:t xml:space="preserve">. </w:t>
      </w:r>
      <w:r w:rsidRPr="00F93681">
        <w:rPr>
          <w:rFonts w:asciiTheme="minorBidi" w:eastAsia="system-ui" w:hAnsiTheme="minorBidi"/>
          <w:i/>
          <w:iCs/>
          <w:color w:val="000000" w:themeColor="text1"/>
          <w:sz w:val="24"/>
          <w:szCs w:val="24"/>
        </w:rPr>
        <w:t>Computers &amp; Education</w:t>
      </w:r>
      <w:r w:rsidRPr="00F93681">
        <w:rPr>
          <w:rFonts w:asciiTheme="minorBidi" w:eastAsia="system-ui" w:hAnsiTheme="minorBidi"/>
          <w:color w:val="000000" w:themeColor="text1"/>
          <w:sz w:val="24"/>
          <w:szCs w:val="24"/>
        </w:rPr>
        <w:t>, 157, 103973.</w:t>
      </w:r>
    </w:p>
    <w:p w14:paraId="59FB7603" w14:textId="7617CA1D"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 xml:space="preserve">Krause, K. L., &amp; Coates, H. (2008). </w:t>
      </w:r>
      <w:r w:rsidR="00EF65CA" w:rsidRPr="00F93681">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Students’ engagement in first</w:t>
      </w:r>
      <w:r w:rsidRPr="00384818">
        <w:rPr>
          <w:rFonts w:ascii="Cambria Math" w:eastAsia="system-ui" w:hAnsi="Cambria Math" w:cs="Cambria Math"/>
          <w:color w:val="000000" w:themeColor="text1"/>
          <w:sz w:val="24"/>
          <w:szCs w:val="24"/>
        </w:rPr>
        <w:t>‐</w:t>
      </w:r>
      <w:r w:rsidRPr="00384818">
        <w:rPr>
          <w:rFonts w:asciiTheme="minorBidi" w:eastAsia="system-ui" w:hAnsiTheme="minorBidi"/>
          <w:color w:val="000000" w:themeColor="text1"/>
          <w:sz w:val="24"/>
          <w:szCs w:val="24"/>
        </w:rPr>
        <w:t>year university.</w:t>
      </w:r>
      <w:r w:rsidR="00EF65CA" w:rsidRPr="00F93681">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Assessment &amp; Evaluation in Higher Education</w:t>
      </w:r>
      <w:r w:rsidRPr="00384818">
        <w:rPr>
          <w:rFonts w:asciiTheme="minorBidi" w:eastAsia="system-ui" w:hAnsiTheme="minorBidi"/>
          <w:color w:val="000000" w:themeColor="text1"/>
          <w:sz w:val="24"/>
          <w:szCs w:val="24"/>
        </w:rPr>
        <w:t>, 33(5), 493-505.</w:t>
      </w:r>
    </w:p>
    <w:p w14:paraId="1EEB2DDA" w14:textId="53961A73"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 xml:space="preserve">Kuh, G. D. (2009). </w:t>
      </w:r>
      <w:r w:rsidR="00EF65CA" w:rsidRPr="00F93681">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What student engagement data tell us about college readiness.</w:t>
      </w:r>
      <w:r w:rsidR="00EF65CA" w:rsidRPr="00F93681">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Peer Review</w:t>
      </w:r>
      <w:r w:rsidRPr="00384818">
        <w:rPr>
          <w:rFonts w:asciiTheme="minorBidi" w:eastAsia="system-ui" w:hAnsiTheme="minorBidi"/>
          <w:color w:val="000000" w:themeColor="text1"/>
          <w:sz w:val="24"/>
          <w:szCs w:val="24"/>
        </w:rPr>
        <w:t>, 11(4), 6-9.</w:t>
      </w:r>
    </w:p>
    <w:p w14:paraId="3577197A"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Leach, L. (2016). ‘Student engagement: A driver of academic success.’ </w:t>
      </w:r>
      <w:r w:rsidRPr="00F93681">
        <w:rPr>
          <w:rFonts w:asciiTheme="minorBidi" w:eastAsia="system-ui" w:hAnsiTheme="minorBidi"/>
          <w:i/>
          <w:iCs/>
          <w:color w:val="000000" w:themeColor="text1"/>
          <w:sz w:val="24"/>
          <w:szCs w:val="24"/>
        </w:rPr>
        <w:t xml:space="preserve">Journal of Higher Education Management and Policy, </w:t>
      </w:r>
      <w:r w:rsidRPr="0099000F">
        <w:rPr>
          <w:rFonts w:asciiTheme="minorBidi" w:eastAsia="system-ui" w:hAnsiTheme="minorBidi"/>
          <w:color w:val="000000" w:themeColor="text1"/>
          <w:sz w:val="24"/>
          <w:szCs w:val="24"/>
        </w:rPr>
        <w:t>38(4), 387–398.</w:t>
      </w:r>
    </w:p>
    <w:p w14:paraId="35193A28"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Lu, J., Hallinger, P and </w:t>
      </w:r>
      <w:proofErr w:type="spellStart"/>
      <w:r w:rsidRPr="0099000F">
        <w:rPr>
          <w:rFonts w:asciiTheme="minorBidi" w:eastAsia="system-ui" w:hAnsiTheme="minorBidi"/>
          <w:color w:val="000000" w:themeColor="text1"/>
          <w:sz w:val="24"/>
          <w:szCs w:val="24"/>
        </w:rPr>
        <w:t>Showanasai</w:t>
      </w:r>
      <w:proofErr w:type="spellEnd"/>
      <w:r w:rsidRPr="0099000F">
        <w:rPr>
          <w:rFonts w:asciiTheme="minorBidi" w:eastAsia="system-ui" w:hAnsiTheme="minorBidi"/>
          <w:color w:val="000000" w:themeColor="text1"/>
          <w:sz w:val="24"/>
          <w:szCs w:val="24"/>
        </w:rPr>
        <w:t xml:space="preserve">, P. (2014). ‘Using digital games to enhance student engagement in higher education.’ </w:t>
      </w:r>
      <w:r w:rsidRPr="004E3658">
        <w:rPr>
          <w:rFonts w:asciiTheme="minorBidi" w:eastAsia="system-ui" w:hAnsiTheme="minorBidi"/>
          <w:i/>
          <w:iCs/>
          <w:color w:val="000000" w:themeColor="text1"/>
          <w:sz w:val="24"/>
          <w:szCs w:val="24"/>
        </w:rPr>
        <w:t xml:space="preserve">Journal of Educational Technology &amp; Society, </w:t>
      </w:r>
      <w:r w:rsidRPr="0099000F">
        <w:rPr>
          <w:rFonts w:asciiTheme="minorBidi" w:eastAsia="system-ui" w:hAnsiTheme="minorBidi"/>
          <w:color w:val="000000" w:themeColor="text1"/>
          <w:sz w:val="24"/>
          <w:szCs w:val="24"/>
        </w:rPr>
        <w:t>17(1), 3–11.</w:t>
      </w:r>
    </w:p>
    <w:p w14:paraId="53F1ACB1"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Mansouri, M and Piki, A. (2016). ‘Blogging and students’ engagement: An empirical investigation with university students.’ </w:t>
      </w:r>
      <w:r w:rsidRPr="004E3658">
        <w:rPr>
          <w:rFonts w:asciiTheme="minorBidi" w:eastAsia="system-ui" w:hAnsiTheme="minorBidi"/>
          <w:i/>
          <w:iCs/>
          <w:color w:val="000000" w:themeColor="text1"/>
          <w:sz w:val="24"/>
          <w:szCs w:val="24"/>
        </w:rPr>
        <w:t>Journal of Educational Computing Research</w:t>
      </w:r>
      <w:r w:rsidRPr="0099000F">
        <w:rPr>
          <w:rFonts w:asciiTheme="minorBidi" w:eastAsia="system-ui" w:hAnsiTheme="minorBidi"/>
          <w:color w:val="000000" w:themeColor="text1"/>
          <w:sz w:val="24"/>
          <w:szCs w:val="24"/>
        </w:rPr>
        <w:t>, 54(4), 494–518.</w:t>
      </w:r>
    </w:p>
    <w:p w14:paraId="797ADF82"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Marriott, R., Tan, M and Marriott, S. (2015). ‘Evaluating the use of a serious game to develop emotional well-being and critical thinking in higher education: A narrative perspective.’ </w:t>
      </w:r>
      <w:r w:rsidRPr="004E3658">
        <w:rPr>
          <w:rFonts w:asciiTheme="minorBidi" w:eastAsia="system-ui" w:hAnsiTheme="minorBidi"/>
          <w:i/>
          <w:iCs/>
          <w:color w:val="000000" w:themeColor="text1"/>
          <w:sz w:val="24"/>
          <w:szCs w:val="24"/>
        </w:rPr>
        <w:t>Journal of Applied Research in Higher Education</w:t>
      </w:r>
      <w:r w:rsidRPr="0099000F">
        <w:rPr>
          <w:rFonts w:asciiTheme="minorBidi" w:eastAsia="system-ui" w:hAnsiTheme="minorBidi"/>
          <w:color w:val="000000" w:themeColor="text1"/>
          <w:sz w:val="24"/>
          <w:szCs w:val="24"/>
        </w:rPr>
        <w:t>, 7(3), 328–341.</w:t>
      </w:r>
    </w:p>
    <w:p w14:paraId="79DD7CED" w14:textId="77777777" w:rsidR="00021535" w:rsidRPr="004E3658"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McClenney, K. M., Marti, C. N and Adkins, C. D. (2012). ‘The relationship between student engagement and student success: The role of learning strategies and self-</w:t>
      </w:r>
      <w:r w:rsidRPr="004E3658">
        <w:rPr>
          <w:rFonts w:asciiTheme="minorBidi" w:eastAsia="system-ui" w:hAnsiTheme="minorBidi"/>
          <w:color w:val="000000" w:themeColor="text1"/>
          <w:sz w:val="24"/>
          <w:szCs w:val="24"/>
        </w:rPr>
        <w:t xml:space="preserve">regulation.’ </w:t>
      </w:r>
      <w:r w:rsidRPr="004E3658">
        <w:rPr>
          <w:rFonts w:asciiTheme="minorBidi" w:eastAsia="system-ui" w:hAnsiTheme="minorBidi"/>
          <w:i/>
          <w:iCs/>
          <w:color w:val="000000" w:themeColor="text1"/>
          <w:sz w:val="24"/>
          <w:szCs w:val="24"/>
        </w:rPr>
        <w:t>Journal of College Student Development,</w:t>
      </w:r>
      <w:r w:rsidRPr="004E3658">
        <w:rPr>
          <w:rFonts w:asciiTheme="minorBidi" w:eastAsia="system-ui" w:hAnsiTheme="minorBidi"/>
          <w:color w:val="000000" w:themeColor="text1"/>
          <w:sz w:val="24"/>
          <w:szCs w:val="24"/>
        </w:rPr>
        <w:t xml:space="preserve"> 53(5), pp. 623–633.</w:t>
      </w:r>
    </w:p>
    <w:p w14:paraId="410E964B" w14:textId="18144CA1"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McCormik, R</w:t>
      </w:r>
      <w:r w:rsidR="004E3658" w:rsidRPr="004E3658">
        <w:rPr>
          <w:rFonts w:asciiTheme="minorBidi" w:eastAsia="system-ui" w:hAnsiTheme="minorBidi"/>
          <w:color w:val="000000" w:themeColor="text1"/>
          <w:sz w:val="24"/>
          <w:szCs w:val="24"/>
        </w:rPr>
        <w:t xml:space="preserve"> and</w:t>
      </w:r>
      <w:r w:rsidRPr="00384818">
        <w:rPr>
          <w:rFonts w:asciiTheme="minorBidi" w:eastAsia="system-ui" w:hAnsiTheme="minorBidi"/>
          <w:color w:val="000000" w:themeColor="text1"/>
          <w:sz w:val="24"/>
          <w:szCs w:val="24"/>
        </w:rPr>
        <w:t xml:space="preserve"> Scrimshaw, P. (2001). </w:t>
      </w:r>
      <w:r w:rsidR="004E3658" w:rsidRPr="004E3658">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Computer Supported Collaborative Learning: The Role of the Facilitator.</w:t>
      </w:r>
      <w:r w:rsidR="004E3658" w:rsidRPr="004E3658">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Education and Information Technologies,</w:t>
      </w:r>
      <w:r w:rsidRPr="00384818">
        <w:rPr>
          <w:rFonts w:asciiTheme="minorBidi" w:eastAsia="system-ui" w:hAnsiTheme="minorBidi"/>
          <w:color w:val="000000" w:themeColor="text1"/>
          <w:sz w:val="24"/>
          <w:szCs w:val="24"/>
        </w:rPr>
        <w:t xml:space="preserve"> 6(3), 177-188.</w:t>
      </w:r>
    </w:p>
    <w:p w14:paraId="4B43A974" w14:textId="26A26C12" w:rsidR="00021535" w:rsidRPr="00A05A9D" w:rsidRDefault="00021535" w:rsidP="00FC5CBE">
      <w:pPr>
        <w:spacing w:line="240" w:lineRule="auto"/>
        <w:ind w:left="680" w:hanging="720"/>
        <w:rPr>
          <w:rFonts w:asciiTheme="minorBidi" w:eastAsia="system-ui" w:hAnsiTheme="minorBidi"/>
          <w:color w:val="000000" w:themeColor="text1"/>
          <w:sz w:val="24"/>
          <w:szCs w:val="24"/>
        </w:rPr>
      </w:pPr>
      <w:r w:rsidRPr="00A05A9D">
        <w:rPr>
          <w:rFonts w:asciiTheme="minorBidi" w:eastAsia="system-ui" w:hAnsiTheme="minorBidi"/>
          <w:color w:val="000000" w:themeColor="text1"/>
          <w:sz w:val="24"/>
          <w:szCs w:val="24"/>
        </w:rPr>
        <w:t xml:space="preserve">Means, B., Toyama, Y., Murphy, R., </w:t>
      </w:r>
      <w:proofErr w:type="spellStart"/>
      <w:r w:rsidRPr="00A05A9D">
        <w:rPr>
          <w:rFonts w:asciiTheme="minorBidi" w:eastAsia="system-ui" w:hAnsiTheme="minorBidi"/>
          <w:color w:val="000000" w:themeColor="text1"/>
          <w:sz w:val="24"/>
          <w:szCs w:val="24"/>
        </w:rPr>
        <w:t>Bakia</w:t>
      </w:r>
      <w:proofErr w:type="spellEnd"/>
      <w:r w:rsidRPr="00A05A9D">
        <w:rPr>
          <w:rFonts w:asciiTheme="minorBidi" w:eastAsia="system-ui" w:hAnsiTheme="minorBidi"/>
          <w:color w:val="000000" w:themeColor="text1"/>
          <w:sz w:val="24"/>
          <w:szCs w:val="24"/>
        </w:rPr>
        <w:t>, M</w:t>
      </w:r>
      <w:r w:rsidR="004E3658" w:rsidRPr="00A05A9D">
        <w:rPr>
          <w:rFonts w:asciiTheme="minorBidi" w:eastAsia="system-ui" w:hAnsiTheme="minorBidi"/>
          <w:color w:val="000000" w:themeColor="text1"/>
          <w:sz w:val="24"/>
          <w:szCs w:val="24"/>
        </w:rPr>
        <w:t xml:space="preserve"> and</w:t>
      </w:r>
      <w:r w:rsidRPr="00A05A9D">
        <w:rPr>
          <w:rFonts w:asciiTheme="minorBidi" w:eastAsia="system-ui" w:hAnsiTheme="minorBidi"/>
          <w:color w:val="000000" w:themeColor="text1"/>
          <w:sz w:val="24"/>
          <w:szCs w:val="24"/>
        </w:rPr>
        <w:t xml:space="preserve"> Jones, K. (2013). </w:t>
      </w:r>
      <w:r w:rsidRPr="00A05A9D">
        <w:rPr>
          <w:rFonts w:asciiTheme="minorBidi" w:eastAsia="system-ui" w:hAnsiTheme="minorBidi"/>
          <w:i/>
          <w:iCs/>
          <w:color w:val="000000" w:themeColor="text1"/>
          <w:sz w:val="24"/>
          <w:szCs w:val="24"/>
        </w:rPr>
        <w:t xml:space="preserve">Evaluation of Evidence-Based Practices in Online Learning: A Meta-Analysis and Review of Online Learning </w:t>
      </w:r>
      <w:proofErr w:type="spellStart"/>
      <w:r w:rsidRPr="00A05A9D">
        <w:rPr>
          <w:rFonts w:asciiTheme="minorBidi" w:eastAsia="system-ui" w:hAnsiTheme="minorBidi"/>
          <w:i/>
          <w:iCs/>
          <w:color w:val="000000" w:themeColor="text1"/>
          <w:sz w:val="24"/>
          <w:szCs w:val="24"/>
        </w:rPr>
        <w:t>Studies</w:t>
      </w:r>
      <w:r w:rsidRPr="00A05A9D">
        <w:rPr>
          <w:rFonts w:asciiTheme="minorBidi" w:eastAsia="system-ui" w:hAnsiTheme="minorBidi"/>
          <w:color w:val="000000" w:themeColor="text1"/>
          <w:sz w:val="24"/>
          <w:szCs w:val="24"/>
        </w:rPr>
        <w:t>.</w:t>
      </w:r>
      <w:r w:rsidR="00A05A9D" w:rsidRPr="00A05A9D">
        <w:rPr>
          <w:rFonts w:asciiTheme="minorBidi" w:eastAsia="system-ui" w:hAnsiTheme="minorBidi"/>
          <w:color w:val="000000" w:themeColor="text1"/>
          <w:sz w:val="24"/>
          <w:szCs w:val="24"/>
        </w:rPr>
        <w:t>USA</w:t>
      </w:r>
      <w:proofErr w:type="spellEnd"/>
      <w:r w:rsidR="00A05A9D" w:rsidRPr="00A05A9D">
        <w:rPr>
          <w:rFonts w:asciiTheme="minorBidi" w:eastAsia="system-ui" w:hAnsiTheme="minorBidi"/>
          <w:color w:val="000000" w:themeColor="text1"/>
          <w:sz w:val="24"/>
          <w:szCs w:val="24"/>
        </w:rPr>
        <w:t>:</w:t>
      </w:r>
      <w:r w:rsidRPr="00A05A9D">
        <w:rPr>
          <w:rFonts w:asciiTheme="minorBidi" w:eastAsia="system-ui" w:hAnsiTheme="minorBidi"/>
          <w:color w:val="000000" w:themeColor="text1"/>
          <w:sz w:val="24"/>
          <w:szCs w:val="24"/>
        </w:rPr>
        <w:t xml:space="preserve"> U.S. Department of Education.</w:t>
      </w:r>
    </w:p>
    <w:p w14:paraId="7DC8AF36" w14:textId="23E24FD7" w:rsidR="00021535" w:rsidRPr="00A05A9D" w:rsidRDefault="00021535" w:rsidP="00FC5CBE">
      <w:pPr>
        <w:spacing w:line="240" w:lineRule="auto"/>
        <w:ind w:left="680" w:hanging="720"/>
        <w:rPr>
          <w:rFonts w:asciiTheme="minorBidi" w:eastAsia="system-ui" w:hAnsiTheme="minorBidi"/>
          <w:color w:val="000000" w:themeColor="text1"/>
          <w:sz w:val="24"/>
          <w:szCs w:val="24"/>
        </w:rPr>
      </w:pPr>
      <w:r w:rsidRPr="00A05A9D">
        <w:rPr>
          <w:rFonts w:asciiTheme="minorBidi" w:eastAsia="system-ui" w:hAnsiTheme="minorBidi"/>
          <w:color w:val="000000" w:themeColor="text1"/>
          <w:sz w:val="24"/>
          <w:szCs w:val="24"/>
        </w:rPr>
        <w:t>Mishra, P</w:t>
      </w:r>
      <w:r w:rsidR="00A05A9D" w:rsidRPr="00A05A9D">
        <w:rPr>
          <w:rFonts w:asciiTheme="minorBidi" w:eastAsia="system-ui" w:hAnsiTheme="minorBidi"/>
          <w:color w:val="000000" w:themeColor="text1"/>
          <w:sz w:val="24"/>
          <w:szCs w:val="24"/>
        </w:rPr>
        <w:t xml:space="preserve"> and</w:t>
      </w:r>
      <w:r w:rsidRPr="00A05A9D">
        <w:rPr>
          <w:rFonts w:asciiTheme="minorBidi" w:eastAsia="system-ui" w:hAnsiTheme="minorBidi"/>
          <w:color w:val="000000" w:themeColor="text1"/>
          <w:sz w:val="24"/>
          <w:szCs w:val="24"/>
        </w:rPr>
        <w:t xml:space="preserve"> Koehler, M. J. (2006). </w:t>
      </w:r>
      <w:r w:rsidR="00A05A9D" w:rsidRPr="00A05A9D">
        <w:rPr>
          <w:rFonts w:asciiTheme="minorBidi" w:eastAsia="system-ui" w:hAnsiTheme="minorBidi"/>
          <w:color w:val="000000" w:themeColor="text1"/>
          <w:sz w:val="24"/>
          <w:szCs w:val="24"/>
        </w:rPr>
        <w:t>‘</w:t>
      </w:r>
      <w:r w:rsidRPr="00A05A9D">
        <w:rPr>
          <w:rFonts w:asciiTheme="minorBidi" w:eastAsia="system-ui" w:hAnsiTheme="minorBidi"/>
          <w:color w:val="000000" w:themeColor="text1"/>
          <w:sz w:val="24"/>
          <w:szCs w:val="24"/>
        </w:rPr>
        <w:t>Technological pedagogical content knowledge: A framework for teacher knowledge.</w:t>
      </w:r>
      <w:r w:rsidR="00A05A9D" w:rsidRPr="00A05A9D">
        <w:rPr>
          <w:rFonts w:asciiTheme="minorBidi" w:eastAsia="system-ui" w:hAnsiTheme="minorBidi"/>
          <w:color w:val="000000" w:themeColor="text1"/>
          <w:sz w:val="24"/>
          <w:szCs w:val="24"/>
        </w:rPr>
        <w:t xml:space="preserve">’ </w:t>
      </w:r>
      <w:r w:rsidRPr="00A05A9D">
        <w:rPr>
          <w:rFonts w:asciiTheme="minorBidi" w:eastAsia="system-ui" w:hAnsiTheme="minorBidi"/>
          <w:i/>
          <w:iCs/>
          <w:color w:val="000000" w:themeColor="text1"/>
          <w:sz w:val="24"/>
          <w:szCs w:val="24"/>
        </w:rPr>
        <w:t>Teachers College Record,</w:t>
      </w:r>
      <w:r w:rsidRPr="00A05A9D">
        <w:rPr>
          <w:rFonts w:asciiTheme="minorBidi" w:eastAsia="system-ui" w:hAnsiTheme="minorBidi"/>
          <w:color w:val="000000" w:themeColor="text1"/>
          <w:sz w:val="24"/>
          <w:szCs w:val="24"/>
        </w:rPr>
        <w:t xml:space="preserve"> 108(6), 1017-1054.</w:t>
      </w:r>
    </w:p>
    <w:p w14:paraId="16F6B649" w14:textId="77777777" w:rsidR="00021535" w:rsidRPr="00A05A9D" w:rsidRDefault="00021535" w:rsidP="00FC5CBE">
      <w:pPr>
        <w:spacing w:line="240" w:lineRule="auto"/>
        <w:ind w:left="680" w:hanging="720"/>
        <w:rPr>
          <w:rFonts w:asciiTheme="minorBidi" w:eastAsia="system-ui" w:hAnsiTheme="minorBidi"/>
          <w:color w:val="000000" w:themeColor="text1"/>
          <w:sz w:val="24"/>
          <w:szCs w:val="24"/>
        </w:rPr>
      </w:pPr>
      <w:r w:rsidRPr="00A05A9D">
        <w:rPr>
          <w:rFonts w:asciiTheme="minorBidi" w:eastAsia="system-ui" w:hAnsiTheme="minorBidi"/>
          <w:color w:val="000000" w:themeColor="text1"/>
          <w:sz w:val="24"/>
          <w:szCs w:val="24"/>
        </w:rPr>
        <w:t xml:space="preserve">Neuman, D.L and Hood, M. (2009). ‘The effects of using a wiki on student engagement and learning of report writing skills in a university statistics course.’ </w:t>
      </w:r>
      <w:proofErr w:type="spellStart"/>
      <w:r w:rsidRPr="00A05A9D">
        <w:rPr>
          <w:rFonts w:asciiTheme="minorBidi" w:eastAsia="system-ui" w:hAnsiTheme="minorBidi"/>
          <w:i/>
          <w:iCs/>
          <w:color w:val="000000" w:themeColor="text1"/>
          <w:sz w:val="24"/>
          <w:szCs w:val="24"/>
        </w:rPr>
        <w:t>Australas</w:t>
      </w:r>
      <w:proofErr w:type="spellEnd"/>
      <w:r w:rsidRPr="00A05A9D">
        <w:rPr>
          <w:rFonts w:asciiTheme="minorBidi" w:eastAsia="system-ui" w:hAnsiTheme="minorBidi"/>
          <w:i/>
          <w:iCs/>
          <w:color w:val="000000" w:themeColor="text1"/>
          <w:sz w:val="24"/>
          <w:szCs w:val="24"/>
        </w:rPr>
        <w:t xml:space="preserve"> Journal of Education Technology,</w:t>
      </w:r>
      <w:r w:rsidRPr="00A05A9D">
        <w:rPr>
          <w:rFonts w:asciiTheme="minorBidi" w:eastAsia="system-ui" w:hAnsiTheme="minorBidi"/>
          <w:color w:val="000000" w:themeColor="text1"/>
          <w:sz w:val="24"/>
          <w:szCs w:val="24"/>
        </w:rPr>
        <w:t xml:space="preserve"> 25, pp. 382–398.</w:t>
      </w:r>
    </w:p>
    <w:p w14:paraId="11BBD82D" w14:textId="77777777" w:rsidR="00021535" w:rsidRPr="00A05A9D" w:rsidRDefault="00021535" w:rsidP="00FC5CBE">
      <w:pPr>
        <w:spacing w:line="240" w:lineRule="auto"/>
        <w:ind w:left="680" w:hanging="720"/>
        <w:rPr>
          <w:rFonts w:asciiTheme="minorBidi" w:eastAsia="system-ui" w:hAnsiTheme="minorBidi"/>
          <w:color w:val="000000" w:themeColor="text1"/>
          <w:sz w:val="24"/>
          <w:szCs w:val="24"/>
        </w:rPr>
      </w:pPr>
      <w:r w:rsidRPr="00A05A9D">
        <w:rPr>
          <w:rFonts w:asciiTheme="minorBidi" w:eastAsia="system-ui" w:hAnsiTheme="minorBidi"/>
          <w:color w:val="000000" w:themeColor="text1"/>
          <w:sz w:val="24"/>
          <w:szCs w:val="24"/>
        </w:rPr>
        <w:t xml:space="preserve">OECD. (2019). </w:t>
      </w:r>
      <w:r w:rsidRPr="00A05A9D">
        <w:rPr>
          <w:rFonts w:asciiTheme="minorBidi" w:eastAsia="system-ui" w:hAnsiTheme="minorBidi"/>
          <w:i/>
          <w:iCs/>
          <w:color w:val="000000" w:themeColor="text1"/>
          <w:sz w:val="24"/>
          <w:szCs w:val="24"/>
        </w:rPr>
        <w:t>OECD education policy outlook 2019: Working together to harness the power of education</w:t>
      </w:r>
      <w:r w:rsidRPr="00A05A9D">
        <w:rPr>
          <w:rFonts w:asciiTheme="minorBidi" w:eastAsia="system-ui" w:hAnsiTheme="minorBidi"/>
          <w:color w:val="000000" w:themeColor="text1"/>
          <w:sz w:val="24"/>
          <w:szCs w:val="24"/>
        </w:rPr>
        <w:t>. OECD Publishing.</w:t>
      </w:r>
    </w:p>
    <w:p w14:paraId="6E60FF07"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Pandita, D and Kiran, R. (2023). ‘Exploring the nexus between technology interface and student engagement for sustainable student satisfaction.’ </w:t>
      </w:r>
      <w:r w:rsidRPr="00A05A9D">
        <w:rPr>
          <w:rFonts w:asciiTheme="minorBidi" w:eastAsia="system-ui" w:hAnsiTheme="minorBidi"/>
          <w:i/>
          <w:iCs/>
          <w:color w:val="000000" w:themeColor="text1"/>
          <w:sz w:val="24"/>
          <w:szCs w:val="24"/>
        </w:rPr>
        <w:t>Sustainability,</w:t>
      </w:r>
      <w:r w:rsidRPr="0099000F">
        <w:rPr>
          <w:rFonts w:asciiTheme="minorBidi" w:eastAsia="system-ui" w:hAnsiTheme="minorBidi"/>
          <w:color w:val="000000" w:themeColor="text1"/>
          <w:sz w:val="24"/>
          <w:szCs w:val="24"/>
        </w:rPr>
        <w:t xml:space="preserve"> 15(10), p. 7923.</w:t>
      </w:r>
    </w:p>
    <w:p w14:paraId="1A2490BA" w14:textId="77777777" w:rsidR="00021535" w:rsidRPr="00BE4094"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Parsons, J.; Taylor, L. ‘Improving student engagement.’ </w:t>
      </w:r>
      <w:r w:rsidRPr="00A05A9D">
        <w:rPr>
          <w:rFonts w:asciiTheme="minorBidi" w:eastAsia="system-ui" w:hAnsiTheme="minorBidi"/>
          <w:i/>
          <w:iCs/>
          <w:color w:val="000000" w:themeColor="text1"/>
          <w:sz w:val="24"/>
          <w:szCs w:val="24"/>
        </w:rPr>
        <w:t>Current Issues in Education,</w:t>
      </w:r>
      <w:r w:rsidRPr="0099000F">
        <w:rPr>
          <w:rFonts w:asciiTheme="minorBidi" w:eastAsia="system-ui" w:hAnsiTheme="minorBidi"/>
          <w:color w:val="000000" w:themeColor="text1"/>
          <w:sz w:val="24"/>
          <w:szCs w:val="24"/>
        </w:rPr>
        <w:t xml:space="preserve"> </w:t>
      </w:r>
      <w:r w:rsidRPr="00BE4094">
        <w:rPr>
          <w:rFonts w:asciiTheme="minorBidi" w:eastAsia="system-ui" w:hAnsiTheme="minorBidi"/>
          <w:color w:val="000000" w:themeColor="text1"/>
          <w:sz w:val="24"/>
          <w:szCs w:val="24"/>
        </w:rPr>
        <w:t xml:space="preserve">14. </w:t>
      </w:r>
    </w:p>
    <w:p w14:paraId="07D0F9AE" w14:textId="353B636D" w:rsidR="00021535" w:rsidRPr="00BE4094" w:rsidRDefault="00021535" w:rsidP="00FC5CBE">
      <w:pPr>
        <w:spacing w:line="240" w:lineRule="auto"/>
        <w:ind w:left="680" w:hanging="720"/>
        <w:rPr>
          <w:rFonts w:asciiTheme="minorBidi" w:eastAsia="system-ui" w:hAnsiTheme="minorBidi"/>
          <w:color w:val="000000" w:themeColor="text1"/>
          <w:sz w:val="24"/>
          <w:szCs w:val="24"/>
        </w:rPr>
      </w:pPr>
      <w:proofErr w:type="spellStart"/>
      <w:r w:rsidRPr="00BE4094">
        <w:rPr>
          <w:rFonts w:asciiTheme="minorBidi" w:eastAsia="system-ui" w:hAnsiTheme="minorBidi"/>
          <w:color w:val="000000" w:themeColor="text1"/>
          <w:sz w:val="24"/>
          <w:szCs w:val="24"/>
        </w:rPr>
        <w:t>Patsios</w:t>
      </w:r>
      <w:proofErr w:type="spellEnd"/>
      <w:r w:rsidRPr="00BE4094">
        <w:rPr>
          <w:rFonts w:asciiTheme="minorBidi" w:eastAsia="system-ui" w:hAnsiTheme="minorBidi"/>
          <w:color w:val="000000" w:themeColor="text1"/>
          <w:sz w:val="24"/>
          <w:szCs w:val="24"/>
        </w:rPr>
        <w:t>, D</w:t>
      </w:r>
      <w:r w:rsidR="005E63EB" w:rsidRPr="00BE4094">
        <w:rPr>
          <w:rFonts w:asciiTheme="minorBidi" w:eastAsia="system-ui" w:hAnsiTheme="minorBidi"/>
          <w:color w:val="000000" w:themeColor="text1"/>
          <w:sz w:val="24"/>
          <w:szCs w:val="24"/>
        </w:rPr>
        <w:t xml:space="preserve"> and</w:t>
      </w:r>
      <w:r w:rsidRPr="00BE4094">
        <w:rPr>
          <w:rFonts w:asciiTheme="minorBidi" w:eastAsia="system-ui" w:hAnsiTheme="minorBidi"/>
          <w:color w:val="000000" w:themeColor="text1"/>
          <w:sz w:val="24"/>
          <w:szCs w:val="24"/>
        </w:rPr>
        <w:t xml:space="preserve"> Venkatesh, V. (2020). ‘Digital learning artifacts and student satisfaction with online </w:t>
      </w:r>
      <w:proofErr w:type="gramStart"/>
      <w:r w:rsidRPr="00BE4094">
        <w:rPr>
          <w:rFonts w:asciiTheme="minorBidi" w:eastAsia="system-ui" w:hAnsiTheme="minorBidi"/>
          <w:color w:val="000000" w:themeColor="text1"/>
          <w:sz w:val="24"/>
          <w:szCs w:val="24"/>
        </w:rPr>
        <w:t>courses’</w:t>
      </w:r>
      <w:proofErr w:type="gramEnd"/>
      <w:r w:rsidRPr="00BE4094">
        <w:rPr>
          <w:rFonts w:asciiTheme="minorBidi" w:eastAsia="system-ui" w:hAnsiTheme="minorBidi"/>
          <w:color w:val="000000" w:themeColor="text1"/>
          <w:sz w:val="24"/>
          <w:szCs w:val="24"/>
        </w:rPr>
        <w:t xml:space="preserve">. </w:t>
      </w:r>
      <w:r w:rsidRPr="00BE4094">
        <w:rPr>
          <w:rFonts w:asciiTheme="minorBidi" w:eastAsia="system-ui" w:hAnsiTheme="minorBidi"/>
          <w:i/>
          <w:iCs/>
          <w:color w:val="000000" w:themeColor="text1"/>
          <w:sz w:val="24"/>
          <w:szCs w:val="24"/>
        </w:rPr>
        <w:t xml:space="preserve">Computers in Human </w:t>
      </w:r>
      <w:r w:rsidR="005E63EB" w:rsidRPr="00BE4094">
        <w:rPr>
          <w:rFonts w:asciiTheme="minorBidi" w:eastAsia="system-ui" w:hAnsiTheme="minorBidi"/>
          <w:i/>
          <w:iCs/>
          <w:color w:val="000000" w:themeColor="text1"/>
          <w:sz w:val="24"/>
          <w:szCs w:val="24"/>
        </w:rPr>
        <w:t>Behaviour</w:t>
      </w:r>
      <w:r w:rsidRPr="00BE4094">
        <w:rPr>
          <w:rFonts w:asciiTheme="minorBidi" w:eastAsia="system-ui" w:hAnsiTheme="minorBidi"/>
          <w:color w:val="000000" w:themeColor="text1"/>
          <w:sz w:val="24"/>
          <w:szCs w:val="24"/>
        </w:rPr>
        <w:t>, 112, 106481.</w:t>
      </w:r>
    </w:p>
    <w:p w14:paraId="77072DF9" w14:textId="045906B3"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Peterson, M</w:t>
      </w:r>
      <w:r w:rsidR="005E63EB" w:rsidRPr="00BE4094">
        <w:rPr>
          <w:rFonts w:asciiTheme="minorBidi" w:eastAsia="system-ui" w:hAnsiTheme="minorBidi"/>
          <w:color w:val="000000" w:themeColor="text1"/>
          <w:sz w:val="24"/>
          <w:szCs w:val="24"/>
        </w:rPr>
        <w:t xml:space="preserve"> and</w:t>
      </w:r>
      <w:r w:rsidRPr="00384818">
        <w:rPr>
          <w:rFonts w:asciiTheme="minorBidi" w:eastAsia="system-ui" w:hAnsiTheme="minorBidi"/>
          <w:color w:val="000000" w:themeColor="text1"/>
          <w:sz w:val="24"/>
          <w:szCs w:val="24"/>
        </w:rPr>
        <w:t xml:space="preserve"> McClay, J. (2012). </w:t>
      </w:r>
      <w:r w:rsidR="005E63EB" w:rsidRPr="00BE4094">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Teaching with Interactive Whiteboards: Engaging Students with Interactive Technology.</w:t>
      </w:r>
      <w:r w:rsidR="005E63EB" w:rsidRPr="00BE4094">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Journal of Educational Technology Systems</w:t>
      </w:r>
      <w:r w:rsidRPr="00384818">
        <w:rPr>
          <w:rFonts w:asciiTheme="minorBidi" w:eastAsia="system-ui" w:hAnsiTheme="minorBidi"/>
          <w:color w:val="000000" w:themeColor="text1"/>
          <w:sz w:val="24"/>
          <w:szCs w:val="24"/>
        </w:rPr>
        <w:t>, 41(1), 25-47.</w:t>
      </w:r>
    </w:p>
    <w:p w14:paraId="697B9846" w14:textId="0CBEB1A0" w:rsidR="00021535" w:rsidRPr="00BE4094" w:rsidRDefault="00021535" w:rsidP="00FC5CBE">
      <w:pPr>
        <w:spacing w:line="240" w:lineRule="auto"/>
        <w:ind w:left="680" w:hanging="720"/>
        <w:rPr>
          <w:rFonts w:asciiTheme="minorBidi" w:eastAsia="system-ui" w:hAnsiTheme="minorBidi"/>
          <w:color w:val="000000" w:themeColor="text1"/>
          <w:sz w:val="24"/>
          <w:szCs w:val="24"/>
        </w:rPr>
      </w:pPr>
      <w:r w:rsidRPr="00BE4094">
        <w:rPr>
          <w:rFonts w:asciiTheme="minorBidi" w:eastAsia="system-ui" w:hAnsiTheme="minorBidi"/>
          <w:color w:val="000000" w:themeColor="text1"/>
          <w:sz w:val="24"/>
          <w:szCs w:val="24"/>
        </w:rPr>
        <w:t xml:space="preserve">Pritchard, R. J. (2018). ‘Understanding Education Policy: The ‘Four Education Orientations’ Framework’. </w:t>
      </w:r>
      <w:r w:rsidRPr="00BE4094">
        <w:rPr>
          <w:rFonts w:asciiTheme="minorBidi" w:eastAsia="system-ui" w:hAnsiTheme="minorBidi"/>
          <w:i/>
          <w:iCs/>
          <w:color w:val="000000" w:themeColor="text1"/>
          <w:sz w:val="24"/>
          <w:szCs w:val="24"/>
        </w:rPr>
        <w:t>Educational Research</w:t>
      </w:r>
      <w:r w:rsidRPr="00BE4094">
        <w:rPr>
          <w:rFonts w:asciiTheme="minorBidi" w:eastAsia="system-ui" w:hAnsiTheme="minorBidi"/>
          <w:color w:val="000000" w:themeColor="text1"/>
          <w:sz w:val="24"/>
          <w:szCs w:val="24"/>
        </w:rPr>
        <w:t xml:space="preserve">, 60(4), 393–411. </w:t>
      </w:r>
      <w:r w:rsidR="005E63EB" w:rsidRPr="00BE4094">
        <w:rPr>
          <w:rFonts w:asciiTheme="minorBidi" w:eastAsia="system-ui" w:hAnsiTheme="minorBidi"/>
          <w:color w:val="000000" w:themeColor="text1"/>
          <w:sz w:val="24"/>
          <w:szCs w:val="24"/>
        </w:rPr>
        <w:t xml:space="preserve">DOI: </w:t>
      </w:r>
      <w:hyperlink r:id="rId15" w:history="1">
        <w:r w:rsidR="005E63EB" w:rsidRPr="00BE4094">
          <w:rPr>
            <w:rStyle w:val="Hyperlink"/>
            <w:rFonts w:asciiTheme="minorBidi" w:eastAsia="system-ui" w:hAnsiTheme="minorBidi"/>
            <w:sz w:val="24"/>
            <w:szCs w:val="24"/>
          </w:rPr>
          <w:t>https://doi.org/10.1080/00131881.2018.1506996</w:t>
        </w:r>
      </w:hyperlink>
    </w:p>
    <w:p w14:paraId="458DA825" w14:textId="4F83A102" w:rsidR="00021535" w:rsidRPr="00FC5CBE" w:rsidRDefault="00021535" w:rsidP="00FC5CBE">
      <w:pPr>
        <w:spacing w:line="240" w:lineRule="auto"/>
        <w:ind w:left="680" w:hanging="720"/>
        <w:rPr>
          <w:rStyle w:val="Hyperlink"/>
          <w:rFonts w:asciiTheme="minorBidi" w:eastAsia="system-ui" w:hAnsiTheme="minorBidi"/>
          <w:sz w:val="24"/>
          <w:szCs w:val="24"/>
        </w:rPr>
      </w:pPr>
      <w:r w:rsidRPr="00FC5CBE">
        <w:rPr>
          <w:rFonts w:asciiTheme="minorBidi" w:eastAsia="system-ui" w:hAnsiTheme="minorBidi"/>
          <w:color w:val="000000" w:themeColor="text1"/>
          <w:sz w:val="24"/>
          <w:szCs w:val="24"/>
          <w:lang w:val="fr-FR"/>
        </w:rPr>
        <w:t xml:space="preserve">Qualifications Wales. (2022). </w:t>
      </w:r>
      <w:r w:rsidRPr="00FC5CBE">
        <w:rPr>
          <w:rFonts w:asciiTheme="minorBidi" w:eastAsia="system-ui" w:hAnsiTheme="minorBidi"/>
          <w:i/>
          <w:iCs/>
          <w:color w:val="000000" w:themeColor="text1"/>
          <w:sz w:val="24"/>
          <w:szCs w:val="24"/>
          <w:lang w:val="fr-FR"/>
        </w:rPr>
        <w:t xml:space="preserve">Post-16 qualifications </w:t>
      </w:r>
      <w:proofErr w:type="spellStart"/>
      <w:r w:rsidRPr="00FC5CBE">
        <w:rPr>
          <w:rFonts w:asciiTheme="minorBidi" w:eastAsia="system-ui" w:hAnsiTheme="minorBidi"/>
          <w:i/>
          <w:iCs/>
          <w:color w:val="000000" w:themeColor="text1"/>
          <w:sz w:val="24"/>
          <w:szCs w:val="24"/>
          <w:lang w:val="fr-FR"/>
        </w:rPr>
        <w:t>review</w:t>
      </w:r>
      <w:proofErr w:type="spellEnd"/>
      <w:r w:rsidRPr="00FC5CBE">
        <w:rPr>
          <w:rFonts w:asciiTheme="minorBidi" w:eastAsia="system-ui" w:hAnsiTheme="minorBidi"/>
          <w:color w:val="000000" w:themeColor="text1"/>
          <w:sz w:val="24"/>
          <w:szCs w:val="24"/>
          <w:lang w:val="fr-FR"/>
        </w:rPr>
        <w:t xml:space="preserve">. </w:t>
      </w:r>
      <w:r w:rsidRPr="00FC5CBE">
        <w:rPr>
          <w:rFonts w:asciiTheme="minorBidi" w:eastAsia="system-ui" w:hAnsiTheme="minorBidi"/>
          <w:color w:val="000000" w:themeColor="text1"/>
          <w:sz w:val="24"/>
          <w:szCs w:val="24"/>
        </w:rPr>
        <w:t xml:space="preserve">Available at: </w:t>
      </w:r>
      <w:hyperlink r:id="rId16">
        <w:r w:rsidRPr="00FC5CBE">
          <w:rPr>
            <w:rStyle w:val="Hyperlink"/>
            <w:rFonts w:asciiTheme="minorBidi" w:eastAsia="system-ui" w:hAnsiTheme="minorBidi"/>
            <w:sz w:val="24"/>
            <w:szCs w:val="24"/>
          </w:rPr>
          <w:t>https://www.qualificationswales.org/english/improving-qualifications/post-16-qualifications-review/</w:t>
        </w:r>
      </w:hyperlink>
      <w:r w:rsidR="005E63EB" w:rsidRPr="00FC5CBE">
        <w:rPr>
          <w:rStyle w:val="Hyperlink"/>
          <w:rFonts w:asciiTheme="minorBidi" w:eastAsia="system-ui" w:hAnsiTheme="minorBidi"/>
          <w:sz w:val="24"/>
          <w:szCs w:val="24"/>
        </w:rPr>
        <w:t xml:space="preserve"> </w:t>
      </w:r>
      <w:r w:rsidR="00BE4094" w:rsidRPr="00FC5CBE">
        <w:rPr>
          <w:rStyle w:val="Hyperlink"/>
          <w:rFonts w:asciiTheme="minorBidi" w:eastAsia="system-ui" w:hAnsiTheme="minorBidi"/>
          <w:color w:val="auto"/>
          <w:sz w:val="24"/>
          <w:szCs w:val="24"/>
          <w:u w:val="none"/>
        </w:rPr>
        <w:t xml:space="preserve">(Accessed: </w:t>
      </w:r>
      <w:r w:rsidR="0099722E" w:rsidRPr="00FC5CBE">
        <w:rPr>
          <w:rStyle w:val="Hyperlink"/>
          <w:rFonts w:asciiTheme="minorBidi" w:eastAsia="system-ui" w:hAnsiTheme="minorBidi"/>
          <w:color w:val="auto"/>
          <w:sz w:val="24"/>
          <w:szCs w:val="24"/>
          <w:u w:val="none"/>
        </w:rPr>
        <w:t>11 March 2024)</w:t>
      </w:r>
    </w:p>
    <w:p w14:paraId="667870CD"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Rosen, L. D., Carrier, L. M and Cheever, N. A. (2015). ‘Multitasking across generations: Multitasking choices and difficulty ratings in three generations of Americans.’ </w:t>
      </w:r>
      <w:r w:rsidRPr="0099722E">
        <w:rPr>
          <w:rFonts w:asciiTheme="minorBidi" w:eastAsia="system-ui" w:hAnsiTheme="minorBidi"/>
          <w:i/>
          <w:iCs/>
          <w:color w:val="000000" w:themeColor="text1"/>
          <w:sz w:val="24"/>
          <w:szCs w:val="24"/>
        </w:rPr>
        <w:t>Computers in Human Behaviour</w:t>
      </w:r>
      <w:r w:rsidRPr="0099000F">
        <w:rPr>
          <w:rFonts w:asciiTheme="minorBidi" w:eastAsia="system-ui" w:hAnsiTheme="minorBidi"/>
          <w:color w:val="000000" w:themeColor="text1"/>
          <w:sz w:val="24"/>
          <w:szCs w:val="24"/>
        </w:rPr>
        <w:t>, 51, pp. 273-280.</w:t>
      </w:r>
    </w:p>
    <w:p w14:paraId="358C4EC0" w14:textId="2CA9AC16"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F00526">
        <w:rPr>
          <w:rFonts w:asciiTheme="minorBidi" w:eastAsia="system-ui" w:hAnsiTheme="minorBidi"/>
          <w:color w:val="000000" w:themeColor="text1"/>
          <w:sz w:val="24"/>
          <w:szCs w:val="24"/>
        </w:rPr>
        <w:t>Rosen, L. D., Carrier, L. M</w:t>
      </w:r>
      <w:r w:rsidR="0099722E" w:rsidRPr="00F00526">
        <w:rPr>
          <w:rFonts w:asciiTheme="minorBidi" w:eastAsia="system-ui" w:hAnsiTheme="minorBidi"/>
          <w:color w:val="000000" w:themeColor="text1"/>
          <w:sz w:val="24"/>
          <w:szCs w:val="24"/>
        </w:rPr>
        <w:t xml:space="preserve"> and</w:t>
      </w:r>
      <w:r w:rsidRPr="00F00526">
        <w:rPr>
          <w:rFonts w:asciiTheme="minorBidi" w:eastAsia="system-ui" w:hAnsiTheme="minorBidi"/>
          <w:color w:val="000000" w:themeColor="text1"/>
          <w:sz w:val="24"/>
          <w:szCs w:val="24"/>
        </w:rPr>
        <w:t xml:space="preserve"> Cheever, N. A. (2018). </w:t>
      </w:r>
      <w:r w:rsidRPr="0099000F">
        <w:rPr>
          <w:rFonts w:asciiTheme="minorBidi" w:eastAsia="system-ui" w:hAnsiTheme="minorBidi"/>
          <w:color w:val="000000" w:themeColor="text1"/>
          <w:sz w:val="24"/>
          <w:szCs w:val="24"/>
        </w:rPr>
        <w:t xml:space="preserve">‘Facebook and texting made me do it: Media-induced task-switching while studying.’ </w:t>
      </w:r>
      <w:r w:rsidRPr="00F00526">
        <w:rPr>
          <w:rFonts w:asciiTheme="minorBidi" w:eastAsia="system-ui" w:hAnsiTheme="minorBidi"/>
          <w:i/>
          <w:iCs/>
          <w:color w:val="000000" w:themeColor="text1"/>
          <w:sz w:val="24"/>
          <w:szCs w:val="24"/>
        </w:rPr>
        <w:t xml:space="preserve">Computers in Human </w:t>
      </w:r>
      <w:r w:rsidR="00F00526" w:rsidRPr="00F00526">
        <w:rPr>
          <w:rFonts w:asciiTheme="minorBidi" w:eastAsia="system-ui" w:hAnsiTheme="minorBidi"/>
          <w:i/>
          <w:iCs/>
          <w:color w:val="000000" w:themeColor="text1"/>
          <w:sz w:val="24"/>
          <w:szCs w:val="24"/>
        </w:rPr>
        <w:t>Behaviour</w:t>
      </w:r>
      <w:r w:rsidRPr="00F00526">
        <w:rPr>
          <w:rFonts w:asciiTheme="minorBidi" w:eastAsia="system-ui" w:hAnsiTheme="minorBidi"/>
          <w:i/>
          <w:iCs/>
          <w:color w:val="000000" w:themeColor="text1"/>
          <w:sz w:val="24"/>
          <w:szCs w:val="24"/>
        </w:rPr>
        <w:t>,</w:t>
      </w:r>
      <w:r w:rsidRPr="0099000F">
        <w:rPr>
          <w:rFonts w:asciiTheme="minorBidi" w:eastAsia="system-ui" w:hAnsiTheme="minorBidi"/>
          <w:color w:val="000000" w:themeColor="text1"/>
          <w:sz w:val="24"/>
          <w:szCs w:val="24"/>
        </w:rPr>
        <w:t xml:space="preserve"> 82, pp. 156-164.</w:t>
      </w:r>
    </w:p>
    <w:p w14:paraId="62B5F344" w14:textId="67CC436F"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hint="eastAsia"/>
          <w:color w:val="000000" w:themeColor="text1"/>
          <w:sz w:val="24"/>
          <w:szCs w:val="24"/>
        </w:rPr>
        <w:t>Selwyn, N and Bulfin, S. (2018)</w:t>
      </w:r>
      <w:r w:rsidR="00F00526">
        <w:rPr>
          <w:rFonts w:asciiTheme="minorBidi" w:eastAsia="system-ui" w:hAnsiTheme="minorBidi"/>
          <w:color w:val="000000" w:themeColor="text1"/>
          <w:sz w:val="24"/>
          <w:szCs w:val="24"/>
        </w:rPr>
        <w:t xml:space="preserve"> ‘</w:t>
      </w:r>
      <w:r w:rsidRPr="0099000F">
        <w:rPr>
          <w:rFonts w:asciiTheme="minorBidi" w:eastAsia="system-ui" w:hAnsiTheme="minorBidi" w:hint="eastAsia"/>
          <w:color w:val="000000" w:themeColor="text1"/>
          <w:sz w:val="24"/>
          <w:szCs w:val="24"/>
        </w:rPr>
        <w:t>Exploring school</w:t>
      </w:r>
      <w:r w:rsidRPr="0099000F">
        <w:rPr>
          <w:rFonts w:asciiTheme="minorBidi" w:eastAsia="system-ui" w:hAnsiTheme="minorBidi" w:hint="eastAsia"/>
          <w:color w:val="000000" w:themeColor="text1"/>
          <w:sz w:val="24"/>
          <w:szCs w:val="24"/>
        </w:rPr>
        <w:t>‐</w:t>
      </w:r>
      <w:r w:rsidRPr="0099000F">
        <w:rPr>
          <w:rFonts w:asciiTheme="minorBidi" w:eastAsia="system-ui" w:hAnsiTheme="minorBidi" w:hint="eastAsia"/>
          <w:color w:val="000000" w:themeColor="text1"/>
          <w:sz w:val="24"/>
          <w:szCs w:val="24"/>
        </w:rPr>
        <w:t xml:space="preserve">based technology use from a critical perspective: A </w:t>
      </w:r>
      <w:proofErr w:type="spellStart"/>
      <w:r w:rsidRPr="0099000F">
        <w:rPr>
          <w:rFonts w:asciiTheme="minorBidi" w:eastAsia="system-ui" w:hAnsiTheme="minorBidi" w:hint="eastAsia"/>
          <w:color w:val="000000" w:themeColor="text1"/>
          <w:sz w:val="24"/>
          <w:szCs w:val="24"/>
        </w:rPr>
        <w:t>sociomaterial</w:t>
      </w:r>
      <w:proofErr w:type="spellEnd"/>
      <w:r w:rsidRPr="0099000F">
        <w:rPr>
          <w:rFonts w:asciiTheme="minorBidi" w:eastAsia="system-ui" w:hAnsiTheme="minorBidi" w:hint="eastAsia"/>
          <w:color w:val="000000" w:themeColor="text1"/>
          <w:sz w:val="24"/>
          <w:szCs w:val="24"/>
        </w:rPr>
        <w:t xml:space="preserve"> approach.</w:t>
      </w:r>
      <w:r w:rsidR="00F00526">
        <w:rPr>
          <w:rFonts w:asciiTheme="minorBidi" w:hAnsiTheme="minorBidi"/>
          <w:color w:val="000000" w:themeColor="text1"/>
          <w:sz w:val="24"/>
          <w:szCs w:val="24"/>
        </w:rPr>
        <w:t xml:space="preserve">’ </w:t>
      </w:r>
      <w:r w:rsidRPr="00F00526">
        <w:rPr>
          <w:rFonts w:asciiTheme="minorBidi" w:eastAsia="system-ui" w:hAnsiTheme="minorBidi" w:hint="eastAsia"/>
          <w:i/>
          <w:iCs/>
          <w:color w:val="000000" w:themeColor="text1"/>
          <w:sz w:val="24"/>
          <w:szCs w:val="24"/>
        </w:rPr>
        <w:t>Oxford Review of Education</w:t>
      </w:r>
      <w:r w:rsidRPr="0099000F">
        <w:rPr>
          <w:rFonts w:asciiTheme="minorBidi" w:eastAsia="system-ui" w:hAnsiTheme="minorBidi" w:hint="eastAsia"/>
          <w:color w:val="000000" w:themeColor="text1"/>
          <w:sz w:val="24"/>
          <w:szCs w:val="24"/>
        </w:rPr>
        <w:t>, 44(3), 303</w:t>
      </w:r>
      <w:r w:rsidRPr="0099000F">
        <w:rPr>
          <w:rFonts w:asciiTheme="minorBidi" w:eastAsia="system-ui" w:hAnsiTheme="minorBidi" w:hint="eastAsia"/>
          <w:color w:val="000000" w:themeColor="text1"/>
          <w:sz w:val="24"/>
          <w:szCs w:val="24"/>
        </w:rPr>
        <w:t>–</w:t>
      </w:r>
      <w:r w:rsidRPr="0099000F">
        <w:rPr>
          <w:rFonts w:asciiTheme="minorBidi" w:eastAsia="system-ui" w:hAnsiTheme="minorBidi" w:hint="eastAsia"/>
          <w:color w:val="000000" w:themeColor="text1"/>
          <w:sz w:val="24"/>
          <w:szCs w:val="24"/>
        </w:rPr>
        <w:t>318.</w:t>
      </w:r>
    </w:p>
    <w:p w14:paraId="79425789"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Selwyn, N. (2016). </w:t>
      </w:r>
      <w:r w:rsidRPr="00F00526">
        <w:rPr>
          <w:rFonts w:asciiTheme="minorBidi" w:eastAsia="system-ui" w:hAnsiTheme="minorBidi"/>
          <w:i/>
          <w:iCs/>
          <w:color w:val="000000" w:themeColor="text1"/>
          <w:sz w:val="24"/>
          <w:szCs w:val="24"/>
        </w:rPr>
        <w:t>Education and technology: Key issues and debates</w:t>
      </w:r>
      <w:r w:rsidRPr="0099000F">
        <w:rPr>
          <w:rFonts w:asciiTheme="minorBidi" w:eastAsia="system-ui" w:hAnsiTheme="minorBidi"/>
          <w:color w:val="000000" w:themeColor="text1"/>
          <w:sz w:val="24"/>
          <w:szCs w:val="24"/>
        </w:rPr>
        <w:t>. Bloomsbury Publishing.</w:t>
      </w:r>
    </w:p>
    <w:p w14:paraId="012508D3" w14:textId="11139AA2"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Sharma, P and Tietjen, P. (2016).’ Examining patterns of participation and meaning making in student blogs: A case study in higher education.’ </w:t>
      </w:r>
      <w:r w:rsidRPr="00F00526">
        <w:rPr>
          <w:rFonts w:asciiTheme="minorBidi" w:eastAsia="system-ui" w:hAnsiTheme="minorBidi"/>
          <w:i/>
          <w:iCs/>
          <w:color w:val="000000" w:themeColor="text1"/>
          <w:sz w:val="24"/>
          <w:szCs w:val="24"/>
        </w:rPr>
        <w:t>American Journal of Distance Education</w:t>
      </w:r>
      <w:r w:rsidRPr="0099000F">
        <w:rPr>
          <w:rFonts w:asciiTheme="minorBidi" w:eastAsia="system-ui" w:hAnsiTheme="minorBidi"/>
          <w:color w:val="000000" w:themeColor="text1"/>
          <w:sz w:val="24"/>
          <w:szCs w:val="24"/>
        </w:rPr>
        <w:t xml:space="preserve">, 30(1), 2–13 </w:t>
      </w:r>
      <w:r w:rsidR="00F00526">
        <w:rPr>
          <w:rFonts w:asciiTheme="minorBidi" w:eastAsia="system-ui" w:hAnsiTheme="minorBidi"/>
          <w:color w:val="000000" w:themeColor="text1"/>
          <w:sz w:val="24"/>
          <w:szCs w:val="24"/>
        </w:rPr>
        <w:t xml:space="preserve">DOI: </w:t>
      </w:r>
      <w:r w:rsidRPr="0099000F">
        <w:rPr>
          <w:rFonts w:asciiTheme="minorBidi" w:eastAsia="system-ui" w:hAnsiTheme="minorBidi"/>
          <w:color w:val="000000" w:themeColor="text1"/>
          <w:sz w:val="24"/>
          <w:szCs w:val="24"/>
        </w:rPr>
        <w:t>http://dx.doi.org/10.1080/08923647.2016. 1119605</w:t>
      </w:r>
    </w:p>
    <w:p w14:paraId="04D0496B"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Sharma, S. K and Tietjen, B. J. (2016). ‘Integrating blogs into the curriculum: A practical approach.’ Decision Sciences </w:t>
      </w:r>
      <w:r w:rsidRPr="00F00526">
        <w:rPr>
          <w:rFonts w:asciiTheme="minorBidi" w:eastAsia="system-ui" w:hAnsiTheme="minorBidi"/>
          <w:i/>
          <w:iCs/>
          <w:color w:val="000000" w:themeColor="text1"/>
          <w:sz w:val="24"/>
          <w:szCs w:val="24"/>
        </w:rPr>
        <w:t>Journal of Innovative Education,</w:t>
      </w:r>
      <w:r w:rsidRPr="0099000F">
        <w:rPr>
          <w:rFonts w:asciiTheme="minorBidi" w:eastAsia="system-ui" w:hAnsiTheme="minorBidi"/>
          <w:color w:val="000000" w:themeColor="text1"/>
          <w:sz w:val="24"/>
          <w:szCs w:val="24"/>
        </w:rPr>
        <w:t xml:space="preserve"> 14(4), pp. 453–474.</w:t>
      </w:r>
    </w:p>
    <w:p w14:paraId="459D3B47" w14:textId="77777777" w:rsidR="00021535" w:rsidRPr="00F63C9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Siddique, S., Ling, K. C., Roberson, D. N., Xu, L., and Geng, X. (2013). ‘Role of </w:t>
      </w:r>
      <w:r w:rsidRPr="00F63C9F">
        <w:rPr>
          <w:rFonts w:asciiTheme="minorBidi" w:eastAsia="system-ui" w:hAnsiTheme="minorBidi"/>
          <w:color w:val="000000" w:themeColor="text1"/>
          <w:sz w:val="24"/>
          <w:szCs w:val="24"/>
        </w:rPr>
        <w:t xml:space="preserve">motivation in car simulator game-based learning.’ </w:t>
      </w:r>
      <w:r w:rsidRPr="00F63C9F">
        <w:rPr>
          <w:rFonts w:asciiTheme="minorBidi" w:eastAsia="system-ui" w:hAnsiTheme="minorBidi"/>
          <w:i/>
          <w:iCs/>
          <w:color w:val="000000" w:themeColor="text1"/>
          <w:sz w:val="24"/>
          <w:szCs w:val="24"/>
        </w:rPr>
        <w:t>Computers and Education</w:t>
      </w:r>
      <w:r w:rsidRPr="00F63C9F">
        <w:rPr>
          <w:rFonts w:asciiTheme="minorBidi" w:eastAsia="system-ui" w:hAnsiTheme="minorBidi"/>
          <w:color w:val="000000" w:themeColor="text1"/>
          <w:sz w:val="24"/>
          <w:szCs w:val="24"/>
        </w:rPr>
        <w:t>, 60(1), 31–44.</w:t>
      </w:r>
    </w:p>
    <w:p w14:paraId="3BF7FAFA" w14:textId="77777777" w:rsidR="00021535" w:rsidRPr="00F63C9F" w:rsidRDefault="00021535" w:rsidP="00FC5CBE">
      <w:pPr>
        <w:spacing w:line="240" w:lineRule="auto"/>
        <w:ind w:left="680" w:hanging="720"/>
        <w:rPr>
          <w:rFonts w:asciiTheme="minorBidi" w:eastAsia="system-ui" w:hAnsiTheme="minorBidi"/>
          <w:color w:val="000000" w:themeColor="text1"/>
          <w:sz w:val="24"/>
          <w:szCs w:val="24"/>
        </w:rPr>
      </w:pPr>
      <w:r w:rsidRPr="00F63C9F">
        <w:rPr>
          <w:rFonts w:asciiTheme="minorBidi" w:eastAsia="system-ui" w:hAnsiTheme="minorBidi"/>
          <w:color w:val="000000" w:themeColor="text1"/>
          <w:sz w:val="24"/>
          <w:szCs w:val="24"/>
        </w:rPr>
        <w:t xml:space="preserve">Siddique, Z., Ling, C., Roberson, P., Xu, Y and Geng, X. (2013). ‘Facilitating higher-order learning through computer games.’ </w:t>
      </w:r>
      <w:r w:rsidRPr="00F63C9F">
        <w:rPr>
          <w:rFonts w:asciiTheme="minorBidi" w:eastAsia="system-ui" w:hAnsiTheme="minorBidi"/>
          <w:i/>
          <w:iCs/>
          <w:color w:val="000000" w:themeColor="text1"/>
          <w:sz w:val="24"/>
          <w:szCs w:val="24"/>
        </w:rPr>
        <w:t>Journal of Mechanical Design</w:t>
      </w:r>
      <w:r w:rsidRPr="00F63C9F">
        <w:rPr>
          <w:rFonts w:asciiTheme="minorBidi" w:eastAsia="system-ui" w:hAnsiTheme="minorBidi"/>
          <w:color w:val="000000" w:themeColor="text1"/>
          <w:sz w:val="24"/>
          <w:szCs w:val="24"/>
        </w:rPr>
        <w:t>, 135(12).</w:t>
      </w:r>
    </w:p>
    <w:p w14:paraId="33641DCA" w14:textId="30FD64CF" w:rsidR="00021535" w:rsidRPr="00F63C9F" w:rsidRDefault="00021535" w:rsidP="00FC5CBE">
      <w:pPr>
        <w:spacing w:line="240" w:lineRule="auto"/>
        <w:ind w:left="680" w:hanging="720"/>
        <w:rPr>
          <w:rFonts w:asciiTheme="minorBidi" w:eastAsia="system-ui" w:hAnsiTheme="minorBidi"/>
          <w:color w:val="000000" w:themeColor="text1"/>
          <w:sz w:val="24"/>
          <w:szCs w:val="24"/>
        </w:rPr>
      </w:pPr>
      <w:r w:rsidRPr="00F63C9F">
        <w:rPr>
          <w:rFonts w:asciiTheme="minorBidi" w:eastAsia="system-ui" w:hAnsiTheme="minorBidi"/>
          <w:color w:val="000000" w:themeColor="text1"/>
          <w:sz w:val="24"/>
          <w:szCs w:val="24"/>
          <w:lang w:val="de-DE"/>
        </w:rPr>
        <w:t>Sitzmann, T., Kraiger, K., Stewart, D</w:t>
      </w:r>
      <w:r w:rsidR="00F00526" w:rsidRPr="00F63C9F">
        <w:rPr>
          <w:rFonts w:asciiTheme="minorBidi" w:eastAsia="system-ui" w:hAnsiTheme="minorBidi"/>
          <w:color w:val="000000" w:themeColor="text1"/>
          <w:sz w:val="24"/>
          <w:szCs w:val="24"/>
          <w:lang w:val="de-DE"/>
        </w:rPr>
        <w:t xml:space="preserve"> and</w:t>
      </w:r>
      <w:r w:rsidRPr="00F63C9F">
        <w:rPr>
          <w:rFonts w:asciiTheme="minorBidi" w:eastAsia="system-ui" w:hAnsiTheme="minorBidi"/>
          <w:color w:val="000000" w:themeColor="text1"/>
          <w:sz w:val="24"/>
          <w:szCs w:val="24"/>
          <w:lang w:val="de-DE"/>
        </w:rPr>
        <w:t xml:space="preserve"> Wisher, R. (2006). </w:t>
      </w:r>
      <w:r w:rsidR="00F00526" w:rsidRPr="00F63C9F">
        <w:rPr>
          <w:rFonts w:asciiTheme="minorBidi" w:eastAsia="system-ui" w:hAnsiTheme="minorBidi"/>
          <w:color w:val="000000" w:themeColor="text1"/>
          <w:sz w:val="24"/>
          <w:szCs w:val="24"/>
        </w:rPr>
        <w:t>‚</w:t>
      </w:r>
      <w:r w:rsidRPr="00F63C9F">
        <w:rPr>
          <w:rFonts w:asciiTheme="minorBidi" w:eastAsia="system-ui" w:hAnsiTheme="minorBidi"/>
          <w:color w:val="000000" w:themeColor="text1"/>
          <w:sz w:val="24"/>
          <w:szCs w:val="24"/>
        </w:rPr>
        <w:t>Using Technology to Increase Student Engagement in Postsecondary Education: A Meta-Analysis.</w:t>
      </w:r>
      <w:r w:rsidR="00F00526" w:rsidRPr="00F63C9F">
        <w:rPr>
          <w:rFonts w:asciiTheme="minorBidi" w:eastAsia="system-ui" w:hAnsiTheme="minorBidi"/>
          <w:color w:val="000000" w:themeColor="text1"/>
          <w:sz w:val="24"/>
          <w:szCs w:val="24"/>
        </w:rPr>
        <w:t>’</w:t>
      </w:r>
      <w:r w:rsidRPr="00F63C9F">
        <w:rPr>
          <w:rFonts w:asciiTheme="minorBidi" w:eastAsia="system-ui" w:hAnsiTheme="minorBidi"/>
          <w:color w:val="000000" w:themeColor="text1"/>
          <w:sz w:val="24"/>
          <w:szCs w:val="24"/>
        </w:rPr>
        <w:t xml:space="preserve"> </w:t>
      </w:r>
      <w:r w:rsidRPr="00F63C9F">
        <w:rPr>
          <w:rFonts w:asciiTheme="minorBidi" w:eastAsia="system-ui" w:hAnsiTheme="minorBidi"/>
          <w:i/>
          <w:iCs/>
          <w:color w:val="000000" w:themeColor="text1"/>
          <w:sz w:val="24"/>
          <w:szCs w:val="24"/>
        </w:rPr>
        <w:t>Review of Educational Research.</w:t>
      </w:r>
    </w:p>
    <w:p w14:paraId="22D7A77A" w14:textId="15920138"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 xml:space="preserve">Somekh, B. (2007). </w:t>
      </w:r>
      <w:r w:rsidR="00F00526" w:rsidRPr="00F63C9F">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Factors Affecting Teachers' Pedagogical Adoption of ICT.</w:t>
      </w:r>
      <w:r w:rsidR="00F00526" w:rsidRPr="00F63C9F">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In J. Voogt &amp; G. Knezek (Eds), </w:t>
      </w:r>
      <w:r w:rsidRPr="00384818">
        <w:rPr>
          <w:rFonts w:asciiTheme="minorBidi" w:eastAsia="system-ui" w:hAnsiTheme="minorBidi"/>
          <w:i/>
          <w:iCs/>
          <w:color w:val="000000" w:themeColor="text1"/>
          <w:sz w:val="24"/>
          <w:szCs w:val="24"/>
        </w:rPr>
        <w:t>International Handbook of Information Technology in Primary and Secondary Education</w:t>
      </w:r>
      <w:r w:rsidRPr="00384818">
        <w:rPr>
          <w:rFonts w:asciiTheme="minorBidi" w:eastAsia="system-ui" w:hAnsiTheme="minorBidi"/>
          <w:color w:val="000000" w:themeColor="text1"/>
          <w:sz w:val="24"/>
          <w:szCs w:val="24"/>
        </w:rPr>
        <w:t xml:space="preserve"> (pp. 449-460).</w:t>
      </w:r>
      <w:r w:rsidR="00F63C9F" w:rsidRPr="00F63C9F">
        <w:rPr>
          <w:rFonts w:asciiTheme="minorBidi" w:eastAsia="system-ui" w:hAnsiTheme="minorBidi"/>
          <w:color w:val="000000" w:themeColor="text1"/>
          <w:sz w:val="24"/>
          <w:szCs w:val="24"/>
        </w:rPr>
        <w:t xml:space="preserve"> USA:</w:t>
      </w:r>
      <w:r w:rsidRPr="00384818">
        <w:rPr>
          <w:rFonts w:asciiTheme="minorBidi" w:eastAsia="system-ui" w:hAnsiTheme="minorBidi"/>
          <w:color w:val="000000" w:themeColor="text1"/>
          <w:sz w:val="24"/>
          <w:szCs w:val="24"/>
        </w:rPr>
        <w:t xml:space="preserve"> Springer.</w:t>
      </w:r>
    </w:p>
    <w:p w14:paraId="4640A5AC"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Squire, K and Jenkins, H. (2003). ‘Harnessing the power of games in education.’ Insight, 3(1), 5–33.</w:t>
      </w:r>
    </w:p>
    <w:p w14:paraId="392093B9" w14:textId="62A867E8" w:rsidR="00021535" w:rsidRPr="00F63C9F" w:rsidRDefault="00021535" w:rsidP="00FC5CBE">
      <w:pPr>
        <w:spacing w:line="240" w:lineRule="auto"/>
        <w:ind w:left="680" w:hanging="720"/>
        <w:rPr>
          <w:rFonts w:asciiTheme="minorBidi" w:eastAsia="system-ui" w:hAnsiTheme="minorBidi"/>
          <w:color w:val="000000" w:themeColor="text1"/>
          <w:sz w:val="24"/>
          <w:szCs w:val="24"/>
        </w:rPr>
      </w:pPr>
      <w:r w:rsidRPr="00F63C9F">
        <w:rPr>
          <w:rFonts w:asciiTheme="minorBidi" w:eastAsia="system-ui" w:hAnsiTheme="minorBidi"/>
          <w:color w:val="000000" w:themeColor="text1"/>
          <w:sz w:val="24"/>
          <w:szCs w:val="24"/>
        </w:rPr>
        <w:t>Tang, Y</w:t>
      </w:r>
      <w:r w:rsidR="00F63C9F" w:rsidRPr="00F63C9F">
        <w:rPr>
          <w:rFonts w:asciiTheme="minorBidi" w:eastAsia="system-ui" w:hAnsiTheme="minorBidi"/>
          <w:color w:val="000000" w:themeColor="text1"/>
          <w:sz w:val="24"/>
          <w:szCs w:val="24"/>
        </w:rPr>
        <w:t xml:space="preserve"> and</w:t>
      </w:r>
      <w:r w:rsidRPr="00F63C9F">
        <w:rPr>
          <w:rFonts w:asciiTheme="minorBidi" w:eastAsia="system-ui" w:hAnsiTheme="minorBidi"/>
          <w:color w:val="000000" w:themeColor="text1"/>
          <w:sz w:val="24"/>
          <w:szCs w:val="24"/>
        </w:rPr>
        <w:t xml:space="preserve"> Hew, K. F. (2021). ‘Factors influencing students’ engaging and disengaging </w:t>
      </w:r>
      <w:proofErr w:type="spellStart"/>
      <w:r w:rsidRPr="00F63C9F">
        <w:rPr>
          <w:rFonts w:asciiTheme="minorBidi" w:eastAsia="system-ui" w:hAnsiTheme="minorBidi"/>
          <w:color w:val="000000" w:themeColor="text1"/>
          <w:sz w:val="24"/>
          <w:szCs w:val="24"/>
        </w:rPr>
        <w:t>behaviors</w:t>
      </w:r>
      <w:proofErr w:type="spellEnd"/>
      <w:r w:rsidRPr="00F63C9F">
        <w:rPr>
          <w:rFonts w:asciiTheme="minorBidi" w:eastAsia="system-ui" w:hAnsiTheme="minorBidi"/>
          <w:color w:val="000000" w:themeColor="text1"/>
          <w:sz w:val="24"/>
          <w:szCs w:val="24"/>
        </w:rPr>
        <w:t xml:space="preserve"> in a flipped classroom environment’. </w:t>
      </w:r>
      <w:r w:rsidRPr="00F63C9F">
        <w:rPr>
          <w:rFonts w:asciiTheme="minorBidi" w:eastAsia="system-ui" w:hAnsiTheme="minorBidi"/>
          <w:i/>
          <w:iCs/>
          <w:color w:val="000000" w:themeColor="text1"/>
          <w:sz w:val="24"/>
          <w:szCs w:val="24"/>
        </w:rPr>
        <w:t>Interactive Learning Environments,</w:t>
      </w:r>
      <w:r w:rsidRPr="00F63C9F">
        <w:rPr>
          <w:rFonts w:asciiTheme="minorBidi" w:eastAsia="system-ui" w:hAnsiTheme="minorBidi"/>
          <w:color w:val="000000" w:themeColor="text1"/>
          <w:sz w:val="24"/>
          <w:szCs w:val="24"/>
        </w:rPr>
        <w:t xml:space="preserve"> 1–17.</w:t>
      </w:r>
    </w:p>
    <w:p w14:paraId="31CFEAB0" w14:textId="2A82D32A"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rPr>
        <w:t xml:space="preserve">Taylor, J. (2000). </w:t>
      </w:r>
      <w:r w:rsidR="00F63C9F" w:rsidRPr="00F63C9F">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Developing the Web as an Educational Tool: Strategies for Higher Education.</w:t>
      </w:r>
      <w:r w:rsidR="00F63C9F" w:rsidRPr="00F63C9F">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Information Services and Use</w:t>
      </w:r>
      <w:r w:rsidRPr="00384818">
        <w:rPr>
          <w:rFonts w:asciiTheme="minorBidi" w:eastAsia="system-ui" w:hAnsiTheme="minorBidi"/>
          <w:color w:val="000000" w:themeColor="text1"/>
          <w:sz w:val="24"/>
          <w:szCs w:val="24"/>
        </w:rPr>
        <w:t>, 20(2/3), 139-147.</w:t>
      </w:r>
    </w:p>
    <w:p w14:paraId="106B2A8C"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The Scottish Government (2015) Literature Review on the Impact of Digital Technology on Learning and Teaching. Available at: https://dera.ioe.ac.uk/id/eprint/24843/1/00489224.pdf (Accessed: 15 March 2024)</w:t>
      </w:r>
    </w:p>
    <w:p w14:paraId="7A4BF0B5" w14:textId="77777777" w:rsidR="00021535" w:rsidRPr="00F63C9F" w:rsidRDefault="00021535" w:rsidP="00FC5CBE">
      <w:pPr>
        <w:spacing w:line="240" w:lineRule="auto"/>
        <w:ind w:left="680" w:hanging="720"/>
        <w:rPr>
          <w:rFonts w:asciiTheme="minorBidi" w:eastAsia="system-ui" w:hAnsiTheme="minorBidi"/>
          <w:color w:val="000000" w:themeColor="text1"/>
          <w:sz w:val="24"/>
          <w:szCs w:val="24"/>
        </w:rPr>
      </w:pPr>
      <w:r w:rsidRPr="00F63C9F">
        <w:rPr>
          <w:rFonts w:asciiTheme="minorBidi" w:eastAsia="system-ui" w:hAnsiTheme="minorBidi"/>
          <w:color w:val="000000" w:themeColor="text1"/>
          <w:sz w:val="24"/>
          <w:szCs w:val="24"/>
        </w:rPr>
        <w:t xml:space="preserve">Thompson, R. (2021). ‘Teaching strategies in an online classroom: Exploring the experiences of teachers using the Zoom platform during the COVID-19 pandemic’. </w:t>
      </w:r>
      <w:r w:rsidRPr="00F63C9F">
        <w:rPr>
          <w:rFonts w:asciiTheme="minorBidi" w:eastAsia="system-ui" w:hAnsiTheme="minorBidi"/>
          <w:i/>
          <w:iCs/>
          <w:color w:val="000000" w:themeColor="text1"/>
          <w:sz w:val="24"/>
          <w:szCs w:val="24"/>
        </w:rPr>
        <w:t>Journal of Teaching and Learning with Technology</w:t>
      </w:r>
      <w:r w:rsidRPr="00F63C9F">
        <w:rPr>
          <w:rFonts w:asciiTheme="minorBidi" w:eastAsia="system-ui" w:hAnsiTheme="minorBidi"/>
          <w:color w:val="000000" w:themeColor="text1"/>
          <w:sz w:val="24"/>
          <w:szCs w:val="24"/>
        </w:rPr>
        <w:t>, 10(1), 47–59.</w:t>
      </w:r>
    </w:p>
    <w:p w14:paraId="4E5E4444" w14:textId="01DE9E39" w:rsidR="00021535" w:rsidRPr="00F63C9F" w:rsidRDefault="00021535" w:rsidP="00FC5CBE">
      <w:pPr>
        <w:spacing w:line="240" w:lineRule="auto"/>
        <w:ind w:left="680" w:hanging="720"/>
        <w:rPr>
          <w:rFonts w:asciiTheme="minorBidi" w:eastAsia="system-ui" w:hAnsiTheme="minorBidi"/>
          <w:i/>
          <w:iCs/>
          <w:color w:val="000000" w:themeColor="text1"/>
          <w:sz w:val="24"/>
          <w:szCs w:val="24"/>
        </w:rPr>
      </w:pPr>
      <w:proofErr w:type="spellStart"/>
      <w:r w:rsidRPr="00F63C9F">
        <w:rPr>
          <w:rFonts w:asciiTheme="minorBidi" w:eastAsia="system-ui" w:hAnsiTheme="minorBidi"/>
          <w:color w:val="000000" w:themeColor="text1"/>
          <w:sz w:val="24"/>
          <w:szCs w:val="24"/>
        </w:rPr>
        <w:t>Tosuntaş</w:t>
      </w:r>
      <w:proofErr w:type="spellEnd"/>
      <w:r w:rsidRPr="00F63C9F">
        <w:rPr>
          <w:rFonts w:asciiTheme="minorBidi" w:eastAsia="system-ui" w:hAnsiTheme="minorBidi"/>
          <w:color w:val="000000" w:themeColor="text1"/>
          <w:sz w:val="24"/>
          <w:szCs w:val="24"/>
        </w:rPr>
        <w:t>, Ş. B</w:t>
      </w:r>
      <w:r w:rsidR="00F63C9F" w:rsidRPr="00F63C9F">
        <w:rPr>
          <w:rFonts w:asciiTheme="minorBidi" w:eastAsia="system-ui" w:hAnsiTheme="minorBidi"/>
          <w:color w:val="000000" w:themeColor="text1"/>
          <w:sz w:val="24"/>
          <w:szCs w:val="24"/>
        </w:rPr>
        <w:t xml:space="preserve"> and</w:t>
      </w:r>
      <w:r w:rsidRPr="00F63C9F">
        <w:rPr>
          <w:rFonts w:asciiTheme="minorBidi" w:eastAsia="system-ui" w:hAnsiTheme="minorBidi"/>
          <w:color w:val="000000" w:themeColor="text1"/>
          <w:sz w:val="24"/>
          <w:szCs w:val="24"/>
        </w:rPr>
        <w:t xml:space="preserve"> Karadağ, E. (2018). </w:t>
      </w:r>
      <w:r w:rsidR="00F63C9F" w:rsidRPr="00F63C9F">
        <w:rPr>
          <w:rFonts w:asciiTheme="minorBidi" w:eastAsia="system-ui" w:hAnsiTheme="minorBidi"/>
          <w:color w:val="000000" w:themeColor="text1"/>
          <w:sz w:val="24"/>
          <w:szCs w:val="24"/>
        </w:rPr>
        <w:t>‘</w:t>
      </w:r>
      <w:r w:rsidRPr="00F63C9F">
        <w:rPr>
          <w:rFonts w:asciiTheme="minorBidi" w:eastAsia="system-ui" w:hAnsiTheme="minorBidi"/>
          <w:color w:val="000000" w:themeColor="text1"/>
          <w:sz w:val="24"/>
          <w:szCs w:val="24"/>
        </w:rPr>
        <w:t>The Impact of Online Learning on Undergraduate Students' Engagement in Higher Education: A Review of the Literature.</w:t>
      </w:r>
      <w:r w:rsidR="00F63C9F" w:rsidRPr="00F63C9F">
        <w:rPr>
          <w:rFonts w:asciiTheme="minorBidi" w:eastAsia="system-ui" w:hAnsiTheme="minorBidi"/>
          <w:color w:val="000000" w:themeColor="text1"/>
          <w:sz w:val="24"/>
          <w:szCs w:val="24"/>
        </w:rPr>
        <w:t>’</w:t>
      </w:r>
      <w:r w:rsidRPr="00F63C9F">
        <w:rPr>
          <w:rFonts w:asciiTheme="minorBidi" w:eastAsia="system-ui" w:hAnsiTheme="minorBidi"/>
          <w:color w:val="000000" w:themeColor="text1"/>
          <w:sz w:val="24"/>
          <w:szCs w:val="24"/>
        </w:rPr>
        <w:t xml:space="preserve"> </w:t>
      </w:r>
      <w:r w:rsidRPr="00F63C9F">
        <w:rPr>
          <w:rFonts w:asciiTheme="minorBidi" w:eastAsia="system-ui" w:hAnsiTheme="minorBidi"/>
          <w:i/>
          <w:iCs/>
          <w:color w:val="000000" w:themeColor="text1"/>
          <w:sz w:val="24"/>
          <w:szCs w:val="24"/>
        </w:rPr>
        <w:t>European Journal of Open, Distance and E-Learning.</w:t>
      </w:r>
    </w:p>
    <w:p w14:paraId="116DCFEE"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proofErr w:type="spellStart"/>
      <w:r w:rsidRPr="0099000F">
        <w:rPr>
          <w:rFonts w:asciiTheme="minorBidi" w:eastAsia="system-ui" w:hAnsiTheme="minorBidi"/>
          <w:color w:val="000000" w:themeColor="text1"/>
          <w:sz w:val="24"/>
          <w:szCs w:val="24"/>
        </w:rPr>
        <w:t>Trowler</w:t>
      </w:r>
      <w:proofErr w:type="spellEnd"/>
      <w:r w:rsidRPr="0099000F">
        <w:rPr>
          <w:rFonts w:asciiTheme="minorBidi" w:eastAsia="system-ui" w:hAnsiTheme="minorBidi"/>
          <w:color w:val="000000" w:themeColor="text1"/>
          <w:sz w:val="24"/>
          <w:szCs w:val="24"/>
        </w:rPr>
        <w:t xml:space="preserve">, V and </w:t>
      </w:r>
      <w:proofErr w:type="spellStart"/>
      <w:r w:rsidRPr="0099000F">
        <w:rPr>
          <w:rFonts w:asciiTheme="minorBidi" w:eastAsia="system-ui" w:hAnsiTheme="minorBidi"/>
          <w:color w:val="000000" w:themeColor="text1"/>
          <w:sz w:val="24"/>
          <w:szCs w:val="24"/>
        </w:rPr>
        <w:t>Trowler</w:t>
      </w:r>
      <w:proofErr w:type="spellEnd"/>
      <w:r w:rsidRPr="0099000F">
        <w:rPr>
          <w:rFonts w:asciiTheme="minorBidi" w:eastAsia="system-ui" w:hAnsiTheme="minorBidi"/>
          <w:color w:val="000000" w:themeColor="text1"/>
          <w:sz w:val="24"/>
          <w:szCs w:val="24"/>
        </w:rPr>
        <w:t>, P. (2010). Student engagement literature review. The Higher Education Academy.</w:t>
      </w:r>
    </w:p>
    <w:p w14:paraId="3CCE8E2A"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 xml:space="preserve">Uhls, Y. T., Ellison, N. B and Subrahmanyam, K. (2014). ‘Benefits and costs of social media in adolescence.’ </w:t>
      </w:r>
      <w:r w:rsidRPr="006B2FD7">
        <w:rPr>
          <w:rFonts w:asciiTheme="minorBidi" w:eastAsia="system-ui" w:hAnsiTheme="minorBidi"/>
          <w:i/>
          <w:iCs/>
          <w:color w:val="000000" w:themeColor="text1"/>
          <w:sz w:val="24"/>
          <w:szCs w:val="24"/>
        </w:rPr>
        <w:t>Paediatrics,</w:t>
      </w:r>
      <w:r w:rsidRPr="0099000F">
        <w:rPr>
          <w:rFonts w:asciiTheme="minorBidi" w:eastAsia="system-ui" w:hAnsiTheme="minorBidi"/>
          <w:color w:val="000000" w:themeColor="text1"/>
          <w:sz w:val="24"/>
          <w:szCs w:val="24"/>
        </w:rPr>
        <w:t xml:space="preserve"> 132.</w:t>
      </w:r>
    </w:p>
    <w:p w14:paraId="77E83B5B" w14:textId="746EC0F1" w:rsidR="00021535" w:rsidRPr="006B2FD7" w:rsidRDefault="00021535" w:rsidP="00FC5CBE">
      <w:pPr>
        <w:spacing w:line="240" w:lineRule="auto"/>
        <w:ind w:left="680" w:hanging="720"/>
        <w:rPr>
          <w:rFonts w:asciiTheme="minorBidi" w:eastAsia="system-ui" w:hAnsiTheme="minorBidi"/>
          <w:sz w:val="24"/>
          <w:szCs w:val="24"/>
        </w:rPr>
      </w:pPr>
      <w:r w:rsidRPr="006B2FD7">
        <w:rPr>
          <w:rFonts w:asciiTheme="minorBidi" w:eastAsia="system-ui" w:hAnsiTheme="minorBidi"/>
          <w:color w:val="000000" w:themeColor="text1"/>
          <w:sz w:val="24"/>
          <w:szCs w:val="24"/>
        </w:rPr>
        <w:t xml:space="preserve">UNESCO. (2021). </w:t>
      </w:r>
      <w:r w:rsidRPr="006B2FD7">
        <w:rPr>
          <w:rFonts w:asciiTheme="minorBidi" w:eastAsia="system-ui" w:hAnsiTheme="minorBidi"/>
          <w:i/>
          <w:iCs/>
          <w:color w:val="000000" w:themeColor="text1"/>
          <w:sz w:val="24"/>
          <w:szCs w:val="24"/>
        </w:rPr>
        <w:t xml:space="preserve">Education sector responses to COVID-19: An </w:t>
      </w:r>
      <w:proofErr w:type="spellStart"/>
      <w:r w:rsidRPr="006B2FD7">
        <w:rPr>
          <w:rFonts w:asciiTheme="minorBidi" w:eastAsia="system-ui" w:hAnsiTheme="minorBidi"/>
          <w:i/>
          <w:iCs/>
          <w:color w:val="000000" w:themeColor="text1"/>
          <w:sz w:val="24"/>
          <w:szCs w:val="24"/>
        </w:rPr>
        <w:t>encyclopedia</w:t>
      </w:r>
      <w:proofErr w:type="spellEnd"/>
      <w:r w:rsidRPr="006B2FD7">
        <w:rPr>
          <w:rFonts w:asciiTheme="minorBidi" w:eastAsia="system-ui" w:hAnsiTheme="minorBidi"/>
          <w:i/>
          <w:iCs/>
          <w:color w:val="000000" w:themeColor="text1"/>
          <w:sz w:val="24"/>
          <w:szCs w:val="24"/>
        </w:rPr>
        <w:t xml:space="preserve"> of policy responses.</w:t>
      </w:r>
      <w:r w:rsidRPr="006B2FD7">
        <w:rPr>
          <w:rFonts w:asciiTheme="minorBidi" w:eastAsia="system-ui" w:hAnsiTheme="minorBidi"/>
          <w:color w:val="000000" w:themeColor="text1"/>
          <w:sz w:val="24"/>
          <w:szCs w:val="24"/>
        </w:rPr>
        <w:t xml:space="preserve"> </w:t>
      </w:r>
      <w:r w:rsidR="006B2FD7" w:rsidRPr="006B2FD7">
        <w:rPr>
          <w:rFonts w:asciiTheme="minorBidi" w:eastAsia="system-ui" w:hAnsiTheme="minorBidi"/>
          <w:color w:val="000000" w:themeColor="text1"/>
          <w:sz w:val="24"/>
          <w:szCs w:val="24"/>
        </w:rPr>
        <w:t xml:space="preserve">Available at: </w:t>
      </w:r>
      <w:hyperlink r:id="rId17">
        <w:r w:rsidRPr="006B2FD7">
          <w:rPr>
            <w:rStyle w:val="Hyperlink"/>
            <w:rFonts w:asciiTheme="minorBidi" w:eastAsia="system-ui" w:hAnsiTheme="minorBidi"/>
            <w:sz w:val="24"/>
            <w:szCs w:val="24"/>
          </w:rPr>
          <w:t>https://en.unesco.org/covid19/educationresponse/countermeasures</w:t>
        </w:r>
      </w:hyperlink>
      <w:r w:rsidR="006B2FD7" w:rsidRPr="006B2FD7">
        <w:rPr>
          <w:rStyle w:val="Hyperlink"/>
          <w:rFonts w:asciiTheme="minorBidi" w:eastAsia="system-ui" w:hAnsiTheme="minorBidi"/>
          <w:sz w:val="24"/>
          <w:szCs w:val="24"/>
        </w:rPr>
        <w:t xml:space="preserve"> </w:t>
      </w:r>
      <w:r w:rsidR="006B2FD7" w:rsidRPr="006B2FD7">
        <w:rPr>
          <w:rStyle w:val="Hyperlink"/>
          <w:rFonts w:asciiTheme="minorBidi" w:eastAsia="system-ui" w:hAnsiTheme="minorBidi"/>
          <w:color w:val="auto"/>
          <w:sz w:val="24"/>
          <w:szCs w:val="24"/>
          <w:u w:val="none"/>
        </w:rPr>
        <w:t>(Accessed: 2 March 2023)</w:t>
      </w:r>
    </w:p>
    <w:p w14:paraId="2339F8CA" w14:textId="5D44EFEE" w:rsidR="00021535" w:rsidRPr="006B2FD7" w:rsidRDefault="00021535" w:rsidP="00FC5CBE">
      <w:pPr>
        <w:spacing w:line="240" w:lineRule="auto"/>
        <w:ind w:left="680" w:hanging="720"/>
        <w:rPr>
          <w:rFonts w:asciiTheme="minorBidi" w:eastAsia="system-ui" w:hAnsiTheme="minorBidi"/>
          <w:color w:val="000000" w:themeColor="text1"/>
          <w:sz w:val="24"/>
          <w:szCs w:val="24"/>
        </w:rPr>
      </w:pPr>
      <w:r w:rsidRPr="006B2FD7">
        <w:rPr>
          <w:rFonts w:asciiTheme="minorBidi" w:eastAsia="system-ui" w:hAnsiTheme="minorBidi"/>
          <w:color w:val="000000" w:themeColor="text1"/>
          <w:sz w:val="24"/>
          <w:szCs w:val="24"/>
        </w:rPr>
        <w:t>Vaughn, L. M., Baker, R. C</w:t>
      </w:r>
      <w:r w:rsidR="006B2FD7" w:rsidRPr="006B2FD7">
        <w:rPr>
          <w:rFonts w:asciiTheme="minorBidi" w:eastAsia="system-ui" w:hAnsiTheme="minorBidi"/>
          <w:color w:val="000000" w:themeColor="text1"/>
          <w:sz w:val="24"/>
          <w:szCs w:val="24"/>
        </w:rPr>
        <w:t xml:space="preserve"> and</w:t>
      </w:r>
      <w:r w:rsidRPr="006B2FD7">
        <w:rPr>
          <w:rFonts w:asciiTheme="minorBidi" w:eastAsia="system-ui" w:hAnsiTheme="minorBidi"/>
          <w:color w:val="000000" w:themeColor="text1"/>
          <w:sz w:val="24"/>
          <w:szCs w:val="24"/>
        </w:rPr>
        <w:t xml:space="preserve"> Burlew, L. D. (2019). </w:t>
      </w:r>
      <w:r w:rsidR="006B2FD7" w:rsidRPr="006B2FD7">
        <w:rPr>
          <w:rFonts w:asciiTheme="minorBidi" w:eastAsia="system-ui" w:hAnsiTheme="minorBidi"/>
          <w:color w:val="000000" w:themeColor="text1"/>
          <w:sz w:val="24"/>
          <w:szCs w:val="24"/>
        </w:rPr>
        <w:t>‘</w:t>
      </w:r>
      <w:r w:rsidRPr="006B2FD7">
        <w:rPr>
          <w:rFonts w:asciiTheme="minorBidi" w:eastAsia="system-ui" w:hAnsiTheme="minorBidi"/>
          <w:color w:val="000000" w:themeColor="text1"/>
          <w:sz w:val="24"/>
          <w:szCs w:val="24"/>
        </w:rPr>
        <w:t>The effect of technology-based interventions on student engagement in rural schools.</w:t>
      </w:r>
      <w:r w:rsidR="006B2FD7" w:rsidRPr="006B2FD7">
        <w:rPr>
          <w:rFonts w:asciiTheme="minorBidi" w:eastAsia="system-ui" w:hAnsiTheme="minorBidi"/>
          <w:color w:val="000000" w:themeColor="text1"/>
          <w:sz w:val="24"/>
          <w:szCs w:val="24"/>
        </w:rPr>
        <w:t>’</w:t>
      </w:r>
      <w:r w:rsidRPr="006B2FD7">
        <w:rPr>
          <w:rFonts w:asciiTheme="minorBidi" w:eastAsia="system-ui" w:hAnsiTheme="minorBidi"/>
          <w:color w:val="000000" w:themeColor="text1"/>
          <w:sz w:val="24"/>
          <w:szCs w:val="24"/>
        </w:rPr>
        <w:t xml:space="preserve"> </w:t>
      </w:r>
      <w:r w:rsidRPr="006B2FD7">
        <w:rPr>
          <w:rFonts w:asciiTheme="minorBidi" w:eastAsia="system-ui" w:hAnsiTheme="minorBidi"/>
          <w:i/>
          <w:iCs/>
          <w:color w:val="000000" w:themeColor="text1"/>
          <w:sz w:val="24"/>
          <w:szCs w:val="24"/>
        </w:rPr>
        <w:t>The Journal of Rural Health,</w:t>
      </w:r>
      <w:r w:rsidRPr="006B2FD7">
        <w:rPr>
          <w:rFonts w:asciiTheme="minorBidi" w:eastAsia="system-ui" w:hAnsiTheme="minorBidi"/>
          <w:color w:val="000000" w:themeColor="text1"/>
          <w:sz w:val="24"/>
          <w:szCs w:val="24"/>
        </w:rPr>
        <w:t xml:space="preserve"> 35(4), 474-481.</w:t>
      </w:r>
    </w:p>
    <w:p w14:paraId="020A1210" w14:textId="67F68A8C" w:rsidR="00021535" w:rsidRPr="006B2FD7" w:rsidRDefault="00021535" w:rsidP="00FC5CBE">
      <w:pPr>
        <w:spacing w:line="240" w:lineRule="auto"/>
        <w:ind w:left="680" w:hanging="720"/>
        <w:rPr>
          <w:rFonts w:asciiTheme="minorBidi" w:eastAsia="system-ui" w:hAnsiTheme="minorBidi"/>
          <w:color w:val="000000" w:themeColor="text1"/>
          <w:sz w:val="24"/>
          <w:szCs w:val="24"/>
        </w:rPr>
      </w:pPr>
      <w:proofErr w:type="spellStart"/>
      <w:r w:rsidRPr="006B2FD7">
        <w:rPr>
          <w:rFonts w:asciiTheme="minorBidi" w:eastAsia="system-ui" w:hAnsiTheme="minorBidi"/>
          <w:color w:val="000000" w:themeColor="text1"/>
          <w:sz w:val="24"/>
          <w:szCs w:val="24"/>
        </w:rPr>
        <w:t>Veletsianos</w:t>
      </w:r>
      <w:proofErr w:type="spellEnd"/>
      <w:r w:rsidRPr="006B2FD7">
        <w:rPr>
          <w:rFonts w:asciiTheme="minorBidi" w:eastAsia="system-ui" w:hAnsiTheme="minorBidi"/>
          <w:color w:val="000000" w:themeColor="text1"/>
          <w:sz w:val="24"/>
          <w:szCs w:val="24"/>
        </w:rPr>
        <w:t>, G</w:t>
      </w:r>
      <w:r w:rsidR="006B2FD7" w:rsidRPr="006B2FD7">
        <w:rPr>
          <w:rFonts w:asciiTheme="minorBidi" w:eastAsia="system-ui" w:hAnsiTheme="minorBidi"/>
          <w:color w:val="000000" w:themeColor="text1"/>
          <w:sz w:val="24"/>
          <w:szCs w:val="24"/>
        </w:rPr>
        <w:t xml:space="preserve"> and</w:t>
      </w:r>
      <w:r w:rsidRPr="006B2FD7">
        <w:rPr>
          <w:rFonts w:asciiTheme="minorBidi" w:eastAsia="system-ui" w:hAnsiTheme="minorBidi"/>
          <w:color w:val="000000" w:themeColor="text1"/>
          <w:sz w:val="24"/>
          <w:szCs w:val="24"/>
        </w:rPr>
        <w:t xml:space="preserve"> Shepherdson, P. (2020). ‘A systematic analysis and synthesis of the empirical MOOC literature published in 2013–2015’. </w:t>
      </w:r>
      <w:r w:rsidRPr="006B2FD7">
        <w:rPr>
          <w:rFonts w:asciiTheme="minorBidi" w:eastAsia="system-ui" w:hAnsiTheme="minorBidi"/>
          <w:i/>
          <w:iCs/>
          <w:color w:val="000000" w:themeColor="text1"/>
          <w:sz w:val="24"/>
          <w:szCs w:val="24"/>
        </w:rPr>
        <w:t>The Internet and Higher Education,</w:t>
      </w:r>
      <w:r w:rsidRPr="006B2FD7">
        <w:rPr>
          <w:rFonts w:asciiTheme="minorBidi" w:eastAsia="system-ui" w:hAnsiTheme="minorBidi"/>
          <w:color w:val="000000" w:themeColor="text1"/>
          <w:sz w:val="24"/>
          <w:szCs w:val="24"/>
        </w:rPr>
        <w:t xml:space="preserve"> 42, 100772.</w:t>
      </w:r>
    </w:p>
    <w:p w14:paraId="57639786"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Warschauer, M. (2016). Learning in the cloud: How (and why) to transform schools with digital media. Teachers College Press.</w:t>
      </w:r>
    </w:p>
    <w:p w14:paraId="22B8D3DD" w14:textId="77777777" w:rsidR="00021535" w:rsidRDefault="00021535" w:rsidP="00FC5CBE">
      <w:pPr>
        <w:spacing w:line="240" w:lineRule="auto"/>
        <w:ind w:left="680" w:hanging="720"/>
        <w:rPr>
          <w:rFonts w:asciiTheme="minorBidi" w:hAnsiTheme="minorBidi"/>
          <w:sz w:val="24"/>
          <w:szCs w:val="24"/>
        </w:rPr>
      </w:pPr>
      <w:r w:rsidRPr="00937F78">
        <w:rPr>
          <w:rFonts w:asciiTheme="minorBidi" w:eastAsia="system-ui" w:hAnsiTheme="minorBidi"/>
          <w:color w:val="0D0D0D" w:themeColor="text1" w:themeTint="F2"/>
          <w:sz w:val="24"/>
          <w:szCs w:val="24"/>
        </w:rPr>
        <w:t xml:space="preserve">Welsh Government (2019). </w:t>
      </w:r>
      <w:r w:rsidRPr="00937F78">
        <w:rPr>
          <w:rFonts w:asciiTheme="minorBidi" w:eastAsia="system-ui" w:hAnsiTheme="minorBidi"/>
          <w:i/>
          <w:iCs/>
          <w:color w:val="0D0D0D" w:themeColor="text1" w:themeTint="F2"/>
          <w:sz w:val="24"/>
          <w:szCs w:val="24"/>
        </w:rPr>
        <w:t>Digital 2030: A strategic framework for post-16 digital learning in Wales.</w:t>
      </w:r>
      <w:r w:rsidRPr="00937F78">
        <w:rPr>
          <w:rFonts w:asciiTheme="minorBidi" w:eastAsia="system-ui" w:hAnsiTheme="minorBidi"/>
          <w:color w:val="0D0D0D" w:themeColor="text1" w:themeTint="F2"/>
          <w:sz w:val="24"/>
          <w:szCs w:val="24"/>
        </w:rPr>
        <w:t xml:space="preserve"> Available at: </w:t>
      </w:r>
      <w:hyperlink r:id="rId18" w:history="1">
        <w:r w:rsidRPr="00937F78">
          <w:rPr>
            <w:rStyle w:val="Hyperlink"/>
            <w:rFonts w:asciiTheme="minorBidi" w:hAnsiTheme="minorBidi"/>
            <w:sz w:val="24"/>
            <w:szCs w:val="24"/>
          </w:rPr>
          <w:t>digital-2030-a-strategic-framework-for-post-16-digital-learning-in-wales.pdf (</w:t>
        </w:r>
        <w:proofErr w:type="spellStart"/>
        <w:r w:rsidRPr="00937F78">
          <w:rPr>
            <w:rStyle w:val="Hyperlink"/>
            <w:rFonts w:asciiTheme="minorBidi" w:hAnsiTheme="minorBidi"/>
            <w:sz w:val="24"/>
            <w:szCs w:val="24"/>
          </w:rPr>
          <w:t>gov.wales</w:t>
        </w:r>
        <w:proofErr w:type="spellEnd"/>
        <w:r w:rsidRPr="00937F78">
          <w:rPr>
            <w:rStyle w:val="Hyperlink"/>
            <w:rFonts w:asciiTheme="minorBidi" w:hAnsiTheme="minorBidi"/>
            <w:sz w:val="24"/>
            <w:szCs w:val="24"/>
          </w:rPr>
          <w:t>)</w:t>
        </w:r>
      </w:hyperlink>
      <w:r w:rsidRPr="00937F78">
        <w:rPr>
          <w:rFonts w:asciiTheme="minorBidi" w:hAnsiTheme="minorBidi"/>
          <w:sz w:val="24"/>
          <w:szCs w:val="24"/>
        </w:rPr>
        <w:t xml:space="preserve"> (Accessed: 5 March 2024)</w:t>
      </w:r>
    </w:p>
    <w:p w14:paraId="27A48A25" w14:textId="488B2E15" w:rsidR="00021535" w:rsidRPr="009E584F" w:rsidRDefault="00021535" w:rsidP="00FC5CBE">
      <w:pPr>
        <w:spacing w:line="240" w:lineRule="auto"/>
        <w:ind w:left="680" w:hanging="720"/>
        <w:rPr>
          <w:rFonts w:asciiTheme="minorBidi" w:hAnsiTheme="minorBidi"/>
          <w:sz w:val="24"/>
          <w:szCs w:val="24"/>
        </w:rPr>
      </w:pPr>
      <w:r w:rsidRPr="009E584F">
        <w:rPr>
          <w:rFonts w:asciiTheme="minorBidi" w:eastAsia="system-ui" w:hAnsiTheme="minorBidi"/>
          <w:color w:val="000000" w:themeColor="text1"/>
          <w:sz w:val="24"/>
          <w:szCs w:val="24"/>
        </w:rPr>
        <w:t xml:space="preserve">Welsh Government. (2022). </w:t>
      </w:r>
      <w:r w:rsidRPr="009E584F">
        <w:rPr>
          <w:rFonts w:asciiTheme="minorBidi" w:eastAsia="system-ui" w:hAnsiTheme="minorBidi"/>
          <w:i/>
          <w:iCs/>
          <w:color w:val="000000" w:themeColor="text1"/>
          <w:sz w:val="24"/>
          <w:szCs w:val="24"/>
        </w:rPr>
        <w:t>Digital Competence Framework</w:t>
      </w:r>
      <w:r w:rsidRPr="009E584F">
        <w:rPr>
          <w:rFonts w:asciiTheme="minorBidi" w:eastAsia="system-ui" w:hAnsiTheme="minorBidi"/>
          <w:color w:val="000000" w:themeColor="text1"/>
          <w:sz w:val="24"/>
          <w:szCs w:val="24"/>
        </w:rPr>
        <w:t>.</w:t>
      </w:r>
      <w:r w:rsidR="00FC5CBE" w:rsidRPr="009E584F">
        <w:rPr>
          <w:rFonts w:asciiTheme="minorBidi" w:eastAsia="system-ui" w:hAnsiTheme="minorBidi"/>
          <w:color w:val="000000" w:themeColor="text1"/>
          <w:sz w:val="24"/>
          <w:szCs w:val="24"/>
        </w:rPr>
        <w:t xml:space="preserve"> </w:t>
      </w:r>
      <w:r w:rsidRPr="009E584F">
        <w:rPr>
          <w:rFonts w:asciiTheme="minorBidi" w:eastAsia="system-ui" w:hAnsiTheme="minorBidi"/>
          <w:color w:val="000000" w:themeColor="text1"/>
          <w:sz w:val="24"/>
          <w:szCs w:val="24"/>
        </w:rPr>
        <w:t xml:space="preserve">Available at: </w:t>
      </w:r>
      <w:hyperlink r:id="rId19">
        <w:r w:rsidRPr="009E584F">
          <w:rPr>
            <w:rStyle w:val="Hyperlink"/>
            <w:rFonts w:asciiTheme="minorBidi" w:eastAsia="system-ui" w:hAnsiTheme="minorBidi"/>
            <w:sz w:val="24"/>
            <w:szCs w:val="24"/>
          </w:rPr>
          <w:t>https://hwb.gov.wales/professional-development/digital-competence-framework</w:t>
        </w:r>
      </w:hyperlink>
      <w:r w:rsidR="00FC5CBE" w:rsidRPr="009E584F">
        <w:rPr>
          <w:rStyle w:val="Hyperlink"/>
          <w:rFonts w:asciiTheme="minorBidi" w:eastAsia="system-ui" w:hAnsiTheme="minorBidi"/>
          <w:sz w:val="24"/>
          <w:szCs w:val="24"/>
        </w:rPr>
        <w:t xml:space="preserve"> </w:t>
      </w:r>
      <w:r w:rsidR="00FC5CBE" w:rsidRPr="009E584F">
        <w:rPr>
          <w:rFonts w:asciiTheme="minorBidi" w:hAnsiTheme="minorBidi"/>
          <w:sz w:val="24"/>
          <w:szCs w:val="24"/>
        </w:rPr>
        <w:t>(Accessed: 2 March 2024)</w:t>
      </w:r>
    </w:p>
    <w:p w14:paraId="6E548481" w14:textId="5592D6FD" w:rsidR="00021535" w:rsidRPr="009E584F" w:rsidRDefault="00021535" w:rsidP="00FC5CBE">
      <w:pPr>
        <w:spacing w:line="240" w:lineRule="auto"/>
        <w:ind w:left="680" w:hanging="720"/>
        <w:rPr>
          <w:rFonts w:asciiTheme="minorBidi" w:hAnsiTheme="minorBidi"/>
          <w:sz w:val="24"/>
          <w:szCs w:val="24"/>
        </w:rPr>
      </w:pPr>
      <w:r w:rsidRPr="009E584F">
        <w:rPr>
          <w:rFonts w:asciiTheme="minorBidi" w:eastAsia="system-ui" w:hAnsiTheme="minorBidi"/>
          <w:color w:val="000000" w:themeColor="text1"/>
          <w:sz w:val="24"/>
          <w:szCs w:val="24"/>
        </w:rPr>
        <w:t xml:space="preserve">Welsh Government. (2022). </w:t>
      </w:r>
      <w:r w:rsidRPr="009E584F">
        <w:rPr>
          <w:rFonts w:asciiTheme="minorBidi" w:eastAsia="system-ui" w:hAnsiTheme="minorBidi"/>
          <w:i/>
          <w:iCs/>
          <w:color w:val="000000" w:themeColor="text1"/>
          <w:sz w:val="24"/>
          <w:szCs w:val="24"/>
        </w:rPr>
        <w:t>Education in Wales: Our National Mission</w:t>
      </w:r>
      <w:r w:rsidRPr="009E584F">
        <w:rPr>
          <w:rFonts w:asciiTheme="minorBidi" w:eastAsia="system-ui" w:hAnsiTheme="minorBidi"/>
          <w:color w:val="000000" w:themeColor="text1"/>
          <w:sz w:val="24"/>
          <w:szCs w:val="24"/>
        </w:rPr>
        <w:t xml:space="preserve">. Available at: </w:t>
      </w:r>
      <w:hyperlink r:id="rId20" w:history="1">
        <w:r w:rsidR="00FC5CBE" w:rsidRPr="009E584F">
          <w:rPr>
            <w:rStyle w:val="Hyperlink"/>
            <w:rFonts w:asciiTheme="minorBidi" w:eastAsia="system-ui" w:hAnsiTheme="minorBidi"/>
            <w:sz w:val="24"/>
            <w:szCs w:val="24"/>
          </w:rPr>
          <w:t>https://gov.wales/sites/default/files/publications/202202/education-in-wales-our-national-mission.pdf</w:t>
        </w:r>
      </w:hyperlink>
      <w:r w:rsidR="00FC5CBE" w:rsidRPr="009E584F">
        <w:rPr>
          <w:rFonts w:asciiTheme="minorBidi" w:eastAsia="system-ui" w:hAnsiTheme="minorBidi"/>
          <w:sz w:val="24"/>
          <w:szCs w:val="24"/>
        </w:rPr>
        <w:t xml:space="preserve"> </w:t>
      </w:r>
      <w:r w:rsidR="00FC5CBE" w:rsidRPr="009E584F">
        <w:rPr>
          <w:rFonts w:asciiTheme="minorBidi" w:hAnsiTheme="minorBidi"/>
          <w:sz w:val="24"/>
          <w:szCs w:val="24"/>
        </w:rPr>
        <w:t>(Accessed: 10 March 2024)</w:t>
      </w:r>
    </w:p>
    <w:p w14:paraId="3B6C4B9D" w14:textId="4E3CC2CF" w:rsidR="00021535" w:rsidRPr="009E584F" w:rsidRDefault="00021535" w:rsidP="00FC5CBE">
      <w:pPr>
        <w:spacing w:line="240" w:lineRule="auto"/>
        <w:ind w:left="680" w:hanging="720"/>
        <w:rPr>
          <w:rFonts w:asciiTheme="minorBidi" w:hAnsiTheme="minorBidi"/>
          <w:sz w:val="24"/>
          <w:szCs w:val="24"/>
        </w:rPr>
      </w:pPr>
      <w:r w:rsidRPr="009E584F">
        <w:rPr>
          <w:rFonts w:asciiTheme="minorBidi" w:eastAsia="system-ui" w:hAnsiTheme="minorBidi"/>
          <w:color w:val="000000" w:themeColor="text1"/>
          <w:sz w:val="24"/>
          <w:szCs w:val="24"/>
        </w:rPr>
        <w:t xml:space="preserve">Welsh Government. (2022). </w:t>
      </w:r>
      <w:r w:rsidRPr="009E584F">
        <w:rPr>
          <w:rFonts w:asciiTheme="minorBidi" w:eastAsia="system-ui" w:hAnsiTheme="minorBidi"/>
          <w:i/>
          <w:iCs/>
          <w:color w:val="000000" w:themeColor="text1"/>
          <w:sz w:val="24"/>
          <w:szCs w:val="24"/>
        </w:rPr>
        <w:t>National eLearning Offer</w:t>
      </w:r>
      <w:r w:rsidRPr="009E584F">
        <w:rPr>
          <w:rFonts w:asciiTheme="minorBidi" w:eastAsia="system-ui" w:hAnsiTheme="minorBidi"/>
          <w:color w:val="000000" w:themeColor="text1"/>
          <w:sz w:val="24"/>
          <w:szCs w:val="24"/>
        </w:rPr>
        <w:t xml:space="preserve">. Available at: </w:t>
      </w:r>
      <w:hyperlink r:id="rId21">
        <w:r w:rsidRPr="009E584F">
          <w:rPr>
            <w:rStyle w:val="Hyperlink"/>
            <w:rFonts w:asciiTheme="minorBidi" w:eastAsia="system-ui" w:hAnsiTheme="minorBidi"/>
            <w:sz w:val="24"/>
            <w:szCs w:val="24"/>
          </w:rPr>
          <w:t>https://gov.wales/national-elearning-offer</w:t>
        </w:r>
      </w:hyperlink>
      <w:r w:rsidR="00FC5CBE" w:rsidRPr="009E584F">
        <w:rPr>
          <w:rStyle w:val="Hyperlink"/>
          <w:rFonts w:asciiTheme="minorBidi" w:eastAsia="system-ui" w:hAnsiTheme="minorBidi"/>
          <w:sz w:val="24"/>
          <w:szCs w:val="24"/>
        </w:rPr>
        <w:t xml:space="preserve"> </w:t>
      </w:r>
      <w:r w:rsidR="00FC5CBE" w:rsidRPr="009E584F">
        <w:rPr>
          <w:rFonts w:asciiTheme="minorBidi" w:hAnsiTheme="minorBidi"/>
          <w:sz w:val="24"/>
          <w:szCs w:val="24"/>
        </w:rPr>
        <w:t>(Accessed: 10 March 2024)</w:t>
      </w:r>
    </w:p>
    <w:p w14:paraId="449D9E87" w14:textId="31B9210D" w:rsidR="00021535" w:rsidRPr="00FC5CBE" w:rsidRDefault="00021535" w:rsidP="00FC5CBE">
      <w:pPr>
        <w:spacing w:line="240" w:lineRule="auto"/>
        <w:ind w:left="680" w:hanging="720"/>
        <w:rPr>
          <w:rFonts w:asciiTheme="minorBidi" w:hAnsiTheme="minorBidi"/>
          <w:sz w:val="24"/>
          <w:szCs w:val="24"/>
        </w:rPr>
      </w:pPr>
      <w:r w:rsidRPr="009E584F">
        <w:rPr>
          <w:rFonts w:asciiTheme="minorBidi" w:eastAsia="system-ui" w:hAnsiTheme="minorBidi"/>
          <w:color w:val="000000" w:themeColor="text1"/>
          <w:sz w:val="24"/>
          <w:szCs w:val="24"/>
        </w:rPr>
        <w:t xml:space="preserve">Welsh Government. (2022). </w:t>
      </w:r>
      <w:r w:rsidRPr="009E584F">
        <w:rPr>
          <w:rFonts w:asciiTheme="minorBidi" w:eastAsia="system-ui" w:hAnsiTheme="minorBidi"/>
          <w:i/>
          <w:iCs/>
          <w:color w:val="000000" w:themeColor="text1"/>
          <w:sz w:val="24"/>
          <w:szCs w:val="24"/>
        </w:rPr>
        <w:t>Professional Learning for Teachers</w:t>
      </w:r>
      <w:r w:rsidRPr="009E584F">
        <w:rPr>
          <w:rFonts w:asciiTheme="minorBidi" w:eastAsia="system-ui" w:hAnsiTheme="minorBidi"/>
          <w:color w:val="000000" w:themeColor="text1"/>
          <w:sz w:val="24"/>
          <w:szCs w:val="24"/>
        </w:rPr>
        <w:t xml:space="preserve">. Available at: </w:t>
      </w:r>
      <w:hyperlink r:id="rId22">
        <w:r w:rsidRPr="009E584F">
          <w:rPr>
            <w:rStyle w:val="Hyperlink"/>
            <w:rFonts w:asciiTheme="minorBidi" w:eastAsia="system-ui" w:hAnsiTheme="minorBidi"/>
            <w:sz w:val="24"/>
            <w:szCs w:val="24"/>
          </w:rPr>
          <w:t>https://gov.wales/professional-learning-teachers</w:t>
        </w:r>
      </w:hyperlink>
      <w:r w:rsidR="00FC5CBE" w:rsidRPr="009E584F">
        <w:rPr>
          <w:rStyle w:val="Hyperlink"/>
          <w:rFonts w:asciiTheme="minorBidi" w:eastAsia="system-ui" w:hAnsiTheme="minorBidi"/>
          <w:sz w:val="24"/>
          <w:szCs w:val="24"/>
        </w:rPr>
        <w:t xml:space="preserve"> </w:t>
      </w:r>
      <w:r w:rsidR="00FC5CBE" w:rsidRPr="00937F78">
        <w:rPr>
          <w:rFonts w:asciiTheme="minorBidi" w:hAnsiTheme="minorBidi"/>
          <w:sz w:val="24"/>
          <w:szCs w:val="24"/>
        </w:rPr>
        <w:t xml:space="preserve">(Accessed: </w:t>
      </w:r>
      <w:r w:rsidR="00FC5CBE">
        <w:rPr>
          <w:rFonts w:asciiTheme="minorBidi" w:hAnsiTheme="minorBidi"/>
          <w:sz w:val="24"/>
          <w:szCs w:val="24"/>
        </w:rPr>
        <w:t>10</w:t>
      </w:r>
      <w:r w:rsidR="00FC5CBE" w:rsidRPr="00937F78">
        <w:rPr>
          <w:rFonts w:asciiTheme="minorBidi" w:hAnsiTheme="minorBidi"/>
          <w:sz w:val="24"/>
          <w:szCs w:val="24"/>
        </w:rPr>
        <w:t xml:space="preserve"> March 2024)</w:t>
      </w:r>
    </w:p>
    <w:p w14:paraId="6DD7685F" w14:textId="41EFB5AD" w:rsidR="00021535" w:rsidRPr="00384818" w:rsidRDefault="00021535" w:rsidP="00FC5CBE">
      <w:pPr>
        <w:spacing w:line="240" w:lineRule="auto"/>
        <w:ind w:left="680" w:hanging="720"/>
        <w:rPr>
          <w:rFonts w:asciiTheme="minorBidi" w:eastAsia="system-ui" w:hAnsiTheme="minorBidi"/>
          <w:color w:val="000000" w:themeColor="text1"/>
          <w:sz w:val="24"/>
          <w:szCs w:val="24"/>
        </w:rPr>
      </w:pPr>
      <w:r w:rsidRPr="00384818">
        <w:rPr>
          <w:rFonts w:asciiTheme="minorBidi" w:eastAsia="system-ui" w:hAnsiTheme="minorBidi"/>
          <w:color w:val="000000" w:themeColor="text1"/>
          <w:sz w:val="24"/>
          <w:szCs w:val="24"/>
          <w:lang w:val="de-DE"/>
        </w:rPr>
        <w:t>Wimpenny, K</w:t>
      </w:r>
      <w:r w:rsidR="006B2FD7" w:rsidRPr="006B2FD7">
        <w:rPr>
          <w:rFonts w:asciiTheme="minorBidi" w:eastAsia="system-ui" w:hAnsiTheme="minorBidi"/>
          <w:color w:val="000000" w:themeColor="text1"/>
          <w:sz w:val="24"/>
          <w:szCs w:val="24"/>
          <w:lang w:val="de-DE"/>
        </w:rPr>
        <w:t xml:space="preserve"> and</w:t>
      </w:r>
      <w:r w:rsidRPr="00384818">
        <w:rPr>
          <w:rFonts w:asciiTheme="minorBidi" w:eastAsia="system-ui" w:hAnsiTheme="minorBidi"/>
          <w:color w:val="000000" w:themeColor="text1"/>
          <w:sz w:val="24"/>
          <w:szCs w:val="24"/>
          <w:lang w:val="de-DE"/>
        </w:rPr>
        <w:t xml:space="preserve">Savin-Baden, M. (2013). </w:t>
      </w:r>
      <w:r w:rsidR="006B2FD7" w:rsidRPr="006B2FD7">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Alienation, agency and authenticity: A synthesis of the literature on student engagement.</w:t>
      </w:r>
      <w:r w:rsidR="006B2FD7" w:rsidRPr="006B2FD7">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Teaching in Higher Education</w:t>
      </w:r>
      <w:r w:rsidRPr="00384818">
        <w:rPr>
          <w:rFonts w:asciiTheme="minorBidi" w:eastAsia="system-ui" w:hAnsiTheme="minorBidi"/>
          <w:color w:val="000000" w:themeColor="text1"/>
          <w:sz w:val="24"/>
          <w:szCs w:val="24"/>
        </w:rPr>
        <w:t>, 18(3), 311–326.</w:t>
      </w:r>
    </w:p>
    <w:p w14:paraId="5C6AB766" w14:textId="109EAFC6" w:rsidR="00021535" w:rsidRPr="00384818" w:rsidRDefault="00021535" w:rsidP="00FC5CBE">
      <w:pPr>
        <w:spacing w:line="240" w:lineRule="auto"/>
        <w:ind w:left="680" w:hanging="720"/>
        <w:rPr>
          <w:rFonts w:asciiTheme="minorBidi" w:eastAsia="system-ui" w:hAnsiTheme="minorBidi"/>
          <w:color w:val="000000" w:themeColor="text1"/>
          <w:sz w:val="24"/>
          <w:szCs w:val="24"/>
        </w:rPr>
      </w:pPr>
      <w:proofErr w:type="spellStart"/>
      <w:r w:rsidRPr="00384818">
        <w:rPr>
          <w:rFonts w:asciiTheme="minorBidi" w:eastAsia="system-ui" w:hAnsiTheme="minorBidi"/>
          <w:color w:val="000000" w:themeColor="text1"/>
          <w:sz w:val="24"/>
          <w:szCs w:val="24"/>
        </w:rPr>
        <w:t>Zepke</w:t>
      </w:r>
      <w:proofErr w:type="spellEnd"/>
      <w:r w:rsidRPr="00384818">
        <w:rPr>
          <w:rFonts w:asciiTheme="minorBidi" w:eastAsia="system-ui" w:hAnsiTheme="minorBidi"/>
          <w:color w:val="000000" w:themeColor="text1"/>
          <w:sz w:val="24"/>
          <w:szCs w:val="24"/>
        </w:rPr>
        <w:t xml:space="preserve">, N., &amp; Leach, L. (2010). </w:t>
      </w:r>
      <w:r w:rsidR="006B2FD7" w:rsidRPr="006B2FD7">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Improving student engagement: Ten proposals for action.</w:t>
      </w:r>
      <w:r w:rsidR="006B2FD7" w:rsidRPr="006B2FD7">
        <w:rPr>
          <w:rFonts w:asciiTheme="minorBidi" w:eastAsia="system-ui" w:hAnsiTheme="minorBidi"/>
          <w:color w:val="000000" w:themeColor="text1"/>
          <w:sz w:val="24"/>
          <w:szCs w:val="24"/>
        </w:rPr>
        <w:t>’</w:t>
      </w:r>
      <w:r w:rsidRPr="00384818">
        <w:rPr>
          <w:rFonts w:asciiTheme="minorBidi" w:eastAsia="system-ui" w:hAnsiTheme="minorBidi"/>
          <w:color w:val="000000" w:themeColor="text1"/>
          <w:sz w:val="24"/>
          <w:szCs w:val="24"/>
        </w:rPr>
        <w:t xml:space="preserve"> </w:t>
      </w:r>
      <w:r w:rsidRPr="00384818">
        <w:rPr>
          <w:rFonts w:asciiTheme="minorBidi" w:eastAsia="system-ui" w:hAnsiTheme="minorBidi"/>
          <w:i/>
          <w:iCs/>
          <w:color w:val="000000" w:themeColor="text1"/>
          <w:sz w:val="24"/>
          <w:szCs w:val="24"/>
        </w:rPr>
        <w:t>Active Learning in Higher Education</w:t>
      </w:r>
      <w:r w:rsidRPr="00384818">
        <w:rPr>
          <w:rFonts w:asciiTheme="minorBidi" w:eastAsia="system-ui" w:hAnsiTheme="minorBidi"/>
          <w:color w:val="000000" w:themeColor="text1"/>
          <w:sz w:val="24"/>
          <w:szCs w:val="24"/>
        </w:rPr>
        <w:t>, 11(3), 167–177.</w:t>
      </w:r>
    </w:p>
    <w:p w14:paraId="060A0CD4" w14:textId="77777777" w:rsidR="00021535" w:rsidRPr="0099000F" w:rsidRDefault="00021535" w:rsidP="00FC5CBE">
      <w:pPr>
        <w:spacing w:line="240" w:lineRule="auto"/>
        <w:ind w:left="680" w:hanging="720"/>
        <w:rPr>
          <w:rFonts w:asciiTheme="minorBidi" w:eastAsia="system-ui" w:hAnsiTheme="minorBidi"/>
          <w:color w:val="000000" w:themeColor="text1"/>
          <w:sz w:val="24"/>
          <w:szCs w:val="24"/>
        </w:rPr>
      </w:pPr>
      <w:r w:rsidRPr="0099000F">
        <w:rPr>
          <w:rFonts w:asciiTheme="minorBidi" w:eastAsia="system-ui" w:hAnsiTheme="minorBidi"/>
          <w:color w:val="000000" w:themeColor="text1"/>
          <w:sz w:val="24"/>
          <w:szCs w:val="24"/>
        </w:rPr>
        <w:t>Zimmermann, M. (2013). ‘Digital game-based learning and the 21st century skills development in higher education: A systematic review.’ Digital Education Review, 24, pp. 1–18.</w:t>
      </w:r>
    </w:p>
    <w:p w14:paraId="45D52E35" w14:textId="77777777" w:rsidR="00384818" w:rsidRPr="00384818" w:rsidRDefault="00384818" w:rsidP="00FC5CBE">
      <w:pPr>
        <w:ind w:left="680" w:hanging="720"/>
        <w:rPr>
          <w:rFonts w:asciiTheme="minorBidi" w:eastAsia="system-ui" w:hAnsiTheme="minorBidi"/>
          <w:color w:val="000000" w:themeColor="text1"/>
          <w:sz w:val="24"/>
          <w:szCs w:val="24"/>
          <w:highlight w:val="yellow"/>
        </w:rPr>
      </w:pPr>
    </w:p>
    <w:p w14:paraId="5C14D38B" w14:textId="77777777" w:rsidR="00937F78" w:rsidRPr="00937F78" w:rsidRDefault="00937F78" w:rsidP="00FC5CBE">
      <w:pPr>
        <w:ind w:left="680" w:hanging="720"/>
        <w:rPr>
          <w:rFonts w:asciiTheme="minorBidi" w:eastAsia="system-ui" w:hAnsiTheme="minorBidi"/>
          <w:color w:val="000000" w:themeColor="text1"/>
          <w:sz w:val="24"/>
          <w:szCs w:val="24"/>
          <w:highlight w:val="yellow"/>
        </w:rPr>
      </w:pPr>
    </w:p>
    <w:p w14:paraId="260459E8" w14:textId="77777777" w:rsidR="00937F78" w:rsidRPr="00937F78" w:rsidRDefault="00937F78" w:rsidP="00FC5CBE">
      <w:pPr>
        <w:ind w:left="680" w:hanging="720"/>
        <w:rPr>
          <w:rFonts w:asciiTheme="minorBidi" w:eastAsia="system-ui" w:hAnsiTheme="minorBidi"/>
          <w:color w:val="000000" w:themeColor="text1"/>
          <w:sz w:val="24"/>
          <w:szCs w:val="24"/>
          <w:highlight w:val="yellow"/>
        </w:rPr>
      </w:pPr>
    </w:p>
    <w:p w14:paraId="0FF9EE07" w14:textId="77777777" w:rsidR="00937F78" w:rsidRPr="00937F78" w:rsidRDefault="00937F78" w:rsidP="00FC5CBE">
      <w:pPr>
        <w:ind w:left="680" w:hanging="720"/>
        <w:rPr>
          <w:rFonts w:asciiTheme="minorBidi" w:eastAsia="system-ui" w:hAnsiTheme="minorBidi"/>
          <w:color w:val="000000" w:themeColor="text1"/>
          <w:sz w:val="24"/>
          <w:szCs w:val="24"/>
          <w:highlight w:val="yellow"/>
        </w:rPr>
      </w:pPr>
    </w:p>
    <w:p w14:paraId="6220DCF2" w14:textId="77777777" w:rsidR="00A312E2" w:rsidRPr="00937F78" w:rsidRDefault="00A312E2" w:rsidP="00FC5CBE">
      <w:pPr>
        <w:ind w:left="680"/>
        <w:rPr>
          <w:rFonts w:asciiTheme="minorBidi" w:hAnsiTheme="minorBidi"/>
          <w:sz w:val="24"/>
          <w:szCs w:val="24"/>
        </w:rPr>
      </w:pPr>
    </w:p>
    <w:sectPr w:rsidR="00A312E2" w:rsidRPr="00937F78" w:rsidSect="000E481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FE0AD8" w14:textId="77777777" w:rsidR="000E481E" w:rsidRDefault="000E481E" w:rsidP="00C65104">
      <w:pPr>
        <w:spacing w:after="0" w:line="240" w:lineRule="auto"/>
      </w:pPr>
      <w:r>
        <w:separator/>
      </w:r>
    </w:p>
  </w:endnote>
  <w:endnote w:type="continuationSeparator" w:id="0">
    <w:p w14:paraId="734FD830" w14:textId="77777777" w:rsidR="000E481E" w:rsidRDefault="000E481E" w:rsidP="00C65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ystem-ui">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DED075" w14:textId="77777777" w:rsidR="000E481E" w:rsidRDefault="000E481E" w:rsidP="00C65104">
      <w:pPr>
        <w:spacing w:after="0" w:line="240" w:lineRule="auto"/>
      </w:pPr>
      <w:r>
        <w:separator/>
      </w:r>
    </w:p>
  </w:footnote>
  <w:footnote w:type="continuationSeparator" w:id="0">
    <w:p w14:paraId="48EE2093" w14:textId="77777777" w:rsidR="000E481E" w:rsidRDefault="000E481E" w:rsidP="00C651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CE24AF"/>
    <w:multiLevelType w:val="multilevel"/>
    <w:tmpl w:val="AE80D724"/>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4A6CC788"/>
    <w:multiLevelType w:val="hybridMultilevel"/>
    <w:tmpl w:val="281C286A"/>
    <w:lvl w:ilvl="0" w:tplc="B8B0C008">
      <w:start w:val="1"/>
      <w:numFmt w:val="bullet"/>
      <w:lvlText w:val=""/>
      <w:lvlJc w:val="left"/>
      <w:pPr>
        <w:ind w:left="720" w:hanging="360"/>
      </w:pPr>
      <w:rPr>
        <w:rFonts w:ascii="Symbol" w:hAnsi="Symbol" w:hint="default"/>
      </w:rPr>
    </w:lvl>
    <w:lvl w:ilvl="1" w:tplc="6C3218F8">
      <w:start w:val="1"/>
      <w:numFmt w:val="bullet"/>
      <w:lvlText w:val="o"/>
      <w:lvlJc w:val="left"/>
      <w:pPr>
        <w:ind w:left="1440" w:hanging="360"/>
      </w:pPr>
      <w:rPr>
        <w:rFonts w:ascii="Courier New" w:hAnsi="Courier New" w:cs="Times New Roman" w:hint="default"/>
      </w:rPr>
    </w:lvl>
    <w:lvl w:ilvl="2" w:tplc="3F82D126">
      <w:start w:val="1"/>
      <w:numFmt w:val="bullet"/>
      <w:lvlText w:val=""/>
      <w:lvlJc w:val="left"/>
      <w:pPr>
        <w:ind w:left="2160" w:hanging="360"/>
      </w:pPr>
      <w:rPr>
        <w:rFonts w:ascii="Wingdings" w:hAnsi="Wingdings" w:hint="default"/>
      </w:rPr>
    </w:lvl>
    <w:lvl w:ilvl="3" w:tplc="2DFC9E3E">
      <w:start w:val="1"/>
      <w:numFmt w:val="bullet"/>
      <w:lvlText w:val=""/>
      <w:lvlJc w:val="left"/>
      <w:pPr>
        <w:ind w:left="2880" w:hanging="360"/>
      </w:pPr>
      <w:rPr>
        <w:rFonts w:ascii="Symbol" w:hAnsi="Symbol" w:hint="default"/>
      </w:rPr>
    </w:lvl>
    <w:lvl w:ilvl="4" w:tplc="3278B5E8">
      <w:start w:val="1"/>
      <w:numFmt w:val="bullet"/>
      <w:lvlText w:val="o"/>
      <w:lvlJc w:val="left"/>
      <w:pPr>
        <w:ind w:left="3600" w:hanging="360"/>
      </w:pPr>
      <w:rPr>
        <w:rFonts w:ascii="Courier New" w:hAnsi="Courier New" w:cs="Times New Roman" w:hint="default"/>
      </w:rPr>
    </w:lvl>
    <w:lvl w:ilvl="5" w:tplc="1AF8DD4A">
      <w:start w:val="1"/>
      <w:numFmt w:val="bullet"/>
      <w:lvlText w:val=""/>
      <w:lvlJc w:val="left"/>
      <w:pPr>
        <w:ind w:left="4320" w:hanging="360"/>
      </w:pPr>
      <w:rPr>
        <w:rFonts w:ascii="Wingdings" w:hAnsi="Wingdings" w:hint="default"/>
      </w:rPr>
    </w:lvl>
    <w:lvl w:ilvl="6" w:tplc="F0EE6910">
      <w:start w:val="1"/>
      <w:numFmt w:val="bullet"/>
      <w:lvlText w:val=""/>
      <w:lvlJc w:val="left"/>
      <w:pPr>
        <w:ind w:left="5040" w:hanging="360"/>
      </w:pPr>
      <w:rPr>
        <w:rFonts w:ascii="Symbol" w:hAnsi="Symbol" w:hint="default"/>
      </w:rPr>
    </w:lvl>
    <w:lvl w:ilvl="7" w:tplc="E25CA284">
      <w:start w:val="1"/>
      <w:numFmt w:val="bullet"/>
      <w:lvlText w:val="o"/>
      <w:lvlJc w:val="left"/>
      <w:pPr>
        <w:ind w:left="5760" w:hanging="360"/>
      </w:pPr>
      <w:rPr>
        <w:rFonts w:ascii="Courier New" w:hAnsi="Courier New" w:cs="Times New Roman" w:hint="default"/>
      </w:rPr>
    </w:lvl>
    <w:lvl w:ilvl="8" w:tplc="283CEA72">
      <w:start w:val="1"/>
      <w:numFmt w:val="bullet"/>
      <w:lvlText w:val=""/>
      <w:lvlJc w:val="left"/>
      <w:pPr>
        <w:ind w:left="6480" w:hanging="360"/>
      </w:pPr>
      <w:rPr>
        <w:rFonts w:ascii="Wingdings" w:hAnsi="Wingdings" w:hint="default"/>
      </w:rPr>
    </w:lvl>
  </w:abstractNum>
  <w:num w:numId="1" w16cid:durableId="293996332">
    <w:abstractNumId w:val="0"/>
  </w:num>
  <w:num w:numId="2" w16cid:durableId="1450516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EFA"/>
    <w:rsid w:val="00021535"/>
    <w:rsid w:val="000A7F0D"/>
    <w:rsid w:val="000E435A"/>
    <w:rsid w:val="000E481E"/>
    <w:rsid w:val="001F47B1"/>
    <w:rsid w:val="00227FB7"/>
    <w:rsid w:val="002A492F"/>
    <w:rsid w:val="002D4E16"/>
    <w:rsid w:val="002F4564"/>
    <w:rsid w:val="00362C40"/>
    <w:rsid w:val="00384818"/>
    <w:rsid w:val="004515B5"/>
    <w:rsid w:val="00494516"/>
    <w:rsid w:val="004E3658"/>
    <w:rsid w:val="00517E2D"/>
    <w:rsid w:val="005E63EB"/>
    <w:rsid w:val="006B2FD7"/>
    <w:rsid w:val="006C7017"/>
    <w:rsid w:val="006D650C"/>
    <w:rsid w:val="007B2554"/>
    <w:rsid w:val="0082287B"/>
    <w:rsid w:val="00822B72"/>
    <w:rsid w:val="00827A5B"/>
    <w:rsid w:val="00872A28"/>
    <w:rsid w:val="00937F78"/>
    <w:rsid w:val="0099000F"/>
    <w:rsid w:val="0099722E"/>
    <w:rsid w:val="009D07D1"/>
    <w:rsid w:val="009D5C5D"/>
    <w:rsid w:val="009E584F"/>
    <w:rsid w:val="00A05A9D"/>
    <w:rsid w:val="00A312E2"/>
    <w:rsid w:val="00A43632"/>
    <w:rsid w:val="00A524EC"/>
    <w:rsid w:val="00A62EFA"/>
    <w:rsid w:val="00AA75E1"/>
    <w:rsid w:val="00AC0C87"/>
    <w:rsid w:val="00AD25FF"/>
    <w:rsid w:val="00B558CB"/>
    <w:rsid w:val="00BD5165"/>
    <w:rsid w:val="00BE4094"/>
    <w:rsid w:val="00C52876"/>
    <w:rsid w:val="00C65104"/>
    <w:rsid w:val="00C662EF"/>
    <w:rsid w:val="00D31407"/>
    <w:rsid w:val="00DD6334"/>
    <w:rsid w:val="00E13EE1"/>
    <w:rsid w:val="00ED3710"/>
    <w:rsid w:val="00EF65CA"/>
    <w:rsid w:val="00F00526"/>
    <w:rsid w:val="00F63C9F"/>
    <w:rsid w:val="00F83960"/>
    <w:rsid w:val="00F93681"/>
    <w:rsid w:val="00FC5C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C8395B"/>
  <w15:chartTrackingRefBased/>
  <w15:docId w15:val="{F7F8D784-740C-472C-8321-EA23B3925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EFA"/>
  </w:style>
  <w:style w:type="paragraph" w:styleId="Heading1">
    <w:name w:val="heading 1"/>
    <w:basedOn w:val="Normal"/>
    <w:next w:val="Normal"/>
    <w:link w:val="Heading1Char"/>
    <w:uiPriority w:val="9"/>
    <w:qFormat/>
    <w:rsid w:val="00A62E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2E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2EFA"/>
    <w:rPr>
      <w:color w:val="0563C1" w:themeColor="hyperlink"/>
      <w:u w:val="single"/>
    </w:rPr>
  </w:style>
  <w:style w:type="character" w:styleId="FollowedHyperlink">
    <w:name w:val="FollowedHyperlink"/>
    <w:basedOn w:val="DefaultParagraphFont"/>
    <w:uiPriority w:val="99"/>
    <w:semiHidden/>
    <w:unhideWhenUsed/>
    <w:rsid w:val="00A62EFA"/>
    <w:rPr>
      <w:color w:val="954F72" w:themeColor="followedHyperlink"/>
      <w:u w:val="single"/>
    </w:rPr>
  </w:style>
  <w:style w:type="character" w:customStyle="1" w:styleId="Heading1Char">
    <w:name w:val="Heading 1 Char"/>
    <w:basedOn w:val="DefaultParagraphFont"/>
    <w:link w:val="Heading1"/>
    <w:uiPriority w:val="9"/>
    <w:rsid w:val="00A62E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62EFA"/>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A62EFA"/>
    <w:rPr>
      <w:color w:val="605E5C"/>
      <w:shd w:val="clear" w:color="auto" w:fill="E1DFDD"/>
    </w:rPr>
  </w:style>
  <w:style w:type="paragraph" w:styleId="Header">
    <w:name w:val="header"/>
    <w:basedOn w:val="Normal"/>
    <w:link w:val="HeaderChar"/>
    <w:uiPriority w:val="99"/>
    <w:unhideWhenUsed/>
    <w:rsid w:val="00C651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104"/>
  </w:style>
  <w:style w:type="paragraph" w:styleId="Footer">
    <w:name w:val="footer"/>
    <w:basedOn w:val="Normal"/>
    <w:link w:val="FooterChar"/>
    <w:uiPriority w:val="99"/>
    <w:unhideWhenUsed/>
    <w:rsid w:val="00C651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104"/>
  </w:style>
  <w:style w:type="paragraph" w:styleId="NoSpacing">
    <w:name w:val="No Spacing"/>
    <w:link w:val="NoSpacingChar"/>
    <w:uiPriority w:val="1"/>
    <w:qFormat/>
    <w:rsid w:val="00C65104"/>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C65104"/>
    <w:rPr>
      <w:kern w:val="0"/>
      <w:lang w:val="en-US" w:eastAsia="en-US"/>
      <w14:ligatures w14:val="none"/>
    </w:rPr>
  </w:style>
  <w:style w:type="paragraph" w:styleId="ListParagraph">
    <w:name w:val="List Paragraph"/>
    <w:basedOn w:val="Normal"/>
    <w:uiPriority w:val="34"/>
    <w:qFormat/>
    <w:rsid w:val="00F83960"/>
    <w:pPr>
      <w:spacing w:line="256" w:lineRule="auto"/>
      <w:ind w:left="720"/>
      <w:contextualSpacing/>
    </w:pPr>
    <w:rPr>
      <w:rFonts w:eastAsiaTheme="minorHAnsi"/>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795334">
      <w:bodyDiv w:val="1"/>
      <w:marLeft w:val="0"/>
      <w:marRight w:val="0"/>
      <w:marTop w:val="0"/>
      <w:marBottom w:val="0"/>
      <w:divBdr>
        <w:top w:val="none" w:sz="0" w:space="0" w:color="auto"/>
        <w:left w:val="none" w:sz="0" w:space="0" w:color="auto"/>
        <w:bottom w:val="none" w:sz="0" w:space="0" w:color="auto"/>
        <w:right w:val="none" w:sz="0" w:space="0" w:color="auto"/>
      </w:divBdr>
    </w:div>
    <w:div w:id="953949185">
      <w:bodyDiv w:val="1"/>
      <w:marLeft w:val="0"/>
      <w:marRight w:val="0"/>
      <w:marTop w:val="0"/>
      <w:marBottom w:val="0"/>
      <w:divBdr>
        <w:top w:val="none" w:sz="0" w:space="0" w:color="auto"/>
        <w:left w:val="none" w:sz="0" w:space="0" w:color="auto"/>
        <w:bottom w:val="none" w:sz="0" w:space="0" w:color="auto"/>
        <w:right w:val="none" w:sz="0" w:space="0" w:color="auto"/>
      </w:divBdr>
    </w:div>
    <w:div w:id="1045720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582440231154417" TargetMode="External"/><Relationship Id="rId13" Type="http://schemas.openxmlformats.org/officeDocument/2006/relationships/hyperlink" Target="https://doi.org/10.1016/j.susoc.2022.05.004" TargetMode="External"/><Relationship Id="rId18" Type="http://schemas.openxmlformats.org/officeDocument/2006/relationships/hyperlink" Target="https://www.gov.wales/sites/default/files/publications/2019-06/digital-2030-a-strategic-framework-for-post-16-digital-learning-in-wales.pdf" TargetMode="External"/><Relationship Id="rId3" Type="http://schemas.openxmlformats.org/officeDocument/2006/relationships/settings" Target="settings.xml"/><Relationship Id="rId21" Type="http://schemas.openxmlformats.org/officeDocument/2006/relationships/hyperlink" Target="https://gov.wales/national-elearning-offer" TargetMode="External"/><Relationship Id="rId7" Type="http://schemas.openxmlformats.org/officeDocument/2006/relationships/image" Target="media/image1.png"/><Relationship Id="rId12" Type="http://schemas.openxmlformats.org/officeDocument/2006/relationships/hyperlink" Target="https://www.sciencedirect.com/journal/sustainable-operations-and-computers" TargetMode="External"/><Relationship Id="rId17" Type="http://schemas.openxmlformats.org/officeDocument/2006/relationships/hyperlink" Target="https://en.unesco.org/covid19/educationresponse/countermeasures" TargetMode="External"/><Relationship Id="rId2" Type="http://schemas.openxmlformats.org/officeDocument/2006/relationships/styles" Target="styles.xml"/><Relationship Id="rId16" Type="http://schemas.openxmlformats.org/officeDocument/2006/relationships/hyperlink" Target="https://www.qualificationswales.org/english/improving-qualifications/post-16-qualifications-review/" TargetMode="External"/><Relationship Id="rId20" Type="http://schemas.openxmlformats.org/officeDocument/2006/relationships/hyperlink" Target="https://gov.wales/sites/default/files/publications/202202/education-in-wales-our-national-miss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europa.eu/education/education-in-the-eu/digital-education-action-plan_e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00131881.2018.1506996" TargetMode="External"/><Relationship Id="rId23" Type="http://schemas.openxmlformats.org/officeDocument/2006/relationships/fontTable" Target="fontTable.xml"/><Relationship Id="rId10" Type="http://schemas.openxmlformats.org/officeDocument/2006/relationships/hyperlink" Target="https://nsse.indiana.edu/" TargetMode="External"/><Relationship Id="rId19" Type="http://schemas.openxmlformats.org/officeDocument/2006/relationships/hyperlink" Target="https://hwb.gov.wales/professional-development/digital-competence-framework" TargetMode="External"/><Relationship Id="rId4" Type="http://schemas.openxmlformats.org/officeDocument/2006/relationships/webSettings" Target="webSettings.xml"/><Relationship Id="rId9" Type="http://schemas.openxmlformats.org/officeDocument/2006/relationships/hyperlink" Target="https://doi.org/10.1007/s12528-013-9077-3" TargetMode="External"/><Relationship Id="rId14" Type="http://schemas.openxmlformats.org/officeDocument/2006/relationships/hyperlink" Target="https://assets.publishing.service.gov.uk/media/60d44b09d3bf7f4bd11a249f/online_and_blended_delivery_in_further_education.pdf" TargetMode="External"/><Relationship Id="rId22" Type="http://schemas.openxmlformats.org/officeDocument/2006/relationships/hyperlink" Target="https://gov.wales/professional-learning-tea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7091</Words>
  <Characters>40422</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Action Research Project</vt:lpstr>
    </vt:vector>
  </TitlesOfParts>
  <Company>University of Wales Trinity Saint David</Company>
  <LinksUpToDate>false</LinksUpToDate>
  <CharactersWithSpaces>47419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Research Project</dc:title>
  <dc:subject>ECPT6009                                        Lecturer: Mark Flagg                      Word Count:4039</dc:subject>
  <dc:creator>Cerimarie Jones                                   1806930</dc:creator>
  <cp:keywords/>
  <dc:description/>
  <cp:lastModifiedBy>Ceri Marie Jones (1806930)</cp:lastModifiedBy>
  <cp:revision>2</cp:revision>
  <dcterms:created xsi:type="dcterms:W3CDTF">2024-03-27T17:40:00Z</dcterms:created>
  <dcterms:modified xsi:type="dcterms:W3CDTF">2024-03-27T17:40:00Z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92c95743-5374-4f8d-9e06-bbb010422198</vt:lpwstr>
  </property>
</Properties>
</file>