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7D2F88" w14:textId="77777777" w:rsidR="00345352" w:rsidRPr="00345352" w:rsidRDefault="00345352" w:rsidP="00345352">
      <w:pPr>
        <w:widowControl/>
        <w:spacing w:beforeLines="0" w:before="0" w:afterLines="0" w:after="0"/>
        <w:ind w:firstLineChars="200" w:firstLine="480"/>
        <w:jc w:val="center"/>
        <w:rPr>
          <w:rFonts w:cs="Times New Roman"/>
          <w:szCs w:val="22"/>
        </w:rPr>
      </w:pPr>
      <w:r w:rsidRPr="00345352">
        <w:rPr>
          <w:rFonts w:cs="Times New Roman"/>
          <w:bCs/>
          <w:noProof/>
          <w:color w:val="000000"/>
          <w:szCs w:val="22"/>
        </w:rPr>
        <w:drawing>
          <wp:inline distT="0" distB="0" distL="0" distR="0" wp14:anchorId="6B0E58EF" wp14:editId="2076BF4A">
            <wp:extent cx="3435927" cy="1150824"/>
            <wp:effectExtent l="0" t="0" r="0" b="5080"/>
            <wp:docPr id="2" name="图片 2" descr="文本&#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文本&#10;&#10;中度可信度描述已自动生成"/>
                    <pic:cNvPicPr/>
                  </pic:nvPicPr>
                  <pic:blipFill>
                    <a:blip r:embed="rId6" cstate="print">
                      <a:extLst>
                        <a:ext uri="{28A0092B-C50C-407E-A947-70E740481C1C}">
                          <a14:useLocalDpi xmlns:a14="http://schemas.microsoft.com/office/drawing/2010/main" val="0"/>
                        </a:ext>
                      </a:extLst>
                    </a:blip>
                    <a:stretch>
                      <a:fillRect/>
                    </a:stretch>
                  </pic:blipFill>
                  <pic:spPr>
                    <a:xfrm>
                      <a:off x="0" y="0"/>
                      <a:ext cx="3611946" cy="1209779"/>
                    </a:xfrm>
                    <a:prstGeom prst="rect">
                      <a:avLst/>
                    </a:prstGeom>
                  </pic:spPr>
                </pic:pic>
              </a:graphicData>
            </a:graphic>
          </wp:inline>
        </w:drawing>
      </w:r>
    </w:p>
    <w:p w14:paraId="62953FEF" w14:textId="77777777" w:rsidR="00345352" w:rsidRPr="00345352" w:rsidRDefault="00345352" w:rsidP="00345352">
      <w:pPr>
        <w:widowControl/>
        <w:spacing w:beforeLines="0" w:before="0" w:afterLines="0" w:after="0"/>
        <w:ind w:firstLineChars="200" w:firstLine="480"/>
        <w:jc w:val="center"/>
        <w:rPr>
          <w:rFonts w:cs="Times New Roman"/>
          <w:szCs w:val="22"/>
        </w:rPr>
      </w:pPr>
    </w:p>
    <w:p w14:paraId="12C29143" w14:textId="77777777" w:rsidR="00345352" w:rsidRPr="00345352" w:rsidRDefault="00345352" w:rsidP="00345352">
      <w:pPr>
        <w:widowControl/>
        <w:spacing w:beforeLines="0" w:before="0" w:afterLines="0" w:after="0"/>
        <w:ind w:firstLineChars="200" w:firstLine="480"/>
        <w:jc w:val="center"/>
        <w:rPr>
          <w:rFonts w:cs="Times New Roman"/>
          <w:szCs w:val="22"/>
        </w:rPr>
      </w:pPr>
    </w:p>
    <w:p w14:paraId="4D4B7E39" w14:textId="77777777" w:rsidR="00345352" w:rsidRPr="00345352" w:rsidRDefault="00345352" w:rsidP="00345352">
      <w:pPr>
        <w:widowControl/>
        <w:spacing w:beforeLines="0" w:before="0" w:afterLines="0" w:after="0"/>
        <w:ind w:firstLineChars="200" w:firstLine="480"/>
        <w:jc w:val="center"/>
        <w:rPr>
          <w:rFonts w:cs="Times New Roman"/>
          <w:szCs w:val="22"/>
        </w:rPr>
      </w:pPr>
    </w:p>
    <w:p w14:paraId="6436241A" w14:textId="77777777" w:rsidR="00345352" w:rsidRPr="00345352" w:rsidRDefault="00345352" w:rsidP="00345352">
      <w:pPr>
        <w:widowControl/>
        <w:spacing w:beforeLines="0" w:before="0" w:afterLines="0" w:after="0"/>
        <w:ind w:firstLineChars="200" w:firstLine="480"/>
        <w:jc w:val="center"/>
        <w:rPr>
          <w:rFonts w:cs="Times New Roman"/>
          <w:szCs w:val="22"/>
        </w:rPr>
      </w:pPr>
    </w:p>
    <w:p w14:paraId="0C13D9A8" w14:textId="77777777" w:rsidR="00345352" w:rsidRPr="00345352" w:rsidRDefault="00345352" w:rsidP="00345352">
      <w:pPr>
        <w:widowControl/>
        <w:spacing w:beforeLines="0" w:before="0" w:afterLines="0" w:after="0"/>
        <w:ind w:firstLineChars="200" w:firstLine="480"/>
        <w:jc w:val="center"/>
        <w:rPr>
          <w:rFonts w:cs="Times New Roman"/>
          <w:szCs w:val="22"/>
        </w:rPr>
      </w:pPr>
    </w:p>
    <w:p w14:paraId="39230569" w14:textId="0929B7D5" w:rsidR="00345352" w:rsidRPr="00345352" w:rsidRDefault="00667291" w:rsidP="00345352">
      <w:pPr>
        <w:widowControl/>
        <w:spacing w:beforeLines="0" w:before="0" w:afterLines="0" w:after="0"/>
        <w:ind w:firstLineChars="200" w:firstLine="562"/>
        <w:jc w:val="center"/>
        <w:rPr>
          <w:rFonts w:cs="Times New Roman"/>
          <w:szCs w:val="22"/>
        </w:rPr>
      </w:pPr>
      <w:r w:rsidRPr="00667291">
        <w:rPr>
          <w:rFonts w:cs="Times New Roman"/>
          <w:b/>
          <w:sz w:val="28"/>
          <w:szCs w:val="28"/>
        </w:rPr>
        <w:t>Visions for the Future</w:t>
      </w:r>
    </w:p>
    <w:p w14:paraId="0F936E68" w14:textId="77777777" w:rsidR="00345352" w:rsidRPr="00345352" w:rsidRDefault="00345352" w:rsidP="00345352">
      <w:pPr>
        <w:widowControl/>
        <w:spacing w:beforeLines="0" w:before="0" w:afterLines="0" w:after="0"/>
        <w:ind w:firstLineChars="200" w:firstLine="480"/>
        <w:jc w:val="center"/>
        <w:rPr>
          <w:rFonts w:cs="Times New Roman"/>
          <w:szCs w:val="22"/>
        </w:rPr>
      </w:pPr>
    </w:p>
    <w:p w14:paraId="25FF366B" w14:textId="77777777" w:rsidR="00345352" w:rsidRPr="00345352" w:rsidRDefault="00345352" w:rsidP="00345352">
      <w:pPr>
        <w:widowControl/>
        <w:spacing w:beforeLines="0" w:before="0" w:afterLines="0" w:after="0"/>
        <w:ind w:firstLineChars="200" w:firstLine="480"/>
        <w:jc w:val="center"/>
        <w:rPr>
          <w:rFonts w:cs="Times New Roman"/>
          <w:szCs w:val="22"/>
        </w:rPr>
      </w:pPr>
    </w:p>
    <w:p w14:paraId="44BA2299" w14:textId="065E0D36" w:rsidR="00345352" w:rsidRPr="00345352" w:rsidRDefault="0017682D" w:rsidP="00345352">
      <w:pPr>
        <w:widowControl/>
        <w:spacing w:beforeLines="0" w:before="0" w:afterLines="0" w:after="0"/>
        <w:ind w:firstLineChars="200" w:firstLine="482"/>
        <w:jc w:val="center"/>
        <w:rPr>
          <w:rFonts w:cs="Times New Roman"/>
          <w:szCs w:val="22"/>
        </w:rPr>
      </w:pPr>
      <w:r w:rsidRPr="0017682D">
        <w:rPr>
          <w:rFonts w:cs="Times New Roman"/>
          <w:b/>
          <w:szCs w:val="24"/>
        </w:rPr>
        <w:t>LCDB7008 Theoretical Perspectives on Management</w:t>
      </w:r>
    </w:p>
    <w:p w14:paraId="33CE0FF7" w14:textId="77777777" w:rsidR="00345352" w:rsidRPr="00345352" w:rsidRDefault="00345352" w:rsidP="00345352">
      <w:pPr>
        <w:widowControl/>
        <w:spacing w:beforeLines="0" w:before="0" w:afterLines="0" w:after="0"/>
        <w:ind w:firstLineChars="200" w:firstLine="480"/>
        <w:jc w:val="center"/>
        <w:rPr>
          <w:rFonts w:cs="Times New Roman"/>
          <w:szCs w:val="22"/>
        </w:rPr>
      </w:pPr>
    </w:p>
    <w:p w14:paraId="03473C0B" w14:textId="77777777" w:rsidR="00345352" w:rsidRPr="00345352" w:rsidRDefault="00345352" w:rsidP="00345352">
      <w:pPr>
        <w:widowControl/>
        <w:spacing w:beforeLines="0" w:before="0" w:afterLines="0" w:after="0"/>
        <w:ind w:firstLineChars="200" w:firstLine="480"/>
        <w:jc w:val="center"/>
        <w:rPr>
          <w:rFonts w:cs="Times New Roman"/>
          <w:szCs w:val="22"/>
        </w:rPr>
      </w:pPr>
    </w:p>
    <w:p w14:paraId="5ED72625" w14:textId="77777777" w:rsidR="00345352" w:rsidRPr="00345352" w:rsidRDefault="00345352" w:rsidP="00345352">
      <w:pPr>
        <w:widowControl/>
        <w:spacing w:beforeLines="0" w:before="0" w:afterLines="0" w:after="0"/>
        <w:ind w:firstLineChars="200" w:firstLine="480"/>
        <w:jc w:val="center"/>
        <w:rPr>
          <w:rFonts w:cs="Times New Roman"/>
          <w:szCs w:val="22"/>
        </w:rPr>
      </w:pPr>
    </w:p>
    <w:p w14:paraId="7EDF4377" w14:textId="77777777" w:rsidR="00345352" w:rsidRPr="00345352" w:rsidRDefault="00345352" w:rsidP="00345352">
      <w:pPr>
        <w:widowControl/>
        <w:spacing w:beforeLines="0" w:before="0" w:afterLines="0" w:after="0"/>
        <w:ind w:firstLineChars="200" w:firstLine="480"/>
        <w:jc w:val="center"/>
        <w:rPr>
          <w:rFonts w:cs="Times New Roman"/>
          <w:szCs w:val="22"/>
        </w:rPr>
      </w:pPr>
    </w:p>
    <w:p w14:paraId="562C1DE5" w14:textId="0EAF80B1" w:rsidR="00345352" w:rsidRPr="00345352" w:rsidRDefault="00345352" w:rsidP="00345352">
      <w:pPr>
        <w:widowControl/>
        <w:spacing w:beforeLines="0" w:before="0" w:afterLines="0" w:after="0"/>
        <w:ind w:firstLineChars="200" w:firstLine="482"/>
        <w:jc w:val="center"/>
        <w:rPr>
          <w:rFonts w:cs="Times New Roman"/>
          <w:b/>
          <w:szCs w:val="22"/>
        </w:rPr>
      </w:pPr>
      <w:r w:rsidRPr="00345352">
        <w:rPr>
          <w:rFonts w:cs="Times New Roman"/>
          <w:b/>
          <w:szCs w:val="22"/>
        </w:rPr>
        <w:t xml:space="preserve">Module Lead: Dr </w:t>
      </w:r>
      <w:r w:rsidR="002E5369" w:rsidRPr="002E5369">
        <w:rPr>
          <w:rFonts w:cs="Times New Roman"/>
          <w:b/>
          <w:szCs w:val="22"/>
        </w:rPr>
        <w:t>Steve Griffiths</w:t>
      </w:r>
    </w:p>
    <w:p w14:paraId="7583C928" w14:textId="77777777" w:rsidR="00345352" w:rsidRPr="00345352" w:rsidRDefault="00345352" w:rsidP="00345352">
      <w:pPr>
        <w:widowControl/>
        <w:spacing w:beforeLines="0" w:before="0" w:afterLines="0" w:after="0"/>
        <w:ind w:firstLineChars="200" w:firstLine="482"/>
        <w:jc w:val="center"/>
        <w:rPr>
          <w:rFonts w:cs="Times New Roman"/>
          <w:b/>
          <w:szCs w:val="22"/>
        </w:rPr>
      </w:pPr>
      <w:r w:rsidRPr="00345352">
        <w:rPr>
          <w:rFonts w:cs="Times New Roman" w:hint="eastAsia"/>
          <w:b/>
          <w:szCs w:val="22"/>
        </w:rPr>
        <w:t>S</w:t>
      </w:r>
      <w:r w:rsidRPr="00345352">
        <w:rPr>
          <w:rFonts w:cs="Times New Roman"/>
          <w:b/>
          <w:szCs w:val="22"/>
        </w:rPr>
        <w:t>ubmitted by: Pan Lu</w:t>
      </w:r>
    </w:p>
    <w:p w14:paraId="5BC9041B" w14:textId="30814B7C" w:rsidR="00345352" w:rsidRPr="00345352" w:rsidRDefault="00C978C1" w:rsidP="00345352">
      <w:pPr>
        <w:widowControl/>
        <w:spacing w:beforeLines="0" w:before="0" w:afterLines="0" w:after="0"/>
        <w:ind w:firstLineChars="200" w:firstLine="482"/>
        <w:jc w:val="center"/>
        <w:rPr>
          <w:rFonts w:cs="Times New Roman"/>
          <w:b/>
          <w:szCs w:val="22"/>
        </w:rPr>
      </w:pPr>
      <w:r>
        <w:rPr>
          <w:rFonts w:cs="Times New Roman"/>
          <w:b/>
          <w:szCs w:val="22"/>
        </w:rPr>
        <w:t>Jan</w:t>
      </w:r>
      <w:r w:rsidR="0017682D">
        <w:rPr>
          <w:rFonts w:cs="Times New Roman"/>
          <w:b/>
          <w:szCs w:val="22"/>
        </w:rPr>
        <w:t xml:space="preserve"> 2024</w:t>
      </w:r>
    </w:p>
    <w:p w14:paraId="49AF7452" w14:textId="77777777" w:rsidR="00345352" w:rsidRPr="00345352" w:rsidRDefault="00345352" w:rsidP="00345352">
      <w:pPr>
        <w:widowControl/>
        <w:spacing w:beforeLines="0" w:before="0" w:afterLines="0" w:after="0"/>
        <w:ind w:firstLineChars="200" w:firstLine="480"/>
        <w:jc w:val="left"/>
        <w:rPr>
          <w:rFonts w:cs="Times New Roman"/>
          <w:szCs w:val="22"/>
        </w:rPr>
      </w:pPr>
      <w:r w:rsidRPr="00345352">
        <w:rPr>
          <w:rFonts w:cs="Times New Roman"/>
          <w:szCs w:val="22"/>
        </w:rPr>
        <w:br w:type="page"/>
      </w:r>
    </w:p>
    <w:sdt>
      <w:sdtPr>
        <w:rPr>
          <w:lang w:val="zh-CN"/>
        </w:rPr>
        <w:id w:val="-535805217"/>
        <w:docPartObj>
          <w:docPartGallery w:val="Table of Contents"/>
          <w:docPartUnique/>
        </w:docPartObj>
      </w:sdtPr>
      <w:sdtEndPr>
        <w:rPr>
          <w:rFonts w:ascii="Arial" w:eastAsia="宋体" w:hAnsi="Arial" w:cstheme="minorBidi"/>
          <w:b/>
          <w:bCs/>
          <w:color w:val="auto"/>
          <w:kern w:val="2"/>
          <w:sz w:val="24"/>
          <w:szCs w:val="21"/>
        </w:rPr>
      </w:sdtEndPr>
      <w:sdtContent>
        <w:p w14:paraId="34AF8A98" w14:textId="75D6E1F0" w:rsidR="00564A8C" w:rsidRPr="001C7B28" w:rsidRDefault="001C7B28">
          <w:pPr>
            <w:pStyle w:val="TOC"/>
            <w:spacing w:before="156" w:after="156"/>
            <w:rPr>
              <w:rStyle w:val="a5"/>
              <w:rFonts w:ascii="Arial" w:eastAsia="宋体" w:hAnsi="Arial" w:cstheme="minorBidi"/>
              <w:b/>
              <w:bCs/>
              <w:noProof/>
              <w:color w:val="auto"/>
              <w:kern w:val="2"/>
              <w:sz w:val="28"/>
              <w:szCs w:val="22"/>
              <w:u w:val="none"/>
              <w:lang w:val="en-GB"/>
            </w:rPr>
          </w:pPr>
          <w:r w:rsidRPr="001C7B28">
            <w:rPr>
              <w:rStyle w:val="a5"/>
              <w:rFonts w:ascii="Arial" w:eastAsia="宋体" w:hAnsi="Arial" w:cstheme="minorBidi" w:hint="eastAsia"/>
              <w:b/>
              <w:bCs/>
              <w:noProof/>
              <w:color w:val="auto"/>
              <w:kern w:val="2"/>
              <w:sz w:val="28"/>
              <w:szCs w:val="22"/>
              <w:u w:val="none"/>
              <w:lang w:val="en-GB"/>
            </w:rPr>
            <w:t>C</w:t>
          </w:r>
          <w:r w:rsidRPr="001C7B28">
            <w:rPr>
              <w:rStyle w:val="a5"/>
              <w:rFonts w:ascii="Arial" w:eastAsia="宋体" w:hAnsi="Arial" w:cstheme="minorBidi"/>
              <w:b/>
              <w:bCs/>
              <w:noProof/>
              <w:color w:val="auto"/>
              <w:kern w:val="2"/>
              <w:sz w:val="28"/>
              <w:szCs w:val="22"/>
              <w:u w:val="none"/>
              <w:lang w:val="en-GB"/>
            </w:rPr>
            <w:t>ontents</w:t>
          </w:r>
        </w:p>
        <w:p w14:paraId="02D1202C" w14:textId="39DA0942" w:rsidR="00564A8C" w:rsidRDefault="00564A8C">
          <w:pPr>
            <w:pStyle w:val="TOC1"/>
            <w:tabs>
              <w:tab w:val="right" w:leader="dot" w:pos="8296"/>
            </w:tabs>
            <w:spacing w:before="156" w:after="156"/>
            <w:rPr>
              <w:rFonts w:asciiTheme="minorHAnsi" w:eastAsiaTheme="minorEastAsia" w:hAnsiTheme="minorHAnsi"/>
              <w:noProof/>
              <w:sz w:val="21"/>
              <w:szCs w:val="22"/>
              <w:lang w:val="en-US"/>
              <w14:ligatures w14:val="standardContextual"/>
            </w:rPr>
          </w:pPr>
          <w:r>
            <w:fldChar w:fldCharType="begin"/>
          </w:r>
          <w:r>
            <w:instrText xml:space="preserve"> TOC \o "1-3" \h \z \u </w:instrText>
          </w:r>
          <w:r>
            <w:fldChar w:fldCharType="separate"/>
          </w:r>
          <w:hyperlink w:anchor="_Toc157588746" w:history="1">
            <w:r w:rsidRPr="00FC79B2">
              <w:rPr>
                <w:rStyle w:val="a5"/>
                <w:noProof/>
              </w:rPr>
              <w:t>1 Introduction</w:t>
            </w:r>
            <w:r>
              <w:rPr>
                <w:noProof/>
                <w:webHidden/>
              </w:rPr>
              <w:tab/>
            </w:r>
            <w:r>
              <w:rPr>
                <w:noProof/>
                <w:webHidden/>
              </w:rPr>
              <w:fldChar w:fldCharType="begin"/>
            </w:r>
            <w:r>
              <w:rPr>
                <w:noProof/>
                <w:webHidden/>
              </w:rPr>
              <w:instrText xml:space="preserve"> PAGEREF _Toc157588746 \h </w:instrText>
            </w:r>
            <w:r>
              <w:rPr>
                <w:noProof/>
                <w:webHidden/>
              </w:rPr>
            </w:r>
            <w:r>
              <w:rPr>
                <w:noProof/>
                <w:webHidden/>
              </w:rPr>
              <w:fldChar w:fldCharType="separate"/>
            </w:r>
            <w:r>
              <w:rPr>
                <w:noProof/>
                <w:webHidden/>
              </w:rPr>
              <w:t>3</w:t>
            </w:r>
            <w:r>
              <w:rPr>
                <w:noProof/>
                <w:webHidden/>
              </w:rPr>
              <w:fldChar w:fldCharType="end"/>
            </w:r>
          </w:hyperlink>
        </w:p>
        <w:p w14:paraId="2BCBDC53" w14:textId="1E14CC8E" w:rsidR="00564A8C" w:rsidRDefault="00564A8C">
          <w:pPr>
            <w:pStyle w:val="TOC1"/>
            <w:tabs>
              <w:tab w:val="right" w:leader="dot" w:pos="8296"/>
            </w:tabs>
            <w:spacing w:before="156" w:after="156"/>
            <w:rPr>
              <w:rFonts w:asciiTheme="minorHAnsi" w:eastAsiaTheme="minorEastAsia" w:hAnsiTheme="minorHAnsi"/>
              <w:noProof/>
              <w:sz w:val="21"/>
              <w:szCs w:val="22"/>
              <w:lang w:val="en-US"/>
              <w14:ligatures w14:val="standardContextual"/>
            </w:rPr>
          </w:pPr>
          <w:hyperlink w:anchor="_Toc157588747" w:history="1">
            <w:r w:rsidRPr="00FC79B2">
              <w:rPr>
                <w:rStyle w:val="a5"/>
                <w:noProof/>
              </w:rPr>
              <w:t>2 Literature review</w:t>
            </w:r>
            <w:r>
              <w:rPr>
                <w:noProof/>
                <w:webHidden/>
              </w:rPr>
              <w:tab/>
            </w:r>
            <w:r>
              <w:rPr>
                <w:noProof/>
                <w:webHidden/>
              </w:rPr>
              <w:fldChar w:fldCharType="begin"/>
            </w:r>
            <w:r>
              <w:rPr>
                <w:noProof/>
                <w:webHidden/>
              </w:rPr>
              <w:instrText xml:space="preserve"> PAGEREF _Toc157588747 \h </w:instrText>
            </w:r>
            <w:r>
              <w:rPr>
                <w:noProof/>
                <w:webHidden/>
              </w:rPr>
            </w:r>
            <w:r>
              <w:rPr>
                <w:noProof/>
                <w:webHidden/>
              </w:rPr>
              <w:fldChar w:fldCharType="separate"/>
            </w:r>
            <w:r>
              <w:rPr>
                <w:noProof/>
                <w:webHidden/>
              </w:rPr>
              <w:t>3</w:t>
            </w:r>
            <w:r>
              <w:rPr>
                <w:noProof/>
                <w:webHidden/>
              </w:rPr>
              <w:fldChar w:fldCharType="end"/>
            </w:r>
          </w:hyperlink>
        </w:p>
        <w:p w14:paraId="46D039AA" w14:textId="5BB49443" w:rsidR="00564A8C" w:rsidRDefault="00564A8C">
          <w:pPr>
            <w:pStyle w:val="TOC2"/>
            <w:tabs>
              <w:tab w:val="right" w:leader="dot" w:pos="8296"/>
            </w:tabs>
            <w:spacing w:before="156" w:after="156"/>
            <w:rPr>
              <w:rFonts w:asciiTheme="minorHAnsi" w:eastAsiaTheme="minorEastAsia" w:hAnsiTheme="minorHAnsi"/>
              <w:noProof/>
              <w:sz w:val="21"/>
              <w:szCs w:val="22"/>
              <w:lang w:val="en-US"/>
              <w14:ligatures w14:val="standardContextual"/>
            </w:rPr>
          </w:pPr>
          <w:hyperlink w:anchor="_Toc157588748" w:history="1">
            <w:r w:rsidRPr="00FC79B2">
              <w:rPr>
                <w:rStyle w:val="a5"/>
                <w:noProof/>
              </w:rPr>
              <w:t>2.1 Theories of Management</w:t>
            </w:r>
            <w:r>
              <w:rPr>
                <w:noProof/>
                <w:webHidden/>
              </w:rPr>
              <w:tab/>
            </w:r>
            <w:r>
              <w:rPr>
                <w:noProof/>
                <w:webHidden/>
              </w:rPr>
              <w:fldChar w:fldCharType="begin"/>
            </w:r>
            <w:r>
              <w:rPr>
                <w:noProof/>
                <w:webHidden/>
              </w:rPr>
              <w:instrText xml:space="preserve"> PAGEREF _Toc157588748 \h </w:instrText>
            </w:r>
            <w:r>
              <w:rPr>
                <w:noProof/>
                <w:webHidden/>
              </w:rPr>
            </w:r>
            <w:r>
              <w:rPr>
                <w:noProof/>
                <w:webHidden/>
              </w:rPr>
              <w:fldChar w:fldCharType="separate"/>
            </w:r>
            <w:r>
              <w:rPr>
                <w:noProof/>
                <w:webHidden/>
              </w:rPr>
              <w:t>3</w:t>
            </w:r>
            <w:r>
              <w:rPr>
                <w:noProof/>
                <w:webHidden/>
              </w:rPr>
              <w:fldChar w:fldCharType="end"/>
            </w:r>
          </w:hyperlink>
        </w:p>
        <w:p w14:paraId="3D41139D" w14:textId="383AA505" w:rsidR="00564A8C" w:rsidRDefault="00564A8C">
          <w:pPr>
            <w:pStyle w:val="TOC3"/>
            <w:tabs>
              <w:tab w:val="right" w:leader="dot" w:pos="8296"/>
            </w:tabs>
            <w:spacing w:before="156" w:after="156"/>
            <w:rPr>
              <w:rFonts w:asciiTheme="minorHAnsi" w:eastAsiaTheme="minorEastAsia" w:hAnsiTheme="minorHAnsi"/>
              <w:noProof/>
              <w:sz w:val="21"/>
              <w:szCs w:val="22"/>
              <w:lang w:val="en-US"/>
              <w14:ligatures w14:val="standardContextual"/>
            </w:rPr>
          </w:pPr>
          <w:hyperlink w:anchor="_Toc157588749" w:history="1">
            <w:r w:rsidRPr="00FC79B2">
              <w:rPr>
                <w:rStyle w:val="a5"/>
                <w:noProof/>
              </w:rPr>
              <w:t>2.1.1 History and Evolution of Management</w:t>
            </w:r>
            <w:r>
              <w:rPr>
                <w:noProof/>
                <w:webHidden/>
              </w:rPr>
              <w:tab/>
            </w:r>
            <w:r>
              <w:rPr>
                <w:noProof/>
                <w:webHidden/>
              </w:rPr>
              <w:fldChar w:fldCharType="begin"/>
            </w:r>
            <w:r>
              <w:rPr>
                <w:noProof/>
                <w:webHidden/>
              </w:rPr>
              <w:instrText xml:space="preserve"> PAGEREF _Toc157588749 \h </w:instrText>
            </w:r>
            <w:r>
              <w:rPr>
                <w:noProof/>
                <w:webHidden/>
              </w:rPr>
            </w:r>
            <w:r>
              <w:rPr>
                <w:noProof/>
                <w:webHidden/>
              </w:rPr>
              <w:fldChar w:fldCharType="separate"/>
            </w:r>
            <w:r>
              <w:rPr>
                <w:noProof/>
                <w:webHidden/>
              </w:rPr>
              <w:t>3</w:t>
            </w:r>
            <w:r>
              <w:rPr>
                <w:noProof/>
                <w:webHidden/>
              </w:rPr>
              <w:fldChar w:fldCharType="end"/>
            </w:r>
          </w:hyperlink>
        </w:p>
        <w:p w14:paraId="049A343F" w14:textId="22B16BD0" w:rsidR="00564A8C" w:rsidRDefault="00564A8C">
          <w:pPr>
            <w:pStyle w:val="TOC3"/>
            <w:tabs>
              <w:tab w:val="right" w:leader="dot" w:pos="8296"/>
            </w:tabs>
            <w:spacing w:before="156" w:after="156"/>
            <w:rPr>
              <w:rFonts w:asciiTheme="minorHAnsi" w:eastAsiaTheme="minorEastAsia" w:hAnsiTheme="minorHAnsi"/>
              <w:noProof/>
              <w:sz w:val="21"/>
              <w:szCs w:val="22"/>
              <w:lang w:val="en-US"/>
              <w14:ligatures w14:val="standardContextual"/>
            </w:rPr>
          </w:pPr>
          <w:hyperlink w:anchor="_Toc157588750" w:history="1">
            <w:r w:rsidRPr="00FC79B2">
              <w:rPr>
                <w:rStyle w:val="a5"/>
                <w:noProof/>
              </w:rPr>
              <w:t>2.1.2 Managing Change and Future Trends</w:t>
            </w:r>
            <w:r>
              <w:rPr>
                <w:noProof/>
                <w:webHidden/>
              </w:rPr>
              <w:tab/>
            </w:r>
            <w:r>
              <w:rPr>
                <w:noProof/>
                <w:webHidden/>
              </w:rPr>
              <w:fldChar w:fldCharType="begin"/>
            </w:r>
            <w:r>
              <w:rPr>
                <w:noProof/>
                <w:webHidden/>
              </w:rPr>
              <w:instrText xml:space="preserve"> PAGEREF _Toc157588750 \h </w:instrText>
            </w:r>
            <w:r>
              <w:rPr>
                <w:noProof/>
                <w:webHidden/>
              </w:rPr>
            </w:r>
            <w:r>
              <w:rPr>
                <w:noProof/>
                <w:webHidden/>
              </w:rPr>
              <w:fldChar w:fldCharType="separate"/>
            </w:r>
            <w:r>
              <w:rPr>
                <w:noProof/>
                <w:webHidden/>
              </w:rPr>
              <w:t>4</w:t>
            </w:r>
            <w:r>
              <w:rPr>
                <w:noProof/>
                <w:webHidden/>
              </w:rPr>
              <w:fldChar w:fldCharType="end"/>
            </w:r>
          </w:hyperlink>
        </w:p>
        <w:p w14:paraId="2AD30FEF" w14:textId="5A8C9402" w:rsidR="00564A8C" w:rsidRDefault="00564A8C">
          <w:pPr>
            <w:pStyle w:val="TOC3"/>
            <w:tabs>
              <w:tab w:val="right" w:leader="dot" w:pos="8296"/>
            </w:tabs>
            <w:spacing w:before="156" w:after="156"/>
            <w:rPr>
              <w:rFonts w:asciiTheme="minorHAnsi" w:eastAsiaTheme="minorEastAsia" w:hAnsiTheme="minorHAnsi"/>
              <w:noProof/>
              <w:sz w:val="21"/>
              <w:szCs w:val="22"/>
              <w:lang w:val="en-US"/>
              <w14:ligatures w14:val="standardContextual"/>
            </w:rPr>
          </w:pPr>
          <w:hyperlink w:anchor="_Toc157588751" w:history="1">
            <w:r w:rsidRPr="00FC79B2">
              <w:rPr>
                <w:rStyle w:val="a5"/>
                <w:noProof/>
              </w:rPr>
              <w:t>2.1.3 Organisational Culture, Organisational Design and Leadership</w:t>
            </w:r>
            <w:r>
              <w:rPr>
                <w:noProof/>
                <w:webHidden/>
              </w:rPr>
              <w:tab/>
            </w:r>
            <w:r>
              <w:rPr>
                <w:noProof/>
                <w:webHidden/>
              </w:rPr>
              <w:fldChar w:fldCharType="begin"/>
            </w:r>
            <w:r>
              <w:rPr>
                <w:noProof/>
                <w:webHidden/>
              </w:rPr>
              <w:instrText xml:space="preserve"> PAGEREF _Toc157588751 \h </w:instrText>
            </w:r>
            <w:r>
              <w:rPr>
                <w:noProof/>
                <w:webHidden/>
              </w:rPr>
            </w:r>
            <w:r>
              <w:rPr>
                <w:noProof/>
                <w:webHidden/>
              </w:rPr>
              <w:fldChar w:fldCharType="separate"/>
            </w:r>
            <w:r>
              <w:rPr>
                <w:noProof/>
                <w:webHidden/>
              </w:rPr>
              <w:t>5</w:t>
            </w:r>
            <w:r>
              <w:rPr>
                <w:noProof/>
                <w:webHidden/>
              </w:rPr>
              <w:fldChar w:fldCharType="end"/>
            </w:r>
          </w:hyperlink>
        </w:p>
        <w:p w14:paraId="7E16FC64" w14:textId="6430F43A" w:rsidR="00564A8C" w:rsidRDefault="00564A8C">
          <w:pPr>
            <w:pStyle w:val="TOC2"/>
            <w:tabs>
              <w:tab w:val="right" w:leader="dot" w:pos="8296"/>
            </w:tabs>
            <w:spacing w:before="156" w:after="156"/>
            <w:rPr>
              <w:rFonts w:asciiTheme="minorHAnsi" w:eastAsiaTheme="minorEastAsia" w:hAnsiTheme="minorHAnsi"/>
              <w:noProof/>
              <w:sz w:val="21"/>
              <w:szCs w:val="22"/>
              <w:lang w:val="en-US"/>
              <w14:ligatures w14:val="standardContextual"/>
            </w:rPr>
          </w:pPr>
          <w:hyperlink w:anchor="_Toc157588752" w:history="1">
            <w:r w:rsidRPr="00FC79B2">
              <w:rPr>
                <w:rStyle w:val="a5"/>
                <w:noProof/>
              </w:rPr>
              <w:t>2.2 Conceptual Framework</w:t>
            </w:r>
            <w:r>
              <w:rPr>
                <w:noProof/>
                <w:webHidden/>
              </w:rPr>
              <w:tab/>
            </w:r>
            <w:r>
              <w:rPr>
                <w:noProof/>
                <w:webHidden/>
              </w:rPr>
              <w:fldChar w:fldCharType="begin"/>
            </w:r>
            <w:r>
              <w:rPr>
                <w:noProof/>
                <w:webHidden/>
              </w:rPr>
              <w:instrText xml:space="preserve"> PAGEREF _Toc157588752 \h </w:instrText>
            </w:r>
            <w:r>
              <w:rPr>
                <w:noProof/>
                <w:webHidden/>
              </w:rPr>
            </w:r>
            <w:r>
              <w:rPr>
                <w:noProof/>
                <w:webHidden/>
              </w:rPr>
              <w:fldChar w:fldCharType="separate"/>
            </w:r>
            <w:r>
              <w:rPr>
                <w:noProof/>
                <w:webHidden/>
              </w:rPr>
              <w:t>6</w:t>
            </w:r>
            <w:r>
              <w:rPr>
                <w:noProof/>
                <w:webHidden/>
              </w:rPr>
              <w:fldChar w:fldCharType="end"/>
            </w:r>
          </w:hyperlink>
        </w:p>
        <w:p w14:paraId="52DD8DD9" w14:textId="4C4D6A46" w:rsidR="00564A8C" w:rsidRDefault="00564A8C">
          <w:pPr>
            <w:pStyle w:val="TOC3"/>
            <w:tabs>
              <w:tab w:val="right" w:leader="dot" w:pos="8296"/>
            </w:tabs>
            <w:spacing w:before="156" w:after="156"/>
            <w:rPr>
              <w:rFonts w:asciiTheme="minorHAnsi" w:eastAsiaTheme="minorEastAsia" w:hAnsiTheme="minorHAnsi"/>
              <w:noProof/>
              <w:sz w:val="21"/>
              <w:szCs w:val="22"/>
              <w:lang w:val="en-US"/>
              <w14:ligatures w14:val="standardContextual"/>
            </w:rPr>
          </w:pPr>
          <w:hyperlink w:anchor="_Toc157588753" w:history="1">
            <w:r w:rsidRPr="00FC79B2">
              <w:rPr>
                <w:rStyle w:val="a5"/>
                <w:noProof/>
              </w:rPr>
              <w:t>2.2.1 Mobile Payments</w:t>
            </w:r>
            <w:r>
              <w:rPr>
                <w:noProof/>
                <w:webHidden/>
              </w:rPr>
              <w:tab/>
            </w:r>
            <w:r>
              <w:rPr>
                <w:noProof/>
                <w:webHidden/>
              </w:rPr>
              <w:fldChar w:fldCharType="begin"/>
            </w:r>
            <w:r>
              <w:rPr>
                <w:noProof/>
                <w:webHidden/>
              </w:rPr>
              <w:instrText xml:space="preserve"> PAGEREF _Toc157588753 \h </w:instrText>
            </w:r>
            <w:r>
              <w:rPr>
                <w:noProof/>
                <w:webHidden/>
              </w:rPr>
            </w:r>
            <w:r>
              <w:rPr>
                <w:noProof/>
                <w:webHidden/>
              </w:rPr>
              <w:fldChar w:fldCharType="separate"/>
            </w:r>
            <w:r>
              <w:rPr>
                <w:noProof/>
                <w:webHidden/>
              </w:rPr>
              <w:t>6</w:t>
            </w:r>
            <w:r>
              <w:rPr>
                <w:noProof/>
                <w:webHidden/>
              </w:rPr>
              <w:fldChar w:fldCharType="end"/>
            </w:r>
          </w:hyperlink>
        </w:p>
        <w:p w14:paraId="1897B20C" w14:textId="478F0D7B" w:rsidR="00564A8C" w:rsidRDefault="00564A8C">
          <w:pPr>
            <w:pStyle w:val="TOC3"/>
            <w:tabs>
              <w:tab w:val="right" w:leader="dot" w:pos="8296"/>
            </w:tabs>
            <w:spacing w:before="156" w:after="156"/>
            <w:rPr>
              <w:rFonts w:asciiTheme="minorHAnsi" w:eastAsiaTheme="minorEastAsia" w:hAnsiTheme="minorHAnsi"/>
              <w:noProof/>
              <w:sz w:val="21"/>
              <w:szCs w:val="22"/>
              <w:lang w:val="en-US"/>
              <w14:ligatures w14:val="standardContextual"/>
            </w:rPr>
          </w:pPr>
          <w:hyperlink w:anchor="_Toc157588754" w:history="1">
            <w:r w:rsidRPr="00FC79B2">
              <w:rPr>
                <w:rStyle w:val="a5"/>
                <w:noProof/>
              </w:rPr>
              <w:t>2.2.2 Digital Currency</w:t>
            </w:r>
            <w:r>
              <w:rPr>
                <w:noProof/>
                <w:webHidden/>
              </w:rPr>
              <w:tab/>
            </w:r>
            <w:r>
              <w:rPr>
                <w:noProof/>
                <w:webHidden/>
              </w:rPr>
              <w:fldChar w:fldCharType="begin"/>
            </w:r>
            <w:r>
              <w:rPr>
                <w:noProof/>
                <w:webHidden/>
              </w:rPr>
              <w:instrText xml:space="preserve"> PAGEREF _Toc157588754 \h </w:instrText>
            </w:r>
            <w:r>
              <w:rPr>
                <w:noProof/>
                <w:webHidden/>
              </w:rPr>
            </w:r>
            <w:r>
              <w:rPr>
                <w:noProof/>
                <w:webHidden/>
              </w:rPr>
              <w:fldChar w:fldCharType="separate"/>
            </w:r>
            <w:r>
              <w:rPr>
                <w:noProof/>
                <w:webHidden/>
              </w:rPr>
              <w:t>7</w:t>
            </w:r>
            <w:r>
              <w:rPr>
                <w:noProof/>
                <w:webHidden/>
              </w:rPr>
              <w:fldChar w:fldCharType="end"/>
            </w:r>
          </w:hyperlink>
        </w:p>
        <w:p w14:paraId="0E9645A3" w14:textId="3CF7F787" w:rsidR="00564A8C" w:rsidRDefault="00564A8C">
          <w:pPr>
            <w:pStyle w:val="TOC3"/>
            <w:tabs>
              <w:tab w:val="right" w:leader="dot" w:pos="8296"/>
            </w:tabs>
            <w:spacing w:before="156" w:after="156"/>
            <w:rPr>
              <w:rFonts w:asciiTheme="minorHAnsi" w:eastAsiaTheme="minorEastAsia" w:hAnsiTheme="minorHAnsi"/>
              <w:noProof/>
              <w:sz w:val="21"/>
              <w:szCs w:val="22"/>
              <w:lang w:val="en-US"/>
              <w14:ligatures w14:val="standardContextual"/>
            </w:rPr>
          </w:pPr>
          <w:hyperlink w:anchor="_Toc157588755" w:history="1">
            <w:r w:rsidRPr="00FC79B2">
              <w:rPr>
                <w:rStyle w:val="a5"/>
                <w:noProof/>
              </w:rPr>
              <w:t>2.2.3 Generational Variations</w:t>
            </w:r>
            <w:r>
              <w:rPr>
                <w:noProof/>
                <w:webHidden/>
              </w:rPr>
              <w:tab/>
            </w:r>
            <w:r>
              <w:rPr>
                <w:noProof/>
                <w:webHidden/>
              </w:rPr>
              <w:fldChar w:fldCharType="begin"/>
            </w:r>
            <w:r>
              <w:rPr>
                <w:noProof/>
                <w:webHidden/>
              </w:rPr>
              <w:instrText xml:space="preserve"> PAGEREF _Toc157588755 \h </w:instrText>
            </w:r>
            <w:r>
              <w:rPr>
                <w:noProof/>
                <w:webHidden/>
              </w:rPr>
            </w:r>
            <w:r>
              <w:rPr>
                <w:noProof/>
                <w:webHidden/>
              </w:rPr>
              <w:fldChar w:fldCharType="separate"/>
            </w:r>
            <w:r>
              <w:rPr>
                <w:noProof/>
                <w:webHidden/>
              </w:rPr>
              <w:t>8</w:t>
            </w:r>
            <w:r>
              <w:rPr>
                <w:noProof/>
                <w:webHidden/>
              </w:rPr>
              <w:fldChar w:fldCharType="end"/>
            </w:r>
          </w:hyperlink>
        </w:p>
        <w:p w14:paraId="35FA386F" w14:textId="4DB92E75" w:rsidR="00564A8C" w:rsidRDefault="00564A8C">
          <w:pPr>
            <w:pStyle w:val="TOC3"/>
            <w:tabs>
              <w:tab w:val="right" w:leader="dot" w:pos="8296"/>
            </w:tabs>
            <w:spacing w:before="156" w:after="156"/>
            <w:rPr>
              <w:rFonts w:asciiTheme="minorHAnsi" w:eastAsiaTheme="minorEastAsia" w:hAnsiTheme="minorHAnsi"/>
              <w:noProof/>
              <w:sz w:val="21"/>
              <w:szCs w:val="22"/>
              <w:lang w:val="en-US"/>
              <w14:ligatures w14:val="standardContextual"/>
            </w:rPr>
          </w:pPr>
          <w:hyperlink w:anchor="_Toc157588756" w:history="1">
            <w:r w:rsidRPr="00FC79B2">
              <w:rPr>
                <w:rStyle w:val="a5"/>
                <w:noProof/>
              </w:rPr>
              <w:t>2.2.4 Consumers’ Behaviour</w:t>
            </w:r>
            <w:r>
              <w:rPr>
                <w:noProof/>
                <w:webHidden/>
              </w:rPr>
              <w:tab/>
            </w:r>
            <w:r>
              <w:rPr>
                <w:noProof/>
                <w:webHidden/>
              </w:rPr>
              <w:fldChar w:fldCharType="begin"/>
            </w:r>
            <w:r>
              <w:rPr>
                <w:noProof/>
                <w:webHidden/>
              </w:rPr>
              <w:instrText xml:space="preserve"> PAGEREF _Toc157588756 \h </w:instrText>
            </w:r>
            <w:r>
              <w:rPr>
                <w:noProof/>
                <w:webHidden/>
              </w:rPr>
            </w:r>
            <w:r>
              <w:rPr>
                <w:noProof/>
                <w:webHidden/>
              </w:rPr>
              <w:fldChar w:fldCharType="separate"/>
            </w:r>
            <w:r>
              <w:rPr>
                <w:noProof/>
                <w:webHidden/>
              </w:rPr>
              <w:t>9</w:t>
            </w:r>
            <w:r>
              <w:rPr>
                <w:noProof/>
                <w:webHidden/>
              </w:rPr>
              <w:fldChar w:fldCharType="end"/>
            </w:r>
          </w:hyperlink>
        </w:p>
        <w:p w14:paraId="5B53D955" w14:textId="4F0F18A1" w:rsidR="00564A8C" w:rsidRDefault="00564A8C">
          <w:pPr>
            <w:pStyle w:val="TOC3"/>
            <w:tabs>
              <w:tab w:val="right" w:leader="dot" w:pos="8296"/>
            </w:tabs>
            <w:spacing w:before="156" w:after="156"/>
            <w:rPr>
              <w:rFonts w:asciiTheme="minorHAnsi" w:eastAsiaTheme="minorEastAsia" w:hAnsiTheme="minorHAnsi"/>
              <w:noProof/>
              <w:sz w:val="21"/>
              <w:szCs w:val="22"/>
              <w:lang w:val="en-US"/>
              <w14:ligatures w14:val="standardContextual"/>
            </w:rPr>
          </w:pPr>
          <w:hyperlink w:anchor="_Toc157588757" w:history="1">
            <w:r w:rsidRPr="00FC79B2">
              <w:rPr>
                <w:rStyle w:val="a5"/>
                <w:noProof/>
              </w:rPr>
              <w:t>2.2.5 Market Trends</w:t>
            </w:r>
            <w:r>
              <w:rPr>
                <w:noProof/>
                <w:webHidden/>
              </w:rPr>
              <w:tab/>
            </w:r>
            <w:r>
              <w:rPr>
                <w:noProof/>
                <w:webHidden/>
              </w:rPr>
              <w:fldChar w:fldCharType="begin"/>
            </w:r>
            <w:r>
              <w:rPr>
                <w:noProof/>
                <w:webHidden/>
              </w:rPr>
              <w:instrText xml:space="preserve"> PAGEREF _Toc157588757 \h </w:instrText>
            </w:r>
            <w:r>
              <w:rPr>
                <w:noProof/>
                <w:webHidden/>
              </w:rPr>
            </w:r>
            <w:r>
              <w:rPr>
                <w:noProof/>
                <w:webHidden/>
              </w:rPr>
              <w:fldChar w:fldCharType="separate"/>
            </w:r>
            <w:r>
              <w:rPr>
                <w:noProof/>
                <w:webHidden/>
              </w:rPr>
              <w:t>10</w:t>
            </w:r>
            <w:r>
              <w:rPr>
                <w:noProof/>
                <w:webHidden/>
              </w:rPr>
              <w:fldChar w:fldCharType="end"/>
            </w:r>
          </w:hyperlink>
        </w:p>
        <w:p w14:paraId="3AC57802" w14:textId="6BB7010F" w:rsidR="00564A8C" w:rsidRDefault="00564A8C">
          <w:pPr>
            <w:pStyle w:val="TOC2"/>
            <w:tabs>
              <w:tab w:val="right" w:leader="dot" w:pos="8296"/>
            </w:tabs>
            <w:spacing w:before="156" w:after="156"/>
            <w:rPr>
              <w:rFonts w:asciiTheme="minorHAnsi" w:eastAsiaTheme="minorEastAsia" w:hAnsiTheme="minorHAnsi"/>
              <w:noProof/>
              <w:sz w:val="21"/>
              <w:szCs w:val="22"/>
              <w:lang w:val="en-US"/>
              <w14:ligatures w14:val="standardContextual"/>
            </w:rPr>
          </w:pPr>
          <w:hyperlink w:anchor="_Toc157588758" w:history="1">
            <w:r w:rsidRPr="00FC79B2">
              <w:rPr>
                <w:rStyle w:val="a5"/>
                <w:noProof/>
              </w:rPr>
              <w:t>2.3 Theoretical Framework</w:t>
            </w:r>
            <w:r>
              <w:rPr>
                <w:noProof/>
                <w:webHidden/>
              </w:rPr>
              <w:tab/>
            </w:r>
            <w:r>
              <w:rPr>
                <w:noProof/>
                <w:webHidden/>
              </w:rPr>
              <w:fldChar w:fldCharType="begin"/>
            </w:r>
            <w:r>
              <w:rPr>
                <w:noProof/>
                <w:webHidden/>
              </w:rPr>
              <w:instrText xml:space="preserve"> PAGEREF _Toc157588758 \h </w:instrText>
            </w:r>
            <w:r>
              <w:rPr>
                <w:noProof/>
                <w:webHidden/>
              </w:rPr>
            </w:r>
            <w:r>
              <w:rPr>
                <w:noProof/>
                <w:webHidden/>
              </w:rPr>
              <w:fldChar w:fldCharType="separate"/>
            </w:r>
            <w:r>
              <w:rPr>
                <w:noProof/>
                <w:webHidden/>
              </w:rPr>
              <w:t>11</w:t>
            </w:r>
            <w:r>
              <w:rPr>
                <w:noProof/>
                <w:webHidden/>
              </w:rPr>
              <w:fldChar w:fldCharType="end"/>
            </w:r>
          </w:hyperlink>
        </w:p>
        <w:p w14:paraId="4499AE4E" w14:textId="74BCB6F9" w:rsidR="00564A8C" w:rsidRDefault="00564A8C">
          <w:pPr>
            <w:pStyle w:val="TOC3"/>
            <w:tabs>
              <w:tab w:val="right" w:leader="dot" w:pos="8296"/>
            </w:tabs>
            <w:spacing w:before="156" w:after="156"/>
            <w:rPr>
              <w:rFonts w:asciiTheme="minorHAnsi" w:eastAsiaTheme="minorEastAsia" w:hAnsiTheme="minorHAnsi"/>
              <w:noProof/>
              <w:sz w:val="21"/>
              <w:szCs w:val="22"/>
              <w:lang w:val="en-US"/>
              <w14:ligatures w14:val="standardContextual"/>
            </w:rPr>
          </w:pPr>
          <w:hyperlink w:anchor="_Toc157588759" w:history="1">
            <w:r w:rsidRPr="00FC79B2">
              <w:rPr>
                <w:rStyle w:val="a5"/>
                <w:noProof/>
              </w:rPr>
              <w:t>2.3.1 Technology Acceptance Model</w:t>
            </w:r>
            <w:r>
              <w:rPr>
                <w:noProof/>
                <w:webHidden/>
              </w:rPr>
              <w:tab/>
            </w:r>
            <w:r>
              <w:rPr>
                <w:noProof/>
                <w:webHidden/>
              </w:rPr>
              <w:fldChar w:fldCharType="begin"/>
            </w:r>
            <w:r>
              <w:rPr>
                <w:noProof/>
                <w:webHidden/>
              </w:rPr>
              <w:instrText xml:space="preserve"> PAGEREF _Toc157588759 \h </w:instrText>
            </w:r>
            <w:r>
              <w:rPr>
                <w:noProof/>
                <w:webHidden/>
              </w:rPr>
            </w:r>
            <w:r>
              <w:rPr>
                <w:noProof/>
                <w:webHidden/>
              </w:rPr>
              <w:fldChar w:fldCharType="separate"/>
            </w:r>
            <w:r>
              <w:rPr>
                <w:noProof/>
                <w:webHidden/>
              </w:rPr>
              <w:t>11</w:t>
            </w:r>
            <w:r>
              <w:rPr>
                <w:noProof/>
                <w:webHidden/>
              </w:rPr>
              <w:fldChar w:fldCharType="end"/>
            </w:r>
          </w:hyperlink>
        </w:p>
        <w:p w14:paraId="56C0CE69" w14:textId="194A5805" w:rsidR="00564A8C" w:rsidRDefault="00564A8C">
          <w:pPr>
            <w:pStyle w:val="TOC3"/>
            <w:tabs>
              <w:tab w:val="right" w:leader="dot" w:pos="8296"/>
            </w:tabs>
            <w:spacing w:before="156" w:after="156"/>
            <w:rPr>
              <w:rFonts w:asciiTheme="minorHAnsi" w:eastAsiaTheme="minorEastAsia" w:hAnsiTheme="minorHAnsi"/>
              <w:noProof/>
              <w:sz w:val="21"/>
              <w:szCs w:val="22"/>
              <w:lang w:val="en-US"/>
              <w14:ligatures w14:val="standardContextual"/>
            </w:rPr>
          </w:pPr>
          <w:hyperlink w:anchor="_Toc157588760" w:history="1">
            <w:r w:rsidRPr="00FC79B2">
              <w:rPr>
                <w:rStyle w:val="a5"/>
                <w:noProof/>
              </w:rPr>
              <w:t>2.3.2 Unified Theory of Acceptance and Use of Technology (UTAUT)</w:t>
            </w:r>
            <w:r>
              <w:rPr>
                <w:noProof/>
                <w:webHidden/>
              </w:rPr>
              <w:tab/>
            </w:r>
            <w:r>
              <w:rPr>
                <w:noProof/>
                <w:webHidden/>
              </w:rPr>
              <w:fldChar w:fldCharType="begin"/>
            </w:r>
            <w:r>
              <w:rPr>
                <w:noProof/>
                <w:webHidden/>
              </w:rPr>
              <w:instrText xml:space="preserve"> PAGEREF _Toc157588760 \h </w:instrText>
            </w:r>
            <w:r>
              <w:rPr>
                <w:noProof/>
                <w:webHidden/>
              </w:rPr>
            </w:r>
            <w:r>
              <w:rPr>
                <w:noProof/>
                <w:webHidden/>
              </w:rPr>
              <w:fldChar w:fldCharType="separate"/>
            </w:r>
            <w:r>
              <w:rPr>
                <w:noProof/>
                <w:webHidden/>
              </w:rPr>
              <w:t>13</w:t>
            </w:r>
            <w:r>
              <w:rPr>
                <w:noProof/>
                <w:webHidden/>
              </w:rPr>
              <w:fldChar w:fldCharType="end"/>
            </w:r>
          </w:hyperlink>
        </w:p>
        <w:p w14:paraId="3DBB7773" w14:textId="285EBEB3" w:rsidR="00564A8C" w:rsidRDefault="00564A8C">
          <w:pPr>
            <w:pStyle w:val="TOC1"/>
            <w:tabs>
              <w:tab w:val="right" w:leader="dot" w:pos="8296"/>
            </w:tabs>
            <w:spacing w:before="156" w:after="156"/>
            <w:rPr>
              <w:rFonts w:asciiTheme="minorHAnsi" w:eastAsiaTheme="minorEastAsia" w:hAnsiTheme="minorHAnsi"/>
              <w:noProof/>
              <w:sz w:val="21"/>
              <w:szCs w:val="22"/>
              <w:lang w:val="en-US"/>
              <w14:ligatures w14:val="standardContextual"/>
            </w:rPr>
          </w:pPr>
          <w:hyperlink w:anchor="_Toc157588761" w:history="1">
            <w:r w:rsidRPr="00FC79B2">
              <w:rPr>
                <w:rStyle w:val="a5"/>
                <w:noProof/>
              </w:rPr>
              <w:t>3 Case Studies in the Mobile Payments Industry</w:t>
            </w:r>
            <w:r>
              <w:rPr>
                <w:noProof/>
                <w:webHidden/>
              </w:rPr>
              <w:tab/>
            </w:r>
            <w:r>
              <w:rPr>
                <w:noProof/>
                <w:webHidden/>
              </w:rPr>
              <w:fldChar w:fldCharType="begin"/>
            </w:r>
            <w:r>
              <w:rPr>
                <w:noProof/>
                <w:webHidden/>
              </w:rPr>
              <w:instrText xml:space="preserve"> PAGEREF _Toc157588761 \h </w:instrText>
            </w:r>
            <w:r>
              <w:rPr>
                <w:noProof/>
                <w:webHidden/>
              </w:rPr>
            </w:r>
            <w:r>
              <w:rPr>
                <w:noProof/>
                <w:webHidden/>
              </w:rPr>
              <w:fldChar w:fldCharType="separate"/>
            </w:r>
            <w:r>
              <w:rPr>
                <w:noProof/>
                <w:webHidden/>
              </w:rPr>
              <w:t>13</w:t>
            </w:r>
            <w:r>
              <w:rPr>
                <w:noProof/>
                <w:webHidden/>
              </w:rPr>
              <w:fldChar w:fldCharType="end"/>
            </w:r>
          </w:hyperlink>
        </w:p>
        <w:p w14:paraId="5BE2406E" w14:textId="3466AED2" w:rsidR="00564A8C" w:rsidRDefault="00564A8C">
          <w:pPr>
            <w:pStyle w:val="TOC1"/>
            <w:tabs>
              <w:tab w:val="right" w:leader="dot" w:pos="8296"/>
            </w:tabs>
            <w:spacing w:before="156" w:after="156"/>
            <w:rPr>
              <w:rFonts w:asciiTheme="minorHAnsi" w:eastAsiaTheme="minorEastAsia" w:hAnsiTheme="minorHAnsi"/>
              <w:noProof/>
              <w:sz w:val="21"/>
              <w:szCs w:val="22"/>
              <w:lang w:val="en-US"/>
              <w14:ligatures w14:val="standardContextual"/>
            </w:rPr>
          </w:pPr>
          <w:hyperlink w:anchor="_Toc157588762" w:history="1">
            <w:r w:rsidRPr="00FC79B2">
              <w:rPr>
                <w:rStyle w:val="a5"/>
                <w:noProof/>
              </w:rPr>
              <w:t>4 Innovative Solutions</w:t>
            </w:r>
            <w:r>
              <w:rPr>
                <w:noProof/>
                <w:webHidden/>
              </w:rPr>
              <w:tab/>
            </w:r>
            <w:r>
              <w:rPr>
                <w:noProof/>
                <w:webHidden/>
              </w:rPr>
              <w:fldChar w:fldCharType="begin"/>
            </w:r>
            <w:r>
              <w:rPr>
                <w:noProof/>
                <w:webHidden/>
              </w:rPr>
              <w:instrText xml:space="preserve"> PAGEREF _Toc157588762 \h </w:instrText>
            </w:r>
            <w:r>
              <w:rPr>
                <w:noProof/>
                <w:webHidden/>
              </w:rPr>
            </w:r>
            <w:r>
              <w:rPr>
                <w:noProof/>
                <w:webHidden/>
              </w:rPr>
              <w:fldChar w:fldCharType="separate"/>
            </w:r>
            <w:r>
              <w:rPr>
                <w:noProof/>
                <w:webHidden/>
              </w:rPr>
              <w:t>13</w:t>
            </w:r>
            <w:r>
              <w:rPr>
                <w:noProof/>
                <w:webHidden/>
              </w:rPr>
              <w:fldChar w:fldCharType="end"/>
            </w:r>
          </w:hyperlink>
        </w:p>
        <w:p w14:paraId="11CEAB02" w14:textId="6490A8EE" w:rsidR="00564A8C" w:rsidRDefault="00564A8C">
          <w:pPr>
            <w:pStyle w:val="TOC1"/>
            <w:tabs>
              <w:tab w:val="right" w:leader="dot" w:pos="8296"/>
            </w:tabs>
            <w:spacing w:before="156" w:after="156"/>
            <w:rPr>
              <w:rFonts w:asciiTheme="minorHAnsi" w:eastAsiaTheme="minorEastAsia" w:hAnsiTheme="minorHAnsi"/>
              <w:noProof/>
              <w:sz w:val="21"/>
              <w:szCs w:val="22"/>
              <w:lang w:val="en-US"/>
              <w14:ligatures w14:val="standardContextual"/>
            </w:rPr>
          </w:pPr>
          <w:hyperlink w:anchor="_Toc157588763" w:history="1">
            <w:r w:rsidRPr="00FC79B2">
              <w:rPr>
                <w:rStyle w:val="a5"/>
                <w:noProof/>
              </w:rPr>
              <w:t>References</w:t>
            </w:r>
            <w:r>
              <w:rPr>
                <w:noProof/>
                <w:webHidden/>
              </w:rPr>
              <w:tab/>
            </w:r>
            <w:r>
              <w:rPr>
                <w:noProof/>
                <w:webHidden/>
              </w:rPr>
              <w:fldChar w:fldCharType="begin"/>
            </w:r>
            <w:r>
              <w:rPr>
                <w:noProof/>
                <w:webHidden/>
              </w:rPr>
              <w:instrText xml:space="preserve"> PAGEREF _Toc157588763 \h </w:instrText>
            </w:r>
            <w:r>
              <w:rPr>
                <w:noProof/>
                <w:webHidden/>
              </w:rPr>
            </w:r>
            <w:r>
              <w:rPr>
                <w:noProof/>
                <w:webHidden/>
              </w:rPr>
              <w:fldChar w:fldCharType="separate"/>
            </w:r>
            <w:r>
              <w:rPr>
                <w:noProof/>
                <w:webHidden/>
              </w:rPr>
              <w:t>13</w:t>
            </w:r>
            <w:r>
              <w:rPr>
                <w:noProof/>
                <w:webHidden/>
              </w:rPr>
              <w:fldChar w:fldCharType="end"/>
            </w:r>
          </w:hyperlink>
        </w:p>
        <w:p w14:paraId="4D64BE69" w14:textId="4083268C" w:rsidR="00564A8C" w:rsidRDefault="00564A8C">
          <w:pPr>
            <w:spacing w:before="156" w:after="156"/>
          </w:pPr>
          <w:r>
            <w:fldChar w:fldCharType="end"/>
          </w:r>
        </w:p>
      </w:sdtContent>
    </w:sdt>
    <w:p w14:paraId="1E4E7A7E" w14:textId="52D9DE48" w:rsidR="00AC4DCF" w:rsidRDefault="00AC4DCF">
      <w:pPr>
        <w:widowControl/>
        <w:spacing w:beforeLines="0" w:before="0" w:afterLines="0" w:after="0" w:line="240" w:lineRule="auto"/>
        <w:jc w:val="left"/>
      </w:pPr>
      <w:r>
        <w:br w:type="page"/>
      </w:r>
    </w:p>
    <w:p w14:paraId="3AC3D2D0" w14:textId="5E45294E" w:rsidR="00C9492D" w:rsidRDefault="006D1FAC" w:rsidP="0000435A">
      <w:pPr>
        <w:pStyle w:val="1"/>
      </w:pPr>
      <w:bookmarkStart w:id="0" w:name="_Toc157588746"/>
      <w:r>
        <w:lastRenderedPageBreak/>
        <w:t xml:space="preserve">1 </w:t>
      </w:r>
      <w:r w:rsidRPr="006D1FAC">
        <w:t>Introduction</w:t>
      </w:r>
      <w:bookmarkEnd w:id="0"/>
    </w:p>
    <w:p w14:paraId="42889105" w14:textId="77777777" w:rsidR="00FF0BFB" w:rsidRDefault="00FF0BFB" w:rsidP="00FF0BFB">
      <w:pPr>
        <w:spacing w:before="156" w:after="156"/>
      </w:pPr>
      <w:r>
        <w:t>In China, the popularity of mobile payments is climbing rapidly, as evidenced by a significant increase in the number of transactions and the amount of money transacted. Consumers are becoming accustomed to using mobile payment means such as WeChat Pay or Alipay for their daily transactions (Meng, Y. T., 2022). However, along with this trend, telecommunication fraud cases have also shown a year-on-year increase. According to data released by the Ministry of Public Security, by the end of 2018, more than 57,000 cases of telecommunication network fraud had been detected nationwide, involving an amount of 16.1 billion yuan (Ask Law Online, 2023). In addition, several media reports have revealed incidents of mobile payment service providers leaking users' private information, leading to a gradual decline in users' trust in these services. In view of the need for financial regulation and the promotion of the internationalisation of the e-CNY, the People's Bank of China (PBOC) has begun to work on the development of the e-CNY (Chen and Nesterov, 2023).</w:t>
      </w:r>
    </w:p>
    <w:p w14:paraId="0C30520C" w14:textId="3CDF4810" w:rsidR="00FF0BFB" w:rsidRDefault="008D7F3B" w:rsidP="00FF0BFB">
      <w:pPr>
        <w:spacing w:before="156" w:after="156"/>
      </w:pPr>
      <w:r w:rsidRPr="008D7F3B">
        <w:t xml:space="preserve">Central </w:t>
      </w:r>
      <w:r>
        <w:t>b</w:t>
      </w:r>
      <w:r w:rsidRPr="008D7F3B">
        <w:t xml:space="preserve">ank of China </w:t>
      </w:r>
      <w:r>
        <w:t>d</w:t>
      </w:r>
      <w:r w:rsidRPr="008D7F3B">
        <w:t xml:space="preserve">igital </w:t>
      </w:r>
      <w:r>
        <w:t>c</w:t>
      </w:r>
      <w:r w:rsidRPr="008D7F3B">
        <w:t>urrency</w:t>
      </w:r>
      <w:r w:rsidRPr="008D7F3B">
        <w:t xml:space="preserve"> </w:t>
      </w:r>
      <w:r>
        <w:t>-</w:t>
      </w:r>
      <w:r w:rsidR="00FF0BFB">
        <w:t xml:space="preserve"> e-CNY, a digitised version of the </w:t>
      </w:r>
      <w:r>
        <w:t>CNY</w:t>
      </w:r>
      <w:r w:rsidR="00FF0BFB">
        <w:t xml:space="preserve">, is issued and supported by the People's Bank of China (PBOC) (Tao, L.M., 2022). </w:t>
      </w:r>
      <w:r>
        <w:t>E</w:t>
      </w:r>
      <w:r w:rsidR="00FF0BFB">
        <w:t xml:space="preserve">-CNY has the same legal status as cash, but its circulation method performs better in terms of convenience and </w:t>
      </w:r>
      <w:r>
        <w:t>security and</w:t>
      </w:r>
      <w:r w:rsidR="00FF0BFB">
        <w:t xml:space="preserve"> can be online and offline payments through electronic devices such as smartphones (Song, Q. H., Yang, X. Y., &amp; Yang, J. J., 2023). Based on advanced digital technology, the People's Bank of China (PBOC) </w:t>
      </w:r>
      <w:r>
        <w:t>can</w:t>
      </w:r>
      <w:r w:rsidR="00FF0BFB">
        <w:t xml:space="preserve"> quickly track and monitor all e-CNY transactions in real time (Huang, Y. P., 2022). Initial pilot studies show that most users have a positive attitude towards the e-CNY. However, due to the relatively short period of time since the launch of e-CNY, many users have only heard about it rather than used it personally and still hold doubts about some of its features.</w:t>
      </w:r>
    </w:p>
    <w:p w14:paraId="689985B2" w14:textId="42494BBF" w:rsidR="0000435A" w:rsidRDefault="00FF0BFB" w:rsidP="00FF0BFB">
      <w:pPr>
        <w:spacing w:before="156" w:after="156"/>
        <w:rPr>
          <w:rFonts w:hint="eastAsia"/>
        </w:rPr>
      </w:pPr>
      <w:r>
        <w:t xml:space="preserve">This study aims to help the People's Bank of China promote e-CNY more efficiently. The study will look at the current mobile payment industry, using Alipay as a case study, to explore the problems in the industry and try to propose management solutions based on evidence and theory. The authors argue that the most significant management challenge that both e-CNY and Alipay have faced or are experiencing is to increase user acceptance and market penetration of the software. This involves </w:t>
      </w:r>
      <w:r w:rsidR="008D7F3B">
        <w:t>several</w:t>
      </w:r>
      <w:r>
        <w:t xml:space="preserve"> areas such as leadership, innovation, organisational structure, sustainability, impact of artificial intelligence, recovery from global pandemic, demographic changes, etc. This research will be comprehensively analysed through three sections: literature review, case studies applied to the mobile payment industry, and innovative solutions.</w:t>
      </w:r>
    </w:p>
    <w:p w14:paraId="5D1FBCFB" w14:textId="0A58A4FC" w:rsidR="00FE135A" w:rsidRDefault="006D1FAC" w:rsidP="0000435A">
      <w:pPr>
        <w:pStyle w:val="1"/>
      </w:pPr>
      <w:bookmarkStart w:id="1" w:name="_Toc157588747"/>
      <w:r>
        <w:t xml:space="preserve">2 </w:t>
      </w:r>
      <w:r w:rsidR="00166B38">
        <w:t>L</w:t>
      </w:r>
      <w:r w:rsidR="00FA5BB1" w:rsidRPr="00FA5BB1">
        <w:t>iterature review</w:t>
      </w:r>
      <w:bookmarkEnd w:id="1"/>
    </w:p>
    <w:p w14:paraId="196A6959" w14:textId="77777777" w:rsidR="00C93C5D" w:rsidRDefault="00C93C5D" w:rsidP="00C93C5D">
      <w:pPr>
        <w:pStyle w:val="2"/>
        <w:spacing w:before="156" w:after="156"/>
      </w:pPr>
      <w:bookmarkStart w:id="2" w:name="_Toc157588748"/>
      <w:r>
        <w:t>2.1 Theories of Management</w:t>
      </w:r>
      <w:bookmarkEnd w:id="2"/>
    </w:p>
    <w:p w14:paraId="225842D1" w14:textId="77777777" w:rsidR="00C93C5D" w:rsidRDefault="00C93C5D" w:rsidP="00C93C5D">
      <w:pPr>
        <w:pStyle w:val="3"/>
        <w:spacing w:before="156" w:after="156"/>
      </w:pPr>
      <w:bookmarkStart w:id="3" w:name="_Toc157588749"/>
      <w:r>
        <w:t>2.1.1 History and Evolution of Management</w:t>
      </w:r>
      <w:bookmarkEnd w:id="3"/>
    </w:p>
    <w:p w14:paraId="2F080A58" w14:textId="77777777" w:rsidR="00C93C5D" w:rsidRDefault="00C93C5D" w:rsidP="00C93C5D">
      <w:pPr>
        <w:spacing w:before="156" w:after="156"/>
      </w:pPr>
      <w:r>
        <w:t>The history and evolution of management theory constitute a field of study that spans several centuries and has considerable breadth and depth. Its core concepts and practical approaches have undergone significant transformations and developments. at the beginning of the 20th century, the development of management thinking focused on improving work efficiency and optimising task execution. The scientific management theory, proposed by F.W. Taylor, advocated the use of the scientific method to improve work processes and increase productivity (Forrester, 2015). As time progressed, the focus of management theory began to shift from pure work efficiency to encompass human factors and social dynamics within organisations. In particular, the human relations movement of the 1930s and the research of Hathaway and Mayo opened up a focus on social and psychological factors in the work environment (Mumford, 2006).</w:t>
      </w:r>
    </w:p>
    <w:p w14:paraId="0A173628" w14:textId="719BCCD0" w:rsidR="0000435A" w:rsidRDefault="00C93C5D" w:rsidP="00C93C5D">
      <w:pPr>
        <w:spacing w:before="156" w:after="156"/>
      </w:pPr>
      <w:r>
        <w:t>Moving into the mid to late 20th century, the trajectory of management theory shifted from a singular focus on productivity to adapting to more complex organisational and market environments (GOMEZ, 2004). The rise of strategic management theory during this period brought new perspectives to management practice, particularly in the areas of long-term planning and competitive advantage analysis (Maijanen, 2020). At the same time, the study of organisational culture and leadership gradually gained widespread attention.</w:t>
      </w:r>
      <w:r>
        <w:t xml:space="preserve"> </w:t>
      </w:r>
      <w:r>
        <w:t xml:space="preserve">In their work, Wren and Bedeian (2020) comprehensively described the historical trajectory of the development of management thinking and </w:t>
      </w:r>
      <w:r>
        <w:lastRenderedPageBreak/>
        <w:t>constructed a solid framework for understanding the foundations of modern management theories and practices by exploring in depth the origins and variations of management theories. Their work not only provides a rich source of reference for academic research in the field of management but also provides theoretical guidance for application in the world of practice.</w:t>
      </w:r>
    </w:p>
    <w:p w14:paraId="4089889F" w14:textId="77777777" w:rsidR="00104E71" w:rsidRDefault="00104E71" w:rsidP="00104E71">
      <w:pPr>
        <w:pStyle w:val="3"/>
        <w:spacing w:before="156" w:after="156"/>
      </w:pPr>
      <w:bookmarkStart w:id="4" w:name="_Toc157588750"/>
      <w:r>
        <w:t>2.1.2 Managing Change and Future Trends</w:t>
      </w:r>
      <w:bookmarkEnd w:id="4"/>
    </w:p>
    <w:p w14:paraId="774B0ABC" w14:textId="000E77AC" w:rsidR="00104E71" w:rsidRDefault="00104E71" w:rsidP="00104E71">
      <w:pPr>
        <w:spacing w:before="156" w:after="156"/>
      </w:pPr>
      <w:r>
        <w:t xml:space="preserve">Within the field of management, studies by Hamel (2007) and Meister and Willyerd (2010) have explored trends in the future development of management, with a particular focus on how technology is shaping management practices. Hamel emphasises that innovation should not be limited to the realm of products and </w:t>
      </w:r>
      <w:r>
        <w:t>services but</w:t>
      </w:r>
      <w:r>
        <w:t xml:space="preserve"> should extend to management practices themselves. This perspective reveals the importance of management philosophy and practice in the field of innovation. Meister and Willyerd provide insight into how technology can contribute to the effectiveness of organisations in attracting, developing and retaining talent. These studies provide insights into the role of technology in improving human resource management.</w:t>
      </w:r>
    </w:p>
    <w:p w14:paraId="71316DDE" w14:textId="14E7B95F" w:rsidR="00C93C5D" w:rsidRDefault="00104E71" w:rsidP="00104E71">
      <w:pPr>
        <w:spacing w:before="156" w:after="156"/>
      </w:pPr>
      <w:r>
        <w:t xml:space="preserve">In the context of globalisation and technological advancement, the study by Sulaeman et al. (2023) highlights the importance of knowledge management in helping organisations adapt to changes in the business environment. This study highlights the critical role of effective KM strategies for the continued competitiveness of organisations in a dynamic business environment. Meanwhile, Zhong and Moon (2023) proposed an innovation model based on the Technology-Organisation-Environment (TOE) framework for examining the interrelationships between technology adoption, product and process innovation and firm performance. Their study provides a new perspective for understanding how technological innovation affects firm performance in different organisational settings. In addition, Ba Awain et al. (2023) discussed the recent developments and challenges of green supply chain management </w:t>
      </w:r>
      <w:r>
        <w:lastRenderedPageBreak/>
        <w:t>(GSCM) and highlighted the positive correlation between GSCM and management practices. Their study provides insight into the potential future direction of GSCM in terms of business and environmental sustainability. Together, these studies provide theoretical support and practical guidance for understanding and addressing technical and environmental challenges in current management practices.</w:t>
      </w:r>
    </w:p>
    <w:p w14:paraId="0E3BBEAB" w14:textId="77777777" w:rsidR="00662180" w:rsidRDefault="00662180" w:rsidP="00662180">
      <w:pPr>
        <w:pStyle w:val="3"/>
        <w:spacing w:before="156" w:after="156"/>
      </w:pPr>
      <w:bookmarkStart w:id="5" w:name="_Toc157588751"/>
      <w:r>
        <w:t>2.1.3 Organisational Culture, Organisational Design and Leadership</w:t>
      </w:r>
      <w:bookmarkEnd w:id="5"/>
    </w:p>
    <w:p w14:paraId="250E53E7" w14:textId="77777777" w:rsidR="00662180" w:rsidRDefault="00662180" w:rsidP="00662180">
      <w:pPr>
        <w:spacing w:before="156" w:after="156"/>
      </w:pPr>
      <w:r>
        <w:t>Organisational behaviour and culture form a central research theme in management scholarship. Hofstede et al. (2010) in their analysis of cross-cultural management, and Handy (1989, 1994, 1995) in his works on management styles and organisational culture, have highlighted the significant impact of culture on employees' behavioural patterns, attitudes to work and organisational performance. These studies provide insights that show how different cultural contexts influence individual and team interactions and performance in the work environment. In addition, the study by Raquel Orcos and S. Palomas examines how national culture influences the diffusion of the ISO 14001 environmental management standard, and in particular, how performance orientation and organisational collectivism influence the adoption of ISO 14001 in different countries. This study reveals the influence of national cultural contexts on environmental management practices (Orcos and Palomas, 2018).</w:t>
      </w:r>
    </w:p>
    <w:p w14:paraId="3CD4825A" w14:textId="2E30C8A1" w:rsidR="00104E71" w:rsidRDefault="00662180" w:rsidP="00662180">
      <w:pPr>
        <w:spacing w:before="156" w:after="156"/>
      </w:pPr>
      <w:r>
        <w:t xml:space="preserve">Organisational design and leadership issues explored by Argyris (2010) in his work are closely linked to the formation and development of organisational culture. Organisational design and leadership styles not only influence organisational structure and operational effectiveness but also have a profound impact on the shaping of organisational culture. Effective leadership is believed to identify and circumvent potential barriers to organisational development (Argyris, C., 2010). Den and De's study further explored the impact of socio-cultural influences on the process and effectiveness of </w:t>
      </w:r>
      <w:r>
        <w:lastRenderedPageBreak/>
        <w:t xml:space="preserve">leadership, including how it shapes implicit theories about leadership and how it moderates the relationship between leadership behaviours and their outcomes (Den and De, 2023). Ekmekcioglu and Öner's (2023) study showed that servant leadership and innovative organisational cultures positively influence employees' innovative work behaviours. Perceived organisational support plays an important mediating role in these relationships (Ekmekcioglu, E.B. and Öner, K., 2023). This study highlights the importance of leadership style and organisational culture in promoting innovative employee behaviour. Through these academic studies, we </w:t>
      </w:r>
      <w:r>
        <w:t>can</w:t>
      </w:r>
      <w:r>
        <w:t xml:space="preserve"> gain a more comprehensive understanding of the role and influence of organisational culture and behaviour in management practices.</w:t>
      </w:r>
    </w:p>
    <w:p w14:paraId="7EDE52F4" w14:textId="77777777" w:rsidR="00F37C7F" w:rsidRDefault="00F37C7F" w:rsidP="00F37C7F">
      <w:pPr>
        <w:pStyle w:val="2"/>
        <w:spacing w:before="156" w:after="156"/>
      </w:pPr>
      <w:bookmarkStart w:id="6" w:name="_Toc157588752"/>
      <w:r>
        <w:t>2.2 Conceptual Framework</w:t>
      </w:r>
      <w:bookmarkEnd w:id="6"/>
    </w:p>
    <w:p w14:paraId="322153CD" w14:textId="77777777" w:rsidR="00F37C7F" w:rsidRDefault="00F37C7F" w:rsidP="00F37C7F">
      <w:pPr>
        <w:pStyle w:val="3"/>
        <w:spacing w:before="156" w:after="156"/>
      </w:pPr>
      <w:bookmarkStart w:id="7" w:name="_Toc157588753"/>
      <w:r>
        <w:t>2.2.1 Mobile Payments</w:t>
      </w:r>
      <w:bookmarkEnd w:id="7"/>
    </w:p>
    <w:p w14:paraId="4398AE5F" w14:textId="1DEA71F3" w:rsidR="00F37C7F" w:rsidRDefault="00F37C7F" w:rsidP="00F37C7F">
      <w:pPr>
        <w:spacing w:before="156" w:after="156"/>
      </w:pPr>
      <w:r>
        <w:t>The field of mobile payments has received extensive academic attention since the mid-1990s. In 1997, Finland's Sonera launched the world's first commercially available mobile payment solution, marking a significant development in the field (K. Pousttchi, 2007).</w:t>
      </w:r>
      <w:r>
        <w:t xml:space="preserve"> </w:t>
      </w:r>
      <w:r>
        <w:t>Korhonen provides a historical overview of the development of the mobile payment industry in China in his study, with a particular emphasis on the rapid growth of the industry over the past five to six years, as well as on innovative new technology applications. Furthermore, Korhonen states that the adoption of mobile payment technology by Chinese consumers stems primarily from its convenience (Korhonen, 2020).</w:t>
      </w:r>
    </w:p>
    <w:p w14:paraId="71A54433" w14:textId="2725676B" w:rsidR="00662180" w:rsidRDefault="00F37C7F" w:rsidP="00F37C7F">
      <w:pPr>
        <w:spacing w:before="156" w:after="156"/>
      </w:pPr>
      <w:r>
        <w:t xml:space="preserve">Ali (2014) used quantitative methods such as </w:t>
      </w:r>
      <w:r>
        <w:t xml:space="preserve">the </w:t>
      </w:r>
      <w:r>
        <w:t xml:space="preserve">analytical hierarchy process and sensitivity analysis in his study to evaluate different mobile payment business models (Ali, A., 2014). This study provides a quantitative basis for understanding the effectiveness and advantages of mobile payment business models.N. Noerlina and colleagues in their study define mobile payment as a </w:t>
      </w:r>
      <w:r>
        <w:lastRenderedPageBreak/>
        <w:t>key concept in the field of financial technology (FinTech). They explored the use of IT-based solutions (e.g., online banking and electronic financial transfers) to facilitate transactions and discussed the trend of digital currencies replacing traditional cash (Noerlina Noerlina et al., 2023).</w:t>
      </w:r>
      <w:r>
        <w:t xml:space="preserve"> </w:t>
      </w:r>
      <w:r>
        <w:t>The literature review by Martiana et al. on the other hand, identifies the main factors influencing the intention to adopt mobile payments, including individual behaviours, technological factors and external environmental factors. This review provides a comprehensive perspective for understanding the multiple factors that influence the adoption of mobile payment technologies by consumers and businesses (Martiana et al., 2023). Together, these studies provide insights into understanding the history, trends, adoption motivations, and technical and market challenges of mobile payments.</w:t>
      </w:r>
    </w:p>
    <w:p w14:paraId="26A1BD99" w14:textId="77777777" w:rsidR="008864E0" w:rsidRDefault="008864E0" w:rsidP="008864E0">
      <w:pPr>
        <w:pStyle w:val="3"/>
        <w:spacing w:before="156" w:after="156"/>
      </w:pPr>
      <w:bookmarkStart w:id="8" w:name="_Toc157588754"/>
      <w:r>
        <w:t>2.2.2 Digital Currency</w:t>
      </w:r>
      <w:bookmarkEnd w:id="8"/>
    </w:p>
    <w:p w14:paraId="25F350BA" w14:textId="2A46AC8B" w:rsidR="008864E0" w:rsidRDefault="008864E0" w:rsidP="008864E0">
      <w:pPr>
        <w:spacing w:before="156" w:after="156"/>
      </w:pPr>
      <w:r>
        <w:t>In the early 1980s, some economists in the United States put forward the concept of "electronic cash", that this form of money can be used like physical banknotes.</w:t>
      </w:r>
      <w:r>
        <w:t xml:space="preserve"> </w:t>
      </w:r>
      <w:r>
        <w:t>In 1998, Dai published a paper for the first time in-depth discussion of the "digital currency" concept and its meaning (Dai, 1998). In 1998, Dai published a paper that provided the first in-depth examination of the concept of "digital money" and its implications (Dai, 1998). His groundbreaking research explored the concept of digital money, particularly its potential role in circulation and payment systems. Subsequently, with the development of blockchain technology, digital currencies began to make use of technological tools such as distributed ledgers, cryptographic algorithms, and smart contracts to achieve decentralisation in terms of issuance, circulation, payment, clearing, and management, demonstrating the nature of a programmable currency (Ba, S. S., Zhang, D. C., &amp; Zhu, Y. Q., 2020).</w:t>
      </w:r>
    </w:p>
    <w:p w14:paraId="026CC79D" w14:textId="28B9F5E2" w:rsidR="008864E0" w:rsidRDefault="008864E0" w:rsidP="008864E0">
      <w:pPr>
        <w:spacing w:before="156" w:after="156"/>
      </w:pPr>
      <w:r>
        <w:t>Digital currencies can be classified into two categories according to their issuers: official state-issued and unofficial state-issued. The most representative example of unofficial state-issued is Bitcoin. In contrast, the e-</w:t>
      </w:r>
      <w:r>
        <w:lastRenderedPageBreak/>
        <w:t xml:space="preserve">CNY is a legal tender issued by an official state. China's central bank digital currency, the legal tender issued by the People's Bank of China (PBOC), is commonly referred to as "e-CNY" (Zhou, D. X., 2021). As part of the M0 currency, e-CNY is essentially a digital alternative to circulating cash (Feng, S.H., &amp; Yang, J., 2021). </w:t>
      </w:r>
      <w:r>
        <w:t>E</w:t>
      </w:r>
      <w:r>
        <w:t>-CNY issuance follows the centralised issuance and two-tier operation system of the central bank, i.e., the central bank does not issue e-CNY directly to the public, but rather circulates it through commercial banks (Feng, S.H., &amp; Yang, J., 2021). Yang, J., 2021). This approach ensures central bank control over currency issuance and facilitates the integration and application of digital currencies in the broader financial system.</w:t>
      </w:r>
    </w:p>
    <w:p w14:paraId="2894A542" w14:textId="223295EC" w:rsidR="00F37C7F" w:rsidRDefault="008864E0" w:rsidP="008864E0">
      <w:pPr>
        <w:pStyle w:val="3"/>
        <w:spacing w:before="156" w:after="156"/>
      </w:pPr>
      <w:bookmarkStart w:id="9" w:name="_Toc157588755"/>
      <w:r>
        <w:t>2.2.3 Generational Variations</w:t>
      </w:r>
      <w:bookmarkEnd w:id="9"/>
    </w:p>
    <w:p w14:paraId="0FC65964" w14:textId="77777777" w:rsidR="00F5710D" w:rsidRDefault="00F5710D" w:rsidP="00F5710D">
      <w:pPr>
        <w:spacing w:before="156" w:after="156"/>
      </w:pPr>
      <w:r>
        <w:t>The concept of generational differences encompasses differences in values, behaviours, work attitudes and communication styles between generations, which largely stem from the generations' experiences of growing up in unique social, economic and technological environments (DURMAZ and OKUMUŞ, 2021).</w:t>
      </w:r>
    </w:p>
    <w:p w14:paraId="476004F4" w14:textId="77777777" w:rsidR="00F5710D" w:rsidRDefault="00F5710D" w:rsidP="00F5710D">
      <w:pPr>
        <w:spacing w:before="156" w:after="156"/>
      </w:pPr>
      <w:r>
        <w:t>"Baby Boomers" generally refers to those born between 1946 and 1964, who grew up in the context of the economic boom that followed the end of the Second World War. The social changes, political upheavals and technological revolutions of this period had a profound impact on them. This generation is often characterised as workaholic, independent and competitive (Botha and Vera-Toscano, 2022).</w:t>
      </w:r>
    </w:p>
    <w:p w14:paraId="49AAE440" w14:textId="77777777" w:rsidR="00F5710D" w:rsidRDefault="00F5710D" w:rsidP="00F5710D">
      <w:pPr>
        <w:spacing w:before="156" w:after="156"/>
      </w:pPr>
      <w:r>
        <w:t>"Generation X", on the other hand, includes those born between 1965 and 1981. This generation grew up during a time of economic instability and rapidly changing family structures, and as a result they are often seen as self-sufficient, sceptical of authority, and seeking a work-life balance (Fishman, A.A., 2016).</w:t>
      </w:r>
    </w:p>
    <w:p w14:paraId="3C033C66" w14:textId="77777777" w:rsidR="00F5710D" w:rsidRDefault="00F5710D" w:rsidP="00F5710D">
      <w:pPr>
        <w:spacing w:before="156" w:after="156"/>
      </w:pPr>
      <w:r>
        <w:t xml:space="preserve">"Generation Y", also known as "Millennials", usually refers to those born </w:t>
      </w:r>
      <w:r>
        <w:lastRenderedPageBreak/>
        <w:t>between 1982 and 1994. This generation grew up in an environment of rapid technological advancement and has a natural familiarity with digital technology. They are often considered confident, socially competent, and highly adaptable to multiculturalism (Fishman, A.A., 2016).</w:t>
      </w:r>
    </w:p>
    <w:p w14:paraId="6330E407" w14:textId="4466600E" w:rsidR="00F5710D" w:rsidRDefault="00F5710D" w:rsidP="00F5710D">
      <w:pPr>
        <w:spacing w:before="156" w:after="156"/>
      </w:pPr>
      <w:r>
        <w:t xml:space="preserve">The exact range of birth years for "Generation Z" is somewhat </w:t>
      </w:r>
      <w:r>
        <w:t>debated but</w:t>
      </w:r>
      <w:r>
        <w:t xml:space="preserve"> is generally considered to be the generation that began in 1995. Growing up in an era where the internet and social media were commonplace, this generation is extremely skilled in the use of technology and has a deep understanding and strong sense of diversity and inclusion.</w:t>
      </w:r>
    </w:p>
    <w:p w14:paraId="0E71BDE4" w14:textId="14757FE4" w:rsidR="008864E0" w:rsidRPr="008864E0" w:rsidRDefault="00F5710D" w:rsidP="00CC6366">
      <w:pPr>
        <w:pStyle w:val="3"/>
        <w:spacing w:before="156" w:after="156"/>
        <w:rPr>
          <w:rFonts w:hint="eastAsia"/>
        </w:rPr>
      </w:pPr>
      <w:bookmarkStart w:id="10" w:name="_Toc157588756"/>
      <w:r>
        <w:t>2.2.4 Consumer</w:t>
      </w:r>
      <w:r w:rsidR="00CC6366">
        <w:t>s’</w:t>
      </w:r>
      <w:r>
        <w:t xml:space="preserve"> </w:t>
      </w:r>
      <w:r>
        <w:t>B</w:t>
      </w:r>
      <w:r>
        <w:t>ehaviour</w:t>
      </w:r>
      <w:bookmarkEnd w:id="10"/>
    </w:p>
    <w:p w14:paraId="69220373" w14:textId="5C335AF0" w:rsidR="00A770C7" w:rsidRDefault="00A770C7" w:rsidP="00A770C7">
      <w:pPr>
        <w:spacing w:before="156" w:after="156"/>
      </w:pPr>
      <w:r>
        <w:t xml:space="preserve">Recent research literature provides insights into how various factors influence consumers' purchasing patterns and decision-making </w:t>
      </w:r>
      <w:r>
        <w:t>processes. The</w:t>
      </w:r>
      <w:r>
        <w:t xml:space="preserve"> study by Andini et al. (2023) focuses on analysing consumers' behaviour in purchasing vegetables online, which includes their attitudes and decision-making processes, which reflects the shift in consumer behaviour in a digital shopping environment. The study reveals the importance of technological adaptation in contemporary consumer behaviour. During the COVID-19 epidemic, the study by Djojodibroto et al. (2022) provided an in-depth analysis of consumer motivations to purchase coffee, revealing how the epidemic significantly affected consumer behaviour and purchasing decisions. This study highlights how health crises and environmental changes can alter consumer needs and preferences. Meanwhile, the study by Vuković et al. (2022) highlights the role of emotional factors, in particular fear, in driving consumer purchases of dietary supplements during an epidemic. This study reveals the impact of emotional reactions on consumer purchasing behaviour, especially during times of crisis. Taken together, this literature demonstrates the multidimensional complexity of consumer behaviour, covering a wide range of dimensions such as environmental factors, emotional responses, technological adaptations, and socio-economic contexts. Therefore, it is </w:t>
      </w:r>
      <w:r>
        <w:lastRenderedPageBreak/>
        <w:t>important to consider the impact of these complex factors on consumer behaviour when studying mobile payments and e-CNY as well. This holistic perspective will help to gain a deeper understanding of the dynamics of the consumer decision-making process in different contexts.</w:t>
      </w:r>
    </w:p>
    <w:p w14:paraId="31B8981A" w14:textId="58EB3FF2" w:rsidR="000B077F" w:rsidRDefault="00A770C7" w:rsidP="00A770C7">
      <w:pPr>
        <w:pStyle w:val="3"/>
        <w:spacing w:before="156" w:after="156"/>
      </w:pPr>
      <w:bookmarkStart w:id="11" w:name="_Toc157588757"/>
      <w:r>
        <w:t>2.2.5 Market Trends</w:t>
      </w:r>
      <w:bookmarkEnd w:id="11"/>
    </w:p>
    <w:p w14:paraId="67CD41BE" w14:textId="5DF15BA3" w:rsidR="00625DAD" w:rsidRDefault="00625DAD" w:rsidP="00625DAD">
      <w:pPr>
        <w:spacing w:before="156" w:after="156"/>
      </w:pPr>
      <w:r>
        <w:t xml:space="preserve">When analysing market trends, it is important to first consider the impact of government involvement on the mobile payment services </w:t>
      </w:r>
      <w:r>
        <w:t>market. A</w:t>
      </w:r>
      <w:r>
        <w:t xml:space="preserve"> study by Dong et al. provides an insight into the impact of government involvement on the performance and subscriber base of mobile network operators (MNOs). Their study found that government involvement helps to expand the subscriber base of MNOs, especially for larger MNOs and those providing government-supported mobile payment services (Dong, Song and Zou, 2022). Furthermore, Błach and Klimontowicz analysed the market behaviour of the Polish mobile payment standard BLIK, and their study pointed out that government involvement plays a key role in expanding the MNO user base (Błach and Klimontowicz, 2021).</w:t>
      </w:r>
    </w:p>
    <w:p w14:paraId="485FFB54" w14:textId="4F1BD769" w:rsidR="00625DAD" w:rsidRDefault="00625DAD" w:rsidP="00625DAD">
      <w:pPr>
        <w:spacing w:before="156" w:after="156"/>
      </w:pPr>
      <w:r>
        <w:t xml:space="preserve">Secondly, the impact of barcode standardisation on the mobile payments industry cannot be </w:t>
      </w:r>
      <w:r>
        <w:t>ignored. Yan’s</w:t>
      </w:r>
      <w:r>
        <w:t xml:space="preserve"> study analyses the impact of implementing barcode standardisation in China's mobile payments industry and suggests that the government should adopt mandatory standardisation measures in order to avoid financial market failures (Yan, 2021). This finding highlights the importance of standardisation in promoting the healthy development of the industry.</w:t>
      </w:r>
    </w:p>
    <w:p w14:paraId="45404CA3" w14:textId="088302AD" w:rsidR="00A770C7" w:rsidRDefault="00625DAD" w:rsidP="00625DAD">
      <w:pPr>
        <w:spacing w:before="156" w:after="156"/>
      </w:pPr>
      <w:r>
        <w:t xml:space="preserve">Finally, users' intention to continue using mobile payment services also has an impact on the </w:t>
      </w:r>
      <w:r>
        <w:t>market. A</w:t>
      </w:r>
      <w:r>
        <w:t xml:space="preserve"> study by Suyunchaliyeva and other scholars found that personal innovativeness and perceived trust have a significant impact on consumers' intention to continue using mobile payment services. At the same time, perceived trust, personal innovativeness, and outcome expectations </w:t>
      </w:r>
      <w:r>
        <w:lastRenderedPageBreak/>
        <w:t>collectively influence consumers' intentions to recommend others to use these services (Suyunchaliyeva et al., 2021). Together, these findings reveal the far-reaching impact of government involvement, technological standardisation, and consumer psychological factors on market trends in the mobile payments space.</w:t>
      </w:r>
    </w:p>
    <w:p w14:paraId="737D4280" w14:textId="77777777" w:rsidR="00EC28F9" w:rsidRDefault="00EC28F9" w:rsidP="00900E61">
      <w:pPr>
        <w:pStyle w:val="2"/>
        <w:spacing w:before="156" w:after="156"/>
      </w:pPr>
      <w:bookmarkStart w:id="12" w:name="_Toc157588758"/>
      <w:r>
        <w:t>2.3 Theoretical Framework</w:t>
      </w:r>
      <w:bookmarkEnd w:id="12"/>
    </w:p>
    <w:p w14:paraId="48A12758" w14:textId="276D2A81" w:rsidR="00625DAD" w:rsidRPr="00A770C7" w:rsidRDefault="00EC28F9" w:rsidP="00900E61">
      <w:pPr>
        <w:pStyle w:val="3"/>
        <w:spacing w:before="156" w:after="156"/>
        <w:rPr>
          <w:rFonts w:hint="eastAsia"/>
        </w:rPr>
      </w:pPr>
      <w:bookmarkStart w:id="13" w:name="_Toc157588759"/>
      <w:r>
        <w:t>2.3.1 Technology Acceptance Model</w:t>
      </w:r>
      <w:bookmarkEnd w:id="13"/>
    </w:p>
    <w:p w14:paraId="6398358B" w14:textId="77AA2F43" w:rsidR="00900E61" w:rsidRDefault="00900E61" w:rsidP="00900E61">
      <w:pPr>
        <w:spacing w:before="156" w:after="156"/>
      </w:pPr>
      <w:r>
        <w:t>The Technology Acceptance Model (TAM) is a theoretical framework for assessing and predicting user adoption and acceptance of new technologies. Proposed in 1986 by scholars in the field of information systems, Fred Davis and Richard Bean (Richard Bagozzi), the TAM has undergone several years of continuous development and refinement (Lee, Y., Kozar, K.A. &amp; Larsen, K.R.T., 2003). The model is based on the Theory of Reasoned Action (TRA) and is used to simulate users' acceptance of new technologies (Davis et al., 1989).</w:t>
      </w:r>
      <w:r>
        <w:t xml:space="preserve"> </w:t>
      </w:r>
      <w:r>
        <w:t>The core theory of TAM is that individuals' willingness and attitudes to adopt new technologies are largely determined by their perceived usefulness (PU) and perceived ease of use (PEOU) of the technology. Perceived usefulness refers to an individual's perception of the actual value of new technology in accomplishing a specific task or achieving a goal (Van der Heijden, 2003), whereas perceived ease of use relates to an individual's perception of how easy it is to learn and use new technology (Van der Heijden, 2003). In addition, the TAM model includes other variables such as behavioural intention and actual use behaviour, where behavioural intention refers to the degree of willingness of an individual to adopt a new technology, and actual use behaviour reflects the actual adoption of the new technology by the individual.</w:t>
      </w:r>
      <w:r w:rsidR="00210CEA">
        <w:t xml:space="preserve"> </w:t>
      </w:r>
      <w:r>
        <w:t>PU and PEOU positively affect behavioural intention, while behavioural intention positively affects actual use behaviour (King, W. R., &amp; He, J.</w:t>
      </w:r>
      <w:r w:rsidR="00210CEA">
        <w:rPr>
          <w:rFonts w:hint="eastAsia"/>
        </w:rPr>
        <w:t>,</w:t>
      </w:r>
      <w:r>
        <w:t xml:space="preserve"> 2006).</w:t>
      </w:r>
    </w:p>
    <w:p w14:paraId="614B03A4" w14:textId="0B175516" w:rsidR="00900E61" w:rsidRDefault="00900E61" w:rsidP="00900E61">
      <w:pPr>
        <w:spacing w:before="156" w:after="156"/>
      </w:pPr>
      <w:r>
        <w:lastRenderedPageBreak/>
        <w:t>Using the TAM, renowned scholar Yang examined the factors influencing Singaporeans' attitudes towards m-commerce technologies and applications.</w:t>
      </w:r>
      <w:r w:rsidR="00210CEA">
        <w:t xml:space="preserve"> </w:t>
      </w:r>
      <w:r>
        <w:t xml:space="preserve">Yang's findings highlight the effectiveness of the TAM in explaining the decision-making process of consumer adoption of m-commerce, confirming its applicability beyond the U.S. context and demonstrating robustness in exploring emerging technologies (Yang, 2005). In addition, Gefen's study confirmed the relevance of TAM </w:t>
      </w:r>
      <w:r w:rsidR="00570FAA">
        <w:t>around</w:t>
      </w:r>
      <w:r>
        <w:t xml:space="preserve"> online shopping (Gefen, D., Karahanna, E., &amp; Straub, D. W. 2003).</w:t>
      </w:r>
      <w:r w:rsidR="00210CEA">
        <w:t xml:space="preserve"> </w:t>
      </w:r>
      <w:r>
        <w:t>Dai and Palvia further extended this cross-cultural study by conducting a comparative study of U.S.-China m-commerce adoption using TAM, revealing that both PUs and PEOUs have a significant impact on Chinese consumers' intention to use m-commerce significantly (Dai, H., &amp; Palvia, P. C., 2009).</w:t>
      </w:r>
      <w:r w:rsidR="00210CEA">
        <w:t xml:space="preserve"> </w:t>
      </w:r>
      <w:r>
        <w:t xml:space="preserve">The TAM and its extended models have been applied across multiple disciplines, environments, and geographic regions, and have served as a convenient tool for examining consumers' attitudes toward e-commerce platforms and online shopping tools (Marikyan, D. &amp; Papagiannidis, S. 2023). Therefore, this study also adopts TAM as a theoretical framework </w:t>
      </w:r>
      <w:r w:rsidR="00210CEA">
        <w:t>to</w:t>
      </w:r>
      <w:r>
        <w:t xml:space="preserve"> explore the impact of digital e-CNY on mobile payment users.</w:t>
      </w:r>
    </w:p>
    <w:p w14:paraId="19ED8BA8" w14:textId="2C8904D7" w:rsidR="00643CFC" w:rsidRDefault="00900E61" w:rsidP="00900E61">
      <w:pPr>
        <w:spacing w:before="156" w:after="156"/>
      </w:pPr>
      <w:r>
        <w:t xml:space="preserve">Despite the widespread use of TAM, it has shown some limitations in its application. Its inherent simplicity and lack of in-depth understanding of the antecedents of technology acceptance may lead to the neglect of specific situational or contextual factors (Marikyan, D. &amp; Papagiannidis, S. 2023). Li et al. (2019), in analysing users' intention to use Alipay, also pointed out the sample limitations of TAM as well as the neglect of other determinants such as social influences and habits. In addition, TAM focuses mainly on behavioural intentions to use the technology rather than actual usage, which may lead to discrepancies between people's intentions and their actual behaviour (Baron, S., Patterson, A. &amp; Harris, K. 2006). At the same time, TAM-based models often rely on self-reported measures of intention to use and </w:t>
      </w:r>
      <w:r>
        <w:lastRenderedPageBreak/>
        <w:t xml:space="preserve">may suffer from common method bias (Venkatesh &amp; Davis, 2000; Venkatesh, Thong &amp; Xu, 2012). This suggests the need for a more refined approach </w:t>
      </w:r>
      <w:r w:rsidR="00210CEA">
        <w:t>to</w:t>
      </w:r>
      <w:r>
        <w:t xml:space="preserve"> the use of TAM, combining objective and subjective measures to accurately assess technology acceptance.</w:t>
      </w:r>
    </w:p>
    <w:p w14:paraId="36AC63C8" w14:textId="398F7B73" w:rsidR="00E94493" w:rsidRDefault="003607F7" w:rsidP="00EB12B5">
      <w:pPr>
        <w:pStyle w:val="3"/>
        <w:spacing w:before="156" w:after="156"/>
      </w:pPr>
      <w:bookmarkStart w:id="14" w:name="_Toc157588760"/>
      <w:r>
        <w:t>2.3.</w:t>
      </w:r>
      <w:r w:rsidR="00EB12B5">
        <w:t>2</w:t>
      </w:r>
      <w:r w:rsidR="00E94493" w:rsidRPr="00E94493">
        <w:t xml:space="preserve"> Unified Theory of Acceptance and Use of Technology (UTAUT)</w:t>
      </w:r>
      <w:bookmarkEnd w:id="14"/>
    </w:p>
    <w:p w14:paraId="565EB0D0" w14:textId="1D93CC2D" w:rsidR="00DC11F1" w:rsidRPr="00DC11F1" w:rsidRDefault="00DC11F1" w:rsidP="00DC11F1">
      <w:pPr>
        <w:spacing w:before="156" w:after="156"/>
        <w:rPr>
          <w:rFonts w:hint="eastAsia"/>
        </w:rPr>
      </w:pPr>
      <w:r>
        <w:t>The Unified Theory of Acceptance and Use of Technology (UTAUT) is a comprehensive theoretical framework designed to explain and predict users' acceptance and use behaviour towards technology. This theory was proposed by Venkatesh et al. in 2003 as a synthesis and development of several previous models of technology acceptance, including the Technology Acceptance Model (TAM) and Theory of Planned Behaviour (TPB) (Venkatesh and Davis, 2020).</w:t>
      </w:r>
    </w:p>
    <w:p w14:paraId="09B1F3D5" w14:textId="3D208F92" w:rsidR="00DC11F1" w:rsidRDefault="00DC11F1" w:rsidP="00DC11F1">
      <w:pPr>
        <w:spacing w:before="156" w:after="156"/>
      </w:pPr>
      <w:r>
        <w:t xml:space="preserve">The UTAUT model predicts technology acceptance and use based on four core components: Performance Expectancy, Effort Expectancy, Social Influence, and Facilitating </w:t>
      </w:r>
      <w:r>
        <w:t>Conditions. Performance</w:t>
      </w:r>
      <w:r>
        <w:t xml:space="preserve"> Expectancy refers to the user's expectation that the adoption of a particular technology will improve his/her job performance. Performance Expectancy is the user's expectation that the adoption of a technology will improve their job performance. Users are more likely to accept and use a technology if they believe it will significantly improve the quality or efficiency of task performance. Effort expectations relate to users' expectations of the effort required to learn and use a new technology. Users are more likely to embrace the technology if they believe it is easy to understand and operate. Social influence refers to users' attitudes towards the use of a technology under the influence of others, such as co-workers, </w:t>
      </w:r>
      <w:r>
        <w:t>superiors,</w:t>
      </w:r>
      <w:r>
        <w:t xml:space="preserve"> or social groups. Social factors such as pressures and expectations may significantly influence an individual's acceptance of technology and decision to use it. Facilitating conditions refer to the extent to which the organisational and technological infrastructure is perceived by the user to support the use of the technology. If users feel that the required resources, </w:t>
      </w:r>
      <w:r>
        <w:t>knowledge,</w:t>
      </w:r>
      <w:r>
        <w:t xml:space="preserve"> and support are easily available, they are more likely to adopt the technology in question. In addition, the UTAUT model also </w:t>
      </w:r>
      <w:r>
        <w:t>considers</w:t>
      </w:r>
      <w:r>
        <w:t xml:space="preserve"> variables such as gender, age, </w:t>
      </w:r>
      <w:r>
        <w:t>experience,</w:t>
      </w:r>
      <w:r>
        <w:t xml:space="preserve"> and willingness, which may affect the strength of the four core elements mentioned above. Overall, the UTAUT model provides a theoretical basis for understanding and predicting the multiple influences on technology acceptance and use, which has important implications for the development of technology diffusion and implementation strategies (Venkatesh and Davis, 2020).</w:t>
      </w:r>
    </w:p>
    <w:p w14:paraId="7EECD17A" w14:textId="23B4A2CF" w:rsidR="00BD57C2" w:rsidRPr="00EB12B5" w:rsidRDefault="00DC11F1" w:rsidP="009F4F00">
      <w:pPr>
        <w:spacing w:before="156" w:after="156"/>
        <w:rPr>
          <w:rFonts w:hint="eastAsia"/>
        </w:rPr>
      </w:pPr>
      <w:r>
        <w:t xml:space="preserve">Asastani et al. combined the Unified Theory of Technology Acceptance and Use (UTAUT) and the Technology Acceptance Model (TAM) to investigate the key factors influencing m-commerce usage. Their study revealed that performance expectations, effort expectations, social influence, and perceived trust play a significant role in promoting m-commerce usage, whereas facilitation conditions and perceived costs do not have a significant effect (Asastani et al., 2018). This finding emphasises the importance of user expectations and social factors in the m-commerce adoption process. Similarly, Yong et al. applied the UTAUT model to investigate the acceptance of mobile payments in Malaysia. The results of the study showed that effort expectation, performance expectation, social influence and consumer trust significantly influenced consumer attitudes towards mobile payment adoption (Yong et al., 2021). The influence of these factors suggests that user expectations, social environment and trust are crucial in the promotion and acceptance of mobile payments. In addition, Jin in his study used the UTAUT model to analyse the factors influencing users' willingness to use e-banking platforms. The study found that perceived risk had the highest mean value among all the influencing factors (Jin, 2023). This result highlights that in e-banking platform usage, consumers' perceived risk plays a key role in their acceptance and adoption process. Taking these studies together, we can see the value of applying the UTAUT and TAM models in understanding users' willingness to adopt m-commerce and e-banking platforms, especially when considering factors such as performance expectations, effort expectations, social influence, perceived </w:t>
      </w:r>
      <w:r>
        <w:t>trust,</w:t>
      </w:r>
      <w:r>
        <w:t xml:space="preserve"> and perceived risk.</w:t>
      </w:r>
    </w:p>
    <w:p w14:paraId="4F46BD50" w14:textId="77777777" w:rsidR="00BD57C2" w:rsidRDefault="00BD57C2" w:rsidP="00BD57C2">
      <w:pPr>
        <w:pStyle w:val="1"/>
      </w:pPr>
      <w:bookmarkStart w:id="15" w:name="_Toc157588761"/>
      <w:r>
        <w:t>3 Case Studies in the Mobile Payments Industry</w:t>
      </w:r>
      <w:bookmarkEnd w:id="15"/>
    </w:p>
    <w:p w14:paraId="78B5B0E2" w14:textId="6AEDA504" w:rsidR="0026414F" w:rsidRDefault="0026414F" w:rsidP="0026414F">
      <w:pPr>
        <w:spacing w:before="156" w:after="156"/>
      </w:pPr>
      <w:r>
        <w:t xml:space="preserve">Alipay and WeChat Pay clearly hold </w:t>
      </w:r>
      <w:r>
        <w:t>most of</w:t>
      </w:r>
      <w:r>
        <w:t xml:space="preserve"> the market share in the mobile payment industry in China. As one of the first companies to enter the industry, Alipay has excelled in terms of market penetration and user acceptance (Diviney, R., 2019). Therefore, Alipay is selected as a case study in this chapter, with the aim of exploring the key success factors and potential shortcomings by analysing its strategies to increase user acceptance and market penetration. Through this analysis, it provides guiding insights and directions for the promotion of e-CNY.</w:t>
      </w:r>
    </w:p>
    <w:p w14:paraId="6D4FB640" w14:textId="77777777" w:rsidR="0026414F" w:rsidRDefault="0026414F" w:rsidP="0026414F">
      <w:pPr>
        <w:spacing w:before="156" w:after="156"/>
      </w:pPr>
      <w:r>
        <w:t>Alipay's success stems not only from its innovative technology and user-friendly interface, but also from its strategies in marketing, branding, and user experience optimisation. This chapter will delve into how these strategies have helped Alipay stand out in a competitive market, and how they provide useful lessons for the promotion of the digital e-CNY. Through a comprehensive analysis of Alipay, this study aims to provide strategic recommendations on how to effectively enhance user acceptance and market penetration, providing valuable insights into the popularity and acceptance of digital currencies.</w:t>
      </w:r>
    </w:p>
    <w:p w14:paraId="67D97C14" w14:textId="260FA1AC" w:rsidR="00BD57C2" w:rsidRDefault="0026414F" w:rsidP="0026414F">
      <w:pPr>
        <w:pStyle w:val="2"/>
        <w:spacing w:before="156" w:after="156"/>
      </w:pPr>
      <w:r>
        <w:t>3.1 Alipay-Improving User Acceptance and Market Penetration</w:t>
      </w:r>
    </w:p>
    <w:p w14:paraId="6A063155" w14:textId="77777777" w:rsidR="00C04066" w:rsidRDefault="00C04066" w:rsidP="00C04066">
      <w:pPr>
        <w:spacing w:before="156" w:after="156"/>
      </w:pPr>
      <w:r>
        <w:t>Jie Guo, Jie Guo and H. Bouwman's 2016 research article 'An Ecosystem View on Third Party Mobile Payment Providers: a Case Study of Alipay Wallet' provides an insight into how Alipay can increase user acceptance and market penetration in its ecosystem through sustainable collaboration to increase user acceptance and market penetration (Guo and Bouwman, 2016). Alipay was selected as a case study for the article based on its remarkable success in the mobile payment space, especially in China, the world's largest mobile user market. According to Kemp S. (2015), as of August 2015, the number of mobile users in China reached a staggering 1.3 billion.</w:t>
      </w:r>
    </w:p>
    <w:p w14:paraId="0A9F7554" w14:textId="77777777" w:rsidR="00C04066" w:rsidRDefault="00C04066" w:rsidP="00C04066">
      <w:pPr>
        <w:spacing w:before="156" w:after="156"/>
      </w:pPr>
      <w:r>
        <w:t>The core objective of the study is to reveal and analyse the motivations of different organisations to participate in the Alipay wallet payment ecosystem and the various strategies they adopt to reduce dependency and uncertainty. The study is based on the concept of business ecosystems, adopting the Resource-Based View (RBV) and Resource Dependency Theory (RDT), and is conducted through qualitative research methods. For example, in-depth interviews with experts and managers in the Alipay platform/ecosystem were conducted to gain a deeper understanding.</w:t>
      </w:r>
    </w:p>
    <w:p w14:paraId="2264DD20" w14:textId="77777777" w:rsidR="00C04066" w:rsidRDefault="00C04066" w:rsidP="00C04066">
      <w:pPr>
        <w:spacing w:before="156" w:after="156"/>
      </w:pPr>
      <w:r>
        <w:t>In addition, the study conducted an extensive review of the literature related to mobile payments, with a particular focus on studies conducted from an ecosystem perspective. The research framework was used to analyse the mobile payments ecosystem in detail and the key concepts and theories in the framework were discussed and explained in depth. The fourth section of the article discusses in detail the research methodology and the context in which the data was collected and analysed, while the fifth section presents the results of the analysis. The key factors identified in the study as having a significant impact on users' willingness to use e-banking platforms include performance expectations, effort expectations, social influences and facilitating conditions. These factors highlight the importance of performance efficiency, ease of use, social influence and facilitating conditions in enhancing user acceptance and willingness to use e-banking platforms.</w:t>
      </w:r>
    </w:p>
    <w:p w14:paraId="10BE1B47" w14:textId="79F5FE83" w:rsidR="00F10E23" w:rsidRDefault="00C04066" w:rsidP="00C04066">
      <w:pPr>
        <w:spacing w:before="156" w:after="156"/>
      </w:pPr>
      <w:r>
        <w:t xml:space="preserve">This study enables us to not only understand how Alipay builds and maintains partnerships within its ecosystem but also to gain insights into the complexity and dynamics of the mobile </w:t>
      </w:r>
      <w:r>
        <w:t>payment’s</w:t>
      </w:r>
      <w:r>
        <w:t xml:space="preserve"> </w:t>
      </w:r>
      <w:r w:rsidR="00521321">
        <w:t>to ecosystem</w:t>
      </w:r>
      <w:r>
        <w:t>. This provides valuable references and insights for other players in the digital payments space, such as promoters of the e-CNY, especially in building collaborative networks, understanding market dynamics and shaping user behaviour</w:t>
      </w:r>
      <w:r w:rsidR="007E2652">
        <w:t>.</w:t>
      </w:r>
    </w:p>
    <w:p w14:paraId="530F1998" w14:textId="5FF58298" w:rsidR="007E2652" w:rsidRDefault="005C1624" w:rsidP="005C1624">
      <w:pPr>
        <w:pStyle w:val="2"/>
        <w:spacing w:before="156" w:after="156"/>
      </w:pPr>
      <w:r w:rsidRPr="005C1624">
        <w:t>3.2 Case Study</w:t>
      </w:r>
    </w:p>
    <w:p w14:paraId="3488A9CC" w14:textId="77777777" w:rsidR="00521321" w:rsidRDefault="00521321" w:rsidP="00521321">
      <w:pPr>
        <w:spacing w:before="156" w:after="156"/>
      </w:pPr>
      <w:r>
        <w:t>Through an in-depth analysis of the mobile payments ecosystem, this article reveals how actors can achieve strategic goals of sustainability by integrating and optimising the allocation of resources. In this ecosystem, the core players not only need to cope with resource and capacity constraints but also need to adapt to rapid market and technological changes. Their strategies and behavioural patterns thus take on a dynamic and adaptive character, aiming to reduce environmental uncertainty and optimise overall system performance. Furthermore, the article analyses strategies to increase user acceptance and market penetration from two perspectives. Firstly, from the perspective of risk perception of innovative consumers, it is found that innovative consumers usually have a low perception of risk, which implies that users with a tendency to be innovative and adventurous are more likely to accept emerging e-banking platforms. This finding has important implications for understanding and promoting user acceptance of new technologies. Secondly, performance expectations and effort expectations have a positive impact on user satisfaction, suggesting that if users perceive an e-banking platform to be effective in improving efficiency and easy to operate, their satisfaction increases accordingly.</w:t>
      </w:r>
    </w:p>
    <w:p w14:paraId="79E6D8E3" w14:textId="77777777" w:rsidR="00521321" w:rsidRDefault="00521321" w:rsidP="00521321">
      <w:pPr>
        <w:spacing w:before="156" w:after="156"/>
      </w:pPr>
      <w:r>
        <w:t>The article's analysis also points out that increasing market penetration and user acceptance of mobile payment platforms requires a combination of factors. Firstly, there is an emphasis on platform performance and convenience, which involves not only technical optimisation but also continuous improvement of the user experience. Secondly, targeted marketing strategies, especially for consumers with a high propensity for innovation and risk-taking, can be effective in increasing the platform's market acceptance. Finally, user satisfaction and loyalty to the platform can be increased through continuous improvement of the user experience, especially by enhancing system performance and simplifying operational processes.</w:t>
      </w:r>
    </w:p>
    <w:p w14:paraId="281B7E3E" w14:textId="77777777" w:rsidR="00521321" w:rsidRDefault="00521321" w:rsidP="00521321">
      <w:pPr>
        <w:spacing w:before="156" w:after="156"/>
      </w:pPr>
      <w:r>
        <w:t>Nonetheless, there are still some unresolved issues in this study that are crucial to further increase user acceptance and market penetration. For example, the study does not adequately explore users' concerns about potential data security and privacy protection in emerging payment technologies, which may significantly affect users' willingness to accept. There is also a relative lack of analysis of cross-cultural and cross-regional user needs, especially in the context of globalisation, where an understanding of the needs of users from different cultures and regions is critical to the development of effective global market strategies. In addition, the study does not provide an in-depth analysis of strategies for long-term user loyalty and maintaining user engagement.</w:t>
      </w:r>
    </w:p>
    <w:p w14:paraId="5CC824E3" w14:textId="41C6DB14" w:rsidR="005C1624" w:rsidRDefault="00521321" w:rsidP="00521321">
      <w:pPr>
        <w:spacing w:before="156" w:after="156"/>
        <w:rPr>
          <w:rFonts w:hint="eastAsia"/>
        </w:rPr>
      </w:pPr>
      <w:r>
        <w:t>In conclusion, this study provides insights for understanding the dynamic interactions and collaborations in the mobile payment ecosystem, as well as practical guidance for enhancing user acceptance and market penetration of e-CNY platforms. However, in order to maintain an edge in a competitive market environment, mobile payment platforms need to consider technology optimisation, user experience, marketing strategies, and socio-cultural factors more holistically, as well as address challenges such as data security, cross-cultural needs understanding, and long-term user loyalty.</w:t>
      </w:r>
    </w:p>
    <w:p w14:paraId="138A88B4" w14:textId="1D79F930" w:rsidR="00F879A2" w:rsidRDefault="00BD57C2" w:rsidP="00BD57C2">
      <w:pPr>
        <w:pStyle w:val="1"/>
      </w:pPr>
      <w:bookmarkStart w:id="16" w:name="_Toc157588762"/>
      <w:r>
        <w:t>4 Innovative Solutions</w:t>
      </w:r>
      <w:bookmarkEnd w:id="16"/>
    </w:p>
    <w:p w14:paraId="5491EA58" w14:textId="54492B24" w:rsidR="00BD57C2" w:rsidRDefault="00207690" w:rsidP="00BD57C2">
      <w:pPr>
        <w:spacing w:before="156" w:after="156"/>
      </w:pPr>
      <w:r w:rsidRPr="00207690">
        <w:t>Key factors such as performance expectations, effort expectations, social impact and facilitation conditions have been extensively discussed in literature reviews and case studies of mobile payment platforms to increase user acceptance and market penetration. However, while these factors provide important perspectives for understanding user acceptance and adoption of mobile payment platforms, there are still key issues that have not been fully explored. These unresolved issues are likely to arise in the promotion of e-CNY as well, and thus require further research.</w:t>
      </w:r>
    </w:p>
    <w:p w14:paraId="55F96937" w14:textId="3A3CCD10" w:rsidR="00207690" w:rsidRDefault="002664F7" w:rsidP="00BD57C2">
      <w:pPr>
        <w:spacing w:before="156" w:after="156"/>
      </w:pPr>
      <w:r w:rsidRPr="002664F7">
        <w:t>First</w:t>
      </w:r>
      <w:r w:rsidR="00F62314">
        <w:rPr>
          <w:rFonts w:hint="eastAsia"/>
        </w:rPr>
        <w:t>ly</w:t>
      </w:r>
      <w:r w:rsidRPr="002664F7">
        <w:t xml:space="preserve">, when discussing user acceptance of mobile payment platforms, existing studies usually focus on the technical features and ease of use of the user interface, while there is a relative lack of attention to user privacy and transaction security. At a time of rapid digitalisation and networking, users' concerns about personal information and transaction security have become an important factor influencing their acceptance of emerging payment platforms. Therefore, for the promotion of e-CNY, users' concerns about the security of transaction data and personal information </w:t>
      </w:r>
      <w:r w:rsidR="000963A4" w:rsidRPr="002664F7">
        <w:t>are</w:t>
      </w:r>
      <w:r w:rsidRPr="002664F7">
        <w:t xml:space="preserve"> an important issue that cannot be ignored. In response to this issue, government departments need to place special emphasis on the security features of e-CNY when promoting it and clearly communicate this message to users. For example, it can be emphasised that e-CNY employs advanced encryption technology and anonymous processing mechanisms to ensure the security of transactions and the protection of user privacy. It is also important to focus on the fact that customers' personal information is stored in the PBOC's system rather than passed on to third-party companies, thereby reducing the risk of data leakage. In addition, when formulating and implementing e-CNY policies, government departments should establish strict data protection policies and openly and transparently communicate these policies to the public. This will not only help increase users' trust in the e-CNY system, but also help build a sense of security for the entire digital currency ecosystem. Through these measures, users may feel more comfortable accepting and using e-CNY, thereby increasing its market penetration and user acceptance. In summary, the promotion strategy for e-CNY should take into full consideration the privacy and security concerns of </w:t>
      </w:r>
      <w:r w:rsidR="000963A4" w:rsidRPr="002664F7">
        <w:t>users and</w:t>
      </w:r>
      <w:r w:rsidRPr="002664F7">
        <w:t xml:space="preserve"> enhance users' sense of trust by reinforcing the promotion of security features and establishing a strict data protection policy, thereby effectively increasing the acceptance and market penetration of digital currencies.</w:t>
      </w:r>
    </w:p>
    <w:p w14:paraId="459CE7E3" w14:textId="3F337B72" w:rsidR="002664F7" w:rsidRDefault="00F62314" w:rsidP="00BD57C2">
      <w:pPr>
        <w:spacing w:before="156" w:after="156"/>
      </w:pPr>
      <w:r w:rsidRPr="00F62314">
        <w:t>Second</w:t>
      </w:r>
      <w:r>
        <w:rPr>
          <w:rFonts w:hint="eastAsia"/>
        </w:rPr>
        <w:t>ly</w:t>
      </w:r>
      <w:r w:rsidRPr="00F62314">
        <w:t xml:space="preserve">, in-depth studies of cultural and social contextual factors are relatively lacking in existing research in the field of mobile payments. Users' cultural backgrounds and social environments have a profound impact on their payment habits, security perceptions, privacy concerns, and acceptance of new technologies. Users in different cultural and social contexts may have very different expectations and needs for mobile payment platforms. For example, China has strong social attributes, so social relationships and interpersonal interactions will be more emphasised in Chinese culture. Therefore, an in-depth understanding of these cultural differences is critical to developing an effective marketing strategy. Especially for e-CNYs with a global outlook, understanding and adapting to the needs of users from different cultural backgrounds is crucial. The global marketplace is populated by an extremely diverse group of users whose payment behaviours, security expectations, privacy concerns and technological adaptations are all influenced by their cultural backgrounds. Therefore, </w:t>
      </w:r>
      <w:r w:rsidRPr="00F62314">
        <w:t>to</w:t>
      </w:r>
      <w:r w:rsidRPr="00F62314">
        <w:t xml:space="preserve"> successfully promote the e-CNY in the global market, it is important to take this cultural diversity into account. For example, when designing user interfaces and payment processes, the usage habits and preferences of different cultures should be </w:t>
      </w:r>
      <w:r w:rsidRPr="00F62314">
        <w:t>considered</w:t>
      </w:r>
      <w:r w:rsidRPr="00F62314">
        <w:t xml:space="preserve">. In marketing and customer communication strategies, culturally appropriate language and expressions should be used. And it is also crucial to educate and support users in cross-cultural contexts. Global users may have different levels of knowledge and technological adaptability to digital currencies, so providing appropriate education and support to help users understand and adapt to the e-CNY is critical to increasing user acceptance and loyalty. </w:t>
      </w:r>
      <w:r w:rsidRPr="00F62314">
        <w:t>Therefore,</w:t>
      </w:r>
      <w:r w:rsidRPr="00F62314">
        <w:t xml:space="preserve"> in-depth consideration of cultural and social contextual factors is key to the successful rollout of globalised payment platforms such as e-CNY. By </w:t>
      </w:r>
      <w:r w:rsidRPr="00F62314">
        <w:t>considering</w:t>
      </w:r>
      <w:r w:rsidRPr="00F62314">
        <w:t xml:space="preserve"> the needs and expectations of users in different cultural contexts, as well as providing cross-cultural user education and support, the acceptance and market penetration of e-CNY can be effectively enhanced.</w:t>
      </w:r>
    </w:p>
    <w:p w14:paraId="49BCB70A" w14:textId="7863AFE9" w:rsidR="00F62314" w:rsidRPr="002664F7" w:rsidRDefault="001C3724" w:rsidP="00BD57C2">
      <w:pPr>
        <w:spacing w:before="156" w:after="156"/>
      </w:pPr>
      <w:r w:rsidRPr="001C3724">
        <w:t>Thirdly, when analysing users' behaviour towards mobile payment platforms, existing literature tends to focus on the short-term acceptance and adoption stage, while there is a relative lack of in-depth research on users' long-term usage behaviour and loyalty. This is particularly important in the promotion of e-CNY. Long-term user behaviour and loyalty are key indicators of a payment platform's success; they not only reflect users' continued satisfaction with the platform, but also have a direct impact on the platform's market stability and growth potential. Studies of long-term user behaviour can provide insights into user satisfaction, motivations for continued use, and possible reasons for exit. For example, long-term tracking analyses can identify key factors influencing user loyalty, such as service quality, user experience, pricing policies, and the influence of competitors. In addition, long-term studies can reveal trends in user behaviour over time, providing payment platforms with a basis for strategic adjustments and service optimisation. For emerging payment methods like e-CNY, understanding user behaviour over time is critical to building and maintaining a strong and active user base. This not only requires platforms to provide consistently high-quality services, but also to innovate and adapt to changes in user needs. In addition, the establishment of an effective user feedback and communication mechanism can help payment platforms keep abreast of user needs and issues so that timely adjustments can be made to enhance user loyalty. Therefore, for e-CNY and other mobile payment platforms, conducting long-term user behaviour research can not only provide deeper insights into user behaviour, but also help the platforms formulate more effective marketing strategies, improve service quality, and build and maintain a loyal and stable user base. Through these efforts, the market competitiveness of the platform and the possibility of long-term success can be effectively enhanced.</w:t>
      </w:r>
    </w:p>
    <w:p w14:paraId="32B06EE3" w14:textId="310FA5D5" w:rsidR="00F10E23" w:rsidRDefault="00DA5EE4" w:rsidP="00BD57C2">
      <w:pPr>
        <w:spacing w:before="156" w:after="156"/>
      </w:pPr>
      <w:r w:rsidRPr="00DA5EE4">
        <w:t xml:space="preserve">Finally, the issue of user education and training is particularly important when promoting emerging payment platforms, especially innovative payment methods like the e-CNY. Effective user education and support strategies for less technically proficient user groups, such as the elderly and those less familiar with new technologies, are key to increasing their acceptance of new payment methods. As e-CNY not only represents a new payment method, but also introduces new monetary concepts and usage habits, it is crucial to provide users with adequate information and guidance. The government and relevant agencies can join hands with commercial banks and other financial institutions through local institutions such as community centres and neighbourhood committees to conduct targeted education and training activities for specific user groups. These activities may include face-to-face lectures, interactive seminars, </w:t>
      </w:r>
      <w:r w:rsidRPr="00DA5EE4">
        <w:t>demonstrations,</w:t>
      </w:r>
      <w:r w:rsidRPr="00DA5EE4">
        <w:t xml:space="preserve"> and hands-on exercises, etc., aiming to help this group of users understand the basic concepts of e-CNY, how it operates and how to use it safely. In addition, </w:t>
      </w:r>
      <w:r w:rsidRPr="00DA5EE4">
        <w:t>to</w:t>
      </w:r>
      <w:r w:rsidRPr="00DA5EE4">
        <w:t xml:space="preserve"> better serve this user segment, the payment platform may provide a simplified version of the user interface and interaction design to ensure that it is intuitive and easy to use, together with easy-to-follow user guides and online help resources. These designs and resources should </w:t>
      </w:r>
      <w:r w:rsidRPr="00DA5EE4">
        <w:t>consider</w:t>
      </w:r>
      <w:r w:rsidRPr="00DA5EE4">
        <w:t xml:space="preserve"> the technical proficiency and cognitive abilities of users to ensure that they can easily understand and use the new platform. Secondly, consideration could also be given to providing regular educational content and updates through social media, online videos and other digital media channels so that users can access the latest information at all times. To ensure the effectiveness of these education and training activities, the content and methods should also be regularly evaluated and adapted to ensure that they meet the needs of different user groups. In summary, through targeted user education and training activities and the provision of simplified and easy-to-use interface designs and user guides, governments and relevant organisations can effectively enhance the acceptance of emerging payment methods such as e-CNY by a wide range of user groups, including the elderly and </w:t>
      </w:r>
      <w:r w:rsidRPr="00DA5EE4">
        <w:t>technologically unfamiliar</w:t>
      </w:r>
      <w:r w:rsidRPr="00DA5EE4">
        <w:t xml:space="preserve"> users, and thereby promote the widespread adoption and use of these new technologies.</w:t>
      </w:r>
    </w:p>
    <w:p w14:paraId="3AC03FE1" w14:textId="7522ADA8" w:rsidR="009453BE" w:rsidRDefault="009453BE" w:rsidP="00612F7C">
      <w:pPr>
        <w:pStyle w:val="1"/>
      </w:pPr>
      <w:r>
        <w:rPr>
          <w:rFonts w:hint="eastAsia"/>
        </w:rPr>
        <w:t>5</w:t>
      </w:r>
      <w:r>
        <w:t xml:space="preserve"> </w:t>
      </w:r>
      <w:r w:rsidR="00612F7C">
        <w:t>C</w:t>
      </w:r>
      <w:r w:rsidR="00612F7C" w:rsidRPr="00612F7C">
        <w:t>onclusion</w:t>
      </w:r>
    </w:p>
    <w:p w14:paraId="2F5B393A" w14:textId="333FCA23" w:rsidR="00BB6552" w:rsidRPr="00BB6552" w:rsidRDefault="00BB6552" w:rsidP="00BB6552">
      <w:pPr>
        <w:spacing w:before="156" w:after="156"/>
        <w:rPr>
          <w:rFonts w:hint="eastAsia"/>
        </w:rPr>
      </w:pPr>
      <w:r>
        <w:t>This study has embarked on an insightful journey exploring the facets of user acceptance and market penetration in the mobile payment platforms sector, with a particular focus on Alipay's case study and the application of the Unified Theory of Acceptance and Use of Technology (UTAUT). Through an in-depth analysis of Alipay's evolution and success, we've gleaned critical insights into the determinants of user acceptance and market penetration in mobile payment services. The study revealed that factors such as performance expectancy, effort expectancy, social influence, and facilitating conditions play a pivotal role in the adoption and widespread use of mobile payment services. These elements were not only evident in the Alipay case study but also resonated across various scholarly articles.</w:t>
      </w:r>
    </w:p>
    <w:p w14:paraId="79DB21CD" w14:textId="59AF3831" w:rsidR="00612F7C" w:rsidRDefault="00BB6552" w:rsidP="00BB6552">
      <w:pPr>
        <w:spacing w:before="156" w:after="156"/>
      </w:pPr>
      <w:r>
        <w:t>Moreover, the research identified certain unresolved challenges in the promotion of mobile payment platforms. These include a lack of cross-industry collaboration leading to insufficient ecosystem development, consumer apprehensions regarding privacy and data security, and hurdles in technology proliferation and user education. These challenges, likely to surface in the promotion of e-CNY, necessitate innovative solutions. To address these, the study proposes the creation of an extensive application ecosystem through industry collaboration, enhancing security features’ promotion, implementing robust data protection policies, and conducting targeted user education and training.</w:t>
      </w:r>
    </w:p>
    <w:p w14:paraId="28B66B34" w14:textId="51356C69" w:rsidR="00BB6552" w:rsidRDefault="0001357D" w:rsidP="00BB6552">
      <w:pPr>
        <w:spacing w:before="156" w:after="156"/>
      </w:pPr>
      <w:r w:rsidRPr="0001357D">
        <w:t>In essence, this research provides valuable insights into the market penetration and user acceptance of mobile payment services. Furthermore, it offers practical and innovative strategies for the promotion of emerging payment methods like e-CNY. By comprehending these insights, payment platforms and service providers can more effectively strategize and execute their market approaches to achieve broader acceptance and deeper market penetration. Specifically, the study underscores the importance of understanding consumer behaviour and attitudes towards new financial technologies. The case of Alipay illustrates how addressing consumer needs and preferences, coupled with robust technological infrastructure, can lead to significant market adoption. This understanding is crucial in a rapidly evolving digital landscape where consumer trust and convenience are paramount. Additionally, the research highlights the role of technology acceptance models like UTAUT in providing a comprehensive framework to assess consumer behaviour towards new technologies. By integrating factors like performance expectancy, which relates to the perceived benefits of technology, and effort expectancy, which deals with the ease of using the technology, the UTAUT model offers a nuanced view of the multifaceted nature of consumer technology adoption.</w:t>
      </w:r>
    </w:p>
    <w:p w14:paraId="194AD1FB" w14:textId="597894C5" w:rsidR="0001357D" w:rsidRPr="00612F7C" w:rsidRDefault="00D77AF8" w:rsidP="00BB6552">
      <w:pPr>
        <w:spacing w:before="156" w:after="156"/>
        <w:rPr>
          <w:rFonts w:hint="eastAsia"/>
        </w:rPr>
      </w:pPr>
      <w:r w:rsidRPr="00D77AF8">
        <w:t>This study also delves into the sociocultural aspects of technology adoption. It emphasizes the influence of social factors and peer pressure, which can significantly shape consumer decisions in adopting new payment methods. This insight is particularly relevant in the context of e-CNY, where societal acceptance and peer influence can be pivotal in its widespread adoption.</w:t>
      </w:r>
    </w:p>
    <w:p w14:paraId="088BC764" w14:textId="2B6F9D68" w:rsidR="00BD57C2" w:rsidRPr="00BD57C2" w:rsidRDefault="00BD57C2" w:rsidP="00BD57C2">
      <w:pPr>
        <w:pStyle w:val="1"/>
      </w:pPr>
      <w:bookmarkStart w:id="17" w:name="_Toc157588763"/>
      <w:r w:rsidRPr="00BD57C2">
        <w:rPr>
          <w:rStyle w:val="10"/>
          <w:rFonts w:hint="eastAsia"/>
          <w:b/>
          <w:bCs/>
        </w:rPr>
        <w:t>R</w:t>
      </w:r>
      <w:r w:rsidRPr="00BD57C2">
        <w:rPr>
          <w:rStyle w:val="10"/>
          <w:b/>
          <w:bCs/>
        </w:rPr>
        <w:t>eference</w:t>
      </w:r>
      <w:r w:rsidRPr="00BD57C2">
        <w:t>s</w:t>
      </w:r>
      <w:bookmarkEnd w:id="17"/>
    </w:p>
    <w:p w14:paraId="7E001F85" w14:textId="77777777" w:rsidR="00C82894" w:rsidRDefault="00C82894" w:rsidP="00C82894">
      <w:pPr>
        <w:spacing w:before="156" w:after="156"/>
      </w:pPr>
      <w:r>
        <w:t>[1].</w:t>
      </w:r>
      <w:r>
        <w:tab/>
        <w:t>Adawiyah, R. and Andini, T.P. (2023). Attitudes, Decision Making and Purchasing Patterns of Online Vegetable Consumers. Journal of Consumer Sciences, [online] 8(3), pp.296–317. doi:https://doi.org/10.29244/jcs.8.3.296-317.</w:t>
      </w:r>
    </w:p>
    <w:p w14:paraId="65C635B6" w14:textId="77777777" w:rsidR="00C82894" w:rsidRDefault="00C82894" w:rsidP="00C82894">
      <w:pPr>
        <w:spacing w:before="156" w:after="156"/>
      </w:pPr>
      <w:r>
        <w:t>[2].</w:t>
      </w:r>
      <w:r>
        <w:tab/>
        <w:t xml:space="preserve">Ali, A. (2014). An empirical evaluation of m-payment business models using analytic hierarchy process and sensitivity analysis. In International Symposium of the Analytic Hierarchy Process, Washington, DC June. </w:t>
      </w:r>
    </w:p>
    <w:p w14:paraId="000785D3" w14:textId="77777777" w:rsidR="00C82894" w:rsidRDefault="00C82894" w:rsidP="00C82894">
      <w:pPr>
        <w:spacing w:before="156" w:after="156"/>
      </w:pPr>
      <w:r>
        <w:t>[3].</w:t>
      </w:r>
      <w:r>
        <w:tab/>
        <w:t xml:space="preserve">Argyris, C., (2010) Organisational traps: leadership, culture, organisational design, Oxford: Oxford University Press. </w:t>
      </w:r>
    </w:p>
    <w:p w14:paraId="3BA5A90C" w14:textId="77777777" w:rsidR="00C82894" w:rsidRDefault="00C82894" w:rsidP="00C82894">
      <w:pPr>
        <w:spacing w:before="156" w:after="156"/>
      </w:pPr>
      <w:r>
        <w:t>[4].</w:t>
      </w:r>
      <w:r>
        <w:tab/>
        <w:t>Asastani, H.L., Harisno, Kusumawardhana, V.H. and Warnars, H.L.H.S. (2018). Factors Affecting the Usage of Mobile Commerce using Technology Acceptance Model (TAM) and Unified Theory of Acceptance and Use of Technology (UTAUT). 2018 Indonesian Association for Pattern Recognition International Conference (INAPR). doi:https://doi.org/10.1109/inapr.2018.8627003.</w:t>
      </w:r>
    </w:p>
    <w:p w14:paraId="5D531071" w14:textId="77777777" w:rsidR="00C82894" w:rsidRDefault="00C82894" w:rsidP="00C82894">
      <w:pPr>
        <w:spacing w:before="156" w:after="156"/>
      </w:pPr>
      <w:r>
        <w:t>[5].</w:t>
      </w:r>
      <w:r>
        <w:tab/>
        <w:t>Ask Law Online (2023). Total annual amount of telecommunication fraud in China. [online] www.yuanjiajiaotong.com. Available at: http://www.yuanjiajiaotong.com/laws/1429.html [Accessed 31 Jan. 2024].</w:t>
      </w:r>
    </w:p>
    <w:p w14:paraId="56AAB9C8" w14:textId="77777777" w:rsidR="00C82894" w:rsidRDefault="00C82894" w:rsidP="00C82894">
      <w:pPr>
        <w:spacing w:before="156" w:after="156"/>
      </w:pPr>
      <w:r>
        <w:t>[6].</w:t>
      </w:r>
      <w:r>
        <w:tab/>
        <w:t>Ba Awain, A.M.S., Jaboob, M. and Al-Ansi, A.M. (2023). Green Supply Chain Management: A Comprehensive Review of Research, Applications and Future Directions. Management and Production Engineering Review; 2023; vol. 14; No 3, [online] 14(3). Available at: https://journals.pan.pl/dlibra/publication/147194/edition/128812/content [Accessed 18 Jan. 2024].</w:t>
      </w:r>
    </w:p>
    <w:p w14:paraId="6EA61BB9" w14:textId="77777777" w:rsidR="00C82894" w:rsidRDefault="00C82894" w:rsidP="00C82894">
      <w:pPr>
        <w:spacing w:before="156" w:after="156"/>
      </w:pPr>
      <w:r>
        <w:t>[7].</w:t>
      </w:r>
      <w:r>
        <w:tab/>
        <w:t xml:space="preserve">Baron, S., Patterson, A. &amp; Harris, K. (2006). Beyond technology acceptance: understanding consumer practice. International Journal of Service Industry Management, Vol. 17 No. 2, pp. 111-135. https://doi.org/10.1108/09564230610656962. </w:t>
      </w:r>
    </w:p>
    <w:p w14:paraId="758281E3" w14:textId="77777777" w:rsidR="00C82894" w:rsidRDefault="00C82894" w:rsidP="00C82894">
      <w:pPr>
        <w:spacing w:before="156" w:after="156"/>
      </w:pPr>
      <w:r>
        <w:t>[8].</w:t>
      </w:r>
      <w:r>
        <w:tab/>
        <w:t>Błach, J. and Klimontowicz, M. (2021). The Determinants of PayTech’s Success in the Mobile Payment Market—The Case of BLIK. Journal of Risk and Financial Management, 14(9), p.422. doi:https://doi.org/10.3390/jrfm14090422.</w:t>
      </w:r>
    </w:p>
    <w:p w14:paraId="2ABDE112" w14:textId="77777777" w:rsidR="00C82894" w:rsidRDefault="00C82894" w:rsidP="00C82894">
      <w:pPr>
        <w:spacing w:before="156" w:after="156"/>
      </w:pPr>
      <w:r>
        <w:t>[9].</w:t>
      </w:r>
      <w:r>
        <w:tab/>
        <w:t>Botha, F. and Vera-Toscano, E. (2022). Generational Differences in Subjective Well-Being in Australia. Applied Research in Quality of Life. doi:https://doi.org/10.1007/s11482-022-10047-x.</w:t>
      </w:r>
    </w:p>
    <w:p w14:paraId="51702FE7" w14:textId="77777777" w:rsidR="00C82894" w:rsidRDefault="00C82894" w:rsidP="00C82894">
      <w:pPr>
        <w:spacing w:before="156" w:after="156"/>
      </w:pPr>
      <w:r>
        <w:t>[10].</w:t>
      </w:r>
      <w:r>
        <w:tab/>
        <w:t>Chen, J. and Nesterov, I.O. (2023). Central bank digital currencies: Digital Yuan and its role in Chinese digital economy development. RUDN Journal of Economics, 31(1), pp.120–133. doi:https://doi.org/10.22363/2313-2329-2023-31-1-120-133.</w:t>
      </w:r>
    </w:p>
    <w:p w14:paraId="57EA8BE1" w14:textId="77777777" w:rsidR="00C82894" w:rsidRDefault="00C82894" w:rsidP="00C82894">
      <w:pPr>
        <w:spacing w:before="156" w:after="156"/>
      </w:pPr>
      <w:r>
        <w:t>[11].</w:t>
      </w:r>
      <w:r>
        <w:tab/>
        <w:t xml:space="preserve">Dai, (1998). “B-money, an anonymous, distributed electronic cash system”, http://www.weidai.com/bmoney.txt </w:t>
      </w:r>
    </w:p>
    <w:p w14:paraId="5C052435" w14:textId="77777777" w:rsidR="00C82894" w:rsidRDefault="00C82894" w:rsidP="00C82894">
      <w:pPr>
        <w:spacing w:before="156" w:after="156"/>
      </w:pPr>
      <w:r>
        <w:t>[12].</w:t>
      </w:r>
      <w:r>
        <w:tab/>
        <w:t xml:space="preserve">Dai, H., &amp; Palvia, P. C. (2009). Mobile commerce adoption in China and the United States. AMCIS 2009 Proceedings, 71. </w:t>
      </w:r>
    </w:p>
    <w:p w14:paraId="4C4AED8E" w14:textId="77777777" w:rsidR="00C82894" w:rsidRDefault="00C82894" w:rsidP="00C82894">
      <w:pPr>
        <w:spacing w:before="156" w:after="156"/>
      </w:pPr>
      <w:r>
        <w:t>[13].</w:t>
      </w:r>
      <w:r>
        <w:tab/>
        <w:t xml:space="preserve">Davis, F. D., Bagozzi, R. P., &amp; Warshaw, P. R. (1989). User acceptance of computer   technology: a comparison of two theoretical models. Management science, 35(8), 982-1003. </w:t>
      </w:r>
    </w:p>
    <w:p w14:paraId="7188346E" w14:textId="77777777" w:rsidR="00C82894" w:rsidRDefault="00C82894" w:rsidP="00C82894">
      <w:pPr>
        <w:spacing w:before="156" w:after="156"/>
      </w:pPr>
      <w:r>
        <w:t>[14].</w:t>
      </w:r>
      <w:r>
        <w:tab/>
        <w:t>Den, D.N. and De, B. (2023). Cross-Cultural Leadership: What We Know, What We Need to Know, and Where We Need to Go. Annual review of organizational psychology and organizational behavior, 11(1). doi:https://doi.org/10.1146/annurev-orgpsych-110721-033711.</w:t>
      </w:r>
    </w:p>
    <w:p w14:paraId="1150439E" w14:textId="77777777" w:rsidR="00C82894" w:rsidRDefault="00C82894" w:rsidP="00C82894">
      <w:pPr>
        <w:spacing w:before="156" w:after="156"/>
      </w:pPr>
      <w:r>
        <w:t>[15].</w:t>
      </w:r>
      <w:r>
        <w:tab/>
        <w:t xml:space="preserve">Diviney, R. (2019). The Process and Effect of M-Payment in China. IOSR Journal of Economics and Finance. 10(5), PP 34-38. </w:t>
      </w:r>
    </w:p>
    <w:p w14:paraId="4F3ECE5A" w14:textId="77777777" w:rsidR="00C82894" w:rsidRDefault="00C82894" w:rsidP="00C82894">
      <w:pPr>
        <w:spacing w:before="156" w:after="156"/>
      </w:pPr>
      <w:r>
        <w:t>[16].</w:t>
      </w:r>
      <w:r>
        <w:tab/>
        <w:t>Djojodibroto, H.Q., Istiningsih, I. and Andri K.R, R.M. (2022). CONSUMER BEHAVIOR DURING THE COVID-19 OUTBREAK: AN ANALYSIS FOR DECISION MAKING, PREFERENCES AND FUTURE CONDITIONS. Eqien - Jurnal Ekonomi dan Bisnis, [online] 11(04). doi:https://doi.org/10.34308/eqien.v11i04.1213.</w:t>
      </w:r>
    </w:p>
    <w:p w14:paraId="377F3740" w14:textId="77777777" w:rsidR="00C82894" w:rsidRDefault="00C82894" w:rsidP="00C82894">
      <w:pPr>
        <w:spacing w:before="156" w:after="156"/>
      </w:pPr>
      <w:r>
        <w:t>[17].</w:t>
      </w:r>
      <w:r>
        <w:tab/>
        <w:t>Dong, Y., Song, S. and Zou, F. (2022). Mobile Payment Services, Government Involvement, and Mobile Network Operator Performance. Manufacturing &amp; Service Operations Management. doi:https://doi.org/10.1287/msom.2021.1068.</w:t>
      </w:r>
    </w:p>
    <w:p w14:paraId="267762F3" w14:textId="77777777" w:rsidR="00C82894" w:rsidRDefault="00C82894" w:rsidP="00C82894">
      <w:pPr>
        <w:spacing w:before="156" w:after="156"/>
      </w:pPr>
      <w:r>
        <w:t>[18].</w:t>
      </w:r>
      <w:r>
        <w:tab/>
        <w:t>DURMAZ, Ş. and OKUMUŞ, B. (2021). GENERATION DIFFERENCES IN BUSINESS LIFE AND GENERATION Z. IEDSR Association, 6(16), pp.47–68. doi:https://doi.org/10.46872/pj.448.</w:t>
      </w:r>
    </w:p>
    <w:p w14:paraId="4D1BCFCE" w14:textId="77777777" w:rsidR="00C82894" w:rsidRDefault="00C82894" w:rsidP="00C82894">
      <w:pPr>
        <w:spacing w:before="156" w:after="156"/>
      </w:pPr>
      <w:r>
        <w:t>[19].</w:t>
      </w:r>
      <w:r>
        <w:tab/>
        <w:t xml:space="preserve">Ekmekcioglu, E.B. and Öner, K. (2023). "Servant leadership, innovative work behavior and innovative organizational culture: the mediating role of perceived organizational support", European Journal of Management and Business Economics, Vol. ahead-of-print No. ahead-of-print. https://doi.org/10.1108/EJMBE-08-2022-0251. </w:t>
      </w:r>
    </w:p>
    <w:p w14:paraId="3EFFEF46" w14:textId="77777777" w:rsidR="00C82894" w:rsidRDefault="00C82894" w:rsidP="00C82894">
      <w:pPr>
        <w:spacing w:before="156" w:after="156"/>
      </w:pPr>
      <w:r>
        <w:t>[20].</w:t>
      </w:r>
      <w:r>
        <w:tab/>
        <w:t xml:space="preserve">Feng, S. H., &amp; Yang, J., (2021). Mechanisms of the role of e-CNY in preventing data monopoly risks on Internet platforms. Reform (12), 69-80. </w:t>
      </w:r>
    </w:p>
    <w:p w14:paraId="7B8B174F" w14:textId="77777777" w:rsidR="00C82894" w:rsidRDefault="00C82894" w:rsidP="00C82894">
      <w:pPr>
        <w:spacing w:before="156" w:after="156"/>
      </w:pPr>
      <w:r>
        <w:t>[21].</w:t>
      </w:r>
      <w:r>
        <w:tab/>
        <w:t xml:space="preserve">Fishman, A.A. (2016). How generational differences will impact America’s aging workforce: strategies for dealing with aging Millennials, Generation X, and Baby Boomers. Strategic HR Review, Vol. 15 No. 6, pp. 250-257. https://doi.org/10.1108/SHR-08-2016-0068. </w:t>
      </w:r>
    </w:p>
    <w:p w14:paraId="220A2B76" w14:textId="77777777" w:rsidR="00C82894" w:rsidRDefault="00C82894" w:rsidP="00C82894">
      <w:pPr>
        <w:spacing w:before="156" w:after="156"/>
      </w:pPr>
      <w:r>
        <w:t>[22].</w:t>
      </w:r>
      <w:r>
        <w:tab/>
        <w:t>Forrester, P.L. (2015). Manufacturing management in theory and practice. [online] china.elgaronline.com. Available at: https://china.elgaronline.com/edcollchap/edcoll/9781781003923/9781781003923.00011.xml [Accessed 31 Jan. 2024].</w:t>
      </w:r>
    </w:p>
    <w:p w14:paraId="7B3207C9" w14:textId="77777777" w:rsidR="00C82894" w:rsidRDefault="00C82894" w:rsidP="00C82894">
      <w:pPr>
        <w:spacing w:before="156" w:after="156"/>
      </w:pPr>
      <w:r>
        <w:t>[23].</w:t>
      </w:r>
      <w:r>
        <w:tab/>
        <w:t xml:space="preserve">Gefen, D., Karahanna, E., &amp; Straub, D. W. (2003). Trust and TAM in online shopping: An integrated model. MIS quarterly, 27(1), 51-90. </w:t>
      </w:r>
    </w:p>
    <w:p w14:paraId="49619385" w14:textId="77777777" w:rsidR="00C82894" w:rsidRDefault="00C82894" w:rsidP="00C82894">
      <w:pPr>
        <w:spacing w:before="156" w:after="156"/>
      </w:pPr>
      <w:r>
        <w:t>[24].</w:t>
      </w:r>
      <w:r>
        <w:tab/>
        <w:t>GOMEZ, P.-Y. (2004). On the Discretionary Power of Top Executives : Evolution of the Theoretical Foundations. International Studies of Management &amp; Organization, 34(2), pp.37–62. doi:https://doi.org/10.1080/00208825.2004.11043703.</w:t>
      </w:r>
    </w:p>
    <w:p w14:paraId="3F652591" w14:textId="77777777" w:rsidR="00C82894" w:rsidRDefault="00C82894" w:rsidP="00C82894">
      <w:pPr>
        <w:spacing w:before="156" w:after="156"/>
      </w:pPr>
      <w:r>
        <w:t>[25].</w:t>
      </w:r>
      <w:r>
        <w:tab/>
        <w:t>Guo, J. and Bouwman, H. (2016). An ecosystem view on third party mobile payment providers: a case study of Alipay wallet. info, 18(5), pp.56–78. doi:https://doi.org/10.1108/info-01-2016-0003.</w:t>
      </w:r>
    </w:p>
    <w:p w14:paraId="265EF3C2" w14:textId="77777777" w:rsidR="00C82894" w:rsidRDefault="00C82894" w:rsidP="00C82894">
      <w:pPr>
        <w:spacing w:before="156" w:after="156"/>
      </w:pPr>
      <w:r>
        <w:t>[26].</w:t>
      </w:r>
      <w:r>
        <w:tab/>
        <w:t xml:space="preserve">Hamel, G., (2007) The future of management: a new era of management, Boston, Mass.: Harvard Business School Press. </w:t>
      </w:r>
    </w:p>
    <w:p w14:paraId="23BA2947" w14:textId="77777777" w:rsidR="00C82894" w:rsidRDefault="00C82894" w:rsidP="00C82894">
      <w:pPr>
        <w:spacing w:before="156" w:after="156"/>
      </w:pPr>
      <w:r>
        <w:t>[27].</w:t>
      </w:r>
      <w:r>
        <w:tab/>
        <w:t xml:space="preserve">Handy, C., (1989) The age of unreason, London: Hutchinson Business. </w:t>
      </w:r>
    </w:p>
    <w:p w14:paraId="37CE4D6E" w14:textId="77777777" w:rsidR="00C82894" w:rsidRDefault="00C82894" w:rsidP="00C82894">
      <w:pPr>
        <w:spacing w:before="156" w:after="156"/>
      </w:pPr>
      <w:r>
        <w:t>[28].</w:t>
      </w:r>
      <w:r>
        <w:tab/>
        <w:t xml:space="preserve">Handy, C., (1994) The empty raincoat: making sense of the future, London: Hutchinson. </w:t>
      </w:r>
    </w:p>
    <w:p w14:paraId="007D3720" w14:textId="77777777" w:rsidR="00C82894" w:rsidRDefault="00C82894" w:rsidP="00C82894">
      <w:pPr>
        <w:spacing w:before="156" w:after="156"/>
      </w:pPr>
      <w:r>
        <w:t>[29].</w:t>
      </w:r>
      <w:r>
        <w:tab/>
        <w:t xml:space="preserve">Handy, C., (1995) Gods of management 3rd ed., London: Arrow. </w:t>
      </w:r>
    </w:p>
    <w:p w14:paraId="5EB88903" w14:textId="77777777" w:rsidR="00C82894" w:rsidRDefault="00C82894" w:rsidP="00C82894">
      <w:pPr>
        <w:spacing w:before="156" w:after="156"/>
      </w:pPr>
      <w:r>
        <w:t>[30].</w:t>
      </w:r>
      <w:r>
        <w:tab/>
        <w:t xml:space="preserve">Hofstede, G. Hofstede, J., Minkov, M., (2010) Cultures and organisations: software of the mind. 3rd ed. McGraw-Hill Education. </w:t>
      </w:r>
    </w:p>
    <w:p w14:paraId="686D0F61" w14:textId="77777777" w:rsidR="00C82894" w:rsidRDefault="00C82894" w:rsidP="00C82894">
      <w:pPr>
        <w:spacing w:before="156" w:after="156"/>
      </w:pPr>
      <w:r>
        <w:t>[31].</w:t>
      </w:r>
      <w:r>
        <w:tab/>
        <w:t xml:space="preserve">Huang, Y. P., (2022). Analysis of the significance of e-CNY issuance and its impact on the economy[J]. China Township Enterprise Accounting, 07: 6-8. </w:t>
      </w:r>
    </w:p>
    <w:p w14:paraId="3AF3F8FF" w14:textId="77777777" w:rsidR="00C82894" w:rsidRDefault="00C82894" w:rsidP="00C82894">
      <w:pPr>
        <w:spacing w:before="156" w:after="156"/>
      </w:pPr>
      <w:r>
        <w:t>[32].</w:t>
      </w:r>
      <w:r>
        <w:tab/>
        <w:t xml:space="preserve">Ba, S. S., Zhang, D. C., &amp; Zhu, Y. Q., (2020). Current status and trends in the development of global digital currencies. Financial Development Research (11), 3-9. DOI: 10.19647/j.cnki.37-1462/f.2020.11.001. </w:t>
      </w:r>
    </w:p>
    <w:p w14:paraId="3CA412AC" w14:textId="77777777" w:rsidR="00C82894" w:rsidRDefault="00C82894" w:rsidP="00C82894">
      <w:pPr>
        <w:spacing w:before="156" w:after="156"/>
      </w:pPr>
      <w:r>
        <w:t>[33].</w:t>
      </w:r>
      <w:r>
        <w:tab/>
        <w:t xml:space="preserve">Zhou, D. X., (2021). Research on financial accounting and management under the e-CNY pilot. China CPA, 12: 88-91. </w:t>
      </w:r>
    </w:p>
    <w:p w14:paraId="7D6D279F" w14:textId="77777777" w:rsidR="00C82894" w:rsidRDefault="00C82894" w:rsidP="00C82894">
      <w:pPr>
        <w:spacing w:before="156" w:after="156"/>
      </w:pPr>
      <w:r>
        <w:t>[34].</w:t>
      </w:r>
      <w:r>
        <w:tab/>
        <w:t xml:space="preserve">Meng, Y. T. (2022). The development status of mobile payment in China and related suggestions China Market (30), 196–198. DOI: 10.13939/j.cnki.zgsc.2022.30.196. </w:t>
      </w:r>
    </w:p>
    <w:p w14:paraId="5F96087A" w14:textId="77777777" w:rsidR="00C82894" w:rsidRDefault="00C82894" w:rsidP="00C82894">
      <w:pPr>
        <w:spacing w:before="156" w:after="156"/>
      </w:pPr>
      <w:r>
        <w:t>[35].</w:t>
      </w:r>
      <w:r>
        <w:tab/>
        <w:t>Jin, Q. (2023). The UTAUT Model in the Adoption of E-Learning Technology. Journal of Organizational and End User Computing, 35(1), pp.1–17. doi:https://doi.org/10.4018/joeuc.326607.</w:t>
      </w:r>
    </w:p>
    <w:p w14:paraId="19D02B21" w14:textId="77777777" w:rsidR="00C82894" w:rsidRDefault="00C82894" w:rsidP="00C82894">
      <w:pPr>
        <w:spacing w:before="156" w:after="156"/>
      </w:pPr>
      <w:r>
        <w:t>[36].</w:t>
      </w:r>
      <w:r>
        <w:tab/>
        <w:t xml:space="preserve">King, W.R. &amp; He, J. (2006). A Meta-analysis of the Technology Acceptance Model. Information &amp; Management, 43(6), pp.740–755. Doi: https://doi.org/10.1016/j.im.2006.05.003. </w:t>
      </w:r>
    </w:p>
    <w:p w14:paraId="62135FA9" w14:textId="77777777" w:rsidR="00C82894" w:rsidRDefault="00C82894" w:rsidP="00C82894">
      <w:pPr>
        <w:spacing w:before="156" w:after="156"/>
      </w:pPr>
      <w:r>
        <w:t>[37].</w:t>
      </w:r>
      <w:r>
        <w:tab/>
        <w:t>K. Pousttchi (2007). Mobile Payment and the Charging of Mobile Services. IGI Global eBooks, pp.547–552. doi:https://doi.org/10.4018/978-1-59904-002-8.ch091.</w:t>
      </w:r>
    </w:p>
    <w:p w14:paraId="1C49CBF6" w14:textId="77777777" w:rsidR="00C82894" w:rsidRDefault="00C82894" w:rsidP="00C82894">
      <w:pPr>
        <w:spacing w:before="156" w:after="156"/>
      </w:pPr>
      <w:r>
        <w:t>[38].</w:t>
      </w:r>
      <w:r>
        <w:tab/>
        <w:t>Kemp, S. (2015). Digital, Social &amp; Mobile Worldwide in 2015. [online] We Are Social USA. Available at: https://wearesocial.com/us/blog/2015/01/digital-social-mobile-worldwide-2015/.</w:t>
      </w:r>
    </w:p>
    <w:p w14:paraId="56224F9E" w14:textId="77777777" w:rsidR="00C82894" w:rsidRDefault="00C82894" w:rsidP="00C82894">
      <w:pPr>
        <w:spacing w:before="156" w:after="156"/>
      </w:pPr>
      <w:r>
        <w:t>[39].</w:t>
      </w:r>
      <w:r>
        <w:tab/>
        <w:t>Korhonen, I. (2020). Comments on Mobile Payment in China: Practice and Its Effects. Asian Economic Papers, 19(3), pp.19–20. doi:https://doi.org/10.1162/asep_a_00780.</w:t>
      </w:r>
    </w:p>
    <w:p w14:paraId="7D554386" w14:textId="77777777" w:rsidR="00C82894" w:rsidRDefault="00C82894" w:rsidP="00C82894">
      <w:pPr>
        <w:spacing w:before="156" w:after="156"/>
      </w:pPr>
      <w:r>
        <w:t>[40].</w:t>
      </w:r>
      <w:r>
        <w:tab/>
        <w:t xml:space="preserve">Lee, Y., Kozar, K.A. &amp; Larsen, K.R.T. (2003). The Technology Acceptance Model: Past, Present, and Future. Communications of the Association for Information Systems, [online] 12(50). Doi: https://doi.org/10.17705/1cais.01250. </w:t>
      </w:r>
    </w:p>
    <w:p w14:paraId="4B0C77CC" w14:textId="77777777" w:rsidR="00C82894" w:rsidRDefault="00C82894" w:rsidP="00C82894">
      <w:pPr>
        <w:spacing w:before="156" w:after="156"/>
      </w:pPr>
      <w:r>
        <w:t>[41].</w:t>
      </w:r>
      <w:r>
        <w:tab/>
        <w:t xml:space="preserve">Li, J., Wang, J., Wangh, S. &amp; Zhou, Y. (2019). Mobile Payment With Alipay: An Application of Extended Technology Acceptance Model. IEEE Access, 7, pp.50380–50387. https://doi.org/10.1109/access.2019.2902905. </w:t>
      </w:r>
    </w:p>
    <w:p w14:paraId="385C9A5C" w14:textId="77777777" w:rsidR="00C82894" w:rsidRDefault="00C82894" w:rsidP="00C82894">
      <w:pPr>
        <w:spacing w:before="156" w:after="156"/>
      </w:pPr>
      <w:r>
        <w:t>[42].</w:t>
      </w:r>
      <w:r>
        <w:tab/>
        <w:t>Maijanen, P. (2020). Teaching the history of strategic management. [online] china.elgaronline.com. Available at: https://china.elgaronline.com/edcollchap/edcoll/9781788978354/9781788978354.00009.xml [Accessed 31 Jan. 2024].</w:t>
      </w:r>
    </w:p>
    <w:p w14:paraId="539A9FAD" w14:textId="77777777" w:rsidR="00C82894" w:rsidRDefault="00C82894" w:rsidP="00C82894">
      <w:pPr>
        <w:spacing w:before="156" w:after="156"/>
      </w:pPr>
      <w:r>
        <w:t>[43].</w:t>
      </w:r>
      <w:r>
        <w:tab/>
        <w:t xml:space="preserve">Marikyan, D. &amp; Papagiannidis, S. (2023). Technology Acceptance Model: A review. In S. Papagiannidis (Ed), TheoryHub Book. Available at http://open.ncl.ac.uk / ISBN: 9781739604400. </w:t>
      </w:r>
    </w:p>
    <w:p w14:paraId="6DEC8B08" w14:textId="77777777" w:rsidR="00C82894" w:rsidRDefault="00C82894" w:rsidP="00C82894">
      <w:pPr>
        <w:spacing w:before="156" w:after="156"/>
      </w:pPr>
      <w:r>
        <w:t>[44].</w:t>
      </w:r>
      <w:r>
        <w:tab/>
        <w:t>Martiana Kholila Fadhil and Apol Pribadi Subriadi (2023). Factor Affecting Behavior Intention To Use Mobile Payment Adoption: An Analysis Of Literature Review. IEEE. doi:https://doi.org/10.1109/iccosite57641.2023.10127839.</w:t>
      </w:r>
    </w:p>
    <w:p w14:paraId="269EB449" w14:textId="77777777" w:rsidR="00C82894" w:rsidRDefault="00C82894" w:rsidP="00C82894">
      <w:pPr>
        <w:spacing w:before="156" w:after="156"/>
      </w:pPr>
      <w:r>
        <w:t>[45].</w:t>
      </w:r>
      <w:r>
        <w:tab/>
        <w:t xml:space="preserve">Meister, J., Willyerd, K., (2010) The 2020 Workplace: How innovative Companies Attract, Develop, and Keep Tomorrow's Employees Today HarperCollins. </w:t>
      </w:r>
    </w:p>
    <w:p w14:paraId="31770A18" w14:textId="77777777" w:rsidR="00C82894" w:rsidRDefault="00C82894" w:rsidP="00C82894">
      <w:pPr>
        <w:spacing w:before="156" w:after="156"/>
      </w:pPr>
      <w:r>
        <w:t>[46].</w:t>
      </w:r>
      <w:r>
        <w:tab/>
        <w:t>Mumford, E. (2006). The story of socio-technical design: reflections on its successes, failures and potential. Information Systems Journal, 16(4), pp.317–342. doi:https://doi.org/10.1111/j.1365-2575.2006.00221.x.</w:t>
      </w:r>
    </w:p>
    <w:p w14:paraId="3ECB0FB0" w14:textId="77777777" w:rsidR="00C82894" w:rsidRDefault="00C82894" w:rsidP="00C82894">
      <w:pPr>
        <w:spacing w:before="156" w:after="156"/>
      </w:pPr>
      <w:r>
        <w:t>[47].</w:t>
      </w:r>
      <w:r>
        <w:tab/>
        <w:t>Noerlina Noerlina, Djak Cindy Freda, Mayo, G., Yehezkiel Kevin Tirtawijaya and Samuel, J. (2023). The Future Prospect of Mobile Banking Technology Enhancement in Indonesia. Business Economic, Communication, and Social Sciences (BECOSS) Journal, 5(1), pp.25–34. doi:https://doi.org/10.21512/becossjournal.v5i1.8743.</w:t>
      </w:r>
    </w:p>
    <w:p w14:paraId="0F25AC08" w14:textId="77777777" w:rsidR="00C82894" w:rsidRDefault="00C82894" w:rsidP="00C82894">
      <w:pPr>
        <w:spacing w:before="156" w:after="156"/>
      </w:pPr>
      <w:r>
        <w:t>[48].</w:t>
      </w:r>
      <w:r>
        <w:tab/>
        <w:t>Orcos, R. and Palomas, S. (2018). The impact of national culture on the adoption of environmental management standards. Academy of Management Proceedings, 2018(1), p.14848. doi:https://doi.org/10.5465/ambpp.2018.104.</w:t>
      </w:r>
    </w:p>
    <w:p w14:paraId="33456142" w14:textId="77777777" w:rsidR="00C82894" w:rsidRDefault="00C82894" w:rsidP="00C82894">
      <w:pPr>
        <w:spacing w:before="156" w:after="156"/>
      </w:pPr>
      <w:r>
        <w:t>[49].</w:t>
      </w:r>
      <w:r>
        <w:tab/>
        <w:t xml:space="preserve">Song, Q. H., Yang, X. Y., &amp;Yang, J. J., (2023). Steady promotion of e-CNY development[J]. Tsinghua Financial Review, 05: 58-60. DOI: 10.19409/j.cnki.thf-review.2023.05.018. </w:t>
      </w:r>
    </w:p>
    <w:p w14:paraId="07B0FD38" w14:textId="77777777" w:rsidR="00C82894" w:rsidRDefault="00C82894" w:rsidP="00C82894">
      <w:pPr>
        <w:spacing w:before="156" w:after="156"/>
      </w:pPr>
      <w:r>
        <w:t>[50].</w:t>
      </w:r>
      <w:r>
        <w:tab/>
        <w:t>Sulaeman, M.M., Suhartono, E. and Wibowo, S.N. (2023). Knowledge Management as a Strategic Pillar in Organisational Adaptation to the Dynamics of Business Environment Change. Journal of Contemporary Administration and Management (ADMAN), [online] 1(3), pp.208–214. doi:https://doi.org/10.61100/adman.v1i3.82.</w:t>
      </w:r>
    </w:p>
    <w:p w14:paraId="2BEEF176" w14:textId="77777777" w:rsidR="00C82894" w:rsidRDefault="00C82894" w:rsidP="00C82894">
      <w:pPr>
        <w:spacing w:before="156" w:after="156"/>
      </w:pPr>
      <w:r>
        <w:t>[51].</w:t>
      </w:r>
      <w:r>
        <w:tab/>
        <w:t>Suyunchaliyeva, M.M., Nautiyal, R., Shaikh, A.A. and Sharma, R. (2021). The Use of Mobile Payment Systems in Post-COVID-19 Economic Recovery: Primary Research on an Emerging Market for Experience Goods. Sustainability, [online] 13(24), p.13511. doi:https://doi.org/10.3390/su132413511.</w:t>
      </w:r>
    </w:p>
    <w:p w14:paraId="08B2047A" w14:textId="77777777" w:rsidR="00C82894" w:rsidRDefault="00C82894" w:rsidP="00C82894">
      <w:pPr>
        <w:spacing w:before="156" w:after="156"/>
      </w:pPr>
      <w:r>
        <w:t>[52].</w:t>
      </w:r>
      <w:r>
        <w:tab/>
        <w:t xml:space="preserve">Tao, L.M., (2022). Opportunities, challenges and policy recommendations for the development of e-CNY. Enterprise Economics, 02: 5-16. DOI: 10.13529/j.cnki.enterprise.economy </w:t>
      </w:r>
    </w:p>
    <w:p w14:paraId="3062702C" w14:textId="77777777" w:rsidR="00C82894" w:rsidRDefault="00C82894" w:rsidP="00C82894">
      <w:pPr>
        <w:spacing w:before="156" w:after="156"/>
      </w:pPr>
      <w:r>
        <w:t>[53].</w:t>
      </w:r>
      <w:r>
        <w:tab/>
        <w:t xml:space="preserve">Van der Heijden, H. (2003). Factors influencing the usage of websites: the case of a generic portal in The Netherlands. Information &amp; Management, [online] 40(6), pp.541–549. Doi: https://doi.org/10.1016/s0378-7206(02)00079-4. </w:t>
      </w:r>
    </w:p>
    <w:p w14:paraId="4B761622" w14:textId="77777777" w:rsidR="00C82894" w:rsidRDefault="00C82894" w:rsidP="00C82894">
      <w:pPr>
        <w:spacing w:before="156" w:after="156"/>
      </w:pPr>
      <w:r>
        <w:t>[54].</w:t>
      </w:r>
      <w:r>
        <w:tab/>
        <w:t xml:space="preserve">Venkatesh, Thong, &amp; Xu (2012). Consumer Acceptance and Use of Information Technology: Extending the Unified Theory of Acceptance and Use of Technology. MIS Quarterly, 36 (1), 157. </w:t>
      </w:r>
    </w:p>
    <w:p w14:paraId="0C3C0181" w14:textId="77777777" w:rsidR="00C82894" w:rsidRDefault="00C82894" w:rsidP="00C82894">
      <w:pPr>
        <w:spacing w:before="156" w:after="156"/>
      </w:pPr>
      <w:r>
        <w:t>[55].</w:t>
      </w:r>
      <w:r>
        <w:tab/>
        <w:t>Venkatesh, V. and Davis, F.D. (2020). A Theoretical Extension of the Technology Acceptance Model: Four Longitudinal Field Studies. Management Science, 46(2), pp.186–204.</w:t>
      </w:r>
    </w:p>
    <w:p w14:paraId="75125B98" w14:textId="77777777" w:rsidR="00C82894" w:rsidRDefault="00C82894" w:rsidP="00C82894">
      <w:pPr>
        <w:spacing w:before="156" w:after="156"/>
      </w:pPr>
      <w:r>
        <w:t>[56].</w:t>
      </w:r>
      <w:r>
        <w:tab/>
        <w:t>Vuković, D., Jurič, B. and Krnjak, I. (2022). Influence of the Emotion of Fear on Patterns of Consumer Behavior toward Dietary Supplements during the COVID-19 Pandemic. Journal of Risk and Financial Management, 15(6), p.257. doi:https://doi.org/10.3390/jrfm15060257.</w:t>
      </w:r>
    </w:p>
    <w:p w14:paraId="5C50DD17" w14:textId="77777777" w:rsidR="00C82894" w:rsidRDefault="00C82894" w:rsidP="00C82894">
      <w:pPr>
        <w:spacing w:before="156" w:after="156"/>
      </w:pPr>
      <w:r>
        <w:t>[57].</w:t>
      </w:r>
      <w:r>
        <w:tab/>
        <w:t xml:space="preserve">Wren, D., and Bedeian, A., (2020) The Evolution of Management Thought, 8th Ed. John Wiley &amp; Sons </w:t>
      </w:r>
    </w:p>
    <w:p w14:paraId="253E9366" w14:textId="77777777" w:rsidR="00C82894" w:rsidRDefault="00C82894" w:rsidP="00C82894">
      <w:pPr>
        <w:spacing w:before="156" w:after="156"/>
      </w:pPr>
      <w:r>
        <w:t>[58].</w:t>
      </w:r>
      <w:r>
        <w:tab/>
        <w:t xml:space="preserve">Yang, K. (2005). Exploring Factors Affecting the Adoption of Mobile Commerce in Singapore. Telematics and Informatics, Vol. 22, No. 3, 257-277. </w:t>
      </w:r>
    </w:p>
    <w:p w14:paraId="6CA973F0" w14:textId="77777777" w:rsidR="00C82894" w:rsidRDefault="00C82894" w:rsidP="00C82894">
      <w:pPr>
        <w:spacing w:before="156" w:after="156"/>
      </w:pPr>
      <w:r>
        <w:t>[59].</w:t>
      </w:r>
      <w:r>
        <w:tab/>
        <w:t>Yan, X. (2021). Towards a More Competitive Mobile Payment Industry: Standardization And Beyond. Journal Of Competition Law &amp; Economics, 17(2), pp.405–436. doi:https://doi.org/10.1093/joclec/nhaa029.</w:t>
      </w:r>
    </w:p>
    <w:p w14:paraId="3BD1ADC2" w14:textId="77777777" w:rsidR="00C82894" w:rsidRDefault="00C82894" w:rsidP="00C82894">
      <w:pPr>
        <w:spacing w:before="156" w:after="156"/>
      </w:pPr>
      <w:r>
        <w:t>[60].</w:t>
      </w:r>
      <w:r>
        <w:tab/>
        <w:t>Yong, C., Tham, J., Azam, S.M.F. and Khatibi, A. (2021). THE ACCEPTANCE OF MOBILE PAYMENT AND SUSTAINABLE USAGE INTENTION IN MALAYSIA: AN ANALYSIS BASED ON UNIFIED THEORY OF ACCEPTANCE AND USE OF TECHNOLOGY (UTAUT). European Journal of Economic and Financial Research, 5(3). doi:https://doi.org/10.46827/ejefr.v5i3.1191.</w:t>
      </w:r>
    </w:p>
    <w:p w14:paraId="654A8D80" w14:textId="7603B0C8" w:rsidR="00BD57C2" w:rsidRDefault="00C82894" w:rsidP="00C82894">
      <w:pPr>
        <w:spacing w:before="156" w:after="156"/>
      </w:pPr>
      <w:r>
        <w:t>[61].</w:t>
      </w:r>
      <w:r>
        <w:tab/>
        <w:t>Zhong, Y. and Moon, H.C. (2023). Investigating the Impact of Industry 4.0 Technology through a TOE-Based Innovation Model. Systems, [online] 11(6), p.277. doi:https://doi.org/10.3390/systems11060277.</w:t>
      </w:r>
    </w:p>
    <w:sectPr w:rsidR="00BD57C2">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D4157"/>
    <w:multiLevelType w:val="multilevel"/>
    <w:tmpl w:val="A5B0C470"/>
    <w:lvl w:ilvl="0">
      <w:start w:val="1"/>
      <w:numFmt w:val="decimal"/>
      <w:lvlText w:val="%1."/>
      <w:lvlJc w:val="left"/>
      <w:pPr>
        <w:ind w:left="360" w:hanging="360"/>
      </w:pPr>
      <w:rPr>
        <w:rFonts w:hint="default"/>
      </w:rPr>
    </w:lvl>
    <w:lvl w:ilvl="1">
      <w:start w:val="1"/>
      <w:numFmt w:val="decimal"/>
      <w:isLgl/>
      <w:lvlText w:val="%1.%2"/>
      <w:lvlJc w:val="left"/>
      <w:pPr>
        <w:ind w:left="405" w:hanging="405"/>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2A1A64F5"/>
    <w:multiLevelType w:val="hybridMultilevel"/>
    <w:tmpl w:val="AD02A962"/>
    <w:lvl w:ilvl="0" w:tplc="7C84677E">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064134573">
    <w:abstractNumId w:val="0"/>
  </w:num>
  <w:num w:numId="2" w16cid:durableId="14920158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stylePaneFormatFilter w:val="1021" w:allStyles="1" w:customStyles="0" w:latentStyles="0" w:stylesInUse="0" w:headingStyles="1" w:numberingStyles="0" w:tableStyles="0" w:directFormattingOnRuns="0" w:directFormattingOnParagraphs="0" w:directFormattingOnNumbering="0" w:directFormattingOnTables="0" w:clearFormatting="1" w:top3HeadingStyles="0" w:visibleStyles="0" w:alternateStyleNames="0"/>
  <w:defaultTabStop w:val="420"/>
  <w:characterSpacingControl w:val="doNotCompress"/>
  <w:compat>
    <w:useFELayout/>
    <w:compatSetting w:name="compatibilityMode" w:uri="http://schemas.microsoft.com/office/word" w:val="12"/>
    <w:compatSetting w:name="useWord2013TrackBottomHyphenation" w:uri="http://schemas.microsoft.com/office/word" w:val="1"/>
  </w:compat>
  <w:rsids>
    <w:rsidRoot w:val="00A149BA"/>
    <w:rsid w:val="0000435A"/>
    <w:rsid w:val="0001357D"/>
    <w:rsid w:val="000963A4"/>
    <w:rsid w:val="000B077F"/>
    <w:rsid w:val="000E01DF"/>
    <w:rsid w:val="000E6CB5"/>
    <w:rsid w:val="000F7CE3"/>
    <w:rsid w:val="00104E71"/>
    <w:rsid w:val="00122A0D"/>
    <w:rsid w:val="00157F38"/>
    <w:rsid w:val="00166B38"/>
    <w:rsid w:val="0017682D"/>
    <w:rsid w:val="001C0C2E"/>
    <w:rsid w:val="001C3724"/>
    <w:rsid w:val="001C7B28"/>
    <w:rsid w:val="00207690"/>
    <w:rsid w:val="00210CEA"/>
    <w:rsid w:val="00260ECB"/>
    <w:rsid w:val="0026414F"/>
    <w:rsid w:val="002664F7"/>
    <w:rsid w:val="00297B64"/>
    <w:rsid w:val="002E5369"/>
    <w:rsid w:val="002F0284"/>
    <w:rsid w:val="00345352"/>
    <w:rsid w:val="003607F7"/>
    <w:rsid w:val="00375566"/>
    <w:rsid w:val="003A67A8"/>
    <w:rsid w:val="003F4401"/>
    <w:rsid w:val="004625B5"/>
    <w:rsid w:val="004C6F4A"/>
    <w:rsid w:val="0050189E"/>
    <w:rsid w:val="00510F15"/>
    <w:rsid w:val="00521321"/>
    <w:rsid w:val="00522F5D"/>
    <w:rsid w:val="00564A8C"/>
    <w:rsid w:val="00570FAA"/>
    <w:rsid w:val="00585803"/>
    <w:rsid w:val="005A0FD3"/>
    <w:rsid w:val="005A7F93"/>
    <w:rsid w:val="005C1624"/>
    <w:rsid w:val="005D3209"/>
    <w:rsid w:val="00612F7C"/>
    <w:rsid w:val="00614C24"/>
    <w:rsid w:val="00625DAD"/>
    <w:rsid w:val="00640E68"/>
    <w:rsid w:val="00643CFC"/>
    <w:rsid w:val="00662180"/>
    <w:rsid w:val="00664971"/>
    <w:rsid w:val="00667291"/>
    <w:rsid w:val="006D1FAC"/>
    <w:rsid w:val="006E631C"/>
    <w:rsid w:val="006F3793"/>
    <w:rsid w:val="007463FC"/>
    <w:rsid w:val="007E2652"/>
    <w:rsid w:val="008864E0"/>
    <w:rsid w:val="008A7F3E"/>
    <w:rsid w:val="008C1935"/>
    <w:rsid w:val="008D7F3B"/>
    <w:rsid w:val="00900E61"/>
    <w:rsid w:val="009453BE"/>
    <w:rsid w:val="0095685D"/>
    <w:rsid w:val="009802CD"/>
    <w:rsid w:val="009B05D0"/>
    <w:rsid w:val="009F4F00"/>
    <w:rsid w:val="00A149BA"/>
    <w:rsid w:val="00A26C7D"/>
    <w:rsid w:val="00A770C7"/>
    <w:rsid w:val="00AC4DCF"/>
    <w:rsid w:val="00AE148B"/>
    <w:rsid w:val="00AE259C"/>
    <w:rsid w:val="00BA220D"/>
    <w:rsid w:val="00BB6552"/>
    <w:rsid w:val="00BB71D0"/>
    <w:rsid w:val="00BC6D15"/>
    <w:rsid w:val="00BD57C2"/>
    <w:rsid w:val="00BE67AF"/>
    <w:rsid w:val="00C04066"/>
    <w:rsid w:val="00C11DEC"/>
    <w:rsid w:val="00C168C5"/>
    <w:rsid w:val="00C72208"/>
    <w:rsid w:val="00C82894"/>
    <w:rsid w:val="00C93C5D"/>
    <w:rsid w:val="00C9492D"/>
    <w:rsid w:val="00C978C1"/>
    <w:rsid w:val="00CC6366"/>
    <w:rsid w:val="00D103E6"/>
    <w:rsid w:val="00D67E84"/>
    <w:rsid w:val="00D77AF8"/>
    <w:rsid w:val="00D93B96"/>
    <w:rsid w:val="00DA5EE4"/>
    <w:rsid w:val="00DA6A73"/>
    <w:rsid w:val="00DB62FF"/>
    <w:rsid w:val="00DC11F1"/>
    <w:rsid w:val="00DE63E3"/>
    <w:rsid w:val="00E4432B"/>
    <w:rsid w:val="00E94493"/>
    <w:rsid w:val="00EA7023"/>
    <w:rsid w:val="00EB12B5"/>
    <w:rsid w:val="00EC28F9"/>
    <w:rsid w:val="00F10E23"/>
    <w:rsid w:val="00F37C7F"/>
    <w:rsid w:val="00F5710D"/>
    <w:rsid w:val="00F62314"/>
    <w:rsid w:val="00F879A2"/>
    <w:rsid w:val="00FA5BB1"/>
    <w:rsid w:val="00FE135A"/>
    <w:rsid w:val="00FF0BF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A179920"/>
  <w15:chartTrackingRefBased/>
  <w15:docId w15:val="{2A8A312E-CF04-4333-AD14-842C140771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1"/>
        <w:lang w:val="en-US" w:eastAsia="zh-CN" w:bidi="ar-SA"/>
      </w:rPr>
    </w:rPrDefault>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1" w:unhideWhenUsed="1" w:qFormat="1"/>
    <w:lsdException w:name="heading 3" w:semiHidden="1" w:uiPriority="1"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7463FC"/>
    <w:pPr>
      <w:widowControl w:val="0"/>
      <w:spacing w:beforeLines="50" w:before="50" w:afterLines="50" w:after="50" w:line="360" w:lineRule="auto"/>
      <w:jc w:val="both"/>
    </w:pPr>
    <w:rPr>
      <w:rFonts w:ascii="Arial" w:eastAsia="宋体" w:hAnsi="Arial"/>
      <w:sz w:val="24"/>
      <w:lang w:val="en-GB"/>
    </w:rPr>
  </w:style>
  <w:style w:type="paragraph" w:styleId="1">
    <w:name w:val="heading 1"/>
    <w:basedOn w:val="a"/>
    <w:next w:val="a"/>
    <w:link w:val="10"/>
    <w:autoRedefine/>
    <w:uiPriority w:val="1"/>
    <w:qFormat/>
    <w:rsid w:val="00BD57C2"/>
    <w:pPr>
      <w:keepNext/>
      <w:keepLines/>
      <w:adjustRightInd w:val="0"/>
      <w:spacing w:before="156" w:after="156"/>
      <w:outlineLvl w:val="0"/>
    </w:pPr>
    <w:rPr>
      <w:b/>
      <w:bCs/>
      <w:kern w:val="44"/>
      <w:sz w:val="28"/>
      <w:szCs w:val="44"/>
    </w:rPr>
  </w:style>
  <w:style w:type="paragraph" w:styleId="2">
    <w:name w:val="heading 2"/>
    <w:basedOn w:val="a"/>
    <w:next w:val="a"/>
    <w:link w:val="20"/>
    <w:uiPriority w:val="1"/>
    <w:unhideWhenUsed/>
    <w:qFormat/>
    <w:rsid w:val="00DB62FF"/>
    <w:pPr>
      <w:keepNext/>
      <w:keepLines/>
      <w:outlineLvl w:val="1"/>
    </w:pPr>
    <w:rPr>
      <w:rFonts w:cstheme="majorBidi"/>
      <w:b/>
      <w:bCs/>
      <w:szCs w:val="32"/>
    </w:rPr>
  </w:style>
  <w:style w:type="paragraph" w:styleId="3">
    <w:name w:val="heading 3"/>
    <w:basedOn w:val="a"/>
    <w:next w:val="a"/>
    <w:link w:val="30"/>
    <w:uiPriority w:val="1"/>
    <w:unhideWhenUsed/>
    <w:qFormat/>
    <w:rsid w:val="00DB62FF"/>
    <w:pPr>
      <w:keepNext/>
      <w:keepLines/>
      <w:outlineLvl w:val="2"/>
    </w:pPr>
    <w:rPr>
      <w:b/>
      <w:bCs/>
      <w:szCs w:val="32"/>
    </w:rPr>
  </w:style>
  <w:style w:type="paragraph" w:styleId="4">
    <w:name w:val="heading 4"/>
    <w:basedOn w:val="a"/>
    <w:next w:val="a"/>
    <w:link w:val="40"/>
    <w:uiPriority w:val="9"/>
    <w:semiHidden/>
    <w:unhideWhenUsed/>
    <w:qFormat/>
    <w:rsid w:val="00A149BA"/>
    <w:pPr>
      <w:keepNext/>
      <w:keepLines/>
      <w:spacing w:before="80" w:after="40"/>
      <w:outlineLvl w:val="3"/>
    </w:pPr>
    <w:rPr>
      <w:rFonts w:asciiTheme="minorHAnsi" w:hAnsiTheme="minorHAnsi" w:cstheme="majorBidi"/>
      <w:color w:val="0F4761" w:themeColor="accent1" w:themeShade="BF"/>
      <w:sz w:val="28"/>
      <w:szCs w:val="28"/>
    </w:rPr>
  </w:style>
  <w:style w:type="paragraph" w:styleId="5">
    <w:name w:val="heading 5"/>
    <w:basedOn w:val="a"/>
    <w:next w:val="a"/>
    <w:link w:val="50"/>
    <w:uiPriority w:val="9"/>
    <w:semiHidden/>
    <w:unhideWhenUsed/>
    <w:qFormat/>
    <w:rsid w:val="00A149BA"/>
    <w:pPr>
      <w:keepNext/>
      <w:keepLines/>
      <w:spacing w:before="80" w:after="40"/>
      <w:outlineLvl w:val="4"/>
    </w:pPr>
    <w:rPr>
      <w:rFonts w:asciiTheme="minorHAnsi" w:hAnsiTheme="minorHAnsi" w:cstheme="majorBidi"/>
      <w:color w:val="0F4761" w:themeColor="accent1" w:themeShade="BF"/>
      <w:szCs w:val="24"/>
    </w:rPr>
  </w:style>
  <w:style w:type="paragraph" w:styleId="6">
    <w:name w:val="heading 6"/>
    <w:basedOn w:val="a"/>
    <w:next w:val="a"/>
    <w:link w:val="60"/>
    <w:uiPriority w:val="9"/>
    <w:semiHidden/>
    <w:unhideWhenUsed/>
    <w:qFormat/>
    <w:rsid w:val="00A149BA"/>
    <w:pPr>
      <w:keepNext/>
      <w:keepLines/>
      <w:spacing w:before="40" w:after="0"/>
      <w:outlineLvl w:val="5"/>
    </w:pPr>
    <w:rPr>
      <w:rFonts w:asciiTheme="minorHAnsi" w:hAnsiTheme="minorHAnsi" w:cstheme="majorBidi"/>
      <w:b/>
      <w:bCs/>
      <w:color w:val="0F4761" w:themeColor="accent1" w:themeShade="BF"/>
    </w:rPr>
  </w:style>
  <w:style w:type="paragraph" w:styleId="7">
    <w:name w:val="heading 7"/>
    <w:basedOn w:val="a"/>
    <w:next w:val="a"/>
    <w:link w:val="70"/>
    <w:uiPriority w:val="9"/>
    <w:semiHidden/>
    <w:unhideWhenUsed/>
    <w:qFormat/>
    <w:rsid w:val="00A149BA"/>
    <w:pPr>
      <w:keepNext/>
      <w:keepLines/>
      <w:spacing w:before="40" w:after="0"/>
      <w:outlineLvl w:val="6"/>
    </w:pPr>
    <w:rPr>
      <w:rFonts w:asciiTheme="minorHAnsi" w:hAnsiTheme="minorHAnsi" w:cstheme="majorBidi"/>
      <w:b/>
      <w:bCs/>
      <w:color w:val="595959" w:themeColor="text1" w:themeTint="A6"/>
    </w:rPr>
  </w:style>
  <w:style w:type="paragraph" w:styleId="8">
    <w:name w:val="heading 8"/>
    <w:basedOn w:val="a"/>
    <w:next w:val="a"/>
    <w:link w:val="80"/>
    <w:uiPriority w:val="9"/>
    <w:semiHidden/>
    <w:unhideWhenUsed/>
    <w:qFormat/>
    <w:rsid w:val="00A149BA"/>
    <w:pPr>
      <w:keepNext/>
      <w:keepLines/>
      <w:spacing w:before="0" w:after="0"/>
      <w:outlineLvl w:val="7"/>
    </w:pPr>
    <w:rPr>
      <w:rFonts w:asciiTheme="minorHAnsi" w:hAnsiTheme="minorHAnsi" w:cstheme="majorBidi"/>
      <w:color w:val="595959" w:themeColor="text1" w:themeTint="A6"/>
    </w:rPr>
  </w:style>
  <w:style w:type="paragraph" w:styleId="9">
    <w:name w:val="heading 9"/>
    <w:basedOn w:val="a"/>
    <w:next w:val="a"/>
    <w:link w:val="90"/>
    <w:uiPriority w:val="9"/>
    <w:semiHidden/>
    <w:unhideWhenUsed/>
    <w:qFormat/>
    <w:rsid w:val="00A149BA"/>
    <w:pPr>
      <w:keepNext/>
      <w:keepLines/>
      <w:spacing w:before="0" w:after="0"/>
      <w:outlineLvl w:val="8"/>
    </w:pPr>
    <w:rPr>
      <w:rFonts w:asciiTheme="minorHAnsi" w:eastAsiaTheme="majorEastAsia" w:hAnsiTheme="minorHAnsi"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1"/>
    <w:rsid w:val="00BD57C2"/>
    <w:rPr>
      <w:rFonts w:ascii="Arial" w:eastAsia="宋体" w:hAnsi="Arial"/>
      <w:b/>
      <w:bCs/>
      <w:kern w:val="44"/>
      <w:sz w:val="28"/>
      <w:szCs w:val="44"/>
      <w:lang w:val="en-GB"/>
    </w:rPr>
  </w:style>
  <w:style w:type="character" w:customStyle="1" w:styleId="20">
    <w:name w:val="标题 2 字符"/>
    <w:basedOn w:val="a0"/>
    <w:link w:val="2"/>
    <w:uiPriority w:val="1"/>
    <w:rsid w:val="00DB62FF"/>
    <w:rPr>
      <w:rFonts w:ascii="Arial" w:eastAsia="宋体" w:hAnsi="Arial" w:cstheme="majorBidi"/>
      <w:b/>
      <w:bCs/>
      <w:sz w:val="24"/>
      <w:szCs w:val="32"/>
      <w:lang w:val="en-GB"/>
    </w:rPr>
  </w:style>
  <w:style w:type="paragraph" w:styleId="TOC3">
    <w:name w:val="toc 3"/>
    <w:basedOn w:val="a"/>
    <w:next w:val="a"/>
    <w:autoRedefine/>
    <w:uiPriority w:val="39"/>
    <w:unhideWhenUsed/>
    <w:qFormat/>
    <w:rsid w:val="00DB62FF"/>
  </w:style>
  <w:style w:type="paragraph" w:styleId="TOC2">
    <w:name w:val="toc 2"/>
    <w:basedOn w:val="a"/>
    <w:next w:val="a"/>
    <w:autoRedefine/>
    <w:uiPriority w:val="39"/>
    <w:unhideWhenUsed/>
    <w:qFormat/>
    <w:rsid w:val="00DB62FF"/>
  </w:style>
  <w:style w:type="paragraph" w:styleId="TOC1">
    <w:name w:val="toc 1"/>
    <w:basedOn w:val="a"/>
    <w:next w:val="a"/>
    <w:autoRedefine/>
    <w:uiPriority w:val="39"/>
    <w:unhideWhenUsed/>
    <w:qFormat/>
    <w:rsid w:val="00DB62FF"/>
  </w:style>
  <w:style w:type="character" w:customStyle="1" w:styleId="30">
    <w:name w:val="标题 3 字符"/>
    <w:basedOn w:val="a0"/>
    <w:link w:val="3"/>
    <w:uiPriority w:val="1"/>
    <w:rsid w:val="00DB62FF"/>
    <w:rPr>
      <w:rFonts w:ascii="Arial" w:hAnsi="Arial"/>
      <w:b/>
      <w:bCs/>
      <w:sz w:val="24"/>
      <w:szCs w:val="32"/>
      <w:lang w:val="en-GB"/>
    </w:rPr>
  </w:style>
  <w:style w:type="paragraph" w:styleId="a3">
    <w:name w:val="Date"/>
    <w:basedOn w:val="a"/>
    <w:next w:val="a"/>
    <w:link w:val="a4"/>
    <w:uiPriority w:val="99"/>
    <w:semiHidden/>
    <w:unhideWhenUsed/>
    <w:rsid w:val="00DB62FF"/>
    <w:pPr>
      <w:ind w:leftChars="2500" w:left="100"/>
    </w:pPr>
  </w:style>
  <w:style w:type="character" w:customStyle="1" w:styleId="a4">
    <w:name w:val="日期 字符"/>
    <w:basedOn w:val="a0"/>
    <w:link w:val="a3"/>
    <w:uiPriority w:val="99"/>
    <w:semiHidden/>
    <w:rsid w:val="00DB62FF"/>
    <w:rPr>
      <w:rFonts w:ascii="Arial" w:hAnsi="Arial"/>
      <w:sz w:val="24"/>
      <w:lang w:val="en-GB"/>
    </w:rPr>
  </w:style>
  <w:style w:type="character" w:styleId="a5">
    <w:name w:val="Hyperlink"/>
    <w:basedOn w:val="a0"/>
    <w:uiPriority w:val="99"/>
    <w:unhideWhenUsed/>
    <w:rsid w:val="00DB62FF"/>
    <w:rPr>
      <w:color w:val="467886" w:themeColor="hyperlink"/>
      <w:u w:val="single"/>
    </w:rPr>
  </w:style>
  <w:style w:type="paragraph" w:styleId="a6">
    <w:name w:val="No Spacing"/>
    <w:uiPriority w:val="99"/>
    <w:qFormat/>
    <w:rsid w:val="00DB62FF"/>
    <w:pPr>
      <w:widowControl w:val="0"/>
      <w:wordWrap w:val="0"/>
      <w:jc w:val="both"/>
    </w:pPr>
    <w:rPr>
      <w:rFonts w:ascii="Arial" w:hAnsi="Arial"/>
      <w:sz w:val="24"/>
      <w:lang w:val="en-GB"/>
    </w:rPr>
  </w:style>
  <w:style w:type="paragraph" w:styleId="a7">
    <w:name w:val="List Paragraph"/>
    <w:basedOn w:val="a"/>
    <w:uiPriority w:val="34"/>
    <w:qFormat/>
    <w:rsid w:val="00DB62FF"/>
    <w:pPr>
      <w:ind w:firstLineChars="200" w:firstLine="420"/>
    </w:pPr>
  </w:style>
  <w:style w:type="character" w:customStyle="1" w:styleId="40">
    <w:name w:val="标题 4 字符"/>
    <w:basedOn w:val="a0"/>
    <w:link w:val="4"/>
    <w:uiPriority w:val="9"/>
    <w:semiHidden/>
    <w:rsid w:val="00A149BA"/>
    <w:rPr>
      <w:rFonts w:cstheme="majorBidi"/>
      <w:color w:val="0F4761" w:themeColor="accent1" w:themeShade="BF"/>
      <w:sz w:val="28"/>
      <w:szCs w:val="28"/>
    </w:rPr>
  </w:style>
  <w:style w:type="character" w:customStyle="1" w:styleId="50">
    <w:name w:val="标题 5 字符"/>
    <w:basedOn w:val="a0"/>
    <w:link w:val="5"/>
    <w:uiPriority w:val="9"/>
    <w:semiHidden/>
    <w:rsid w:val="00A149BA"/>
    <w:rPr>
      <w:rFonts w:cstheme="majorBidi"/>
      <w:color w:val="0F4761" w:themeColor="accent1" w:themeShade="BF"/>
      <w:sz w:val="24"/>
      <w:szCs w:val="24"/>
    </w:rPr>
  </w:style>
  <w:style w:type="character" w:customStyle="1" w:styleId="60">
    <w:name w:val="标题 6 字符"/>
    <w:basedOn w:val="a0"/>
    <w:link w:val="6"/>
    <w:uiPriority w:val="9"/>
    <w:semiHidden/>
    <w:rsid w:val="00A149BA"/>
    <w:rPr>
      <w:rFonts w:cstheme="majorBidi"/>
      <w:b/>
      <w:bCs/>
      <w:color w:val="0F4761" w:themeColor="accent1" w:themeShade="BF"/>
      <w:sz w:val="24"/>
    </w:rPr>
  </w:style>
  <w:style w:type="character" w:customStyle="1" w:styleId="70">
    <w:name w:val="标题 7 字符"/>
    <w:basedOn w:val="a0"/>
    <w:link w:val="7"/>
    <w:uiPriority w:val="9"/>
    <w:semiHidden/>
    <w:rsid w:val="00A149BA"/>
    <w:rPr>
      <w:rFonts w:cstheme="majorBidi"/>
      <w:b/>
      <w:bCs/>
      <w:color w:val="595959" w:themeColor="text1" w:themeTint="A6"/>
      <w:sz w:val="24"/>
    </w:rPr>
  </w:style>
  <w:style w:type="character" w:customStyle="1" w:styleId="80">
    <w:name w:val="标题 8 字符"/>
    <w:basedOn w:val="a0"/>
    <w:link w:val="8"/>
    <w:uiPriority w:val="9"/>
    <w:semiHidden/>
    <w:rsid w:val="00A149BA"/>
    <w:rPr>
      <w:rFonts w:cstheme="majorBidi"/>
      <w:color w:val="595959" w:themeColor="text1" w:themeTint="A6"/>
      <w:sz w:val="24"/>
    </w:rPr>
  </w:style>
  <w:style w:type="character" w:customStyle="1" w:styleId="90">
    <w:name w:val="标题 9 字符"/>
    <w:basedOn w:val="a0"/>
    <w:link w:val="9"/>
    <w:uiPriority w:val="9"/>
    <w:semiHidden/>
    <w:rsid w:val="00A149BA"/>
    <w:rPr>
      <w:rFonts w:eastAsiaTheme="majorEastAsia" w:cstheme="majorBidi"/>
      <w:color w:val="595959" w:themeColor="text1" w:themeTint="A6"/>
      <w:sz w:val="24"/>
    </w:rPr>
  </w:style>
  <w:style w:type="paragraph" w:styleId="a8">
    <w:name w:val="Title"/>
    <w:basedOn w:val="a"/>
    <w:next w:val="a"/>
    <w:link w:val="a9"/>
    <w:uiPriority w:val="10"/>
    <w:qFormat/>
    <w:rsid w:val="00A149BA"/>
    <w:pPr>
      <w:spacing w:before="0"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9">
    <w:name w:val="标题 字符"/>
    <w:basedOn w:val="a0"/>
    <w:link w:val="a8"/>
    <w:uiPriority w:val="10"/>
    <w:rsid w:val="00A149BA"/>
    <w:rPr>
      <w:rFonts w:asciiTheme="majorHAnsi" w:eastAsiaTheme="majorEastAsia" w:hAnsiTheme="majorHAnsi" w:cstheme="majorBidi"/>
      <w:spacing w:val="-10"/>
      <w:kern w:val="28"/>
      <w:sz w:val="56"/>
      <w:szCs w:val="56"/>
    </w:rPr>
  </w:style>
  <w:style w:type="paragraph" w:styleId="aa">
    <w:name w:val="Subtitle"/>
    <w:basedOn w:val="a"/>
    <w:next w:val="a"/>
    <w:link w:val="ab"/>
    <w:uiPriority w:val="11"/>
    <w:qFormat/>
    <w:rsid w:val="00A149BA"/>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b">
    <w:name w:val="副标题 字符"/>
    <w:basedOn w:val="a0"/>
    <w:link w:val="aa"/>
    <w:uiPriority w:val="11"/>
    <w:rsid w:val="00A149BA"/>
    <w:rPr>
      <w:rFonts w:asciiTheme="majorHAnsi" w:eastAsiaTheme="majorEastAsia" w:hAnsiTheme="majorHAnsi" w:cstheme="majorBidi"/>
      <w:color w:val="595959" w:themeColor="text1" w:themeTint="A6"/>
      <w:spacing w:val="15"/>
      <w:sz w:val="28"/>
      <w:szCs w:val="28"/>
    </w:rPr>
  </w:style>
  <w:style w:type="paragraph" w:styleId="ac">
    <w:name w:val="Quote"/>
    <w:basedOn w:val="a"/>
    <w:next w:val="a"/>
    <w:link w:val="ad"/>
    <w:uiPriority w:val="29"/>
    <w:qFormat/>
    <w:rsid w:val="00A149BA"/>
    <w:pPr>
      <w:spacing w:before="160" w:after="160"/>
      <w:jc w:val="center"/>
    </w:pPr>
    <w:rPr>
      <w:i/>
      <w:iCs/>
      <w:color w:val="404040" w:themeColor="text1" w:themeTint="BF"/>
    </w:rPr>
  </w:style>
  <w:style w:type="character" w:customStyle="1" w:styleId="ad">
    <w:name w:val="引用 字符"/>
    <w:basedOn w:val="a0"/>
    <w:link w:val="ac"/>
    <w:uiPriority w:val="29"/>
    <w:rsid w:val="00A149BA"/>
    <w:rPr>
      <w:rFonts w:ascii="Arial" w:hAnsi="Arial"/>
      <w:i/>
      <w:iCs/>
      <w:color w:val="404040" w:themeColor="text1" w:themeTint="BF"/>
      <w:sz w:val="24"/>
    </w:rPr>
  </w:style>
  <w:style w:type="character" w:styleId="ae">
    <w:name w:val="Intense Emphasis"/>
    <w:basedOn w:val="a0"/>
    <w:uiPriority w:val="21"/>
    <w:qFormat/>
    <w:rsid w:val="00A149BA"/>
    <w:rPr>
      <w:i/>
      <w:iCs/>
      <w:color w:val="0F4761" w:themeColor="accent1" w:themeShade="BF"/>
    </w:rPr>
  </w:style>
  <w:style w:type="paragraph" w:styleId="af">
    <w:name w:val="Intense Quote"/>
    <w:basedOn w:val="a"/>
    <w:next w:val="a"/>
    <w:link w:val="af0"/>
    <w:uiPriority w:val="30"/>
    <w:qFormat/>
    <w:rsid w:val="00A149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f0">
    <w:name w:val="明显引用 字符"/>
    <w:basedOn w:val="a0"/>
    <w:link w:val="af"/>
    <w:uiPriority w:val="30"/>
    <w:rsid w:val="00A149BA"/>
    <w:rPr>
      <w:rFonts w:ascii="Arial" w:hAnsi="Arial"/>
      <w:i/>
      <w:iCs/>
      <w:color w:val="0F4761" w:themeColor="accent1" w:themeShade="BF"/>
      <w:sz w:val="24"/>
    </w:rPr>
  </w:style>
  <w:style w:type="character" w:styleId="af1">
    <w:name w:val="Intense Reference"/>
    <w:basedOn w:val="a0"/>
    <w:uiPriority w:val="32"/>
    <w:qFormat/>
    <w:rsid w:val="00A149BA"/>
    <w:rPr>
      <w:b/>
      <w:bCs/>
      <w:smallCaps/>
      <w:color w:val="0F4761" w:themeColor="accent1" w:themeShade="BF"/>
      <w:spacing w:val="5"/>
    </w:rPr>
  </w:style>
  <w:style w:type="paragraph" w:styleId="TOC">
    <w:name w:val="TOC Heading"/>
    <w:basedOn w:val="1"/>
    <w:next w:val="a"/>
    <w:uiPriority w:val="39"/>
    <w:unhideWhenUsed/>
    <w:qFormat/>
    <w:rsid w:val="00F10E23"/>
    <w:pPr>
      <w:widowControl/>
      <w:adjustRightInd/>
      <w:spacing w:beforeLines="0" w:before="240" w:afterLines="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E1FE78-481B-4DE7-B2DA-E76B7439AF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254</TotalTime>
  <Pages>33</Pages>
  <Words>8788</Words>
  <Characters>51940</Characters>
  <Application>Microsoft Office Word</Application>
  <DocSecurity>0</DocSecurity>
  <Lines>911</Lines>
  <Paragraphs>138</Paragraphs>
  <ScaleCrop>false</ScaleCrop>
  <Company/>
  <LinksUpToDate>false</LinksUpToDate>
  <CharactersWithSpaces>60590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 Pan (2211622)</dc:creator>
  <cp:keywords/>
  <dc:description/>
  <cp:lastModifiedBy>Lu Pan (2211622)</cp:lastModifiedBy>
  <cp:revision>100</cp:revision>
  <dcterms:created xsi:type="dcterms:W3CDTF">2024-01-19T09:28:00Z</dcterms:created>
  <dcterms:modified xsi:type="dcterms:W3CDTF">2024-01-31T14:29:00Z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62639a406278bbae24909e75b9a21d046ddd99373aa3d277f18a4c6fae8cc889</vt:lpwstr>
  </property>
</Properties>
</file>