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668440" w14:textId="77777777" w:rsidR="009836A3" w:rsidRDefault="009836A3" w:rsidP="00AF5911">
      <w:pPr>
        <w:rPr>
          <w:rFonts w:ascii="Arial" w:hAnsi="Arial" w:cs="Arial"/>
          <w:b/>
          <w:bCs/>
        </w:rPr>
      </w:pPr>
    </w:p>
    <w:p w14:paraId="72909BD3" w14:textId="77777777" w:rsidR="009836A3" w:rsidRDefault="009836A3" w:rsidP="00AF5911">
      <w:pPr>
        <w:rPr>
          <w:rFonts w:ascii="Arial" w:hAnsi="Arial" w:cs="Arial"/>
          <w:b/>
          <w:bCs/>
        </w:rPr>
      </w:pPr>
    </w:p>
    <w:p w14:paraId="704C304B" w14:textId="77777777" w:rsidR="009836A3" w:rsidRDefault="009836A3" w:rsidP="00AF5911">
      <w:pPr>
        <w:rPr>
          <w:rFonts w:ascii="Arial" w:hAnsi="Arial" w:cs="Arial"/>
          <w:b/>
          <w:bCs/>
        </w:rPr>
      </w:pPr>
    </w:p>
    <w:p w14:paraId="43847142" w14:textId="77777777" w:rsidR="009836A3" w:rsidRDefault="009836A3" w:rsidP="00AF5911">
      <w:pPr>
        <w:rPr>
          <w:rFonts w:ascii="Arial" w:hAnsi="Arial" w:cs="Arial"/>
          <w:b/>
          <w:bCs/>
        </w:rPr>
      </w:pPr>
    </w:p>
    <w:p w14:paraId="4AF9B95B" w14:textId="44CD3CB3" w:rsidR="009836A3" w:rsidRPr="00F01A11" w:rsidRDefault="009836A3" w:rsidP="00C46FDA">
      <w:pPr>
        <w:rPr>
          <w:rFonts w:ascii="Arial" w:hAnsi="Arial" w:cs="Arial"/>
          <w:b/>
          <w:bCs/>
          <w:color w:val="0E2841" w:themeColor="text2"/>
          <w:sz w:val="56"/>
          <w:szCs w:val="56"/>
        </w:rPr>
      </w:pPr>
    </w:p>
    <w:p w14:paraId="6948C3BA" w14:textId="77777777" w:rsidR="009836A3" w:rsidRPr="00F01A11" w:rsidRDefault="009836A3" w:rsidP="009836A3">
      <w:pPr>
        <w:jc w:val="center"/>
        <w:rPr>
          <w:rFonts w:ascii="Arial" w:hAnsi="Arial" w:cs="Arial"/>
          <w:b/>
          <w:bCs/>
          <w:color w:val="0E2841" w:themeColor="text2"/>
          <w:sz w:val="56"/>
          <w:szCs w:val="56"/>
        </w:rPr>
      </w:pPr>
      <w:r w:rsidRPr="00F01A11">
        <w:rPr>
          <w:rFonts w:ascii="Arial" w:hAnsi="Arial" w:cs="Arial"/>
          <w:b/>
          <w:bCs/>
          <w:color w:val="0E2841" w:themeColor="text2"/>
          <w:sz w:val="56"/>
          <w:szCs w:val="56"/>
        </w:rPr>
        <w:t>Psychological Classifications and Provisions</w:t>
      </w:r>
    </w:p>
    <w:p w14:paraId="2789B773" w14:textId="77777777" w:rsidR="009836A3" w:rsidRPr="00F01A11" w:rsidRDefault="009836A3" w:rsidP="009836A3">
      <w:pPr>
        <w:spacing w:before="120" w:after="120"/>
        <w:jc w:val="center"/>
        <w:rPr>
          <w:rFonts w:ascii="Arial" w:hAnsi="Arial" w:cs="Arial"/>
          <w:b/>
          <w:bCs/>
          <w:color w:val="0E2841" w:themeColor="text2"/>
          <w:sz w:val="56"/>
          <w:szCs w:val="56"/>
        </w:rPr>
      </w:pPr>
      <w:r w:rsidRPr="00F01A11">
        <w:rPr>
          <w:rFonts w:ascii="Arial" w:hAnsi="Arial" w:cs="Arial"/>
          <w:b/>
          <w:bCs/>
          <w:color w:val="0E2841" w:themeColor="text2"/>
          <w:sz w:val="56"/>
          <w:szCs w:val="56"/>
        </w:rPr>
        <w:t>BMHP6029</w:t>
      </w:r>
    </w:p>
    <w:p w14:paraId="694F7A6F" w14:textId="77777777" w:rsidR="009836A3" w:rsidRPr="00F01A11" w:rsidRDefault="009836A3" w:rsidP="009836A3">
      <w:pPr>
        <w:spacing w:before="120" w:after="120"/>
        <w:jc w:val="center"/>
        <w:rPr>
          <w:rFonts w:ascii="Arial" w:hAnsi="Arial" w:cs="Arial"/>
          <w:b/>
          <w:bCs/>
          <w:color w:val="0E2841" w:themeColor="text2"/>
          <w:sz w:val="56"/>
          <w:szCs w:val="56"/>
        </w:rPr>
      </w:pPr>
      <w:r w:rsidRPr="00F01A11">
        <w:rPr>
          <w:rFonts w:ascii="Arial" w:hAnsi="Arial" w:cs="Arial"/>
          <w:b/>
          <w:bCs/>
          <w:color w:val="0E2841" w:themeColor="text2"/>
          <w:sz w:val="56"/>
          <w:szCs w:val="56"/>
        </w:rPr>
        <w:t>Student name</w:t>
      </w:r>
    </w:p>
    <w:p w14:paraId="2918F55A" w14:textId="77777777" w:rsidR="009836A3" w:rsidRPr="00F01A11" w:rsidRDefault="009836A3" w:rsidP="009836A3">
      <w:pPr>
        <w:spacing w:before="120" w:after="120"/>
        <w:jc w:val="center"/>
        <w:rPr>
          <w:rFonts w:ascii="Arial" w:hAnsi="Arial" w:cs="Arial"/>
          <w:b/>
          <w:bCs/>
          <w:color w:val="0E2841" w:themeColor="text2"/>
          <w:sz w:val="56"/>
          <w:szCs w:val="56"/>
        </w:rPr>
      </w:pPr>
      <w:r w:rsidRPr="00F01A11">
        <w:rPr>
          <w:rFonts w:ascii="Arial" w:hAnsi="Arial" w:cs="Arial"/>
          <w:b/>
          <w:bCs/>
          <w:color w:val="0E2841" w:themeColor="text2"/>
          <w:sz w:val="56"/>
          <w:szCs w:val="56"/>
        </w:rPr>
        <w:t>Baidar begum</w:t>
      </w:r>
    </w:p>
    <w:p w14:paraId="3D894F4B" w14:textId="77777777" w:rsidR="009836A3" w:rsidRPr="00F01A11" w:rsidRDefault="009836A3" w:rsidP="009836A3">
      <w:pPr>
        <w:spacing w:before="120" w:after="120"/>
        <w:jc w:val="center"/>
        <w:rPr>
          <w:rFonts w:ascii="Arial" w:hAnsi="Arial" w:cs="Arial"/>
          <w:b/>
          <w:bCs/>
          <w:color w:val="0E2841" w:themeColor="text2"/>
          <w:sz w:val="56"/>
          <w:szCs w:val="56"/>
        </w:rPr>
      </w:pPr>
      <w:r w:rsidRPr="00F01A11">
        <w:rPr>
          <w:rFonts w:ascii="Arial" w:hAnsi="Arial" w:cs="Arial"/>
          <w:b/>
          <w:bCs/>
          <w:color w:val="0E2841" w:themeColor="text2"/>
          <w:sz w:val="56"/>
          <w:szCs w:val="56"/>
        </w:rPr>
        <w:t>Student number</w:t>
      </w:r>
    </w:p>
    <w:p w14:paraId="57B3C2AB" w14:textId="77777777" w:rsidR="009836A3" w:rsidRPr="00F01A11" w:rsidRDefault="009836A3" w:rsidP="009836A3">
      <w:pPr>
        <w:spacing w:before="120" w:after="120"/>
        <w:jc w:val="center"/>
        <w:rPr>
          <w:rFonts w:ascii="Arial" w:hAnsi="Arial" w:cs="Arial"/>
          <w:b/>
          <w:bCs/>
          <w:color w:val="0E2841" w:themeColor="text2"/>
          <w:sz w:val="56"/>
          <w:szCs w:val="56"/>
        </w:rPr>
      </w:pPr>
      <w:r w:rsidRPr="00F01A11">
        <w:rPr>
          <w:rFonts w:ascii="Arial" w:hAnsi="Arial" w:cs="Arial"/>
          <w:b/>
          <w:bCs/>
          <w:color w:val="0E2841" w:themeColor="text2"/>
          <w:sz w:val="56"/>
          <w:szCs w:val="56"/>
        </w:rPr>
        <w:t>2318995</w:t>
      </w:r>
    </w:p>
    <w:p w14:paraId="263FEC78" w14:textId="77777777" w:rsidR="009836A3" w:rsidRPr="00F01A11" w:rsidRDefault="009836A3" w:rsidP="009836A3">
      <w:pPr>
        <w:spacing w:before="120" w:after="120"/>
        <w:jc w:val="center"/>
        <w:rPr>
          <w:rFonts w:ascii="Arial" w:hAnsi="Arial" w:cs="Arial"/>
          <w:b/>
          <w:bCs/>
          <w:color w:val="0E2841" w:themeColor="text2"/>
          <w:sz w:val="56"/>
          <w:szCs w:val="56"/>
        </w:rPr>
      </w:pPr>
      <w:r w:rsidRPr="00F01A11">
        <w:rPr>
          <w:rFonts w:ascii="Arial" w:hAnsi="Arial" w:cs="Arial"/>
          <w:b/>
          <w:bCs/>
          <w:color w:val="0E2841" w:themeColor="text2"/>
          <w:sz w:val="56"/>
          <w:szCs w:val="56"/>
        </w:rPr>
        <w:t>Lecture</w:t>
      </w:r>
    </w:p>
    <w:p w14:paraId="1DBA0E98" w14:textId="7D5F82F8" w:rsidR="009836A3" w:rsidRDefault="009836A3" w:rsidP="009836A3">
      <w:pPr>
        <w:jc w:val="center"/>
        <w:rPr>
          <w:rFonts w:ascii="Arial" w:hAnsi="Arial" w:cs="Arial"/>
          <w:b/>
          <w:bCs/>
        </w:rPr>
      </w:pPr>
      <w:r w:rsidRPr="00F01A11">
        <w:rPr>
          <w:rFonts w:ascii="Arial" w:hAnsi="Arial" w:cs="Arial"/>
          <w:b/>
          <w:bCs/>
          <w:color w:val="0E2841" w:themeColor="text2"/>
          <w:sz w:val="56"/>
          <w:szCs w:val="56"/>
        </w:rPr>
        <w:t>Neale Haddon</w:t>
      </w:r>
      <w:r w:rsidRPr="00A406E5">
        <w:rPr>
          <w:rFonts w:ascii="Arial" w:hAnsi="Arial" w:cs="Arial"/>
          <w:noProof/>
        </w:rPr>
        <w:drawing>
          <wp:anchor distT="0" distB="0" distL="114300" distR="114300" simplePos="0" relativeHeight="251658240" behindDoc="0" locked="0" layoutInCell="1" allowOverlap="1" wp14:anchorId="0E35C9B9" wp14:editId="61674C67">
            <wp:simplePos x="0" y="0"/>
            <wp:positionH relativeFrom="margin">
              <wp:posOffset>-786810</wp:posOffset>
            </wp:positionH>
            <wp:positionV relativeFrom="margin">
              <wp:posOffset>-765544</wp:posOffset>
            </wp:positionV>
            <wp:extent cx="2934335" cy="122618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934335" cy="1226185"/>
                    </a:xfrm>
                    <a:prstGeom prst="rect">
                      <a:avLst/>
                    </a:prstGeom>
                    <a:noFill/>
                    <a:ln>
                      <a:noFill/>
                    </a:ln>
                  </pic:spPr>
                </pic:pic>
              </a:graphicData>
            </a:graphic>
            <wp14:sizeRelV relativeFrom="margin">
              <wp14:pctHeight>0</wp14:pctHeight>
            </wp14:sizeRelV>
          </wp:anchor>
        </w:drawing>
      </w:r>
    </w:p>
    <w:p w14:paraId="63468F2B" w14:textId="77777777" w:rsidR="009836A3" w:rsidRDefault="009836A3" w:rsidP="00AF5911">
      <w:pPr>
        <w:rPr>
          <w:rFonts w:ascii="Arial" w:hAnsi="Arial" w:cs="Arial"/>
          <w:b/>
          <w:bCs/>
        </w:rPr>
      </w:pPr>
    </w:p>
    <w:p w14:paraId="09CE9FF2" w14:textId="77777777" w:rsidR="009836A3" w:rsidRDefault="009836A3" w:rsidP="00AF5911">
      <w:pPr>
        <w:rPr>
          <w:rFonts w:ascii="Arial" w:hAnsi="Arial" w:cs="Arial"/>
          <w:b/>
          <w:bCs/>
        </w:rPr>
      </w:pPr>
    </w:p>
    <w:p w14:paraId="231B9E3F" w14:textId="77777777" w:rsidR="009836A3" w:rsidRDefault="009836A3" w:rsidP="00AF5911">
      <w:pPr>
        <w:rPr>
          <w:rFonts w:ascii="Arial" w:hAnsi="Arial" w:cs="Arial"/>
          <w:b/>
          <w:bCs/>
        </w:rPr>
      </w:pPr>
    </w:p>
    <w:p w14:paraId="174AC47A" w14:textId="77777777" w:rsidR="009836A3" w:rsidRDefault="009836A3" w:rsidP="00AF5911">
      <w:pPr>
        <w:rPr>
          <w:rFonts w:ascii="Arial" w:hAnsi="Arial" w:cs="Arial"/>
          <w:b/>
          <w:bCs/>
        </w:rPr>
      </w:pPr>
    </w:p>
    <w:p w14:paraId="4AF90A09" w14:textId="77777777" w:rsidR="009836A3" w:rsidRDefault="009836A3" w:rsidP="00AF5911">
      <w:pPr>
        <w:rPr>
          <w:rFonts w:ascii="Arial" w:hAnsi="Arial" w:cs="Arial"/>
          <w:b/>
          <w:bCs/>
        </w:rPr>
      </w:pPr>
    </w:p>
    <w:p w14:paraId="2A22D6AF" w14:textId="77777777" w:rsidR="009836A3" w:rsidRDefault="009836A3" w:rsidP="009836A3">
      <w:pPr>
        <w:rPr>
          <w:rFonts w:ascii="Arial" w:hAnsi="Arial" w:cs="Arial"/>
          <w:b/>
          <w:bCs/>
          <w:sz w:val="24"/>
          <w:szCs w:val="24"/>
        </w:rPr>
      </w:pPr>
    </w:p>
    <w:p w14:paraId="75087CDE" w14:textId="77777777" w:rsidR="00E4642F" w:rsidRDefault="00E4642F" w:rsidP="009836A3">
      <w:pPr>
        <w:rPr>
          <w:rFonts w:ascii="Arial" w:hAnsi="Arial" w:cs="Arial"/>
          <w:b/>
          <w:bCs/>
          <w:sz w:val="24"/>
          <w:szCs w:val="24"/>
        </w:rPr>
      </w:pPr>
    </w:p>
    <w:p w14:paraId="0072792D" w14:textId="77777777" w:rsidR="00E4642F" w:rsidRDefault="00E4642F" w:rsidP="009836A3">
      <w:pPr>
        <w:rPr>
          <w:rFonts w:ascii="Arial" w:hAnsi="Arial" w:cs="Arial"/>
          <w:b/>
          <w:bCs/>
          <w:sz w:val="24"/>
          <w:szCs w:val="24"/>
        </w:rPr>
      </w:pPr>
    </w:p>
    <w:p w14:paraId="77B16467" w14:textId="77777777" w:rsidR="00E4642F" w:rsidRDefault="00E4642F" w:rsidP="009836A3">
      <w:pPr>
        <w:rPr>
          <w:rFonts w:ascii="Arial" w:hAnsi="Arial" w:cs="Arial"/>
          <w:b/>
          <w:bCs/>
          <w:sz w:val="24"/>
          <w:szCs w:val="24"/>
        </w:rPr>
      </w:pPr>
    </w:p>
    <w:p w14:paraId="2EF27485" w14:textId="77777777" w:rsidR="00E4642F" w:rsidRDefault="00E4642F" w:rsidP="009836A3">
      <w:pPr>
        <w:rPr>
          <w:rFonts w:ascii="Arial" w:hAnsi="Arial" w:cs="Arial"/>
          <w:b/>
          <w:bCs/>
          <w:sz w:val="24"/>
          <w:szCs w:val="24"/>
        </w:rPr>
      </w:pPr>
    </w:p>
    <w:p w14:paraId="3814B597" w14:textId="77777777" w:rsidR="00E4642F" w:rsidRDefault="00E4642F" w:rsidP="009836A3">
      <w:pPr>
        <w:rPr>
          <w:rFonts w:ascii="Arial" w:hAnsi="Arial" w:cs="Arial"/>
          <w:b/>
          <w:bCs/>
          <w:sz w:val="24"/>
          <w:szCs w:val="24"/>
        </w:rPr>
      </w:pPr>
    </w:p>
    <w:p w14:paraId="1460D780" w14:textId="77777777" w:rsidR="00E4642F" w:rsidRDefault="00E4642F" w:rsidP="001646C0">
      <w:pPr>
        <w:spacing w:line="360" w:lineRule="auto"/>
        <w:jc w:val="both"/>
        <w:rPr>
          <w:rFonts w:ascii="Arial" w:hAnsi="Arial" w:cs="Arial"/>
          <w:b/>
          <w:bCs/>
          <w:sz w:val="24"/>
          <w:szCs w:val="24"/>
        </w:rPr>
      </w:pPr>
    </w:p>
    <w:p w14:paraId="25E84FE4" w14:textId="77777777" w:rsidR="00164C14" w:rsidRDefault="00164C14" w:rsidP="001646C0">
      <w:pPr>
        <w:spacing w:line="360" w:lineRule="auto"/>
        <w:jc w:val="both"/>
        <w:rPr>
          <w:rFonts w:ascii="Arial" w:hAnsi="Arial" w:cs="Arial"/>
          <w:b/>
          <w:bCs/>
          <w:sz w:val="24"/>
          <w:szCs w:val="24"/>
        </w:rPr>
      </w:pPr>
      <w:r w:rsidRPr="00164C14">
        <w:rPr>
          <w:rFonts w:ascii="Arial" w:hAnsi="Arial" w:cs="Arial"/>
          <w:b/>
          <w:bCs/>
          <w:sz w:val="24"/>
          <w:szCs w:val="24"/>
        </w:rPr>
        <w:t>Contents</w:t>
      </w:r>
    </w:p>
    <w:p w14:paraId="37C96218" w14:textId="77777777" w:rsidR="00164C14" w:rsidRPr="00164C14" w:rsidRDefault="00164C14" w:rsidP="001646C0">
      <w:pPr>
        <w:spacing w:line="360" w:lineRule="auto"/>
        <w:jc w:val="both"/>
        <w:rPr>
          <w:rFonts w:ascii="Arial" w:hAnsi="Arial" w:cs="Arial"/>
          <w:b/>
          <w:bCs/>
          <w:sz w:val="24"/>
          <w:szCs w:val="24"/>
        </w:rPr>
      </w:pPr>
    </w:p>
    <w:p w14:paraId="5C4D9BCB" w14:textId="0CDDDB8D" w:rsidR="00164C14" w:rsidRPr="00164C14" w:rsidRDefault="00164C14" w:rsidP="001646C0">
      <w:pPr>
        <w:numPr>
          <w:ilvl w:val="0"/>
          <w:numId w:val="3"/>
        </w:numPr>
        <w:spacing w:line="360" w:lineRule="auto"/>
        <w:jc w:val="both"/>
        <w:rPr>
          <w:rFonts w:ascii="Arial" w:hAnsi="Arial" w:cs="Arial"/>
          <w:b/>
          <w:bCs/>
          <w:sz w:val="24"/>
          <w:szCs w:val="24"/>
        </w:rPr>
      </w:pPr>
      <w:r w:rsidRPr="00164C14">
        <w:rPr>
          <w:rFonts w:ascii="Arial" w:hAnsi="Arial" w:cs="Arial"/>
          <w:b/>
          <w:bCs/>
          <w:sz w:val="24"/>
          <w:szCs w:val="24"/>
        </w:rPr>
        <w:t>Introduction ………………………………………………………</w:t>
      </w:r>
      <w:r w:rsidR="00917D8F" w:rsidRPr="00164C14">
        <w:rPr>
          <w:rFonts w:ascii="Arial" w:hAnsi="Arial" w:cs="Arial"/>
          <w:b/>
          <w:bCs/>
          <w:sz w:val="24"/>
          <w:szCs w:val="24"/>
        </w:rPr>
        <w:t>…</w:t>
      </w:r>
      <w:r w:rsidR="00917D8F">
        <w:rPr>
          <w:rFonts w:ascii="Arial" w:hAnsi="Arial" w:cs="Arial"/>
          <w:b/>
          <w:bCs/>
          <w:sz w:val="24"/>
          <w:szCs w:val="24"/>
        </w:rPr>
        <w:t>.</w:t>
      </w:r>
      <w:r w:rsidRPr="00164C14">
        <w:rPr>
          <w:rFonts w:ascii="Arial" w:hAnsi="Arial" w:cs="Arial"/>
          <w:b/>
          <w:bCs/>
          <w:sz w:val="24"/>
          <w:szCs w:val="24"/>
        </w:rPr>
        <w:t xml:space="preserve"> </w:t>
      </w:r>
      <w:r w:rsidR="00387B50">
        <w:rPr>
          <w:rFonts w:ascii="Arial" w:hAnsi="Arial" w:cs="Arial"/>
          <w:b/>
          <w:bCs/>
          <w:sz w:val="24"/>
          <w:szCs w:val="24"/>
        </w:rPr>
        <w:t>3</w:t>
      </w:r>
    </w:p>
    <w:p w14:paraId="285E9CE7" w14:textId="4A2AF3BE" w:rsidR="00164C14" w:rsidRPr="00164C14" w:rsidRDefault="00164C14" w:rsidP="001646C0">
      <w:pPr>
        <w:numPr>
          <w:ilvl w:val="0"/>
          <w:numId w:val="3"/>
        </w:numPr>
        <w:spacing w:line="360" w:lineRule="auto"/>
        <w:jc w:val="both"/>
        <w:rPr>
          <w:rFonts w:ascii="Arial" w:hAnsi="Arial" w:cs="Arial"/>
          <w:b/>
          <w:bCs/>
          <w:sz w:val="24"/>
          <w:szCs w:val="24"/>
        </w:rPr>
      </w:pPr>
      <w:r w:rsidRPr="00164C14">
        <w:rPr>
          <w:rFonts w:ascii="Arial" w:hAnsi="Arial" w:cs="Arial"/>
          <w:b/>
          <w:bCs/>
          <w:sz w:val="24"/>
          <w:szCs w:val="24"/>
        </w:rPr>
        <w:t>Classification and Diagnosis ………………………………………</w:t>
      </w:r>
      <w:r w:rsidR="00387B50">
        <w:rPr>
          <w:rFonts w:ascii="Arial" w:hAnsi="Arial" w:cs="Arial"/>
          <w:b/>
          <w:bCs/>
          <w:sz w:val="24"/>
          <w:szCs w:val="24"/>
        </w:rPr>
        <w:t>3</w:t>
      </w:r>
    </w:p>
    <w:p w14:paraId="50B621CF" w14:textId="6209A418" w:rsidR="00164C14" w:rsidRPr="00164C14" w:rsidRDefault="00164C14" w:rsidP="001646C0">
      <w:pPr>
        <w:numPr>
          <w:ilvl w:val="0"/>
          <w:numId w:val="3"/>
        </w:numPr>
        <w:spacing w:line="360" w:lineRule="auto"/>
        <w:jc w:val="both"/>
        <w:rPr>
          <w:rFonts w:ascii="Arial" w:hAnsi="Arial" w:cs="Arial"/>
          <w:b/>
          <w:bCs/>
          <w:sz w:val="24"/>
          <w:szCs w:val="24"/>
        </w:rPr>
      </w:pPr>
      <w:r w:rsidRPr="00164C14">
        <w:rPr>
          <w:rFonts w:ascii="Arial" w:hAnsi="Arial" w:cs="Arial"/>
          <w:b/>
          <w:bCs/>
          <w:sz w:val="24"/>
          <w:szCs w:val="24"/>
        </w:rPr>
        <w:t>Treatment Approaches …………………………………………</w:t>
      </w:r>
      <w:r w:rsidR="00917D8F" w:rsidRPr="00164C14">
        <w:rPr>
          <w:rFonts w:ascii="Arial" w:hAnsi="Arial" w:cs="Arial"/>
          <w:b/>
          <w:bCs/>
          <w:sz w:val="24"/>
          <w:szCs w:val="24"/>
        </w:rPr>
        <w:t>…</w:t>
      </w:r>
      <w:r w:rsidR="00917D8F">
        <w:rPr>
          <w:rFonts w:ascii="Arial" w:hAnsi="Arial" w:cs="Arial"/>
          <w:b/>
          <w:bCs/>
          <w:sz w:val="24"/>
          <w:szCs w:val="24"/>
        </w:rPr>
        <w:t>.</w:t>
      </w:r>
      <w:r w:rsidRPr="00164C14">
        <w:rPr>
          <w:rFonts w:ascii="Arial" w:hAnsi="Arial" w:cs="Arial"/>
          <w:b/>
          <w:bCs/>
          <w:sz w:val="24"/>
          <w:szCs w:val="24"/>
        </w:rPr>
        <w:t xml:space="preserve"> 4</w:t>
      </w:r>
    </w:p>
    <w:p w14:paraId="763BDE82" w14:textId="727F4086" w:rsidR="00164C14" w:rsidRPr="00164C14" w:rsidRDefault="00164C14" w:rsidP="001646C0">
      <w:pPr>
        <w:numPr>
          <w:ilvl w:val="0"/>
          <w:numId w:val="3"/>
        </w:numPr>
        <w:spacing w:line="360" w:lineRule="auto"/>
        <w:jc w:val="both"/>
        <w:rPr>
          <w:rFonts w:ascii="Arial" w:hAnsi="Arial" w:cs="Arial"/>
          <w:b/>
          <w:bCs/>
          <w:sz w:val="24"/>
          <w:szCs w:val="24"/>
        </w:rPr>
      </w:pPr>
      <w:r w:rsidRPr="00164C14">
        <w:rPr>
          <w:rFonts w:ascii="Arial" w:hAnsi="Arial" w:cs="Arial"/>
          <w:b/>
          <w:bCs/>
          <w:sz w:val="24"/>
          <w:szCs w:val="24"/>
        </w:rPr>
        <w:t>Rehabilitation and Long-Term Management ……………………5</w:t>
      </w:r>
    </w:p>
    <w:p w14:paraId="71D41909" w14:textId="77777777" w:rsidR="00164C14" w:rsidRPr="00164C14" w:rsidRDefault="00164C14" w:rsidP="001646C0">
      <w:pPr>
        <w:numPr>
          <w:ilvl w:val="0"/>
          <w:numId w:val="3"/>
        </w:numPr>
        <w:spacing w:line="360" w:lineRule="auto"/>
        <w:jc w:val="both"/>
        <w:rPr>
          <w:rFonts w:ascii="Arial" w:hAnsi="Arial" w:cs="Arial"/>
          <w:b/>
          <w:bCs/>
          <w:sz w:val="24"/>
          <w:szCs w:val="24"/>
        </w:rPr>
      </w:pPr>
      <w:r w:rsidRPr="00164C14">
        <w:rPr>
          <w:rFonts w:ascii="Arial" w:hAnsi="Arial" w:cs="Arial"/>
          <w:b/>
          <w:bCs/>
          <w:sz w:val="24"/>
          <w:szCs w:val="24"/>
        </w:rPr>
        <w:t>Current Debates and Emerging Issues ………………………… 6</w:t>
      </w:r>
    </w:p>
    <w:p w14:paraId="70D15931" w14:textId="587410DB" w:rsidR="00164C14" w:rsidRPr="00164C14" w:rsidRDefault="00164C14" w:rsidP="001646C0">
      <w:pPr>
        <w:numPr>
          <w:ilvl w:val="0"/>
          <w:numId w:val="3"/>
        </w:numPr>
        <w:spacing w:line="360" w:lineRule="auto"/>
        <w:jc w:val="both"/>
        <w:rPr>
          <w:rFonts w:ascii="Arial" w:hAnsi="Arial" w:cs="Arial"/>
          <w:b/>
          <w:bCs/>
          <w:sz w:val="24"/>
          <w:szCs w:val="24"/>
        </w:rPr>
      </w:pPr>
      <w:r w:rsidRPr="00164C14">
        <w:rPr>
          <w:rFonts w:ascii="Arial" w:hAnsi="Arial" w:cs="Arial"/>
          <w:b/>
          <w:bCs/>
          <w:sz w:val="24"/>
          <w:szCs w:val="24"/>
        </w:rPr>
        <w:t xml:space="preserve">Neurodivergence and Reclassification ………………………… </w:t>
      </w:r>
      <w:r w:rsidR="001D0D98">
        <w:rPr>
          <w:rFonts w:ascii="Arial" w:hAnsi="Arial" w:cs="Arial"/>
          <w:b/>
          <w:bCs/>
          <w:sz w:val="24"/>
          <w:szCs w:val="24"/>
        </w:rPr>
        <w:t>.</w:t>
      </w:r>
      <w:r w:rsidRPr="00164C14">
        <w:rPr>
          <w:rFonts w:ascii="Arial" w:hAnsi="Arial" w:cs="Arial"/>
          <w:b/>
          <w:bCs/>
          <w:sz w:val="24"/>
          <w:szCs w:val="24"/>
        </w:rPr>
        <w:t>7</w:t>
      </w:r>
    </w:p>
    <w:p w14:paraId="2A578E6F" w14:textId="718830AC" w:rsidR="00164C14" w:rsidRPr="00164C14" w:rsidRDefault="00164C14" w:rsidP="001646C0">
      <w:pPr>
        <w:numPr>
          <w:ilvl w:val="0"/>
          <w:numId w:val="3"/>
        </w:numPr>
        <w:spacing w:line="360" w:lineRule="auto"/>
        <w:jc w:val="both"/>
        <w:rPr>
          <w:rFonts w:ascii="Arial" w:hAnsi="Arial" w:cs="Arial"/>
          <w:b/>
          <w:bCs/>
          <w:sz w:val="24"/>
          <w:szCs w:val="24"/>
        </w:rPr>
      </w:pPr>
      <w:r w:rsidRPr="00164C14">
        <w:rPr>
          <w:rFonts w:ascii="Arial" w:hAnsi="Arial" w:cs="Arial"/>
          <w:b/>
          <w:bCs/>
          <w:sz w:val="24"/>
          <w:szCs w:val="24"/>
        </w:rPr>
        <w:t>Recommendations …………………………………………………</w:t>
      </w:r>
      <w:r w:rsidR="001D0D98">
        <w:rPr>
          <w:rFonts w:ascii="Arial" w:hAnsi="Arial" w:cs="Arial"/>
          <w:b/>
          <w:bCs/>
          <w:sz w:val="24"/>
          <w:szCs w:val="24"/>
        </w:rPr>
        <w:t>.</w:t>
      </w:r>
      <w:r w:rsidRPr="00164C14">
        <w:rPr>
          <w:rFonts w:ascii="Arial" w:hAnsi="Arial" w:cs="Arial"/>
          <w:b/>
          <w:bCs/>
          <w:sz w:val="24"/>
          <w:szCs w:val="24"/>
        </w:rPr>
        <w:t xml:space="preserve"> </w:t>
      </w:r>
      <w:r w:rsidR="00BF0D54">
        <w:rPr>
          <w:rFonts w:ascii="Arial" w:hAnsi="Arial" w:cs="Arial"/>
          <w:b/>
          <w:bCs/>
          <w:sz w:val="24"/>
          <w:szCs w:val="24"/>
        </w:rPr>
        <w:t>8</w:t>
      </w:r>
    </w:p>
    <w:p w14:paraId="7C0005DF" w14:textId="32BC07AD" w:rsidR="00164C14" w:rsidRPr="00164C14" w:rsidRDefault="00164C14" w:rsidP="001646C0">
      <w:pPr>
        <w:numPr>
          <w:ilvl w:val="0"/>
          <w:numId w:val="3"/>
        </w:numPr>
        <w:spacing w:line="360" w:lineRule="auto"/>
        <w:jc w:val="both"/>
        <w:rPr>
          <w:rFonts w:ascii="Arial" w:hAnsi="Arial" w:cs="Arial"/>
          <w:b/>
          <w:bCs/>
          <w:sz w:val="24"/>
          <w:szCs w:val="24"/>
        </w:rPr>
      </w:pPr>
      <w:r w:rsidRPr="00164C14">
        <w:rPr>
          <w:rFonts w:ascii="Arial" w:hAnsi="Arial" w:cs="Arial"/>
          <w:b/>
          <w:bCs/>
          <w:sz w:val="24"/>
          <w:szCs w:val="24"/>
        </w:rPr>
        <w:t>Conclusion ……………………………………………………………</w:t>
      </w:r>
      <w:r w:rsidR="002A5A71">
        <w:rPr>
          <w:rFonts w:ascii="Arial" w:hAnsi="Arial" w:cs="Arial"/>
          <w:b/>
          <w:bCs/>
          <w:sz w:val="24"/>
          <w:szCs w:val="24"/>
        </w:rPr>
        <w:t>9</w:t>
      </w:r>
    </w:p>
    <w:p w14:paraId="27EE3C24" w14:textId="495337F3" w:rsidR="00164C14" w:rsidRPr="00164C14" w:rsidRDefault="00116995" w:rsidP="001646C0">
      <w:pPr>
        <w:spacing w:line="360" w:lineRule="auto"/>
        <w:jc w:val="both"/>
        <w:rPr>
          <w:rFonts w:ascii="Arial" w:hAnsi="Arial" w:cs="Arial"/>
          <w:b/>
          <w:bCs/>
          <w:sz w:val="24"/>
          <w:szCs w:val="24"/>
        </w:rPr>
      </w:pPr>
      <w:r>
        <w:rPr>
          <w:rFonts w:ascii="Arial" w:hAnsi="Arial" w:cs="Arial"/>
          <w:b/>
          <w:bCs/>
          <w:sz w:val="24"/>
          <w:szCs w:val="24"/>
        </w:rPr>
        <w:t xml:space="preserve">    </w:t>
      </w:r>
      <w:r w:rsidR="00164C14" w:rsidRPr="00164C14">
        <w:rPr>
          <w:rFonts w:ascii="Arial" w:hAnsi="Arial" w:cs="Arial"/>
          <w:b/>
          <w:bCs/>
          <w:sz w:val="24"/>
          <w:szCs w:val="24"/>
        </w:rPr>
        <w:t>Reference List ………………………………………………………… 10</w:t>
      </w:r>
    </w:p>
    <w:p w14:paraId="3CA0DF5F" w14:textId="77777777" w:rsidR="009836A3" w:rsidRDefault="009836A3" w:rsidP="001646C0">
      <w:pPr>
        <w:spacing w:line="360" w:lineRule="auto"/>
        <w:jc w:val="both"/>
        <w:rPr>
          <w:rFonts w:ascii="Arial" w:hAnsi="Arial" w:cs="Arial"/>
          <w:b/>
          <w:bCs/>
          <w:sz w:val="24"/>
          <w:szCs w:val="24"/>
        </w:rPr>
      </w:pPr>
    </w:p>
    <w:p w14:paraId="36308583" w14:textId="77777777" w:rsidR="009836A3" w:rsidRDefault="009836A3" w:rsidP="001646C0">
      <w:pPr>
        <w:spacing w:line="360" w:lineRule="auto"/>
        <w:jc w:val="both"/>
        <w:rPr>
          <w:rFonts w:ascii="Arial" w:hAnsi="Arial" w:cs="Arial"/>
          <w:b/>
          <w:bCs/>
          <w:sz w:val="24"/>
          <w:szCs w:val="24"/>
        </w:rPr>
      </w:pPr>
    </w:p>
    <w:p w14:paraId="5DB56BD4" w14:textId="77777777" w:rsidR="009836A3" w:rsidRDefault="009836A3" w:rsidP="001646C0">
      <w:pPr>
        <w:spacing w:line="360" w:lineRule="auto"/>
        <w:jc w:val="both"/>
        <w:rPr>
          <w:rFonts w:ascii="Arial" w:hAnsi="Arial" w:cs="Arial"/>
          <w:b/>
          <w:bCs/>
          <w:sz w:val="24"/>
          <w:szCs w:val="24"/>
        </w:rPr>
      </w:pPr>
    </w:p>
    <w:p w14:paraId="75EA6253" w14:textId="77777777" w:rsidR="009836A3" w:rsidRDefault="009836A3" w:rsidP="001646C0">
      <w:pPr>
        <w:spacing w:line="360" w:lineRule="auto"/>
        <w:jc w:val="both"/>
        <w:rPr>
          <w:rFonts w:ascii="Arial" w:hAnsi="Arial" w:cs="Arial"/>
          <w:b/>
          <w:bCs/>
          <w:sz w:val="24"/>
          <w:szCs w:val="24"/>
        </w:rPr>
      </w:pPr>
    </w:p>
    <w:p w14:paraId="78674AA5" w14:textId="77777777" w:rsidR="009836A3" w:rsidRDefault="009836A3" w:rsidP="009836A3">
      <w:pPr>
        <w:rPr>
          <w:rFonts w:ascii="Arial" w:hAnsi="Arial" w:cs="Arial"/>
          <w:b/>
          <w:bCs/>
          <w:sz w:val="24"/>
          <w:szCs w:val="24"/>
        </w:rPr>
      </w:pPr>
    </w:p>
    <w:p w14:paraId="12886455" w14:textId="77777777" w:rsidR="009836A3" w:rsidRDefault="009836A3" w:rsidP="009836A3">
      <w:pPr>
        <w:rPr>
          <w:rFonts w:ascii="Arial" w:hAnsi="Arial" w:cs="Arial"/>
          <w:b/>
          <w:bCs/>
          <w:sz w:val="24"/>
          <w:szCs w:val="24"/>
        </w:rPr>
      </w:pPr>
    </w:p>
    <w:p w14:paraId="14F6C7D4" w14:textId="77777777" w:rsidR="009836A3" w:rsidRDefault="009836A3" w:rsidP="00E757B7">
      <w:pPr>
        <w:pStyle w:val="Heading1"/>
      </w:pPr>
    </w:p>
    <w:p w14:paraId="16366D14" w14:textId="77777777" w:rsidR="009836A3" w:rsidRPr="009836A3" w:rsidRDefault="009836A3" w:rsidP="00AF5911">
      <w:pPr>
        <w:rPr>
          <w:rFonts w:ascii="Arial" w:hAnsi="Arial" w:cs="Arial"/>
          <w:b/>
          <w:bCs/>
          <w:sz w:val="24"/>
          <w:szCs w:val="24"/>
        </w:rPr>
      </w:pPr>
    </w:p>
    <w:p w14:paraId="39F5C1BC" w14:textId="77777777" w:rsidR="009836A3" w:rsidRPr="009836A3" w:rsidRDefault="009836A3" w:rsidP="00AF5911">
      <w:pPr>
        <w:rPr>
          <w:rFonts w:ascii="Arial" w:hAnsi="Arial" w:cs="Arial"/>
          <w:b/>
          <w:bCs/>
          <w:sz w:val="24"/>
          <w:szCs w:val="24"/>
        </w:rPr>
      </w:pPr>
    </w:p>
    <w:p w14:paraId="7F20F4F6" w14:textId="77777777" w:rsidR="009836A3" w:rsidRPr="009836A3" w:rsidRDefault="009836A3" w:rsidP="00AF5911">
      <w:pPr>
        <w:rPr>
          <w:rFonts w:ascii="Arial" w:hAnsi="Arial" w:cs="Arial"/>
          <w:b/>
          <w:bCs/>
          <w:sz w:val="24"/>
          <w:szCs w:val="24"/>
        </w:rPr>
      </w:pPr>
    </w:p>
    <w:p w14:paraId="159B5DFF" w14:textId="77777777" w:rsidR="009836A3" w:rsidRDefault="009836A3" w:rsidP="00AF5911">
      <w:pPr>
        <w:rPr>
          <w:rFonts w:ascii="Arial" w:hAnsi="Arial" w:cs="Arial"/>
          <w:b/>
          <w:bCs/>
        </w:rPr>
      </w:pPr>
    </w:p>
    <w:p w14:paraId="1FDD1071" w14:textId="616DD85B" w:rsidR="00A63DEB" w:rsidRPr="00A63DEB" w:rsidRDefault="00451708" w:rsidP="00A97D9E">
      <w:pPr>
        <w:spacing w:line="360" w:lineRule="auto"/>
        <w:jc w:val="both"/>
        <w:rPr>
          <w:rFonts w:ascii="Arial" w:hAnsi="Arial" w:cs="Arial"/>
          <w:b/>
          <w:bCs/>
        </w:rPr>
      </w:pPr>
      <w:r w:rsidRPr="00451708">
        <w:rPr>
          <w:rFonts w:ascii="Arial" w:hAnsi="Arial" w:cs="Arial"/>
          <w:b/>
          <w:bCs/>
        </w:rPr>
        <w:lastRenderedPageBreak/>
        <w:t xml:space="preserve">Generalised Anxiety Disorder (6B00): A Critical Examination of Classification, Diagnosis, Treatment, and </w:t>
      </w:r>
      <w:r w:rsidR="007663E4">
        <w:rPr>
          <w:rFonts w:ascii="Arial" w:hAnsi="Arial" w:cs="Arial"/>
          <w:b/>
          <w:bCs/>
        </w:rPr>
        <w:t>Rehabilitation</w:t>
      </w:r>
    </w:p>
    <w:p w14:paraId="016E53DF" w14:textId="77777777" w:rsidR="007663E4" w:rsidRPr="007663E4" w:rsidRDefault="007663E4" w:rsidP="00A97D9E">
      <w:pPr>
        <w:spacing w:line="360" w:lineRule="auto"/>
        <w:jc w:val="both"/>
        <w:rPr>
          <w:rFonts w:ascii="Arial" w:hAnsi="Arial" w:cs="Arial"/>
        </w:rPr>
      </w:pPr>
      <w:r w:rsidRPr="007663E4">
        <w:rPr>
          <w:rFonts w:ascii="Arial" w:hAnsi="Arial" w:cs="Arial"/>
          <w:b/>
          <w:bCs/>
        </w:rPr>
        <w:t>INTRODUCTION</w:t>
      </w:r>
    </w:p>
    <w:p w14:paraId="00943755" w14:textId="156F78A8" w:rsidR="007663E4" w:rsidRPr="007663E4" w:rsidRDefault="007663E4" w:rsidP="00A97D9E">
      <w:pPr>
        <w:spacing w:line="360" w:lineRule="auto"/>
        <w:jc w:val="both"/>
        <w:rPr>
          <w:rFonts w:ascii="Arial" w:hAnsi="Arial" w:cs="Arial"/>
        </w:rPr>
      </w:pPr>
      <w:r w:rsidRPr="007663E4">
        <w:rPr>
          <w:rFonts w:ascii="Arial" w:hAnsi="Arial" w:cs="Arial"/>
        </w:rPr>
        <w:t xml:space="preserve">Generalised Anxiety Disorder (GAD), classified under ICD-11 code 6B00, is a mental health condition characterised by persistent and excessive worry that is difficult to control and significantly interferes with daily functioning (World Health </w:t>
      </w:r>
      <w:r>
        <w:rPr>
          <w:rFonts w:ascii="Arial" w:hAnsi="Arial" w:cs="Arial"/>
        </w:rPr>
        <w:t>Organisation</w:t>
      </w:r>
      <w:r w:rsidRPr="007663E4">
        <w:rPr>
          <w:rFonts w:ascii="Arial" w:hAnsi="Arial" w:cs="Arial"/>
        </w:rPr>
        <w:t xml:space="preserve">, 2023). In England, approximately 6% of adults screened through Improving Access to Psychological Therapies (IAPT) services present with symptoms meeting </w:t>
      </w:r>
      <w:r w:rsidR="00227092">
        <w:rPr>
          <w:rFonts w:ascii="Arial" w:hAnsi="Arial" w:cs="Arial"/>
        </w:rPr>
        <w:t xml:space="preserve">the GAD case criteria (NHS Digital, 2023), highlighting </w:t>
      </w:r>
      <w:r w:rsidRPr="007663E4">
        <w:rPr>
          <w:rFonts w:ascii="Arial" w:hAnsi="Arial" w:cs="Arial"/>
        </w:rPr>
        <w:t>substantial demand for specialist care.</w:t>
      </w:r>
    </w:p>
    <w:p w14:paraId="511B5686" w14:textId="77777777" w:rsidR="007663E4" w:rsidRPr="007663E4" w:rsidRDefault="007663E4" w:rsidP="00A97D9E">
      <w:pPr>
        <w:spacing w:line="360" w:lineRule="auto"/>
        <w:jc w:val="both"/>
        <w:rPr>
          <w:rFonts w:ascii="Arial" w:hAnsi="Arial" w:cs="Arial"/>
        </w:rPr>
      </w:pPr>
      <w:r w:rsidRPr="007663E4">
        <w:rPr>
          <w:rFonts w:ascii="Arial" w:hAnsi="Arial" w:cs="Arial"/>
        </w:rPr>
        <w:t>This report critically examines the classification, diagnosis, treatment, and rehabilitation of GAD within the ICD-11 framework. It evaluates the strengths and limitations of current approaches, including the role of diagnostic language, the influence of neurodivergence, and the effectiveness of existing treatment and rehabilitation models. It also explores contemporary debates, including the validity of GAD as a discrete disorder and the shift towards dimensional models of mental health, before presenting evidence-informed recommendations.</w:t>
      </w:r>
    </w:p>
    <w:p w14:paraId="2FA2D2DA" w14:textId="1D3ACB08" w:rsidR="00A3636B" w:rsidRPr="00F329D2" w:rsidRDefault="00F329D2" w:rsidP="00A97D9E">
      <w:pPr>
        <w:spacing w:line="360" w:lineRule="auto"/>
        <w:jc w:val="both"/>
        <w:rPr>
          <w:rFonts w:ascii="Arial" w:hAnsi="Arial" w:cs="Arial"/>
        </w:rPr>
      </w:pPr>
      <w:r w:rsidRPr="00DB1D75">
        <w:rPr>
          <w:rFonts w:ascii="Arial" w:hAnsi="Arial" w:cs="Arial"/>
          <w:b/>
          <w:bCs/>
        </w:rPr>
        <w:t>Classification</w:t>
      </w:r>
      <w:r w:rsidR="00DB1D75" w:rsidRPr="00DB1D75">
        <w:rPr>
          <w:rFonts w:ascii="Arial" w:hAnsi="Arial" w:cs="Arial"/>
          <w:b/>
          <w:bCs/>
        </w:rPr>
        <w:t xml:space="preserve"> and Diagnosis</w:t>
      </w:r>
    </w:p>
    <w:p w14:paraId="19275C91" w14:textId="5E0B0FE7" w:rsidR="009E4FBF" w:rsidRPr="009E4FBF" w:rsidRDefault="009E4FBF" w:rsidP="00A97D9E">
      <w:pPr>
        <w:spacing w:line="360" w:lineRule="auto"/>
        <w:jc w:val="both"/>
        <w:rPr>
          <w:rFonts w:ascii="Arial" w:hAnsi="Arial" w:cs="Arial"/>
        </w:rPr>
      </w:pPr>
      <w:r w:rsidRPr="009E4FBF">
        <w:rPr>
          <w:rFonts w:ascii="Arial" w:hAnsi="Arial" w:cs="Arial"/>
        </w:rPr>
        <w:t xml:space="preserve">ICD-11 classifies Generalised Anxiety Disorder (6B00) as a persistent condition characterised by excessive, uncontrollable worry accompanied by physiological and cognitive symptoms that result in significant functional impairment (World Health </w:t>
      </w:r>
      <w:r w:rsidR="00094C89">
        <w:rPr>
          <w:rFonts w:ascii="Arial" w:hAnsi="Arial" w:cs="Arial"/>
        </w:rPr>
        <w:t>Organisation</w:t>
      </w:r>
      <w:r w:rsidRPr="009E4FBF">
        <w:rPr>
          <w:rFonts w:ascii="Arial" w:hAnsi="Arial" w:cs="Arial"/>
        </w:rPr>
        <w:t>, 2023). This classification provides a standardised diagnostic framework that supports consistency across healthcare systems and facilitates access to treatment pathways.</w:t>
      </w:r>
    </w:p>
    <w:p w14:paraId="1616E6BE" w14:textId="77777777" w:rsidR="009E4FBF" w:rsidRPr="009E4FBF" w:rsidRDefault="009E4FBF" w:rsidP="00A97D9E">
      <w:pPr>
        <w:spacing w:line="360" w:lineRule="auto"/>
        <w:jc w:val="both"/>
        <w:rPr>
          <w:rFonts w:ascii="Arial" w:hAnsi="Arial" w:cs="Arial"/>
        </w:rPr>
      </w:pPr>
      <w:r w:rsidRPr="009E4FBF">
        <w:rPr>
          <w:rFonts w:ascii="Arial" w:hAnsi="Arial" w:cs="Arial"/>
        </w:rPr>
        <w:t>However, the categorical nature of ICD-11 has been criticised for its reliance on threshold-based criteria, which may oversimplify the continuum of anxiety experiences (Crocq, 2017). Individuals with subthreshold symptoms may still experience significant impairment but fail to meet full diagnostic criteria, leading to potential under-recognition.</w:t>
      </w:r>
    </w:p>
    <w:p w14:paraId="079EC61E" w14:textId="77777777" w:rsidR="009E4FBF" w:rsidRPr="009E4FBF" w:rsidRDefault="009E4FBF" w:rsidP="00A97D9E">
      <w:pPr>
        <w:spacing w:line="360" w:lineRule="auto"/>
        <w:jc w:val="both"/>
        <w:rPr>
          <w:rFonts w:ascii="Arial" w:hAnsi="Arial" w:cs="Arial"/>
        </w:rPr>
      </w:pPr>
      <w:r w:rsidRPr="009E4FBF">
        <w:rPr>
          <w:rFonts w:ascii="Arial" w:hAnsi="Arial" w:cs="Arial"/>
        </w:rPr>
        <w:t>The diagnostic process frequently incorporates structured assessment tools such as the GAD-7, which are designed to quantify symptom severity and guide clinical decision-making (Lantos et al., 2023). While these tools improve efficiency and standardisation, they may oversimplify complex experiences by prioritising measurable symptoms over contextual understanding.</w:t>
      </w:r>
    </w:p>
    <w:p w14:paraId="71231E20" w14:textId="77777777" w:rsidR="009E4FBF" w:rsidRPr="009E4FBF" w:rsidRDefault="009E4FBF" w:rsidP="00A97D9E">
      <w:pPr>
        <w:spacing w:line="360" w:lineRule="auto"/>
        <w:jc w:val="both"/>
        <w:rPr>
          <w:rFonts w:ascii="Arial" w:hAnsi="Arial" w:cs="Arial"/>
        </w:rPr>
      </w:pPr>
      <w:r w:rsidRPr="009E4FBF">
        <w:rPr>
          <w:rFonts w:ascii="Arial" w:hAnsi="Arial" w:cs="Arial"/>
        </w:rPr>
        <w:t>Cultural and socio-economic differences may influence how anxiety is expressed, which can reduce the accuracy of standardised diagnostic tools and contribute to inequalities in diagnosis (Slee et al., 2021).</w:t>
      </w:r>
    </w:p>
    <w:p w14:paraId="6B47986D" w14:textId="77777777" w:rsidR="009E4FBF" w:rsidRPr="009E4FBF" w:rsidRDefault="009E4FBF" w:rsidP="00A97D9E">
      <w:pPr>
        <w:spacing w:line="360" w:lineRule="auto"/>
        <w:jc w:val="both"/>
        <w:rPr>
          <w:rFonts w:ascii="Arial" w:hAnsi="Arial" w:cs="Arial"/>
        </w:rPr>
      </w:pPr>
      <w:r w:rsidRPr="009E4FBF">
        <w:rPr>
          <w:rFonts w:ascii="Arial" w:hAnsi="Arial" w:cs="Arial"/>
        </w:rPr>
        <w:lastRenderedPageBreak/>
        <w:t>Diagnostic overlap is also a key concern. GAD frequently co-occurs with depression and other anxiety disorders, raising questions about whether it represents a distinct condition or part of a broader spectrum (Bekhuis et al., 2016).</w:t>
      </w:r>
    </w:p>
    <w:p w14:paraId="131FE187" w14:textId="1EEB5C68" w:rsidR="001007F1" w:rsidRPr="001007F1" w:rsidRDefault="009E4FBF" w:rsidP="00A97D9E">
      <w:pPr>
        <w:spacing w:line="360" w:lineRule="auto"/>
        <w:jc w:val="both"/>
        <w:rPr>
          <w:rFonts w:ascii="Arial" w:hAnsi="Arial" w:cs="Arial"/>
        </w:rPr>
      </w:pPr>
      <w:r w:rsidRPr="009E4FBF">
        <w:rPr>
          <w:rFonts w:ascii="Arial" w:hAnsi="Arial" w:cs="Arial"/>
        </w:rPr>
        <w:t>The use of the term "disorder" reflects a medicalised framework that legitimises clinical intervention but may also contribute to stigma and the pathologisation of normal emotional responses (Crocq, 2017).</w:t>
      </w:r>
    </w:p>
    <w:p w14:paraId="4490380E" w14:textId="77777777" w:rsidR="003F3725" w:rsidRDefault="00921F89" w:rsidP="00A97D9E">
      <w:pPr>
        <w:spacing w:line="360" w:lineRule="auto"/>
        <w:jc w:val="both"/>
        <w:rPr>
          <w:rFonts w:ascii="Arial" w:hAnsi="Arial" w:cs="Arial"/>
        </w:rPr>
      </w:pPr>
      <w:r w:rsidRPr="00921F89">
        <w:rPr>
          <w:rFonts w:ascii="Arial" w:hAnsi="Arial" w:cs="Arial"/>
          <w:b/>
          <w:bCs/>
        </w:rPr>
        <w:t>Treatment Approaches</w:t>
      </w:r>
    </w:p>
    <w:p w14:paraId="16CBF29D" w14:textId="25614166" w:rsidR="00921F89" w:rsidRPr="00921F89" w:rsidRDefault="00921F89" w:rsidP="00A97D9E">
      <w:pPr>
        <w:spacing w:line="360" w:lineRule="auto"/>
        <w:jc w:val="both"/>
        <w:rPr>
          <w:rFonts w:ascii="Arial" w:hAnsi="Arial" w:cs="Arial"/>
        </w:rPr>
      </w:pPr>
      <w:r w:rsidRPr="00921F89">
        <w:rPr>
          <w:rFonts w:ascii="Arial" w:hAnsi="Arial" w:cs="Arial"/>
        </w:rPr>
        <w:t xml:space="preserve">Cognitive Behavioural Therapy (CBT) is widely recognised as the first-line psychological treatment for Generalised Anxiety Disorder, with </w:t>
      </w:r>
      <w:r w:rsidR="00066AA7" w:rsidRPr="00921F89">
        <w:rPr>
          <w:rFonts w:ascii="Arial" w:hAnsi="Arial" w:cs="Arial"/>
        </w:rPr>
        <w:t>convincing evidence</w:t>
      </w:r>
      <w:r w:rsidRPr="00921F89">
        <w:rPr>
          <w:rFonts w:ascii="Arial" w:hAnsi="Arial" w:cs="Arial"/>
        </w:rPr>
        <w:t xml:space="preserve"> supporting its effectiveness (National Institute for Health and Care Excellence, 2011). CBT focuses on identifying and modifying maladaptive thought patterns and behaviours. However, its effectiveness in real-world NHS settings is often more variable.</w:t>
      </w:r>
    </w:p>
    <w:p w14:paraId="292732E6" w14:textId="77777777" w:rsidR="00921F89" w:rsidRPr="00921F89" w:rsidRDefault="00921F89" w:rsidP="00A97D9E">
      <w:pPr>
        <w:spacing w:line="360" w:lineRule="auto"/>
        <w:jc w:val="both"/>
        <w:rPr>
          <w:rFonts w:ascii="Arial" w:hAnsi="Arial" w:cs="Arial"/>
        </w:rPr>
      </w:pPr>
      <w:r w:rsidRPr="00921F89">
        <w:rPr>
          <w:rFonts w:ascii="Arial" w:hAnsi="Arial" w:cs="Arial"/>
        </w:rPr>
        <w:t>Within NHS services, barriers such as long waiting times, limited session availability, and high demand can reduce treatment impact (NHS Digital, 2023). CBT may also not be suitable for all individuals, particularly those with complex trauma or neurodivergent cognitive styles.</w:t>
      </w:r>
    </w:p>
    <w:p w14:paraId="5FD86E6E" w14:textId="77777777" w:rsidR="00921F89" w:rsidRPr="00921F89" w:rsidRDefault="00921F89" w:rsidP="00A97D9E">
      <w:pPr>
        <w:spacing w:line="360" w:lineRule="auto"/>
        <w:jc w:val="both"/>
        <w:rPr>
          <w:rFonts w:ascii="Arial" w:hAnsi="Arial" w:cs="Arial"/>
        </w:rPr>
      </w:pPr>
      <w:r w:rsidRPr="00921F89">
        <w:rPr>
          <w:rFonts w:ascii="Arial" w:hAnsi="Arial" w:cs="Arial"/>
        </w:rPr>
        <w:t>Mindfulness-Based Cognitive Therapy (MBCT) and other third-wave approaches have emerged as alternatives, particularly for those who do not respond to CBT. These interventions emphasise acceptance and emotional regulation. Evidence suggests MBCT can reduce anxiety symptoms, although its availability remains inconsistent (Wong et al., 2016).</w:t>
      </w:r>
    </w:p>
    <w:p w14:paraId="0D1159BD" w14:textId="77777777" w:rsidR="00921F89" w:rsidRPr="00921F89" w:rsidRDefault="00921F89" w:rsidP="00A97D9E">
      <w:pPr>
        <w:spacing w:line="360" w:lineRule="auto"/>
        <w:jc w:val="both"/>
        <w:rPr>
          <w:rFonts w:ascii="Arial" w:hAnsi="Arial" w:cs="Arial"/>
        </w:rPr>
      </w:pPr>
      <w:r w:rsidRPr="00921F89">
        <w:rPr>
          <w:rFonts w:ascii="Arial" w:hAnsi="Arial" w:cs="Arial"/>
        </w:rPr>
        <w:t>Digital interventions, including online CBT, have expanded access to therapy (NHS England, 2019). However, they present challenges such as reduced engagement and digital exclusion, particularly for individuals with limited access or digital skills.</w:t>
      </w:r>
    </w:p>
    <w:p w14:paraId="57F311DF" w14:textId="77777777" w:rsidR="003F3725" w:rsidRDefault="00921F89" w:rsidP="00A97D9E">
      <w:pPr>
        <w:spacing w:line="360" w:lineRule="auto"/>
        <w:jc w:val="both"/>
        <w:rPr>
          <w:rFonts w:ascii="Arial" w:hAnsi="Arial" w:cs="Arial"/>
        </w:rPr>
      </w:pPr>
      <w:r w:rsidRPr="00921F89">
        <w:rPr>
          <w:rFonts w:ascii="Arial" w:hAnsi="Arial" w:cs="Arial"/>
        </w:rPr>
        <w:t>Pharmacological treatments, including SSRIs and pregabalin, are commonly used (Drug and Therapeutics Bulletin, 2010). While effective for some individuals, they are associated with side effects and variable response rates, and they do not address underlying psychosocial factors.</w:t>
      </w:r>
    </w:p>
    <w:p w14:paraId="0B7B597F" w14:textId="34DE8723" w:rsidR="00921F89" w:rsidRPr="00921F89" w:rsidRDefault="00921F89" w:rsidP="00A97D9E">
      <w:pPr>
        <w:spacing w:line="360" w:lineRule="auto"/>
        <w:jc w:val="both"/>
        <w:rPr>
          <w:rFonts w:ascii="Arial" w:hAnsi="Arial" w:cs="Arial"/>
        </w:rPr>
      </w:pPr>
      <w:r w:rsidRPr="00921F89">
        <w:rPr>
          <w:rFonts w:ascii="Arial" w:hAnsi="Arial" w:cs="Arial"/>
        </w:rPr>
        <w:t>Treatment adherence remains a challenge, as some individuals disengage from therapy before completion due to personal or practical factors.</w:t>
      </w:r>
    </w:p>
    <w:p w14:paraId="16252465" w14:textId="77777777" w:rsidR="00921F89" w:rsidRPr="00921F89" w:rsidRDefault="00921F89" w:rsidP="00A97D9E">
      <w:pPr>
        <w:spacing w:line="360" w:lineRule="auto"/>
        <w:jc w:val="both"/>
        <w:rPr>
          <w:rFonts w:ascii="Arial" w:hAnsi="Arial" w:cs="Arial"/>
        </w:rPr>
      </w:pPr>
      <w:r w:rsidRPr="00921F89">
        <w:rPr>
          <w:rFonts w:ascii="Arial" w:hAnsi="Arial" w:cs="Arial"/>
        </w:rPr>
        <w:t>Overall, treatment effectiveness is shaped by both individual and systemic factors, reinforcing the need for flexible, patient-centred approaches.</w:t>
      </w:r>
    </w:p>
    <w:p w14:paraId="2C10FF3F" w14:textId="77777777" w:rsidR="00921F89" w:rsidRDefault="00921F89" w:rsidP="00A97D9E">
      <w:pPr>
        <w:spacing w:line="360" w:lineRule="auto"/>
        <w:jc w:val="both"/>
        <w:rPr>
          <w:rFonts w:ascii="Arial" w:hAnsi="Arial" w:cs="Arial"/>
          <w:b/>
          <w:bCs/>
        </w:rPr>
      </w:pPr>
    </w:p>
    <w:p w14:paraId="23AB7A5A" w14:textId="77777777" w:rsidR="00921F89" w:rsidRDefault="00921F89" w:rsidP="00A97D9E">
      <w:pPr>
        <w:spacing w:line="360" w:lineRule="auto"/>
        <w:jc w:val="both"/>
        <w:rPr>
          <w:rFonts w:ascii="Arial" w:hAnsi="Arial" w:cs="Arial"/>
          <w:b/>
          <w:bCs/>
        </w:rPr>
      </w:pPr>
    </w:p>
    <w:p w14:paraId="6B9FD5B5" w14:textId="231CD1DB" w:rsidR="00933101" w:rsidRPr="00933101" w:rsidRDefault="00933101" w:rsidP="00A97D9E">
      <w:pPr>
        <w:spacing w:line="360" w:lineRule="auto"/>
        <w:jc w:val="both"/>
        <w:rPr>
          <w:rFonts w:ascii="Arial" w:hAnsi="Arial" w:cs="Arial"/>
          <w:b/>
          <w:bCs/>
        </w:rPr>
      </w:pPr>
      <w:r w:rsidRPr="00933101">
        <w:rPr>
          <w:rFonts w:ascii="Arial" w:hAnsi="Arial" w:cs="Arial"/>
          <w:b/>
          <w:bCs/>
        </w:rPr>
        <w:lastRenderedPageBreak/>
        <w:t>Rehabilitation and Long-Term Management</w:t>
      </w:r>
    </w:p>
    <w:p w14:paraId="54A4253A" w14:textId="77777777" w:rsidR="00984BAF" w:rsidRPr="00984BAF" w:rsidRDefault="00984BAF" w:rsidP="00A97D9E">
      <w:pPr>
        <w:spacing w:line="360" w:lineRule="auto"/>
        <w:jc w:val="both"/>
        <w:rPr>
          <w:rFonts w:ascii="Arial" w:hAnsi="Arial" w:cs="Arial"/>
        </w:rPr>
      </w:pPr>
      <w:r w:rsidRPr="00984BAF">
        <w:rPr>
          <w:rFonts w:ascii="Arial" w:hAnsi="Arial" w:cs="Arial"/>
        </w:rPr>
        <w:t>Rehabilitation in Generalised Anxiety Disorder (GAD) extends beyond symptom reduction and focuses on restoring functional capacity, improving quality of life, and supporting sustained recovery over time. This includes enabling individuals to re-engage with employment, education, and social relationships, as well as developing long-term coping strategies to manage future stressors (NHS England, 2019).</w:t>
      </w:r>
    </w:p>
    <w:p w14:paraId="38350354" w14:textId="7759AA36" w:rsidR="00984BAF" w:rsidRPr="00984BAF" w:rsidRDefault="00984BAF" w:rsidP="00A97D9E">
      <w:pPr>
        <w:spacing w:line="360" w:lineRule="auto"/>
        <w:jc w:val="both"/>
        <w:rPr>
          <w:rFonts w:ascii="Arial" w:hAnsi="Arial" w:cs="Arial"/>
        </w:rPr>
      </w:pPr>
      <w:r w:rsidRPr="00984BAF">
        <w:rPr>
          <w:rFonts w:ascii="Arial" w:hAnsi="Arial" w:cs="Arial"/>
        </w:rPr>
        <w:t xml:space="preserve">Despite its importance, rehabilitation is less clearly defined than treatment in both the ICD-11 framework and clinical practice (World Health Organization, 2023). While treatment typically focuses on symptom alleviation through psychological or pharmacological interventions, rehabilitation requires a broader, more </w:t>
      </w:r>
      <w:r w:rsidR="00717DAE" w:rsidRPr="00984BAF">
        <w:rPr>
          <w:rFonts w:ascii="Arial" w:hAnsi="Arial" w:cs="Arial"/>
        </w:rPr>
        <w:t>comprehensive approach</w:t>
      </w:r>
      <w:r w:rsidRPr="00984BAF">
        <w:rPr>
          <w:rFonts w:ascii="Arial" w:hAnsi="Arial" w:cs="Arial"/>
        </w:rPr>
        <w:t xml:space="preserve"> that addresses the ongoing impact of anxiety on daily functioning. ICD-11 emphasises rehabilitation as a core component of managing mental disorders, focusing on optimising functioning, promoting social participation, and preventing relapse (World Health Organization, 2023). However, in practice, rehabilitation for GAD is less clearly defined than acute treatment.</w:t>
      </w:r>
    </w:p>
    <w:p w14:paraId="64CD7E83" w14:textId="77777777" w:rsidR="00984BAF" w:rsidRPr="00984BAF" w:rsidRDefault="00984BAF" w:rsidP="00A97D9E">
      <w:pPr>
        <w:spacing w:line="360" w:lineRule="auto"/>
        <w:jc w:val="both"/>
        <w:rPr>
          <w:rFonts w:ascii="Arial" w:hAnsi="Arial" w:cs="Arial"/>
        </w:rPr>
      </w:pPr>
      <w:r w:rsidRPr="00984BAF">
        <w:rPr>
          <w:rFonts w:ascii="Arial" w:hAnsi="Arial" w:cs="Arial"/>
        </w:rPr>
        <w:t>In the UK, rehabilitation is often delivered through a combination of community mental health services, IAPT programmes, and voluntary sector support. These services aim to provide continuity of care and promote recovery; however, provision is frequently fragmented, leading to inconsistencies in access and quality (NHS Digital, 2023). For example, individuals may receive structured therapy during active treatment but experience limited follow-up once therapy ends, increasing the risk of relapse.</w:t>
      </w:r>
    </w:p>
    <w:p w14:paraId="3A7B4EFE" w14:textId="77777777" w:rsidR="00984BAF" w:rsidRPr="00984BAF" w:rsidRDefault="00984BAF" w:rsidP="00A97D9E">
      <w:pPr>
        <w:spacing w:line="360" w:lineRule="auto"/>
        <w:jc w:val="both"/>
        <w:rPr>
          <w:rFonts w:ascii="Arial" w:hAnsi="Arial" w:cs="Arial"/>
        </w:rPr>
      </w:pPr>
      <w:r w:rsidRPr="00984BAF">
        <w:rPr>
          <w:rFonts w:ascii="Arial" w:hAnsi="Arial" w:cs="Arial"/>
        </w:rPr>
        <w:t>Relapse prevention is a critical component of rehabilitation but is often underdeveloped in practice. Many individuals with GAD experience recurrent symptoms, particularly when exposed to ongoing life stressors. Structured approaches, such as booster therapy sessions, self-management planning, and early identification of warning signs, can improve long-term outcomes but are not consistently implemented across services.</w:t>
      </w:r>
    </w:p>
    <w:p w14:paraId="2792333A" w14:textId="77777777" w:rsidR="00984BAF" w:rsidRPr="00984BAF" w:rsidRDefault="00984BAF" w:rsidP="00A97D9E">
      <w:pPr>
        <w:spacing w:line="360" w:lineRule="auto"/>
        <w:jc w:val="both"/>
        <w:rPr>
          <w:rFonts w:ascii="Arial" w:hAnsi="Arial" w:cs="Arial"/>
        </w:rPr>
      </w:pPr>
      <w:r w:rsidRPr="00984BAF">
        <w:rPr>
          <w:rFonts w:ascii="Arial" w:hAnsi="Arial" w:cs="Arial"/>
        </w:rPr>
        <w:t>Furthermore, rehabilitation approaches often focus primarily on individual coping strategies while neglecting broader social determinants of mental health. Factors such as financial insecurity, housing instability, and social isolation significantly contribute to the persistence of anxiety symptoms (Remes et al., 2018). Without addressing these structural influences, rehabilitation efforts may produce only limited and temporary improvements.</w:t>
      </w:r>
    </w:p>
    <w:p w14:paraId="2EC40074" w14:textId="77777777" w:rsidR="00984BAF" w:rsidRPr="00984BAF" w:rsidRDefault="00984BAF" w:rsidP="00A97D9E">
      <w:pPr>
        <w:spacing w:line="360" w:lineRule="auto"/>
        <w:jc w:val="both"/>
        <w:rPr>
          <w:rFonts w:ascii="Arial" w:hAnsi="Arial" w:cs="Arial"/>
        </w:rPr>
      </w:pPr>
      <w:r w:rsidRPr="00984BAF">
        <w:rPr>
          <w:rFonts w:ascii="Arial" w:hAnsi="Arial" w:cs="Arial"/>
        </w:rPr>
        <w:t xml:space="preserve">Social prescribing has emerged as a potential strategy to address this gap by linking individuals to community-based activities such as peer support groups, exercise programmes, and volunteering opportunities (NHS England, 2019). While this approach aligns with holistic </w:t>
      </w:r>
      <w:r w:rsidRPr="00984BAF">
        <w:rPr>
          <w:rFonts w:ascii="Arial" w:hAnsi="Arial" w:cs="Arial"/>
        </w:rPr>
        <w:lastRenderedPageBreak/>
        <w:t>care principles, evidence regarding its effectiveness remains mixed, and access varies across regions.</w:t>
      </w:r>
    </w:p>
    <w:p w14:paraId="30522773" w14:textId="490AAC7A" w:rsidR="00984BAF" w:rsidRPr="00984BAF" w:rsidRDefault="00984BAF" w:rsidP="00A97D9E">
      <w:pPr>
        <w:spacing w:line="360" w:lineRule="auto"/>
        <w:jc w:val="both"/>
        <w:rPr>
          <w:rFonts w:ascii="Arial" w:hAnsi="Arial" w:cs="Arial"/>
        </w:rPr>
      </w:pPr>
      <w:r w:rsidRPr="00984BAF">
        <w:rPr>
          <w:rFonts w:ascii="Arial" w:hAnsi="Arial" w:cs="Arial"/>
        </w:rPr>
        <w:t xml:space="preserve">Overall, effective rehabilitation requires an integrated, multi-agency approach that combines clinical intervention with social support systems. Without improved coordination between services, recovery is likely to remain incomplete, highlighting the need for more structured and sustainable rehabilitation models within mental health </w:t>
      </w:r>
      <w:r w:rsidR="00917D8F" w:rsidRPr="00984BAF">
        <w:rPr>
          <w:rFonts w:ascii="Arial" w:hAnsi="Arial" w:cs="Arial"/>
        </w:rPr>
        <w:t>care.</w:t>
      </w:r>
    </w:p>
    <w:p w14:paraId="053E1C08" w14:textId="77777777" w:rsidR="008A2FB3" w:rsidRDefault="00F26EF3" w:rsidP="00A97D9E">
      <w:pPr>
        <w:spacing w:line="360" w:lineRule="auto"/>
        <w:jc w:val="both"/>
        <w:rPr>
          <w:rFonts w:ascii="Arial" w:hAnsi="Arial" w:cs="Arial"/>
          <w:b/>
          <w:bCs/>
        </w:rPr>
      </w:pPr>
      <w:r w:rsidRPr="00F26EF3">
        <w:rPr>
          <w:rFonts w:ascii="Arial" w:hAnsi="Arial" w:cs="Arial"/>
          <w:b/>
          <w:bCs/>
        </w:rPr>
        <w:t>Current Debates and Emerging Issues</w:t>
      </w:r>
    </w:p>
    <w:p w14:paraId="38BA790B" w14:textId="1F84B3BD" w:rsidR="00F93207" w:rsidRPr="00F93207" w:rsidRDefault="00F93207" w:rsidP="00A97D9E">
      <w:pPr>
        <w:spacing w:line="360" w:lineRule="auto"/>
        <w:jc w:val="both"/>
        <w:rPr>
          <w:rFonts w:ascii="Arial" w:hAnsi="Arial" w:cs="Arial"/>
          <w:b/>
          <w:bCs/>
        </w:rPr>
      </w:pPr>
      <w:r w:rsidRPr="00F93207">
        <w:rPr>
          <w:rFonts w:ascii="Arial" w:hAnsi="Arial" w:cs="Arial"/>
        </w:rPr>
        <w:t xml:space="preserve">The validity of Generalised Anxiety Disorder (GAD) as a distinct diagnostic category remains a subject of ongoing academic and clinical debate. Critics argue that GAD represents a heterogeneous construct characterised by diverse symptom presentations rather than a clearly defined disorder (Bekhuis et al., 2016). </w:t>
      </w:r>
      <w:r w:rsidR="00066AA7" w:rsidRPr="00F93207">
        <w:rPr>
          <w:rFonts w:ascii="Arial" w:hAnsi="Arial" w:cs="Arial"/>
        </w:rPr>
        <w:t>Elevated levels</w:t>
      </w:r>
      <w:r w:rsidRPr="00F93207">
        <w:rPr>
          <w:rFonts w:ascii="Arial" w:hAnsi="Arial" w:cs="Arial"/>
        </w:rPr>
        <w:t xml:space="preserve"> of comorbidity with depression and other anxiety disorders further challenge its diagnostic specificity, suggesting that GAD may reflect broader underlying vulnerabilities such as emotional dysregulation or chronic stress reactivity.</w:t>
      </w:r>
    </w:p>
    <w:p w14:paraId="64C27E20" w14:textId="77777777" w:rsidR="00F93207" w:rsidRPr="00F93207" w:rsidRDefault="00F93207" w:rsidP="00A97D9E">
      <w:pPr>
        <w:spacing w:line="360" w:lineRule="auto"/>
        <w:jc w:val="both"/>
        <w:rPr>
          <w:rFonts w:ascii="Arial" w:hAnsi="Arial" w:cs="Arial"/>
        </w:rPr>
      </w:pPr>
      <w:r w:rsidRPr="00F93207">
        <w:rPr>
          <w:rFonts w:ascii="Arial" w:hAnsi="Arial" w:cs="Arial"/>
        </w:rPr>
        <w:t>This has contributed to increasing interest in dimensional models of mental health, which conceptualise anxiety along a continuum rather than as a categorical condition. Dimensional approaches may offer a more accurate representation of individual experiences, capturing variations in severity and complexity that are often lost within binary diagnostic systems (Crocq, 2017). However, they also introduce practical challenges, particularly in relation to diagnostic thresholds, treatment eligibility, and resource allocation within healthcare systems. Without clear boundaries, it becomes more difficult to determine who qualifies for clinical intervention.</w:t>
      </w:r>
    </w:p>
    <w:p w14:paraId="146D7761" w14:textId="77777777" w:rsidR="00F93207" w:rsidRPr="00F93207" w:rsidRDefault="00F93207" w:rsidP="00A97D9E">
      <w:pPr>
        <w:spacing w:line="360" w:lineRule="auto"/>
        <w:jc w:val="both"/>
        <w:rPr>
          <w:rFonts w:ascii="Arial" w:hAnsi="Arial" w:cs="Arial"/>
        </w:rPr>
      </w:pPr>
      <w:r w:rsidRPr="00F93207">
        <w:rPr>
          <w:rFonts w:ascii="Arial" w:hAnsi="Arial" w:cs="Arial"/>
        </w:rPr>
        <w:t>Another area of debate concerns the potential medicalisation of everyday distress. Some scholars argue that expanding diagnostic criteria risks pathologising normal emotional responses to life stressors, particularly in the context of social and economic pressures. This perspective suggests that increasing rates of diagnosis may not solely reflect improved recognition of mental health needs but may also be influenced by broader cultural and institutional factors, including the availability of pharmacological treatments (Crocq, 2017). While this argument remains contested, it raises important ethical questions regarding the balance between identifying genuine disorder and avoiding unnecessary labelling.</w:t>
      </w:r>
    </w:p>
    <w:p w14:paraId="46899157" w14:textId="77777777" w:rsidR="00F93207" w:rsidRPr="00F93207" w:rsidRDefault="00F93207" w:rsidP="00A97D9E">
      <w:pPr>
        <w:spacing w:line="360" w:lineRule="auto"/>
        <w:jc w:val="both"/>
        <w:rPr>
          <w:rFonts w:ascii="Arial" w:hAnsi="Arial" w:cs="Arial"/>
        </w:rPr>
      </w:pPr>
      <w:r w:rsidRPr="00F93207">
        <w:rPr>
          <w:rFonts w:ascii="Arial" w:hAnsi="Arial" w:cs="Arial"/>
        </w:rPr>
        <w:t xml:space="preserve">The COVID-19 pandemic has further intensified these debates by significantly increasing levels of anxiety across the general population. This has blurred the distinction between clinical disorder and normative stress responses, making diagnostic boundaries more difficult to define (Kwong et al., 2021; Zavlis et al., 2021). In this context, the application of existing </w:t>
      </w:r>
      <w:r w:rsidRPr="00F93207">
        <w:rPr>
          <w:rFonts w:ascii="Arial" w:hAnsi="Arial" w:cs="Arial"/>
        </w:rPr>
        <w:lastRenderedPageBreak/>
        <w:t>diagnostic frameworks may risk both overdiagnosis and underdiagnosis, depending on how thresholds are interpreted.</w:t>
      </w:r>
    </w:p>
    <w:p w14:paraId="26998CED" w14:textId="6E2BCD88" w:rsidR="00F93207" w:rsidRPr="00F93207" w:rsidRDefault="00F93207" w:rsidP="00A97D9E">
      <w:pPr>
        <w:spacing w:line="360" w:lineRule="auto"/>
        <w:jc w:val="both"/>
        <w:rPr>
          <w:rFonts w:ascii="Arial" w:hAnsi="Arial" w:cs="Arial"/>
        </w:rPr>
      </w:pPr>
      <w:r w:rsidRPr="00F93207">
        <w:rPr>
          <w:rFonts w:ascii="Arial" w:hAnsi="Arial" w:cs="Arial"/>
        </w:rPr>
        <w:t xml:space="preserve">Advances in neuroscience and genetic research have also contributed to evolving understandings of anxiety. Studies suggest biological components underlie GAD, including genetic predispositions and neurobiological </w:t>
      </w:r>
      <w:r w:rsidR="00F93EA4" w:rsidRPr="00F93EA4">
        <w:rPr>
          <w:rFonts w:ascii="Arial" w:hAnsi="Arial" w:cs="Arial"/>
        </w:rPr>
        <w:t>(Morriss et al., 2019; Katzourou et al.,</w:t>
      </w:r>
      <w:r w:rsidR="00F93EA4" w:rsidRPr="00F93EA4">
        <w:rPr>
          <w:rFonts w:ascii="Arial" w:hAnsi="Arial" w:cs="Arial"/>
        </w:rPr>
        <w:br/>
        <w:t>2025)</w:t>
      </w:r>
      <w:r w:rsidR="00EF6E73" w:rsidRPr="00F93EA4">
        <w:rPr>
          <w:rFonts w:ascii="Arial" w:hAnsi="Arial" w:cs="Arial"/>
        </w:rPr>
        <w:t xml:space="preserve">. </w:t>
      </w:r>
      <w:r w:rsidRPr="00F93207">
        <w:rPr>
          <w:rFonts w:ascii="Arial" w:hAnsi="Arial" w:cs="Arial"/>
        </w:rPr>
        <w:t>However, these findings also highlight the complexity of interactions between biological, psychological, and environmental factors, reinforcing the limitations of reductionist models.</w:t>
      </w:r>
    </w:p>
    <w:p w14:paraId="6BC01D29" w14:textId="716FE473" w:rsidR="00F93207" w:rsidRPr="00F93207" w:rsidRDefault="00F93207" w:rsidP="00A97D9E">
      <w:pPr>
        <w:spacing w:line="360" w:lineRule="auto"/>
        <w:jc w:val="both"/>
        <w:rPr>
          <w:rFonts w:ascii="Arial" w:hAnsi="Arial" w:cs="Arial"/>
        </w:rPr>
      </w:pPr>
      <w:r w:rsidRPr="00F93207">
        <w:rPr>
          <w:rFonts w:ascii="Arial" w:hAnsi="Arial" w:cs="Arial"/>
        </w:rPr>
        <w:t xml:space="preserve">Overall, current debates reflect a broader tension between the need for structured diagnostic systems and the recognition of mental health as complex, dynamic, and </w:t>
      </w:r>
      <w:r w:rsidR="00917D8F" w:rsidRPr="00F93207">
        <w:rPr>
          <w:rFonts w:ascii="Arial" w:hAnsi="Arial" w:cs="Arial"/>
        </w:rPr>
        <w:t>context dependent</w:t>
      </w:r>
      <w:r w:rsidRPr="00F93207">
        <w:rPr>
          <w:rFonts w:ascii="Arial" w:hAnsi="Arial" w:cs="Arial"/>
        </w:rPr>
        <w:t xml:space="preserve">. These discussions have significant implications for clinical practice, influencing how conditions are classified, diagnosed, and treated within contemporary healthcare </w:t>
      </w:r>
      <w:r w:rsidR="00917D8F" w:rsidRPr="00F93207">
        <w:rPr>
          <w:rFonts w:ascii="Arial" w:hAnsi="Arial" w:cs="Arial"/>
        </w:rPr>
        <w:t>systems.</w:t>
      </w:r>
    </w:p>
    <w:p w14:paraId="75C5B244" w14:textId="59D72237" w:rsidR="00A8210F" w:rsidRPr="00A8210F" w:rsidRDefault="006D793F" w:rsidP="00A97D9E">
      <w:pPr>
        <w:spacing w:line="360" w:lineRule="auto"/>
        <w:jc w:val="both"/>
        <w:rPr>
          <w:rFonts w:ascii="Arial" w:hAnsi="Arial" w:cs="Arial"/>
        </w:rPr>
      </w:pPr>
      <w:r w:rsidRPr="006D793F">
        <w:rPr>
          <w:rFonts w:ascii="Arial" w:hAnsi="Arial" w:cs="Arial"/>
          <w:b/>
          <w:bCs/>
        </w:rPr>
        <w:t>Neurodivergence and Reclassification</w:t>
      </w:r>
    </w:p>
    <w:p w14:paraId="1CF88B1E" w14:textId="77777777" w:rsidR="00175643" w:rsidRPr="00175643" w:rsidRDefault="00175643" w:rsidP="00A97D9E">
      <w:pPr>
        <w:spacing w:line="360" w:lineRule="auto"/>
        <w:jc w:val="both"/>
        <w:rPr>
          <w:rFonts w:ascii="Arial" w:hAnsi="Arial" w:cs="Arial"/>
        </w:rPr>
      </w:pPr>
      <w:r w:rsidRPr="00175643">
        <w:rPr>
          <w:rFonts w:ascii="Arial" w:hAnsi="Arial" w:cs="Arial"/>
        </w:rPr>
        <w:t>There is increasing recognition of overlap between Generalised Anxiety Disorder and neurodivergent conditions such as autism spectrum conditions and attention deficit hyperactivity disorder (ADHD). Features including sensory sensitivity, intolerance of uncertainty, and cognitive overload may be interpreted within a neurotypical diagnostic framework as symptoms of anxiety (Bottesi et al., 2016).</w:t>
      </w:r>
    </w:p>
    <w:p w14:paraId="05FDD1F9" w14:textId="77777777" w:rsidR="00175643" w:rsidRPr="00175643" w:rsidRDefault="00175643" w:rsidP="00A97D9E">
      <w:pPr>
        <w:spacing w:line="360" w:lineRule="auto"/>
        <w:jc w:val="both"/>
        <w:rPr>
          <w:rFonts w:ascii="Arial" w:hAnsi="Arial" w:cs="Arial"/>
        </w:rPr>
      </w:pPr>
      <w:r w:rsidRPr="00175643">
        <w:rPr>
          <w:rFonts w:ascii="Arial" w:hAnsi="Arial" w:cs="Arial"/>
        </w:rPr>
        <w:t>This creates a risk of diagnostic overshadowing, where underlying neurodevelopmental differences are misidentified as anxiety disorders. As a result, individuals may receive treatments that are not appropriately adapted to their needs, reducing effectiveness and potentially reinforcing distress.</w:t>
      </w:r>
    </w:p>
    <w:p w14:paraId="756CE94A" w14:textId="77777777" w:rsidR="00175643" w:rsidRPr="00175643" w:rsidRDefault="00175643" w:rsidP="00A97D9E">
      <w:pPr>
        <w:spacing w:line="360" w:lineRule="auto"/>
        <w:jc w:val="both"/>
        <w:rPr>
          <w:rFonts w:ascii="Arial" w:hAnsi="Arial" w:cs="Arial"/>
        </w:rPr>
      </w:pPr>
      <w:r w:rsidRPr="00175643">
        <w:rPr>
          <w:rFonts w:ascii="Arial" w:hAnsi="Arial" w:cs="Arial"/>
        </w:rPr>
        <w:t>In addition, neurodivergent individuals may engage in masking or camouflaging behaviours, which can obscure underlying difficulties during clinical assessment. This may delay accurate diagnosis and limit access to appropriate support (Slee et al., 2021).</w:t>
      </w:r>
    </w:p>
    <w:p w14:paraId="6E3E9FAF" w14:textId="429CB542" w:rsidR="00175643" w:rsidRPr="00175643" w:rsidRDefault="00175643" w:rsidP="00A97D9E">
      <w:pPr>
        <w:spacing w:line="360" w:lineRule="auto"/>
        <w:jc w:val="both"/>
        <w:rPr>
          <w:rFonts w:ascii="Arial" w:hAnsi="Arial" w:cs="Arial"/>
        </w:rPr>
      </w:pPr>
      <w:r w:rsidRPr="00175643">
        <w:rPr>
          <w:rFonts w:ascii="Arial" w:hAnsi="Arial" w:cs="Arial"/>
        </w:rPr>
        <w:t xml:space="preserve">Current diagnostic criteria are </w:t>
      </w:r>
      <w:r w:rsidR="00850E65" w:rsidRPr="00175643">
        <w:rPr>
          <w:rFonts w:ascii="Arial" w:hAnsi="Arial" w:cs="Arial"/>
        </w:rPr>
        <w:t>based</w:t>
      </w:r>
      <w:r w:rsidRPr="00175643">
        <w:rPr>
          <w:rFonts w:ascii="Arial" w:hAnsi="Arial" w:cs="Arial"/>
        </w:rPr>
        <w:t xml:space="preserve"> on neurotypical presentations of distress, which limits their applicability across diverse populations. This has led to increasing calls for more inclusive and flexible diagnostic frameworks that better account for variation in emotional processing and communication (Crocq, 2017).</w:t>
      </w:r>
    </w:p>
    <w:p w14:paraId="5628E948" w14:textId="51029731" w:rsidR="00175643" w:rsidRDefault="00175643" w:rsidP="00A97D9E">
      <w:pPr>
        <w:spacing w:line="360" w:lineRule="auto"/>
        <w:jc w:val="both"/>
        <w:rPr>
          <w:rFonts w:ascii="Arial" w:hAnsi="Arial" w:cs="Arial"/>
        </w:rPr>
      </w:pPr>
      <w:r w:rsidRPr="00175643">
        <w:rPr>
          <w:rFonts w:ascii="Arial" w:hAnsi="Arial" w:cs="Arial"/>
        </w:rPr>
        <w:t xml:space="preserve">These issues highlight that debates around reclassification are not purely theoretical but have direct implications for clinical practice, influencing diagnostic accuracy, </w:t>
      </w:r>
      <w:r w:rsidR="00917D8F" w:rsidRPr="00175643">
        <w:rPr>
          <w:rFonts w:ascii="Arial" w:hAnsi="Arial" w:cs="Arial"/>
        </w:rPr>
        <w:t>treatment.</w:t>
      </w:r>
      <w:r w:rsidRPr="00175643">
        <w:rPr>
          <w:rFonts w:ascii="Arial" w:hAnsi="Arial" w:cs="Arial"/>
        </w:rPr>
        <w:t xml:space="preserve"> </w:t>
      </w:r>
    </w:p>
    <w:p w14:paraId="7380FAAD" w14:textId="314F9C38" w:rsidR="00175643" w:rsidRDefault="00175643" w:rsidP="00A97D9E">
      <w:pPr>
        <w:spacing w:line="360" w:lineRule="auto"/>
        <w:jc w:val="both"/>
        <w:rPr>
          <w:rFonts w:ascii="Arial" w:hAnsi="Arial" w:cs="Arial"/>
        </w:rPr>
      </w:pPr>
      <w:r w:rsidRPr="00175643">
        <w:rPr>
          <w:rFonts w:ascii="Arial" w:hAnsi="Arial" w:cs="Arial"/>
        </w:rPr>
        <w:t>effectiveness, and service accessibility.</w:t>
      </w:r>
    </w:p>
    <w:p w14:paraId="6895A2ED" w14:textId="142976E6" w:rsidR="003F3E68" w:rsidRPr="00175643" w:rsidRDefault="003F3E68" w:rsidP="00A97D9E">
      <w:pPr>
        <w:spacing w:line="360" w:lineRule="auto"/>
        <w:jc w:val="both"/>
        <w:rPr>
          <w:rFonts w:ascii="Arial" w:hAnsi="Arial" w:cs="Arial"/>
        </w:rPr>
      </w:pPr>
    </w:p>
    <w:p w14:paraId="40A90F8E" w14:textId="5C667F0E" w:rsidR="00A8210F" w:rsidRDefault="002C01A7" w:rsidP="00A97D9E">
      <w:pPr>
        <w:spacing w:line="360" w:lineRule="auto"/>
        <w:jc w:val="both"/>
        <w:rPr>
          <w:rFonts w:ascii="Arial" w:hAnsi="Arial" w:cs="Arial"/>
        </w:rPr>
      </w:pPr>
      <w:r w:rsidRPr="002C01A7">
        <w:rPr>
          <w:rFonts w:ascii="Arial" w:hAnsi="Arial" w:cs="Arial"/>
          <w:b/>
          <w:bCs/>
        </w:rPr>
        <w:t>Recommendations</w:t>
      </w:r>
    </w:p>
    <w:p w14:paraId="238F46CF" w14:textId="77777777" w:rsidR="00F34992" w:rsidRPr="00F34992" w:rsidRDefault="00F34992" w:rsidP="00A97D9E">
      <w:pPr>
        <w:spacing w:line="360" w:lineRule="auto"/>
        <w:jc w:val="both"/>
        <w:rPr>
          <w:rFonts w:ascii="Arial" w:hAnsi="Arial" w:cs="Arial"/>
        </w:rPr>
      </w:pPr>
      <w:r w:rsidRPr="00F34992">
        <w:rPr>
          <w:rFonts w:ascii="Arial" w:hAnsi="Arial" w:cs="Arial"/>
        </w:rPr>
        <w:t>To address the limitations identified in the classification, diagnosis, treatment, and rehabilitation of Generalised Anxiety Disorder, several evidence-informed recommendations can be proposed.</w:t>
      </w:r>
    </w:p>
    <w:p w14:paraId="4A9C3D9A" w14:textId="77777777" w:rsidR="00F34992" w:rsidRPr="00F34992" w:rsidRDefault="00F34992" w:rsidP="00A97D9E">
      <w:pPr>
        <w:spacing w:line="360" w:lineRule="auto"/>
        <w:jc w:val="both"/>
        <w:rPr>
          <w:rFonts w:ascii="Arial" w:hAnsi="Arial" w:cs="Arial"/>
        </w:rPr>
      </w:pPr>
      <w:r w:rsidRPr="00F34992">
        <w:rPr>
          <w:rFonts w:ascii="Arial" w:hAnsi="Arial" w:cs="Arial"/>
        </w:rPr>
        <w:t>Firstly, diagnostic frameworks should incorporate greater flexibility by recognising subthreshold and context-dependent presentations of anxiety. This would improve early identification and reduce exclusion from services caused by rigid diagnostic thresholds (Crocq, 2017).</w:t>
      </w:r>
    </w:p>
    <w:p w14:paraId="66A87D52" w14:textId="77777777" w:rsidR="00BD6F2A" w:rsidRPr="00BD6F2A" w:rsidRDefault="00BD6F2A" w:rsidP="00A97D9E">
      <w:pPr>
        <w:spacing w:line="360" w:lineRule="auto"/>
        <w:jc w:val="both"/>
        <w:rPr>
          <w:rFonts w:ascii="Arial" w:hAnsi="Arial" w:cs="Arial"/>
        </w:rPr>
      </w:pPr>
      <w:r w:rsidRPr="00BD6F2A">
        <w:rPr>
          <w:rFonts w:ascii="Arial" w:hAnsi="Arial" w:cs="Arial"/>
        </w:rPr>
        <w:t>Secondly, mental health services should prioritise integrated biopsychosocial approaches that combine psychological, pharmacological, and social interventions. Strengthening collaboration between clinical services and community-based support systems would improve long-term recovery outcomes and reduce fragmentation of care (NHS England, 2019).</w:t>
      </w:r>
    </w:p>
    <w:p w14:paraId="68DCB11E" w14:textId="77777777" w:rsidR="00BD6F2A" w:rsidRPr="00BD6F2A" w:rsidRDefault="00BD6F2A" w:rsidP="00A97D9E">
      <w:pPr>
        <w:spacing w:line="360" w:lineRule="auto"/>
        <w:jc w:val="both"/>
        <w:rPr>
          <w:rFonts w:ascii="Arial" w:hAnsi="Arial" w:cs="Arial"/>
        </w:rPr>
      </w:pPr>
      <w:r w:rsidRPr="00BD6F2A">
        <w:rPr>
          <w:rFonts w:ascii="Arial" w:hAnsi="Arial" w:cs="Arial"/>
        </w:rPr>
        <w:t>Thirdly, assessment and treatment approaches should be adapted to better support neurodivergent individuals. This includes improving clinician awareness, modifying therapeutic techniques, and developing more inclusive diagnostic practices to reduce misdiagnosis and improve treatment effectiveness (Bottesi et al., 2016).</w:t>
      </w:r>
    </w:p>
    <w:p w14:paraId="1EF6CAE9" w14:textId="77777777" w:rsidR="000D39D8" w:rsidRPr="000D39D8" w:rsidRDefault="000D39D8" w:rsidP="00A97D9E">
      <w:pPr>
        <w:spacing w:line="360" w:lineRule="auto"/>
        <w:jc w:val="both"/>
        <w:rPr>
          <w:rFonts w:ascii="Arial" w:hAnsi="Arial" w:cs="Arial"/>
        </w:rPr>
      </w:pPr>
      <w:r w:rsidRPr="000D39D8">
        <w:rPr>
          <w:rFonts w:ascii="Arial" w:hAnsi="Arial" w:cs="Arial"/>
        </w:rPr>
        <w:t>Fourthly, continuity of care should be strengthened by ensuring that individuals receive ongoing support following initial treatment. This may include relapse prevention strategies, follow-up interventions, and access to community resources, which are essential for sustaining recovery (NHS Digital, 2023).</w:t>
      </w:r>
    </w:p>
    <w:p w14:paraId="7CD311A6" w14:textId="77777777" w:rsidR="000D39D8" w:rsidRPr="000D39D8" w:rsidRDefault="000D39D8" w:rsidP="00A97D9E">
      <w:pPr>
        <w:spacing w:line="360" w:lineRule="auto"/>
        <w:jc w:val="both"/>
        <w:rPr>
          <w:rFonts w:ascii="Arial" w:hAnsi="Arial" w:cs="Arial"/>
        </w:rPr>
      </w:pPr>
      <w:r w:rsidRPr="000D39D8">
        <w:rPr>
          <w:rFonts w:ascii="Arial" w:hAnsi="Arial" w:cs="Arial"/>
        </w:rPr>
        <w:t>Finally, implementation of these recommendations requires systemic investment, including increased funding, workforce development, and policy-level support. Without addressing structural limitations within healthcare systems, improvements in clinical practice alone are unlikely to produce meaningful change (NHS England, 2019).</w:t>
      </w:r>
    </w:p>
    <w:p w14:paraId="544DD201" w14:textId="77777777" w:rsidR="001D0D98" w:rsidRDefault="001D0D98" w:rsidP="00A97D9E">
      <w:pPr>
        <w:spacing w:line="360" w:lineRule="auto"/>
        <w:jc w:val="both"/>
        <w:rPr>
          <w:rFonts w:ascii="Arial" w:hAnsi="Arial" w:cs="Arial"/>
          <w:b/>
          <w:bCs/>
        </w:rPr>
      </w:pPr>
    </w:p>
    <w:p w14:paraId="2F2E075C" w14:textId="77777777" w:rsidR="001D0D98" w:rsidRDefault="001D0D98" w:rsidP="00A97D9E">
      <w:pPr>
        <w:spacing w:line="360" w:lineRule="auto"/>
        <w:jc w:val="both"/>
        <w:rPr>
          <w:rFonts w:ascii="Arial" w:hAnsi="Arial" w:cs="Arial"/>
          <w:b/>
          <w:bCs/>
        </w:rPr>
      </w:pPr>
    </w:p>
    <w:p w14:paraId="233400D4" w14:textId="77777777" w:rsidR="001D0D98" w:rsidRDefault="001D0D98" w:rsidP="00A97D9E">
      <w:pPr>
        <w:spacing w:line="360" w:lineRule="auto"/>
        <w:jc w:val="both"/>
        <w:rPr>
          <w:rFonts w:ascii="Arial" w:hAnsi="Arial" w:cs="Arial"/>
          <w:b/>
          <w:bCs/>
        </w:rPr>
      </w:pPr>
    </w:p>
    <w:p w14:paraId="20F31182" w14:textId="77777777" w:rsidR="001D0D98" w:rsidRDefault="001D0D98" w:rsidP="00A97D9E">
      <w:pPr>
        <w:spacing w:line="360" w:lineRule="auto"/>
        <w:jc w:val="both"/>
        <w:rPr>
          <w:rFonts w:ascii="Arial" w:hAnsi="Arial" w:cs="Arial"/>
          <w:b/>
          <w:bCs/>
        </w:rPr>
      </w:pPr>
    </w:p>
    <w:p w14:paraId="430860E7" w14:textId="77777777" w:rsidR="001D0D98" w:rsidRDefault="001D0D98" w:rsidP="00A97D9E">
      <w:pPr>
        <w:spacing w:line="360" w:lineRule="auto"/>
        <w:jc w:val="both"/>
        <w:rPr>
          <w:rFonts w:ascii="Arial" w:hAnsi="Arial" w:cs="Arial"/>
          <w:b/>
          <w:bCs/>
        </w:rPr>
      </w:pPr>
    </w:p>
    <w:p w14:paraId="4910AA89" w14:textId="77777777" w:rsidR="001D0D98" w:rsidRDefault="001D0D98" w:rsidP="00A97D9E">
      <w:pPr>
        <w:spacing w:line="360" w:lineRule="auto"/>
        <w:jc w:val="both"/>
        <w:rPr>
          <w:rFonts w:ascii="Arial" w:hAnsi="Arial" w:cs="Arial"/>
          <w:b/>
          <w:bCs/>
        </w:rPr>
      </w:pPr>
    </w:p>
    <w:p w14:paraId="2F4B937F" w14:textId="77777777" w:rsidR="00447255" w:rsidRDefault="00447255" w:rsidP="00A97D9E">
      <w:pPr>
        <w:spacing w:line="360" w:lineRule="auto"/>
        <w:jc w:val="both"/>
        <w:rPr>
          <w:rFonts w:ascii="Arial" w:hAnsi="Arial" w:cs="Arial"/>
          <w:b/>
          <w:bCs/>
        </w:rPr>
      </w:pPr>
    </w:p>
    <w:p w14:paraId="01103A19" w14:textId="55737307" w:rsidR="00600053" w:rsidRPr="00A97D9E" w:rsidRDefault="00A33201" w:rsidP="00A97D9E">
      <w:pPr>
        <w:spacing w:line="360" w:lineRule="auto"/>
        <w:jc w:val="both"/>
        <w:rPr>
          <w:rFonts w:ascii="Arial" w:hAnsi="Arial" w:cs="Arial"/>
          <w:b/>
          <w:bCs/>
        </w:rPr>
      </w:pPr>
      <w:r w:rsidRPr="00A97D9E">
        <w:rPr>
          <w:rFonts w:ascii="Arial" w:hAnsi="Arial" w:cs="Arial"/>
          <w:b/>
          <w:bCs/>
        </w:rPr>
        <w:t>Conclusion</w:t>
      </w:r>
    </w:p>
    <w:p w14:paraId="486248C4" w14:textId="1061A505" w:rsidR="000A425E" w:rsidRPr="000A425E" w:rsidRDefault="000A425E" w:rsidP="00A97D9E">
      <w:pPr>
        <w:spacing w:line="360" w:lineRule="auto"/>
        <w:jc w:val="both"/>
        <w:rPr>
          <w:rFonts w:ascii="Arial" w:hAnsi="Arial" w:cs="Arial"/>
        </w:rPr>
      </w:pPr>
      <w:r w:rsidRPr="000A425E">
        <w:rPr>
          <w:rFonts w:ascii="Arial" w:hAnsi="Arial" w:cs="Arial"/>
        </w:rPr>
        <w:t xml:space="preserve">Generalised Anxiety Disorder remains a significant mental health condition within the ICD-11 framework, which provides a structured approach to classification, diagnosis, and treatment (World Health </w:t>
      </w:r>
      <w:r w:rsidR="0059605F">
        <w:rPr>
          <w:rFonts w:ascii="Arial" w:hAnsi="Arial" w:cs="Arial"/>
        </w:rPr>
        <w:t>Organisation</w:t>
      </w:r>
      <w:r w:rsidRPr="000A425E">
        <w:rPr>
          <w:rFonts w:ascii="Arial" w:hAnsi="Arial" w:cs="Arial"/>
        </w:rPr>
        <w:t>, 2023). However, these systems are not without limitations. Issues relating to rigid diagnostic thresholds, high comorbidity, and reliance on standardised assessment tools raise concerns about the validity and inclusivity of current classification approaches (Crocq, 2017; Bekhuis et al., 2016).</w:t>
      </w:r>
    </w:p>
    <w:p w14:paraId="7D8E75DE" w14:textId="1DE305A6" w:rsidR="000A425E" w:rsidRPr="000A425E" w:rsidRDefault="000A425E" w:rsidP="00A97D9E">
      <w:pPr>
        <w:spacing w:line="360" w:lineRule="auto"/>
        <w:jc w:val="both"/>
        <w:rPr>
          <w:rFonts w:ascii="Arial" w:hAnsi="Arial" w:cs="Arial"/>
        </w:rPr>
      </w:pPr>
      <w:r w:rsidRPr="000A425E">
        <w:rPr>
          <w:rFonts w:ascii="Arial" w:hAnsi="Arial" w:cs="Arial"/>
        </w:rPr>
        <w:t xml:space="preserve">Although evidence-based treatments such as CBT and pharmacological interventions are widely recommended, their effectiveness is influenced by systemic barriers, including </w:t>
      </w:r>
      <w:r w:rsidR="00917D8F" w:rsidRPr="000A425E">
        <w:rPr>
          <w:rFonts w:ascii="Arial" w:hAnsi="Arial" w:cs="Arial"/>
        </w:rPr>
        <w:t>limited-service</w:t>
      </w:r>
      <w:r w:rsidRPr="000A425E">
        <w:rPr>
          <w:rFonts w:ascii="Arial" w:hAnsi="Arial" w:cs="Arial"/>
        </w:rPr>
        <w:t xml:space="preserve"> capacity, access inequalities, and variable patient engagement (National Institute for Health and Care Excellence, 2011; NHS Digital, 2023). Rehabilitation also remains inconsistently implemented, with gaps in continuity of care and limited attention to social determinants (NHS England, 2019).</w:t>
      </w:r>
    </w:p>
    <w:p w14:paraId="66EFDB1D" w14:textId="1920E4EA" w:rsidR="000A425E" w:rsidRPr="000A425E" w:rsidRDefault="000A425E" w:rsidP="00A97D9E">
      <w:pPr>
        <w:spacing w:line="360" w:lineRule="auto"/>
        <w:jc w:val="both"/>
        <w:rPr>
          <w:rFonts w:ascii="Arial" w:hAnsi="Arial" w:cs="Arial"/>
        </w:rPr>
      </w:pPr>
      <w:r w:rsidRPr="000A425E">
        <w:rPr>
          <w:rFonts w:ascii="Arial" w:hAnsi="Arial" w:cs="Arial"/>
        </w:rPr>
        <w:t>The recognition of neurodivergence challenges traditional diagnostic frameworks and supports the need for more inclusive approaches to assessment and treatment (Bottesi et al., 2016). Debates around dimensional models and the medicalisation of distress further highlight the complexity of defining anxiety (Crocq, 2017).</w:t>
      </w:r>
    </w:p>
    <w:p w14:paraId="7825149B" w14:textId="6937020A" w:rsidR="0002124D" w:rsidRDefault="00917D8F" w:rsidP="00A97D9E">
      <w:pPr>
        <w:spacing w:line="360" w:lineRule="auto"/>
        <w:jc w:val="both"/>
        <w:rPr>
          <w:rFonts w:ascii="Arial" w:hAnsi="Arial" w:cs="Arial"/>
          <w:b/>
          <w:bCs/>
        </w:rPr>
      </w:pPr>
      <w:r w:rsidRPr="002754E8">
        <w:rPr>
          <w:rFonts w:ascii="Arial" w:hAnsi="Arial" w:cs="Arial"/>
        </w:rPr>
        <w:t>Overall,</w:t>
      </w:r>
      <w:r w:rsidR="002754E8" w:rsidRPr="002754E8">
        <w:rPr>
          <w:rFonts w:ascii="Arial" w:hAnsi="Arial" w:cs="Arial"/>
        </w:rPr>
        <w:t xml:space="preserve"> these limitations highlight the need for more flexible and inclusive approaches.</w:t>
      </w:r>
    </w:p>
    <w:p w14:paraId="750EC411" w14:textId="77777777" w:rsidR="0002124D" w:rsidRDefault="0002124D" w:rsidP="00A97D9E">
      <w:pPr>
        <w:spacing w:line="360" w:lineRule="auto"/>
        <w:jc w:val="both"/>
        <w:rPr>
          <w:rFonts w:ascii="Arial" w:hAnsi="Arial" w:cs="Arial"/>
          <w:b/>
          <w:bCs/>
        </w:rPr>
      </w:pPr>
    </w:p>
    <w:p w14:paraId="47375931" w14:textId="77777777" w:rsidR="0002124D" w:rsidRDefault="0002124D" w:rsidP="00A97D9E">
      <w:pPr>
        <w:spacing w:line="360" w:lineRule="auto"/>
        <w:jc w:val="both"/>
        <w:rPr>
          <w:rFonts w:ascii="Arial" w:hAnsi="Arial" w:cs="Arial"/>
          <w:b/>
          <w:bCs/>
        </w:rPr>
      </w:pPr>
    </w:p>
    <w:p w14:paraId="211B9A09" w14:textId="77777777" w:rsidR="0002124D" w:rsidRDefault="0002124D" w:rsidP="00A97D9E">
      <w:pPr>
        <w:spacing w:line="360" w:lineRule="auto"/>
        <w:jc w:val="both"/>
        <w:rPr>
          <w:rFonts w:ascii="Arial" w:hAnsi="Arial" w:cs="Arial"/>
          <w:b/>
          <w:bCs/>
        </w:rPr>
      </w:pPr>
    </w:p>
    <w:p w14:paraId="4AA61458" w14:textId="77777777" w:rsidR="0002124D" w:rsidRDefault="0002124D" w:rsidP="00A97D9E">
      <w:pPr>
        <w:spacing w:line="360" w:lineRule="auto"/>
        <w:jc w:val="both"/>
        <w:rPr>
          <w:rFonts w:ascii="Arial" w:hAnsi="Arial" w:cs="Arial"/>
          <w:b/>
          <w:bCs/>
        </w:rPr>
      </w:pPr>
    </w:p>
    <w:p w14:paraId="7375108C" w14:textId="77777777" w:rsidR="00A33201" w:rsidRDefault="00A33201" w:rsidP="00A97D9E">
      <w:pPr>
        <w:spacing w:line="360" w:lineRule="auto"/>
        <w:jc w:val="both"/>
        <w:rPr>
          <w:rFonts w:ascii="Arial" w:hAnsi="Arial" w:cs="Arial"/>
          <w:b/>
          <w:bCs/>
        </w:rPr>
      </w:pPr>
    </w:p>
    <w:p w14:paraId="049C9F90" w14:textId="77777777" w:rsidR="00A33201" w:rsidRDefault="00A33201" w:rsidP="00A97D9E">
      <w:pPr>
        <w:spacing w:line="360" w:lineRule="auto"/>
        <w:jc w:val="both"/>
        <w:rPr>
          <w:rFonts w:ascii="Arial" w:hAnsi="Arial" w:cs="Arial"/>
          <w:b/>
          <w:bCs/>
        </w:rPr>
      </w:pPr>
    </w:p>
    <w:p w14:paraId="6D2BC892" w14:textId="77777777" w:rsidR="00A33201" w:rsidRDefault="00A33201" w:rsidP="00A97D9E">
      <w:pPr>
        <w:spacing w:line="360" w:lineRule="auto"/>
        <w:jc w:val="both"/>
        <w:rPr>
          <w:rFonts w:ascii="Arial" w:hAnsi="Arial" w:cs="Arial"/>
          <w:b/>
          <w:bCs/>
        </w:rPr>
      </w:pPr>
    </w:p>
    <w:p w14:paraId="25836186" w14:textId="77777777" w:rsidR="00901FDB" w:rsidRDefault="00901FDB" w:rsidP="00A97D9E">
      <w:pPr>
        <w:spacing w:line="360" w:lineRule="auto"/>
        <w:jc w:val="both"/>
        <w:rPr>
          <w:rFonts w:ascii="Arial" w:hAnsi="Arial" w:cs="Arial"/>
          <w:b/>
          <w:bCs/>
        </w:rPr>
      </w:pPr>
    </w:p>
    <w:p w14:paraId="42FE9F5D" w14:textId="77777777" w:rsidR="00CC2375" w:rsidRDefault="00CC2375" w:rsidP="00A97D9E">
      <w:pPr>
        <w:spacing w:line="360" w:lineRule="auto"/>
        <w:jc w:val="both"/>
        <w:rPr>
          <w:rFonts w:ascii="Arial" w:hAnsi="Arial" w:cs="Arial"/>
          <w:b/>
          <w:bCs/>
        </w:rPr>
      </w:pPr>
    </w:p>
    <w:p w14:paraId="0454E772" w14:textId="77777777" w:rsidR="004339C6" w:rsidRDefault="004339C6" w:rsidP="00A97D9E">
      <w:pPr>
        <w:spacing w:line="360" w:lineRule="auto"/>
        <w:jc w:val="both"/>
        <w:rPr>
          <w:rFonts w:ascii="Arial" w:hAnsi="Arial" w:cs="Arial"/>
          <w:b/>
          <w:bCs/>
        </w:rPr>
      </w:pPr>
    </w:p>
    <w:p w14:paraId="67EB8B8E" w14:textId="77777777" w:rsidR="002754E8" w:rsidRDefault="002754E8" w:rsidP="00406B31">
      <w:pPr>
        <w:rPr>
          <w:rFonts w:ascii="Arial" w:hAnsi="Arial" w:cs="Arial"/>
          <w:b/>
          <w:bCs/>
        </w:rPr>
      </w:pPr>
    </w:p>
    <w:p w14:paraId="13504EA9" w14:textId="747C8447" w:rsidR="00406B31" w:rsidRPr="00406B31" w:rsidRDefault="00406B31" w:rsidP="00406B31">
      <w:pPr>
        <w:rPr>
          <w:rFonts w:ascii="Arial" w:hAnsi="Arial" w:cs="Arial"/>
          <w:b/>
          <w:bCs/>
        </w:rPr>
      </w:pPr>
      <w:r w:rsidRPr="00406B31">
        <w:rPr>
          <w:rFonts w:ascii="Arial" w:hAnsi="Arial" w:cs="Arial"/>
          <w:b/>
          <w:bCs/>
        </w:rPr>
        <w:lastRenderedPageBreak/>
        <w:t>REFERENCE</w:t>
      </w:r>
    </w:p>
    <w:p w14:paraId="0AE65DC6" w14:textId="77777777" w:rsidR="00406B31" w:rsidRPr="00406B31" w:rsidRDefault="00406B31" w:rsidP="00406B31">
      <w:pPr>
        <w:rPr>
          <w:rFonts w:ascii="Arial" w:hAnsi="Arial" w:cs="Arial"/>
        </w:rPr>
      </w:pPr>
      <w:r w:rsidRPr="00406B31">
        <w:rPr>
          <w:rFonts w:ascii="Arial" w:hAnsi="Arial" w:cs="Arial"/>
        </w:rPr>
        <w:t>Bekhuis, E., Schoevers, R.A., van Borkulo, C.D., Rosmalen, J.G.M. and Boschloo, L. (2016) 'The network structure of major depressive disorder, generalised anxiety disorder and somatic symptomatology', </w:t>
      </w:r>
      <w:r w:rsidRPr="00406B31">
        <w:rPr>
          <w:rFonts w:ascii="Arial" w:hAnsi="Arial" w:cs="Arial"/>
          <w:i/>
          <w:iCs/>
        </w:rPr>
        <w:t>Psychological Medicine</w:t>
      </w:r>
      <w:r w:rsidRPr="00406B31">
        <w:rPr>
          <w:rFonts w:ascii="Arial" w:hAnsi="Arial" w:cs="Arial"/>
        </w:rPr>
        <w:t>, 46(14), pp. 2989--2998.</w:t>
      </w:r>
    </w:p>
    <w:p w14:paraId="42A82722" w14:textId="42DD2017" w:rsidR="00406B31" w:rsidRPr="00406B31" w:rsidRDefault="00406B31" w:rsidP="00406B31">
      <w:pPr>
        <w:rPr>
          <w:rFonts w:ascii="Arial" w:hAnsi="Arial" w:cs="Arial"/>
        </w:rPr>
      </w:pPr>
      <w:r w:rsidRPr="00406B31">
        <w:rPr>
          <w:rFonts w:ascii="Arial" w:hAnsi="Arial" w:cs="Arial"/>
        </w:rPr>
        <w:t xml:space="preserve">Bottesi, G., Ghisi, M., Carraro, E., Barclay, N., Payne, </w:t>
      </w:r>
      <w:r w:rsidR="00066AA7" w:rsidRPr="00406B31">
        <w:rPr>
          <w:rFonts w:ascii="Arial" w:hAnsi="Arial" w:cs="Arial"/>
        </w:rPr>
        <w:t>R.,</w:t>
      </w:r>
      <w:r w:rsidRPr="00406B31">
        <w:rPr>
          <w:rFonts w:ascii="Arial" w:hAnsi="Arial" w:cs="Arial"/>
        </w:rPr>
        <w:t xml:space="preserve"> and Freeston, M.H. (2016) 'Revising the intolerance of uncertainty model of generalised anxiety disorder: Evidence from UK and Italian undergraduate samples', </w:t>
      </w:r>
      <w:r w:rsidRPr="00406B31">
        <w:rPr>
          <w:rFonts w:ascii="Arial" w:hAnsi="Arial" w:cs="Arial"/>
          <w:i/>
          <w:iCs/>
        </w:rPr>
        <w:t>Frontiers in Psychology</w:t>
      </w:r>
      <w:r w:rsidRPr="00406B31">
        <w:rPr>
          <w:rFonts w:ascii="Arial" w:hAnsi="Arial" w:cs="Arial"/>
        </w:rPr>
        <w:t>, 7, p. 1723.</w:t>
      </w:r>
    </w:p>
    <w:p w14:paraId="47F211A7" w14:textId="77777777" w:rsidR="00406B31" w:rsidRPr="00406B31" w:rsidRDefault="00406B31" w:rsidP="00406B31">
      <w:pPr>
        <w:rPr>
          <w:rFonts w:ascii="Arial" w:hAnsi="Arial" w:cs="Arial"/>
        </w:rPr>
      </w:pPr>
      <w:r w:rsidRPr="00406B31">
        <w:rPr>
          <w:rFonts w:ascii="Arial" w:hAnsi="Arial" w:cs="Arial"/>
        </w:rPr>
        <w:t>Crocq, M.A. (2017) 'The history of generalised anxiety disorder as a diagnostic category', </w:t>
      </w:r>
      <w:r w:rsidRPr="00406B31">
        <w:rPr>
          <w:rFonts w:ascii="Arial" w:hAnsi="Arial" w:cs="Arial"/>
          <w:i/>
          <w:iCs/>
        </w:rPr>
        <w:t>Dialogues in Clinical Neuroscience</w:t>
      </w:r>
      <w:r w:rsidRPr="00406B31">
        <w:rPr>
          <w:rFonts w:ascii="Arial" w:hAnsi="Arial" w:cs="Arial"/>
        </w:rPr>
        <w:t>, 19(2), pp. 107--116.</w:t>
      </w:r>
    </w:p>
    <w:p w14:paraId="2C9C0664" w14:textId="77777777" w:rsidR="00406B31" w:rsidRPr="00406B31" w:rsidRDefault="00406B31" w:rsidP="00406B31">
      <w:pPr>
        <w:rPr>
          <w:rFonts w:ascii="Arial" w:hAnsi="Arial" w:cs="Arial"/>
        </w:rPr>
      </w:pPr>
      <w:r w:rsidRPr="00406B31">
        <w:rPr>
          <w:rFonts w:ascii="Arial" w:hAnsi="Arial" w:cs="Arial"/>
        </w:rPr>
        <w:t>Drug and Therapeutics Bulletin (2010) 'Pregabalin for generalised anxiety disorder', </w:t>
      </w:r>
      <w:r w:rsidRPr="00406B31">
        <w:rPr>
          <w:rFonts w:ascii="Arial" w:hAnsi="Arial" w:cs="Arial"/>
          <w:i/>
          <w:iCs/>
        </w:rPr>
        <w:t>Drug and Therapeutics Bulletin</w:t>
      </w:r>
      <w:r w:rsidRPr="00406B31">
        <w:rPr>
          <w:rFonts w:ascii="Arial" w:hAnsi="Arial" w:cs="Arial"/>
        </w:rPr>
        <w:t>, 48(2), pp. 19--22.</w:t>
      </w:r>
    </w:p>
    <w:p w14:paraId="78ADF22E" w14:textId="77777777" w:rsidR="00406B31" w:rsidRDefault="00406B31" w:rsidP="00406B31">
      <w:pPr>
        <w:rPr>
          <w:rFonts w:ascii="Arial" w:hAnsi="Arial" w:cs="Arial"/>
        </w:rPr>
      </w:pPr>
      <w:r w:rsidRPr="00406B31">
        <w:rPr>
          <w:rFonts w:ascii="Arial" w:hAnsi="Arial" w:cs="Arial"/>
        </w:rPr>
        <w:t>Kwong, A.S.F., Pearson, R.M., Adams, M.J., Northstone, K., Tilling, K., Smith, D., Fawns-Ritchie, C., Bould, H., Warne, N., Zammit, S., Gunnell, D.J., Moran, P.A. and Micali, N. (2021) 'Mental health before and during the COVID-19 pandemic', </w:t>
      </w:r>
      <w:r w:rsidRPr="00406B31">
        <w:rPr>
          <w:rFonts w:ascii="Arial" w:hAnsi="Arial" w:cs="Arial"/>
          <w:i/>
          <w:iCs/>
        </w:rPr>
        <w:t>British Journal of Psychiatry</w:t>
      </w:r>
      <w:r w:rsidRPr="00406B31">
        <w:rPr>
          <w:rFonts w:ascii="Arial" w:hAnsi="Arial" w:cs="Arial"/>
        </w:rPr>
        <w:t>, 218(6), pp. 334--343.</w:t>
      </w:r>
    </w:p>
    <w:p w14:paraId="6A1BE0CB" w14:textId="04E73F40" w:rsidR="00925CFB" w:rsidRPr="00406B31" w:rsidRDefault="00925CFB" w:rsidP="00406B31">
      <w:pPr>
        <w:rPr>
          <w:rFonts w:ascii="Arial" w:hAnsi="Arial" w:cs="Arial"/>
        </w:rPr>
      </w:pPr>
      <w:r w:rsidRPr="00925CFB">
        <w:rPr>
          <w:rFonts w:ascii="Arial" w:hAnsi="Arial" w:cs="Arial"/>
        </w:rPr>
        <w:t>Katzourou, I. K., Barroso, I., Benger, L., Ingason, A., Stow, D., Tsang, R., Wood, M., Kirov, G., Walters, J., Owen, M. J., &amp; others. (2025). Contributions of common and rare genetic variation to different measures of mood and anxiety disorder in the UK Biobank. </w:t>
      </w:r>
      <w:r w:rsidRPr="00925CFB">
        <w:rPr>
          <w:rFonts w:ascii="Arial" w:hAnsi="Arial" w:cs="Arial"/>
          <w:i/>
          <w:iCs/>
        </w:rPr>
        <w:t>BJPsych Open</w:t>
      </w:r>
      <w:r w:rsidRPr="00925CFB">
        <w:rPr>
          <w:rFonts w:ascii="Arial" w:hAnsi="Arial" w:cs="Arial"/>
        </w:rPr>
        <w:t>, *11*(3). </w:t>
      </w:r>
      <w:hyperlink r:id="rId9" w:tgtFrame="_blank" w:history="1">
        <w:r w:rsidRPr="00925CFB">
          <w:rPr>
            <w:rStyle w:val="Hyperlink"/>
            <w:rFonts w:ascii="Arial" w:hAnsi="Arial" w:cs="Arial"/>
          </w:rPr>
          <w:t>https://doi.org/10.1192/bjo.2025.43</w:t>
        </w:r>
      </w:hyperlink>
    </w:p>
    <w:p w14:paraId="4430D655" w14:textId="77777777" w:rsidR="00406B31" w:rsidRPr="00406B31" w:rsidRDefault="00406B31" w:rsidP="00406B31">
      <w:pPr>
        <w:rPr>
          <w:rFonts w:ascii="Arial" w:hAnsi="Arial" w:cs="Arial"/>
        </w:rPr>
      </w:pPr>
      <w:r w:rsidRPr="00406B31">
        <w:rPr>
          <w:rFonts w:ascii="Arial" w:hAnsi="Arial" w:cs="Arial"/>
        </w:rPr>
        <w:t>Lantos, D., Moreno-Agostino, D., Harris, L.T., Ploubidis, G., Haselden, L. and Fitzsimons, E. (2023) 'Performance of questionnaire-based measures of anxiety and distress', </w:t>
      </w:r>
      <w:r w:rsidRPr="00406B31">
        <w:rPr>
          <w:rFonts w:ascii="Arial" w:hAnsi="Arial" w:cs="Arial"/>
          <w:i/>
          <w:iCs/>
        </w:rPr>
        <w:t>Journal of Affective Disorders</w:t>
      </w:r>
      <w:r w:rsidRPr="00406B31">
        <w:rPr>
          <w:rFonts w:ascii="Arial" w:hAnsi="Arial" w:cs="Arial"/>
        </w:rPr>
        <w:t>, 338, pp. 433--439.</w:t>
      </w:r>
    </w:p>
    <w:p w14:paraId="209B4C07" w14:textId="77777777" w:rsidR="00406B31" w:rsidRPr="00406B31" w:rsidRDefault="00406B31" w:rsidP="00406B31">
      <w:pPr>
        <w:rPr>
          <w:rFonts w:ascii="Arial" w:hAnsi="Arial" w:cs="Arial"/>
        </w:rPr>
      </w:pPr>
      <w:r w:rsidRPr="00406B31">
        <w:rPr>
          <w:rFonts w:ascii="Arial" w:hAnsi="Arial" w:cs="Arial"/>
        </w:rPr>
        <w:t>National Institute for Health and Care Excellence (2011) </w:t>
      </w:r>
      <w:r w:rsidRPr="00406B31">
        <w:rPr>
          <w:rFonts w:ascii="Arial" w:hAnsi="Arial" w:cs="Arial"/>
          <w:i/>
          <w:iCs/>
        </w:rPr>
        <w:t>Generalised anxiety disorder and panic disorder in adults: management (CG113)</w:t>
      </w:r>
      <w:r w:rsidRPr="00406B31">
        <w:rPr>
          <w:rFonts w:ascii="Arial" w:hAnsi="Arial" w:cs="Arial"/>
        </w:rPr>
        <w:t>. Available at: </w:t>
      </w:r>
      <w:hyperlink r:id="rId10" w:tgtFrame="_blank" w:history="1">
        <w:r w:rsidRPr="00406B31">
          <w:rPr>
            <w:rStyle w:val="Hyperlink"/>
            <w:rFonts w:ascii="Arial" w:hAnsi="Arial" w:cs="Arial"/>
          </w:rPr>
          <w:t>https://www.nice.org.uk/guidance/cg113</w:t>
        </w:r>
      </w:hyperlink>
      <w:r w:rsidRPr="00406B31">
        <w:rPr>
          <w:rFonts w:ascii="Arial" w:hAnsi="Arial" w:cs="Arial"/>
        </w:rPr>
        <w:t> (Accessed: 10 March 2026).</w:t>
      </w:r>
    </w:p>
    <w:p w14:paraId="00C07786" w14:textId="77777777" w:rsidR="00406B31" w:rsidRPr="00406B31" w:rsidRDefault="00406B31" w:rsidP="00406B31">
      <w:pPr>
        <w:rPr>
          <w:rFonts w:ascii="Arial" w:hAnsi="Arial" w:cs="Arial"/>
        </w:rPr>
      </w:pPr>
      <w:r w:rsidRPr="00406B31">
        <w:rPr>
          <w:rFonts w:ascii="Arial" w:hAnsi="Arial" w:cs="Arial"/>
        </w:rPr>
        <w:t>NHS Digital (2023) </w:t>
      </w:r>
      <w:r w:rsidRPr="00406B31">
        <w:rPr>
          <w:rFonts w:ascii="Arial" w:hAnsi="Arial" w:cs="Arial"/>
          <w:i/>
          <w:iCs/>
        </w:rPr>
        <w:t>Psychological therapies: report on the use of IAPT services, England</w:t>
      </w:r>
      <w:r w:rsidRPr="00406B31">
        <w:rPr>
          <w:rFonts w:ascii="Arial" w:hAnsi="Arial" w:cs="Arial"/>
        </w:rPr>
        <w:t>. Available at: </w:t>
      </w:r>
      <w:hyperlink r:id="rId11" w:tgtFrame="_blank" w:history="1">
        <w:r w:rsidRPr="00406B31">
          <w:rPr>
            <w:rStyle w:val="Hyperlink"/>
            <w:rFonts w:ascii="Arial" w:hAnsi="Arial" w:cs="Arial"/>
          </w:rPr>
          <w:t>https://digital.nhs.uk/data-and-information/publications/statistical/psychological-therapies-report-on-the-use-of-iapt-services</w:t>
        </w:r>
      </w:hyperlink>
      <w:r w:rsidRPr="00406B31">
        <w:rPr>
          <w:rFonts w:ascii="Arial" w:hAnsi="Arial" w:cs="Arial"/>
        </w:rPr>
        <w:t> (Accessed: 23 March 2026).</w:t>
      </w:r>
    </w:p>
    <w:p w14:paraId="72B5EE06" w14:textId="77777777" w:rsidR="00406B31" w:rsidRDefault="00406B31" w:rsidP="00406B31">
      <w:pPr>
        <w:rPr>
          <w:rFonts w:ascii="Arial" w:hAnsi="Arial" w:cs="Arial"/>
        </w:rPr>
      </w:pPr>
      <w:r w:rsidRPr="00406B31">
        <w:rPr>
          <w:rFonts w:ascii="Arial" w:hAnsi="Arial" w:cs="Arial"/>
        </w:rPr>
        <w:t>NHS England (2019) </w:t>
      </w:r>
      <w:r w:rsidRPr="00406B31">
        <w:rPr>
          <w:rFonts w:ascii="Arial" w:hAnsi="Arial" w:cs="Arial"/>
          <w:i/>
          <w:iCs/>
        </w:rPr>
        <w:t>The NHS Long Term Plan</w:t>
      </w:r>
      <w:r w:rsidRPr="00406B31">
        <w:rPr>
          <w:rFonts w:ascii="Arial" w:hAnsi="Arial" w:cs="Arial"/>
        </w:rPr>
        <w:t>. Available at: </w:t>
      </w:r>
      <w:hyperlink r:id="rId12" w:tgtFrame="_blank" w:history="1">
        <w:r w:rsidRPr="00406B31">
          <w:rPr>
            <w:rStyle w:val="Hyperlink"/>
            <w:rFonts w:ascii="Arial" w:hAnsi="Arial" w:cs="Arial"/>
          </w:rPr>
          <w:t>https://www.longtermplan.nhs.uk/</w:t>
        </w:r>
      </w:hyperlink>
      <w:r w:rsidRPr="00406B31">
        <w:rPr>
          <w:rFonts w:ascii="Arial" w:hAnsi="Arial" w:cs="Arial"/>
        </w:rPr>
        <w:t> (Accessed: 20 March 2026).</w:t>
      </w:r>
    </w:p>
    <w:p w14:paraId="0C068A01" w14:textId="77777777" w:rsidR="00693581" w:rsidRPr="00693581" w:rsidRDefault="00693581" w:rsidP="00693581">
      <w:pPr>
        <w:rPr>
          <w:rFonts w:ascii="Arial" w:hAnsi="Arial" w:cs="Arial"/>
        </w:rPr>
      </w:pPr>
      <w:r w:rsidRPr="00693581">
        <w:rPr>
          <w:rFonts w:ascii="Arial" w:hAnsi="Arial" w:cs="Arial"/>
        </w:rPr>
        <w:t>Morriss, J. (2019). What do I do now? Intolerance of uncertainty is associated with discrete patterns of anticipatory physiological responding to different contexts. </w:t>
      </w:r>
      <w:r w:rsidRPr="00693581">
        <w:rPr>
          <w:rFonts w:ascii="Arial" w:hAnsi="Arial" w:cs="Arial"/>
          <w:i/>
          <w:iCs/>
        </w:rPr>
        <w:t>Psychophysiology</w:t>
      </w:r>
      <w:r w:rsidRPr="00693581">
        <w:rPr>
          <w:rFonts w:ascii="Arial" w:hAnsi="Arial" w:cs="Arial"/>
        </w:rPr>
        <w:t>, *56*(9), Article e13396. </w:t>
      </w:r>
      <w:hyperlink r:id="rId13" w:tgtFrame="_blank" w:history="1">
        <w:r w:rsidRPr="00693581">
          <w:rPr>
            <w:rStyle w:val="Hyperlink"/>
            <w:rFonts w:ascii="Arial" w:hAnsi="Arial" w:cs="Arial"/>
          </w:rPr>
          <w:t>https://doi.org/10.1111/psyp.13396</w:t>
        </w:r>
      </w:hyperlink>
    </w:p>
    <w:p w14:paraId="48794BAD" w14:textId="77777777" w:rsidR="00406B31" w:rsidRPr="00406B31" w:rsidRDefault="00406B31" w:rsidP="00406B31">
      <w:pPr>
        <w:rPr>
          <w:rFonts w:ascii="Arial" w:hAnsi="Arial" w:cs="Arial"/>
        </w:rPr>
      </w:pPr>
      <w:r w:rsidRPr="00406B31">
        <w:rPr>
          <w:rFonts w:ascii="Arial" w:hAnsi="Arial" w:cs="Arial"/>
        </w:rPr>
        <w:t>Remes, O., Wainwright, N., Surtees, P., Lafortune, L., Khaw, K.T. and Brayne, C. (2018) 'Generalised anxiety disorder and hospital admissions', </w:t>
      </w:r>
      <w:r w:rsidRPr="00406B31">
        <w:rPr>
          <w:rFonts w:ascii="Arial" w:hAnsi="Arial" w:cs="Arial"/>
          <w:i/>
          <w:iCs/>
        </w:rPr>
        <w:t>BMJ Open</w:t>
      </w:r>
      <w:r w:rsidRPr="00406B31">
        <w:rPr>
          <w:rFonts w:ascii="Arial" w:hAnsi="Arial" w:cs="Arial"/>
        </w:rPr>
        <w:t>, 8(10), p. e018539.</w:t>
      </w:r>
    </w:p>
    <w:p w14:paraId="7058F5A6" w14:textId="77777777" w:rsidR="00406B31" w:rsidRPr="00406B31" w:rsidRDefault="00406B31" w:rsidP="00406B31">
      <w:pPr>
        <w:rPr>
          <w:rFonts w:ascii="Arial" w:hAnsi="Arial" w:cs="Arial"/>
        </w:rPr>
      </w:pPr>
      <w:r w:rsidRPr="00406B31">
        <w:rPr>
          <w:rFonts w:ascii="Arial" w:hAnsi="Arial" w:cs="Arial"/>
        </w:rPr>
        <w:t>Slee, A., Nazareth, I., Freemantle, N. and Horsfall, L. (2021) 'Trends in generalised anxiety disorder in primary care', </w:t>
      </w:r>
      <w:r w:rsidRPr="00406B31">
        <w:rPr>
          <w:rFonts w:ascii="Arial" w:hAnsi="Arial" w:cs="Arial"/>
          <w:i/>
          <w:iCs/>
        </w:rPr>
        <w:t>British Journal of Psychiatry</w:t>
      </w:r>
      <w:r w:rsidRPr="00406B31">
        <w:rPr>
          <w:rFonts w:ascii="Arial" w:hAnsi="Arial" w:cs="Arial"/>
        </w:rPr>
        <w:t>, 218(3), pp. 158--164.</w:t>
      </w:r>
    </w:p>
    <w:p w14:paraId="1FD4DE4A" w14:textId="77777777" w:rsidR="00406B31" w:rsidRPr="00406B31" w:rsidRDefault="00406B31" w:rsidP="00406B31">
      <w:pPr>
        <w:rPr>
          <w:rFonts w:ascii="Arial" w:hAnsi="Arial" w:cs="Arial"/>
        </w:rPr>
      </w:pPr>
      <w:r w:rsidRPr="00406B31">
        <w:rPr>
          <w:rFonts w:ascii="Arial" w:hAnsi="Arial" w:cs="Arial"/>
        </w:rPr>
        <w:t>Wong, S.Y.S., Yip, B.H.K., Mak, W.W.S., Mercer, S., Cheung, E.Y.L., Ling, C.Y.M., Lui, W.W.S., Tang, W.K., Lo, H.H.M. and Wu, J.C.Y. (2016) 'Mindfulness-based cognitive therapy for generalised anxiety disorder', </w:t>
      </w:r>
      <w:r w:rsidRPr="00406B31">
        <w:rPr>
          <w:rFonts w:ascii="Arial" w:hAnsi="Arial" w:cs="Arial"/>
          <w:i/>
          <w:iCs/>
        </w:rPr>
        <w:t>British Journal of Psychiatry</w:t>
      </w:r>
      <w:r w:rsidRPr="00406B31">
        <w:rPr>
          <w:rFonts w:ascii="Arial" w:hAnsi="Arial" w:cs="Arial"/>
        </w:rPr>
        <w:t>, 209(1), pp. 68--75.</w:t>
      </w:r>
    </w:p>
    <w:p w14:paraId="44606F76" w14:textId="77777777" w:rsidR="00406B31" w:rsidRPr="00406B31" w:rsidRDefault="00406B31" w:rsidP="00406B31">
      <w:pPr>
        <w:rPr>
          <w:rFonts w:ascii="Arial" w:hAnsi="Arial" w:cs="Arial"/>
        </w:rPr>
      </w:pPr>
      <w:r w:rsidRPr="00406B31">
        <w:rPr>
          <w:rFonts w:ascii="Arial" w:hAnsi="Arial" w:cs="Arial"/>
        </w:rPr>
        <w:t>World Health Organization (2023) *ICD-11 for mortality and morbidity statistics*. Available at: </w:t>
      </w:r>
      <w:hyperlink r:id="rId14" w:tgtFrame="_blank" w:history="1">
        <w:r w:rsidRPr="00406B31">
          <w:rPr>
            <w:rStyle w:val="Hyperlink"/>
            <w:rFonts w:ascii="Arial" w:hAnsi="Arial" w:cs="Arial"/>
          </w:rPr>
          <w:t>https://icd.who.int/browse11</w:t>
        </w:r>
      </w:hyperlink>
      <w:r w:rsidRPr="00406B31">
        <w:rPr>
          <w:rFonts w:ascii="Arial" w:hAnsi="Arial" w:cs="Arial"/>
        </w:rPr>
        <w:t> (Accessed: 23 February 2026).</w:t>
      </w:r>
    </w:p>
    <w:p w14:paraId="42A0CCA5" w14:textId="77777777" w:rsidR="00406B31" w:rsidRPr="00406B31" w:rsidRDefault="00406B31" w:rsidP="00406B31">
      <w:pPr>
        <w:rPr>
          <w:rFonts w:ascii="Arial" w:hAnsi="Arial" w:cs="Arial"/>
        </w:rPr>
      </w:pPr>
      <w:r w:rsidRPr="00406B31">
        <w:rPr>
          <w:rFonts w:ascii="Arial" w:hAnsi="Arial" w:cs="Arial"/>
        </w:rPr>
        <w:lastRenderedPageBreak/>
        <w:t>Zavlis, O., Butter, S., Bennett, K., Hartman, T.K., Hyland, P., Mason, L., McBride, O., Murphy, J., Gibson-Miller, J., Levita, L., Martinez, A.P., Shevlin, M. and Stocks, T.V. (2021) 'COVID-19 and population mental health', </w:t>
      </w:r>
      <w:r w:rsidRPr="00406B31">
        <w:rPr>
          <w:rFonts w:ascii="Arial" w:hAnsi="Arial" w:cs="Arial"/>
          <w:i/>
          <w:iCs/>
        </w:rPr>
        <w:t>Psychological Medicine</w:t>
      </w:r>
      <w:r w:rsidRPr="00406B31">
        <w:rPr>
          <w:rFonts w:ascii="Arial" w:hAnsi="Arial" w:cs="Arial"/>
        </w:rPr>
        <w:t>, 52(16), pp. 3825--3833.</w:t>
      </w:r>
    </w:p>
    <w:p w14:paraId="46D4B6DA" w14:textId="77777777" w:rsidR="00AA43B5" w:rsidRPr="00960B33" w:rsidRDefault="00AA43B5" w:rsidP="00406B31">
      <w:pPr>
        <w:rPr>
          <w:rFonts w:ascii="Arial" w:hAnsi="Arial" w:cs="Arial"/>
        </w:rPr>
      </w:pPr>
    </w:p>
    <w:sectPr w:rsidR="00AA43B5" w:rsidRPr="00960B33" w:rsidSect="00E4642F">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F0BF54" w14:textId="77777777" w:rsidR="000F6759" w:rsidRDefault="000F6759" w:rsidP="00E4642F">
      <w:pPr>
        <w:spacing w:after="0" w:line="240" w:lineRule="auto"/>
      </w:pPr>
      <w:r>
        <w:separator/>
      </w:r>
    </w:p>
  </w:endnote>
  <w:endnote w:type="continuationSeparator" w:id="0">
    <w:p w14:paraId="4DEF031B" w14:textId="77777777" w:rsidR="000F6759" w:rsidRDefault="000F6759" w:rsidP="00E464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9371164"/>
      <w:docPartObj>
        <w:docPartGallery w:val="Page Numbers (Bottom of Page)"/>
        <w:docPartUnique/>
      </w:docPartObj>
    </w:sdtPr>
    <w:sdtContent>
      <w:p w14:paraId="2A65210F" w14:textId="6A51420E" w:rsidR="00576F73" w:rsidRDefault="00576F73">
        <w:pPr>
          <w:pStyle w:val="Footer"/>
        </w:pPr>
        <w:r>
          <w:fldChar w:fldCharType="begin"/>
        </w:r>
        <w:r>
          <w:instrText>PAGE   \* MERGEFORMAT</w:instrText>
        </w:r>
        <w:r>
          <w:fldChar w:fldCharType="separate"/>
        </w:r>
        <w:r>
          <w:t>2</w:t>
        </w:r>
        <w:r>
          <w:fldChar w:fldCharType="end"/>
        </w:r>
      </w:p>
    </w:sdtContent>
  </w:sdt>
  <w:p w14:paraId="3C7850CC" w14:textId="77777777" w:rsidR="00E4642F" w:rsidRDefault="00E464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C569E3" w14:textId="77777777" w:rsidR="000F6759" w:rsidRDefault="000F6759" w:rsidP="00E4642F">
      <w:pPr>
        <w:spacing w:after="0" w:line="240" w:lineRule="auto"/>
      </w:pPr>
      <w:r>
        <w:separator/>
      </w:r>
    </w:p>
  </w:footnote>
  <w:footnote w:type="continuationSeparator" w:id="0">
    <w:p w14:paraId="7273143C" w14:textId="77777777" w:rsidR="000F6759" w:rsidRDefault="000F6759" w:rsidP="00E464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D76F6F"/>
    <w:multiLevelType w:val="multilevel"/>
    <w:tmpl w:val="81FCF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1F3BB0"/>
    <w:multiLevelType w:val="multilevel"/>
    <w:tmpl w:val="19DEAA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6DD6FD9"/>
    <w:multiLevelType w:val="multilevel"/>
    <w:tmpl w:val="2AC2C5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42314813">
    <w:abstractNumId w:val="0"/>
  </w:num>
  <w:num w:numId="2" w16cid:durableId="792986116">
    <w:abstractNumId w:val="2"/>
  </w:num>
  <w:num w:numId="3" w16cid:durableId="11155658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911"/>
    <w:rsid w:val="0002124D"/>
    <w:rsid w:val="00046EF2"/>
    <w:rsid w:val="000536D2"/>
    <w:rsid w:val="00065837"/>
    <w:rsid w:val="00066AA7"/>
    <w:rsid w:val="00094C89"/>
    <w:rsid w:val="000A425E"/>
    <w:rsid w:val="000B469A"/>
    <w:rsid w:val="000C135B"/>
    <w:rsid w:val="000D39D8"/>
    <w:rsid w:val="000D7BEE"/>
    <w:rsid w:val="000F16A2"/>
    <w:rsid w:val="000F332F"/>
    <w:rsid w:val="000F6759"/>
    <w:rsid w:val="001007F1"/>
    <w:rsid w:val="00116995"/>
    <w:rsid w:val="00130EBF"/>
    <w:rsid w:val="0016274A"/>
    <w:rsid w:val="001646C0"/>
    <w:rsid w:val="00164C14"/>
    <w:rsid w:val="00175643"/>
    <w:rsid w:val="001B5F1C"/>
    <w:rsid w:val="001D0D98"/>
    <w:rsid w:val="00227092"/>
    <w:rsid w:val="00227913"/>
    <w:rsid w:val="0023538B"/>
    <w:rsid w:val="002754E8"/>
    <w:rsid w:val="002A35D8"/>
    <w:rsid w:val="002A5A71"/>
    <w:rsid w:val="002C01A7"/>
    <w:rsid w:val="003414E1"/>
    <w:rsid w:val="003466A9"/>
    <w:rsid w:val="0035182B"/>
    <w:rsid w:val="00360601"/>
    <w:rsid w:val="003646BA"/>
    <w:rsid w:val="00387B50"/>
    <w:rsid w:val="003A19BC"/>
    <w:rsid w:val="003A72B2"/>
    <w:rsid w:val="003B659E"/>
    <w:rsid w:val="003C3FB5"/>
    <w:rsid w:val="003E5F83"/>
    <w:rsid w:val="003F3725"/>
    <w:rsid w:val="003F3E68"/>
    <w:rsid w:val="00403114"/>
    <w:rsid w:val="00406B31"/>
    <w:rsid w:val="00410B9B"/>
    <w:rsid w:val="004339C6"/>
    <w:rsid w:val="004351F5"/>
    <w:rsid w:val="00447255"/>
    <w:rsid w:val="0044735D"/>
    <w:rsid w:val="00451708"/>
    <w:rsid w:val="004A365F"/>
    <w:rsid w:val="004E1BC5"/>
    <w:rsid w:val="00556EC8"/>
    <w:rsid w:val="00576F73"/>
    <w:rsid w:val="00595E64"/>
    <w:rsid w:val="0059605F"/>
    <w:rsid w:val="005A2429"/>
    <w:rsid w:val="005B6BF1"/>
    <w:rsid w:val="005C6CFF"/>
    <w:rsid w:val="005E2994"/>
    <w:rsid w:val="005F0AD7"/>
    <w:rsid w:val="00600053"/>
    <w:rsid w:val="00607A84"/>
    <w:rsid w:val="00611DA3"/>
    <w:rsid w:val="00615951"/>
    <w:rsid w:val="006227B7"/>
    <w:rsid w:val="00652994"/>
    <w:rsid w:val="006548B3"/>
    <w:rsid w:val="0066142C"/>
    <w:rsid w:val="00693581"/>
    <w:rsid w:val="006D793F"/>
    <w:rsid w:val="006E3AE2"/>
    <w:rsid w:val="00717DAE"/>
    <w:rsid w:val="00733227"/>
    <w:rsid w:val="007421A3"/>
    <w:rsid w:val="00744C41"/>
    <w:rsid w:val="007663E4"/>
    <w:rsid w:val="007722AE"/>
    <w:rsid w:val="007B0FF0"/>
    <w:rsid w:val="008114C8"/>
    <w:rsid w:val="00830640"/>
    <w:rsid w:val="00831A51"/>
    <w:rsid w:val="00850E65"/>
    <w:rsid w:val="00854EC8"/>
    <w:rsid w:val="008A2FB3"/>
    <w:rsid w:val="008B4BAB"/>
    <w:rsid w:val="008E45E0"/>
    <w:rsid w:val="00901FDB"/>
    <w:rsid w:val="00917D8F"/>
    <w:rsid w:val="00921F89"/>
    <w:rsid w:val="00925CFB"/>
    <w:rsid w:val="00933101"/>
    <w:rsid w:val="00960B33"/>
    <w:rsid w:val="009826FA"/>
    <w:rsid w:val="009836A3"/>
    <w:rsid w:val="009842FB"/>
    <w:rsid w:val="00984BAF"/>
    <w:rsid w:val="00992F4B"/>
    <w:rsid w:val="009D1F74"/>
    <w:rsid w:val="009D466B"/>
    <w:rsid w:val="009D78BA"/>
    <w:rsid w:val="009E4FBF"/>
    <w:rsid w:val="00A00137"/>
    <w:rsid w:val="00A2047B"/>
    <w:rsid w:val="00A31AE1"/>
    <w:rsid w:val="00A328DF"/>
    <w:rsid w:val="00A33201"/>
    <w:rsid w:val="00A3636B"/>
    <w:rsid w:val="00A47025"/>
    <w:rsid w:val="00A63DEB"/>
    <w:rsid w:val="00A72455"/>
    <w:rsid w:val="00A8210F"/>
    <w:rsid w:val="00A876E4"/>
    <w:rsid w:val="00A97D9E"/>
    <w:rsid w:val="00AA43B5"/>
    <w:rsid w:val="00AF5911"/>
    <w:rsid w:val="00B167B3"/>
    <w:rsid w:val="00B92AF9"/>
    <w:rsid w:val="00BC3489"/>
    <w:rsid w:val="00BC44FB"/>
    <w:rsid w:val="00BD6F2A"/>
    <w:rsid w:val="00BD78A4"/>
    <w:rsid w:val="00BF0D54"/>
    <w:rsid w:val="00BF28CB"/>
    <w:rsid w:val="00C22178"/>
    <w:rsid w:val="00C46FDA"/>
    <w:rsid w:val="00C5490C"/>
    <w:rsid w:val="00C5649A"/>
    <w:rsid w:val="00CA6197"/>
    <w:rsid w:val="00CC2375"/>
    <w:rsid w:val="00CF6D4C"/>
    <w:rsid w:val="00D40AA7"/>
    <w:rsid w:val="00D73BD3"/>
    <w:rsid w:val="00DB1D75"/>
    <w:rsid w:val="00DC4B9A"/>
    <w:rsid w:val="00DD75D6"/>
    <w:rsid w:val="00E4642F"/>
    <w:rsid w:val="00E556EA"/>
    <w:rsid w:val="00E757B7"/>
    <w:rsid w:val="00E90929"/>
    <w:rsid w:val="00E94DA0"/>
    <w:rsid w:val="00EA178C"/>
    <w:rsid w:val="00EE1A03"/>
    <w:rsid w:val="00EF6E73"/>
    <w:rsid w:val="00F049DF"/>
    <w:rsid w:val="00F26EF3"/>
    <w:rsid w:val="00F27F1C"/>
    <w:rsid w:val="00F329D2"/>
    <w:rsid w:val="00F34992"/>
    <w:rsid w:val="00F45424"/>
    <w:rsid w:val="00F67B4C"/>
    <w:rsid w:val="00F93207"/>
    <w:rsid w:val="00F93EA4"/>
    <w:rsid w:val="00FA550F"/>
    <w:rsid w:val="00FC3816"/>
    <w:rsid w:val="00FD0C64"/>
    <w:rsid w:val="00FF5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36FA7"/>
  <w15:chartTrackingRefBased/>
  <w15:docId w15:val="{A0720314-603A-4800-B885-D0C3A5F62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59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F59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F59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59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59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59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59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59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59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59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F59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F59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59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59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59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59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59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5911"/>
    <w:rPr>
      <w:rFonts w:eastAsiaTheme="majorEastAsia" w:cstheme="majorBidi"/>
      <w:color w:val="272727" w:themeColor="text1" w:themeTint="D8"/>
    </w:rPr>
  </w:style>
  <w:style w:type="paragraph" w:styleId="Title">
    <w:name w:val="Title"/>
    <w:basedOn w:val="Normal"/>
    <w:next w:val="Normal"/>
    <w:link w:val="TitleChar"/>
    <w:uiPriority w:val="10"/>
    <w:qFormat/>
    <w:rsid w:val="00AF59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59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59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59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5911"/>
    <w:pPr>
      <w:spacing w:before="160"/>
      <w:jc w:val="center"/>
    </w:pPr>
    <w:rPr>
      <w:i/>
      <w:iCs/>
      <w:color w:val="404040" w:themeColor="text1" w:themeTint="BF"/>
    </w:rPr>
  </w:style>
  <w:style w:type="character" w:customStyle="1" w:styleId="QuoteChar">
    <w:name w:val="Quote Char"/>
    <w:basedOn w:val="DefaultParagraphFont"/>
    <w:link w:val="Quote"/>
    <w:uiPriority w:val="29"/>
    <w:rsid w:val="00AF5911"/>
    <w:rPr>
      <w:i/>
      <w:iCs/>
      <w:color w:val="404040" w:themeColor="text1" w:themeTint="BF"/>
    </w:rPr>
  </w:style>
  <w:style w:type="paragraph" w:styleId="ListParagraph">
    <w:name w:val="List Paragraph"/>
    <w:basedOn w:val="Normal"/>
    <w:uiPriority w:val="34"/>
    <w:qFormat/>
    <w:rsid w:val="00AF5911"/>
    <w:pPr>
      <w:ind w:left="720"/>
      <w:contextualSpacing/>
    </w:pPr>
  </w:style>
  <w:style w:type="character" w:styleId="IntenseEmphasis">
    <w:name w:val="Intense Emphasis"/>
    <w:basedOn w:val="DefaultParagraphFont"/>
    <w:uiPriority w:val="21"/>
    <w:qFormat/>
    <w:rsid w:val="00AF5911"/>
    <w:rPr>
      <w:i/>
      <w:iCs/>
      <w:color w:val="0F4761" w:themeColor="accent1" w:themeShade="BF"/>
    </w:rPr>
  </w:style>
  <w:style w:type="paragraph" w:styleId="IntenseQuote">
    <w:name w:val="Intense Quote"/>
    <w:basedOn w:val="Normal"/>
    <w:next w:val="Normal"/>
    <w:link w:val="IntenseQuoteChar"/>
    <w:uiPriority w:val="30"/>
    <w:qFormat/>
    <w:rsid w:val="00AF59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5911"/>
    <w:rPr>
      <w:i/>
      <w:iCs/>
      <w:color w:val="0F4761" w:themeColor="accent1" w:themeShade="BF"/>
    </w:rPr>
  </w:style>
  <w:style w:type="character" w:styleId="IntenseReference">
    <w:name w:val="Intense Reference"/>
    <w:basedOn w:val="DefaultParagraphFont"/>
    <w:uiPriority w:val="32"/>
    <w:qFormat/>
    <w:rsid w:val="00AF5911"/>
    <w:rPr>
      <w:b/>
      <w:bCs/>
      <w:smallCaps/>
      <w:color w:val="0F4761" w:themeColor="accent1" w:themeShade="BF"/>
      <w:spacing w:val="5"/>
    </w:rPr>
  </w:style>
  <w:style w:type="character" w:styleId="Hyperlink">
    <w:name w:val="Hyperlink"/>
    <w:basedOn w:val="DefaultParagraphFont"/>
    <w:uiPriority w:val="99"/>
    <w:unhideWhenUsed/>
    <w:rsid w:val="0002124D"/>
    <w:rPr>
      <w:color w:val="467886" w:themeColor="hyperlink"/>
      <w:u w:val="single"/>
    </w:rPr>
  </w:style>
  <w:style w:type="character" w:styleId="UnresolvedMention">
    <w:name w:val="Unresolved Mention"/>
    <w:basedOn w:val="DefaultParagraphFont"/>
    <w:uiPriority w:val="99"/>
    <w:semiHidden/>
    <w:unhideWhenUsed/>
    <w:rsid w:val="0002124D"/>
    <w:rPr>
      <w:color w:val="605E5C"/>
      <w:shd w:val="clear" w:color="auto" w:fill="E1DFDD"/>
    </w:rPr>
  </w:style>
  <w:style w:type="paragraph" w:styleId="Header">
    <w:name w:val="header"/>
    <w:basedOn w:val="Normal"/>
    <w:link w:val="HeaderChar"/>
    <w:uiPriority w:val="99"/>
    <w:unhideWhenUsed/>
    <w:rsid w:val="00E464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642F"/>
  </w:style>
  <w:style w:type="paragraph" w:styleId="Footer">
    <w:name w:val="footer"/>
    <w:basedOn w:val="Normal"/>
    <w:link w:val="FooterChar"/>
    <w:uiPriority w:val="99"/>
    <w:unhideWhenUsed/>
    <w:rsid w:val="00E464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64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111/psyp.13396"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ongtermplan.nhs.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gital.nhs.uk/data-and-information/publications/statistical/psychological-therapies-report-on-the-use-of-iapt-service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nice.org.uk/guidance/cg113" TargetMode="External"/><Relationship Id="rId4" Type="http://schemas.openxmlformats.org/officeDocument/2006/relationships/webSettings" Target="webSettings.xml"/><Relationship Id="rId9" Type="http://schemas.openxmlformats.org/officeDocument/2006/relationships/hyperlink" Target="https://doi.org/10.1192/bjo.2025.43" TargetMode="External"/><Relationship Id="rId14" Type="http://schemas.openxmlformats.org/officeDocument/2006/relationships/hyperlink" Target="https://icd.who.int/browse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370</TotalTime>
  <Pages>11</Pages>
  <Words>3083</Words>
  <Characters>17576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Baidar Begum</dc:creator>
  <cp:keywords/>
  <dc:description/>
  <cp:lastModifiedBy>Baidar Begum</cp:lastModifiedBy>
  <cp:revision>133</cp:revision>
  <dcterms:created xsi:type="dcterms:W3CDTF">2026-02-23T08:43:00Z</dcterms:created>
  <dcterms:modified xsi:type="dcterms:W3CDTF">2026-03-24T18:40:00Z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0d90cfcc-696f-4732-a6a5-f81600c00151</vt:lpwstr>
  </property>
</Properties>
</file>