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02">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03">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04">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05">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06">
      <w:pPr>
        <w:ind w:left="0" w:firstLine="0"/>
        <w:jc w:val="left"/>
        <w:rPr>
          <w:rFonts w:ascii="Calibri" w:cs="Calibri" w:eastAsia="Calibri" w:hAnsi="Calibri"/>
          <w:sz w:val="36"/>
          <w:szCs w:val="36"/>
        </w:rPr>
      </w:pPr>
      <w:r w:rsidDel="00000000" w:rsidR="00000000" w:rsidRPr="00000000">
        <w:rPr>
          <w:rtl w:val="0"/>
        </w:rPr>
      </w:r>
    </w:p>
    <w:p w:rsidR="00000000" w:rsidDel="00000000" w:rsidP="00000000" w:rsidRDefault="00000000" w:rsidRPr="00000000" w14:paraId="00000007">
      <w:pPr>
        <w:ind w:left="0" w:firstLine="0"/>
        <w:jc w:val="center"/>
        <w:rPr>
          <w:rFonts w:ascii="Calibri" w:cs="Calibri" w:eastAsia="Calibri" w:hAnsi="Calibri"/>
          <w:sz w:val="28"/>
          <w:szCs w:val="28"/>
        </w:rPr>
      </w:pPr>
      <w:r w:rsidDel="00000000" w:rsidR="00000000" w:rsidRPr="00000000">
        <w:rPr>
          <w:rFonts w:ascii="Calibri" w:cs="Calibri" w:eastAsia="Calibri" w:hAnsi="Calibri"/>
          <w:b w:val="1"/>
          <w:bCs w:val="1"/>
          <w:sz w:val="36"/>
          <w:szCs w:val="36"/>
          <w:rtl w:val="0"/>
        </w:rPr>
        <w:t xml:space="preserve">Osteoporosis: Public Health Report </w:t>
      </w:r>
      <w:r w:rsidDel="00000000" w:rsidR="00000000" w:rsidRPr="00000000">
        <w:rPr>
          <w:rFonts w:ascii="Calibri" w:cs="Calibri" w:eastAsia="Calibri" w:hAnsi="Calibri"/>
          <w:sz w:val="36"/>
          <w:szCs w:val="36"/>
          <w:rtl w:val="0"/>
        </w:rPr>
        <w:br w:type="textWrapping"/>
        <w:br w:type="textWrapping"/>
      </w:r>
      <w:r w:rsidDel="00000000" w:rsidR="00000000" w:rsidRPr="00000000">
        <w:rPr>
          <w:rFonts w:ascii="Calibri" w:cs="Calibri" w:eastAsia="Calibri" w:hAnsi="Calibri"/>
          <w:sz w:val="28"/>
          <w:szCs w:val="28"/>
          <w:rtl w:val="0"/>
        </w:rPr>
        <w:t xml:space="preserve">Sydney Lee</w:t>
      </w:r>
    </w:p>
    <w:p w:rsidR="00000000" w:rsidDel="00000000" w:rsidP="00000000" w:rsidRDefault="00000000" w:rsidRPr="00000000" w14:paraId="00000008">
      <w:pPr>
        <w:ind w:left="0" w:firstLine="0"/>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251106 </w:t>
        <w:br w:type="textWrapping"/>
        <w:br w:type="textWrapping"/>
        <w:br w:type="textWrapping"/>
        <w:br w:type="textWrapping"/>
        <w:t xml:space="preserve">Introduction to Public Health and Wellbeing </w:t>
      </w:r>
    </w:p>
    <w:p w:rsidR="00000000" w:rsidDel="00000000" w:rsidP="00000000" w:rsidRDefault="00000000" w:rsidRPr="00000000" w14:paraId="00000009">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0A">
      <w:pPr>
        <w:ind w:left="0" w:firstLine="0"/>
        <w:jc w:val="center"/>
        <w:rPr>
          <w:rFonts w:ascii="Calibri" w:cs="Calibri" w:eastAsia="Calibri" w:hAnsi="Calibri"/>
        </w:rPr>
      </w:pPr>
      <w:r w:rsidDel="00000000" w:rsidR="00000000" w:rsidRPr="00000000">
        <w:rPr>
          <w:rFonts w:ascii="Calibri" w:cs="Calibri" w:eastAsia="Calibri" w:hAnsi="Calibri"/>
          <w:rtl w:val="0"/>
        </w:rPr>
        <w:t xml:space="preserve">BMHP4023</w:t>
      </w:r>
    </w:p>
    <w:p w:rsidR="00000000" w:rsidDel="00000000" w:rsidP="00000000" w:rsidRDefault="00000000" w:rsidRPr="00000000" w14:paraId="0000000B">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0C">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0D">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0E">
      <w:pPr>
        <w:ind w:left="0" w:firstLine="0"/>
        <w:jc w:val="center"/>
        <w:rPr>
          <w:rFonts w:ascii="Calibri" w:cs="Calibri" w:eastAsia="Calibri" w:hAnsi="Calibri"/>
        </w:rPr>
      </w:pPr>
      <w:r w:rsidDel="00000000" w:rsidR="00000000" w:rsidRPr="00000000">
        <w:rPr>
          <w:rFonts w:ascii="Calibri" w:cs="Calibri" w:eastAsia="Calibri" w:hAnsi="Calibri"/>
          <w:rtl w:val="0"/>
        </w:rPr>
        <w:t xml:space="preserve">22 April 2026 </w:t>
      </w:r>
    </w:p>
    <w:p w:rsidR="00000000" w:rsidDel="00000000" w:rsidP="00000000" w:rsidRDefault="00000000" w:rsidRPr="00000000" w14:paraId="0000000F">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0">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1">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2">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3">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4">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5">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6">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7">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8">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9">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A">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B">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C">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D">
      <w:pPr>
        <w:ind w:left="0" w:firstLine="0"/>
        <w:jc w:val="center"/>
        <w:rPr>
          <w:rFonts w:ascii="Calibri" w:cs="Calibri" w:eastAsia="Calibri" w:hAnsi="Calibri"/>
        </w:rPr>
      </w:pPr>
      <w:r w:rsidDel="00000000" w:rsidR="00000000" w:rsidRPr="00000000">
        <w:rPr>
          <w:rtl w:val="0"/>
        </w:rPr>
      </w:r>
    </w:p>
    <w:p w:rsidR="00000000" w:rsidDel="00000000" w:rsidP="00000000" w:rsidRDefault="00000000" w:rsidRPr="00000000" w14:paraId="0000001E">
      <w:pPr>
        <w:ind w:left="0" w:firstLine="0"/>
        <w:jc w:val="center"/>
        <w:rPr>
          <w:rFonts w:ascii="Calibri" w:cs="Calibri" w:eastAsia="Calibri" w:hAnsi="Calibri"/>
          <w:b w:val="1"/>
          <w:bCs w:val="1"/>
          <w:u w:val="single"/>
        </w:rPr>
      </w:pPr>
      <w:r w:rsidDel="00000000" w:rsidR="00000000" w:rsidRPr="00000000">
        <w:rPr>
          <w:rFonts w:ascii="Calibri" w:cs="Calibri" w:eastAsia="Calibri" w:hAnsi="Calibri"/>
          <w:rtl w:val="0"/>
        </w:rPr>
        <w:br w:type="textWrapping"/>
      </w:r>
      <w:r w:rsidDel="00000000" w:rsidR="00000000" w:rsidRPr="00000000">
        <w:rPr>
          <w:rtl w:val="0"/>
        </w:rPr>
      </w:r>
    </w:p>
    <w:p w:rsidR="00000000" w:rsidDel="00000000" w:rsidP="00000000" w:rsidRDefault="00000000" w:rsidRPr="00000000" w14:paraId="0000001F">
      <w:pPr>
        <w:spacing w:line="360" w:lineRule="auto"/>
        <w:ind w:firstLine="720"/>
        <w:rPr>
          <w:rFonts w:ascii="Calibri" w:cs="Calibri" w:eastAsia="Calibri" w:hAnsi="Calibri"/>
        </w:rPr>
      </w:pPr>
      <w:r w:rsidDel="00000000" w:rsidR="00000000" w:rsidRPr="00000000">
        <w:rPr>
          <w:rFonts w:ascii="Calibri" w:cs="Calibri" w:eastAsia="Calibri" w:hAnsi="Calibri"/>
          <w:rtl w:val="0"/>
        </w:rPr>
        <w:t xml:space="preserve">Across the United Kingdom, bone breaks and fractures affect over 300,000 people. These are unique fractures, commonly referred to as fragility fractures and are often caused by osteoporosis (Owen, 2025). In Wales, over 20,000 fractures are recorded as being caused by osteoporosis, and this has a massive impact not only on those affected but also on the National Health Service (NHS) in its ability to properly care for and treat these patients.  Nearly £60 million could be saved by Clinical Commissioning Groups (CCG) on those admitted to A&amp;E due to falls over age 65, if lower rates are achieved. Additionally, nearly £40 million could be saved on hospital admissions for hip and thigh injuries if lower rates occurred (NHS England, 2017).</w:t>
      </w:r>
    </w:p>
    <w:p w:rsidR="00000000" w:rsidDel="00000000" w:rsidP="00000000" w:rsidRDefault="00000000" w:rsidRPr="00000000" w14:paraId="00000020">
      <w:pPr>
        <w:spacing w:line="360" w:lineRule="auto"/>
        <w:ind w:firstLine="720"/>
        <w:rPr>
          <w:rFonts w:ascii="Calibri" w:cs="Calibri" w:eastAsia="Calibri" w:hAnsi="Calibri"/>
        </w:rPr>
      </w:pPr>
      <w:r w:rsidDel="00000000" w:rsidR="00000000" w:rsidRPr="00000000">
        <w:rPr>
          <w:rtl w:val="0"/>
        </w:rPr>
      </w:r>
    </w:p>
    <w:p w:rsidR="00000000" w:rsidDel="00000000" w:rsidP="00000000" w:rsidRDefault="00000000" w:rsidRPr="00000000" w14:paraId="00000021">
      <w:pPr>
        <w:spacing w:line="360" w:lineRule="auto"/>
        <w:ind w:firstLine="720"/>
        <w:rPr>
          <w:rFonts w:ascii="Calibri" w:cs="Calibri" w:eastAsia="Calibri" w:hAnsi="Calibri"/>
          <w:b w:val="1"/>
          <w:bCs w:val="1"/>
          <w:i w:val="1"/>
          <w:iCs w:val="1"/>
        </w:rPr>
      </w:pPr>
      <w:r w:rsidDel="00000000" w:rsidR="00000000" w:rsidRPr="00000000">
        <w:rPr>
          <w:rFonts w:ascii="Calibri" w:cs="Calibri" w:eastAsia="Calibri" w:hAnsi="Calibri"/>
          <w:rtl w:val="0"/>
        </w:rPr>
        <w:t xml:space="preserve">The Welsh government has identified the need for more expansive healthcare and broader treatment of osteoporosis in order to prevent recurring fractures. The current system used across the UK  is called the Fracture Liaison Services (FLS) and focuses largely on healthy habits and treatment to prevent and diminish the effects of osteoporosis on everyday activities (International Osteoporosis Foundation, 2021). There is merit in continuing this FLS model to prevent osteoporosis, however, small tweaks such as improved communication standards and wider partnerships could further improve this model (Hutchins et al., 2024). </w:t>
      </w:r>
      <w:r w:rsidDel="00000000" w:rsidR="00000000" w:rsidRPr="00000000">
        <w:rPr>
          <w:rtl w:val="0"/>
        </w:rPr>
      </w:r>
    </w:p>
    <w:p w:rsidR="00000000" w:rsidDel="00000000" w:rsidP="00000000" w:rsidRDefault="00000000" w:rsidRPr="00000000" w14:paraId="00000022">
      <w:pPr>
        <w:spacing w:line="360" w:lineRule="auto"/>
        <w:ind w:left="0" w:firstLine="720"/>
        <w:rPr>
          <w:rFonts w:ascii="Calibri" w:cs="Calibri" w:eastAsia="Calibri" w:hAnsi="Calibri"/>
        </w:rPr>
      </w:pPr>
      <w:r w:rsidDel="00000000" w:rsidR="00000000" w:rsidRPr="00000000">
        <w:rPr>
          <w:rFonts w:ascii="Calibri" w:cs="Calibri" w:eastAsia="Calibri" w:hAnsi="Calibri"/>
          <w:rtl w:val="0"/>
        </w:rPr>
        <w:br w:type="textWrapping"/>
        <w:tab/>
        <w:t xml:space="preserve">Osteoporosis is a health condition that weakens the bones, notably the wrist, hip and spinal bones. This weakening, in turn, causes them to be more likely to break or fracture (National Health Service, 2018). It can occur from a variety of factors, but most commonly from the breakdown of bone mass. Throughout life, bone will break down and renew until about the 20s, where it slows and the 30s, where it stops completely (Mayo Clinic, 2024).  This disease is complex, as in order to  diagnose it, often one of those breaks needs to occur first. </w:t>
      </w:r>
    </w:p>
    <w:p w:rsidR="00000000" w:rsidDel="00000000" w:rsidP="00000000" w:rsidRDefault="00000000" w:rsidRPr="00000000" w14:paraId="00000023">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4">
      <w:pPr>
        <w:spacing w:line="360" w:lineRule="auto"/>
        <w:ind w:firstLine="720"/>
        <w:rPr>
          <w:rFonts w:ascii="Calibri" w:cs="Calibri" w:eastAsia="Calibri" w:hAnsi="Calibri"/>
        </w:rPr>
      </w:pPr>
      <w:r w:rsidDel="00000000" w:rsidR="00000000" w:rsidRPr="00000000">
        <w:rPr>
          <w:rFonts w:ascii="Calibri" w:cs="Calibri" w:eastAsia="Calibri" w:hAnsi="Calibri"/>
          <w:rtl w:val="0"/>
        </w:rPr>
        <w:t xml:space="preserve"> These breaks and features are often called fragility fractures, and once they occur, they’re likely to lead to further fractures and breaks.  This phenomenon of repetitive fractures and breaks is called the fracture cascade and can lead to increased morbidity rates and further pressure on healthcare systems (Miles, 2024). To assess this risk of further fractures, doctors will order tests such as bone density scans, known as DXA or DEXA (Royal Osteoporosis Society, 2026). Other risk factors, such as genetics, weight, and certain prescribed medications, are often looked at to determine whether or not osteoporosis has occurred. These medications are often drugs like high-dose steroids and anti-oestrogen tablets, which contribute to a higher risk of development </w:t>
      </w:r>
      <w:r w:rsidDel="00000000" w:rsidR="00000000" w:rsidRPr="00000000">
        <w:rPr>
          <w:rFonts w:ascii="Calibri" w:cs="Calibri" w:eastAsia="Calibri" w:hAnsi="Calibri"/>
          <w:rtl w:val="0"/>
        </w:rPr>
        <w:t xml:space="preserve">(National Health Service, 2018). </w:t>
      </w:r>
      <w:r w:rsidDel="00000000" w:rsidR="00000000" w:rsidRPr="00000000">
        <w:rPr>
          <w:rtl w:val="0"/>
        </w:rPr>
      </w:r>
    </w:p>
    <w:p w:rsidR="00000000" w:rsidDel="00000000" w:rsidP="00000000" w:rsidRDefault="00000000" w:rsidRPr="00000000" w14:paraId="00000025">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6">
      <w:pPr>
        <w:spacing w:line="360" w:lineRule="auto"/>
        <w:ind w:firstLine="720"/>
        <w:rPr>
          <w:rFonts w:ascii="Calibri" w:cs="Calibri" w:eastAsia="Calibri" w:hAnsi="Calibri"/>
        </w:rPr>
      </w:pPr>
      <w:r w:rsidDel="00000000" w:rsidR="00000000" w:rsidRPr="00000000">
        <w:rPr>
          <w:rFonts w:ascii="Calibri" w:cs="Calibri" w:eastAsia="Calibri" w:hAnsi="Calibri"/>
          <w:rtl w:val="0"/>
        </w:rPr>
        <w:t xml:space="preserve">A large factor in diagnosis is gender. Post-menopausal women make up the majority of osteoporosis diagnoses (Mayo Clinic, 2024).  Since 2019, 3.7 million people have been diagnosed, and the overwhelming majority of this figure is women (International Osteoporosis Foundation, 2021). Women make up this large majority due in part to the oestrogen fluctuations that come with menopause, menstruation, or hysterectomies, especially when the ovaries are removed. Oestrogen is essential to healthy bone density, and the absence or lack of oestrogen can lead to higher development of osteoporosis </w:t>
      </w:r>
      <w:r w:rsidDel="00000000" w:rsidR="00000000" w:rsidRPr="00000000">
        <w:rPr>
          <w:rFonts w:ascii="Calibri" w:cs="Calibri" w:eastAsia="Calibri" w:hAnsi="Calibri"/>
          <w:rtl w:val="0"/>
        </w:rPr>
        <w:t xml:space="preserve">(National Health Service, 2018). </w:t>
      </w:r>
    </w:p>
    <w:p w:rsidR="00000000" w:rsidDel="00000000" w:rsidP="00000000" w:rsidRDefault="00000000" w:rsidRPr="00000000" w14:paraId="00000027">
      <w:pPr>
        <w:spacing w:line="360" w:lineRule="auto"/>
        <w:ind w:firstLine="720"/>
        <w:rPr>
          <w:rFonts w:ascii="Calibri" w:cs="Calibri" w:eastAsia="Calibri" w:hAnsi="Calibri"/>
        </w:rPr>
      </w:pPr>
      <w:r w:rsidDel="00000000" w:rsidR="00000000" w:rsidRPr="00000000">
        <w:rPr>
          <w:rFonts w:ascii="Calibri" w:cs="Calibri" w:eastAsia="Calibri" w:hAnsi="Calibri"/>
          <w:rtl w:val="0"/>
        </w:rPr>
        <w:br w:type="textWrapping"/>
        <w:tab/>
        <w:t xml:space="preserve">The current</w:t>
      </w:r>
      <w:r w:rsidDel="00000000" w:rsidR="00000000" w:rsidRPr="00000000">
        <w:rPr>
          <w:rFonts w:ascii="Calibri" w:cs="Calibri" w:eastAsia="Calibri" w:hAnsi="Calibri"/>
          <w:rtl w:val="0"/>
        </w:rPr>
        <w:t xml:space="preserve"> strategy for preventing osteoporosis is very reactionary rather than preventative. As discussed above, most diagnosis for osteoporosis occurs after a break or fracture, meaning treatment can take months to years. Most osteoporosis discussion revolves around healthy habits for prevention, if possible. Sedentary lifestyles and excessive tobacco and alcohol use are strongly discouraged, but there are many factors like genetics, age and gender that can’t be changed </w:t>
      </w:r>
      <w:r w:rsidDel="00000000" w:rsidR="00000000" w:rsidRPr="00000000">
        <w:rPr>
          <w:rFonts w:ascii="Calibri" w:cs="Calibri" w:eastAsia="Calibri" w:hAnsi="Calibri"/>
          <w:rtl w:val="0"/>
        </w:rPr>
        <w:t xml:space="preserve">(Mayo Clinic, 2024). </w:t>
      </w:r>
    </w:p>
    <w:p w:rsidR="00000000" w:rsidDel="00000000" w:rsidP="00000000" w:rsidRDefault="00000000" w:rsidRPr="00000000" w14:paraId="00000028">
      <w:pPr>
        <w:spacing w:line="36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29">
      <w:pPr>
        <w:spacing w:line="360" w:lineRule="auto"/>
        <w:ind w:left="0" w:firstLine="720"/>
        <w:rPr>
          <w:rFonts w:ascii="Calibri" w:cs="Calibri" w:eastAsia="Calibri" w:hAnsi="Calibri"/>
        </w:rPr>
      </w:pPr>
      <w:r w:rsidDel="00000000" w:rsidR="00000000" w:rsidRPr="00000000">
        <w:rPr>
          <w:rFonts w:ascii="Calibri" w:cs="Calibri" w:eastAsia="Calibri" w:hAnsi="Calibri"/>
          <w:rtl w:val="0"/>
        </w:rPr>
        <w:t xml:space="preserve">Most treatment for osteoporosis involves preventing broken bones and fractures, as well as taking prescribed medication to strengthen bones and restore bone density </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National Health Service, 2018). Medications include bisphosphonates, which slow the rate at which bones break down inside the body, biologics and vitamins such as vitamin D and calcium (Stevenson, 2022). If the osteoporosis is caused by hormone imbalances or menopause, hormone treatment such as HRT (hormone replacement therapy) and SERMs, which mimic oestrogen, can also be prescribed (National Health Service, 2018).</w:t>
      </w:r>
    </w:p>
    <w:p w:rsidR="00000000" w:rsidDel="00000000" w:rsidP="00000000" w:rsidRDefault="00000000" w:rsidRPr="00000000" w14:paraId="0000002A">
      <w:pPr>
        <w:spacing w:line="36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2B">
      <w:pPr>
        <w:spacing w:line="360" w:lineRule="auto"/>
        <w:ind w:left="0" w:firstLine="720"/>
        <w:rPr>
          <w:rFonts w:ascii="Calibri" w:cs="Calibri" w:eastAsia="Calibri" w:hAnsi="Calibri"/>
        </w:rPr>
      </w:pPr>
      <w:r w:rsidDel="00000000" w:rsidR="00000000" w:rsidRPr="00000000">
        <w:rPr>
          <w:rFonts w:ascii="Calibri" w:cs="Calibri" w:eastAsia="Calibri" w:hAnsi="Calibri"/>
          <w:rtl w:val="0"/>
        </w:rPr>
        <w:t xml:space="preserve">The Fracture Liaison Service (FLS) model is designed to identify, treat and monitor those with osteoporosis. This health model follows three main priority areas: awareness and education of bone health and osteoporosis, providing care via integration with other service areas, and preventing the fracture cascade (Owen, 2025). There are some notable positives from this current model. Currently, the overall number of patients receiving treatment has surpassed the national benchmark of 55%. This means patients are either receiving prescribed medication, bone therapy or are consulted for a bone health assessment following diagnosis (Owen, 2025). One of the most important factors highlighted in this model is the follow-up timelines for patients, which aim to reduce follow-up waiting times. Patients are monitored across 16 and 52 weeks (Owen, 2025). It is important to note there is no clear timeline for treatment after the standard 52 weeks. </w:t>
        <w:br w:type="textWrapping"/>
      </w:r>
    </w:p>
    <w:p w:rsidR="00000000" w:rsidDel="00000000" w:rsidP="00000000" w:rsidRDefault="00000000" w:rsidRPr="00000000" w14:paraId="0000002C">
      <w:pPr>
        <w:spacing w:line="360" w:lineRule="auto"/>
        <w:ind w:left="0" w:firstLine="720"/>
        <w:rPr>
          <w:rFonts w:ascii="Calibri" w:cs="Calibri" w:eastAsia="Calibri" w:hAnsi="Calibri"/>
        </w:rPr>
      </w:pPr>
      <w:r w:rsidDel="00000000" w:rsidR="00000000" w:rsidRPr="00000000">
        <w:rPr>
          <w:rFonts w:ascii="Calibri" w:cs="Calibri" w:eastAsia="Calibri" w:hAnsi="Calibri"/>
          <w:rtl w:val="0"/>
        </w:rPr>
        <w:t xml:space="preserve">Refining the treatment and diagnostic system and maintaining regular monitoring and feedback are essential to the success of a healthcare model preventing as well as treating osteoporosis Royal Osteoporosis Society (2025). Unfortunately, while the FLS model has proven successful for increasing diagnoses and treatment, continuous and equitable treatment is still a challenge. Women make up the majority of osteoporosis patients, however through the FLS model, there was a nearly 66% gap in those eligible for treatment compared to those receiving treatment (International Osteoporosis Foundation, 2021). Equally important, communication within the FLS model has presented complications for patients. Waiting for treatment, follow-up treatment, and even trying to answer basic questions around treatment and diagnosis are all problems with the FLS model (Hutchins et al., 2024).</w:t>
      </w:r>
    </w:p>
    <w:p w:rsidR="00000000" w:rsidDel="00000000" w:rsidP="00000000" w:rsidRDefault="00000000" w:rsidRPr="00000000" w14:paraId="0000002D">
      <w:pPr>
        <w:spacing w:line="360" w:lineRule="auto"/>
        <w:ind w:left="0" w:firstLine="720"/>
        <w:rPr>
          <w:rFonts w:ascii="Calibri" w:cs="Calibri" w:eastAsia="Calibri" w:hAnsi="Calibri"/>
        </w:rPr>
      </w:pPr>
      <w:r w:rsidDel="00000000" w:rsidR="00000000" w:rsidRPr="00000000">
        <w:rPr>
          <w:rtl w:val="0"/>
        </w:rPr>
      </w:r>
    </w:p>
    <w:p w:rsidR="00000000" w:rsidDel="00000000" w:rsidP="00000000" w:rsidRDefault="00000000" w:rsidRPr="00000000" w14:paraId="0000002E">
      <w:pPr>
        <w:spacing w:line="360" w:lineRule="auto"/>
        <w:ind w:left="0" w:firstLine="720"/>
        <w:rPr>
          <w:rFonts w:ascii="Calibri" w:cs="Calibri" w:eastAsia="Calibri" w:hAnsi="Calibri"/>
        </w:rPr>
      </w:pPr>
      <w:r w:rsidDel="00000000" w:rsidR="00000000" w:rsidRPr="00000000">
        <w:rPr>
          <w:rFonts w:ascii="Calibri" w:cs="Calibri" w:eastAsia="Calibri" w:hAnsi="Calibri"/>
          <w:rtl w:val="0"/>
        </w:rPr>
        <w:t xml:space="preserve">To start </w:t>
      </w:r>
      <w:r w:rsidDel="00000000" w:rsidR="00000000" w:rsidRPr="00000000">
        <w:rPr>
          <w:rFonts w:ascii="Calibri" w:cs="Calibri" w:eastAsia="Calibri" w:hAnsi="Calibri"/>
          <w:rtl w:val="0"/>
        </w:rPr>
        <w:t xml:space="preserve">properly addressing osteoporosis, preventative care is the easiest and most efficient start. However, instead of starting at the target age group of 50-65, when most diagnosis occurs, children should be the primary focus of preventative care. Encouraging higher levels of physical activity, increasing healthy diets high in vitamin D and calcium, and avoiding drinking and smoking all during childhood is a great preventative measure for not only osteoporosis, but other health conditions that can lead to it or negatively impact it (National Health Service, 2022). For physical activity, weight bearing and heavy resistance exercises are heavily encouraged as they strengthen muscles and tendons and in turn boost bone strength (National Health Service, 2018). </w:t>
      </w:r>
    </w:p>
    <w:p w:rsidR="00000000" w:rsidDel="00000000" w:rsidP="00000000" w:rsidRDefault="00000000" w:rsidRPr="00000000" w14:paraId="0000002F">
      <w:pPr>
        <w:spacing w:line="36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0">
      <w:pPr>
        <w:spacing w:line="360" w:lineRule="auto"/>
        <w:ind w:left="0" w:firstLine="720"/>
        <w:rPr>
          <w:rFonts w:ascii="Calibri" w:cs="Calibri" w:eastAsia="Calibri" w:hAnsi="Calibri"/>
        </w:rPr>
      </w:pPr>
      <w:r w:rsidDel="00000000" w:rsidR="00000000" w:rsidRPr="00000000">
        <w:rPr>
          <w:rFonts w:ascii="Calibri" w:cs="Calibri" w:eastAsia="Calibri" w:hAnsi="Calibri"/>
          <w:rtl w:val="0"/>
        </w:rPr>
        <w:t xml:space="preserve">Preventative care is an efficient start, but diagnosis and follow up treatments continue to present issues. Access to DXA machines is a large part of the issue surrounding timely diagnosis. DXA shortages are largely due in part to undersupply within hospitals and the extreme cost of the machines themselves (All Party Parliamentary Groups, 2023). In addition, the majority of new DXA machines that were rolled out in 2026 to try and combat the gap, went to England, leaving other UK health departments without adequate equipment (Department of Health and Social Care and The Rt Hon Wes Streeting MP, 2025). This access gap causes massive backlogs of patients waiting to receive a formal diagnosis. If access to DXA machines can be improved and increased to the standard of one unit per 100,000 patients, not only would wait times decrease significantly, but there would be an increase in patients receiving timely diagnosis (The Society of Radiographers, 2024).</w:t>
      </w:r>
    </w:p>
    <w:p w:rsidR="00000000" w:rsidDel="00000000" w:rsidP="00000000" w:rsidRDefault="00000000" w:rsidRPr="00000000" w14:paraId="00000031">
      <w:pPr>
        <w:spacing w:line="36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2">
      <w:pPr>
        <w:spacing w:line="360" w:lineRule="auto"/>
        <w:ind w:left="0" w:firstLine="720"/>
        <w:rPr>
          <w:rFonts w:ascii="Calibri" w:cs="Calibri" w:eastAsia="Calibri" w:hAnsi="Calibri"/>
        </w:rPr>
      </w:pPr>
      <w:r w:rsidDel="00000000" w:rsidR="00000000" w:rsidRPr="00000000">
        <w:rPr>
          <w:rFonts w:ascii="Calibri" w:cs="Calibri" w:eastAsia="Calibri" w:hAnsi="Calibri"/>
          <w:rtl w:val="0"/>
        </w:rPr>
        <w:t xml:space="preserve"> Patients also need to be able to communicate and work with healthcare providers throughout treatment. Currently, diagnosed patients are expected to receive follow up care within a year starting from 2022. Within this year, treatment is meant to be discussed, reviewed and even explained if the patient has any continuing questions. Yet, less than half of diagnosed patients were receiving these follow up appointments by 2023 (Hutchins et al., 2024).  However, the reason behind this gap is due to accessibility issues. Patients often received the wrong number to call or struggled to place calls and get in contact with their healthcare providers. This is a gap that can be easily remedied by more information being given to patients at the point of diagnosis, and making sure follow-ups are being regularly conducted. Additionally, any accessibility accommodations should be made and reflected in patient communications (Royal Osteoporosis Society, 2025). </w:t>
      </w:r>
    </w:p>
    <w:p w:rsidR="00000000" w:rsidDel="00000000" w:rsidP="00000000" w:rsidRDefault="00000000" w:rsidRPr="00000000" w14:paraId="00000033">
      <w:pPr>
        <w:spacing w:line="360" w:lineRule="auto"/>
        <w:ind w:left="0" w:firstLine="720"/>
        <w:rPr>
          <w:rFonts w:ascii="Calibri" w:cs="Calibri" w:eastAsia="Calibri" w:hAnsi="Calibri"/>
        </w:rPr>
      </w:pPr>
      <w:r w:rsidDel="00000000" w:rsidR="00000000" w:rsidRPr="00000000">
        <w:rPr>
          <w:rFonts w:ascii="Calibri" w:cs="Calibri" w:eastAsia="Calibri" w:hAnsi="Calibri"/>
          <w:rtl w:val="0"/>
        </w:rPr>
        <w:br w:type="textWrapping"/>
        <w:tab/>
        <w:t xml:space="preserve">Osteoporosis has steadily increased over the last decade and when combined with pre-existing conditions such as arthritis, can significantly worsen patient outcomes and overall quality of life (Powell, 2024). Despite its growing urgency, diagnosis more often than not occurs only after an initial fracture has happened, highlighting the FLS model being reactive rather than preventative (Royal Osteoporosis Society, 2026). This issue is only compounded by limited access to DEXA scanning, which only lengthens to the delays in diagnosis and eventual treatment within the NHS. Consequently </w:t>
      </w:r>
      <w:r w:rsidDel="00000000" w:rsidR="00000000" w:rsidRPr="00000000">
        <w:rPr>
          <w:rFonts w:ascii="Calibri" w:cs="Calibri" w:eastAsia="Calibri" w:hAnsi="Calibri"/>
          <w:rtl w:val="0"/>
        </w:rPr>
        <w:t xml:space="preserve">, waiting times for assessment and treatment continue to rise, increasing the likelihood of further fractures and associated complications while patients remain untreated (Owen, 2025). With these issues highlighted, the proposed solution is to improve early identification strategies,  expanding DEXA scans, and promote better patient outcomes through improved communication. If all this can be achieved within the FLS model, it will not only alleviate pressure on NHS services, but enhance patient care. </w:t>
      </w:r>
    </w:p>
    <w:p w:rsidR="00000000" w:rsidDel="00000000" w:rsidP="00000000" w:rsidRDefault="00000000" w:rsidRPr="00000000" w14:paraId="00000034">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35">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36">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37">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38">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39">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3A">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3B">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3C">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3D">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3E">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3F">
      <w:pPr>
        <w:ind w:left="0" w:firstLine="0"/>
        <w:rPr>
          <w:rFonts w:ascii="Calibri" w:cs="Calibri" w:eastAsia="Calibri" w:hAnsi="Calibri"/>
        </w:rPr>
      </w:pPr>
      <w:r w:rsidDel="00000000" w:rsidR="00000000" w:rsidRPr="00000000">
        <w:rPr>
          <w:rFonts w:ascii="Calibri" w:cs="Calibri" w:eastAsia="Calibri" w:hAnsi="Calibri"/>
          <w:rtl w:val="0"/>
        </w:rPr>
        <w:t xml:space="preserve">All Party Parliamentary Groups (2023) APPG on Osteoporosis and Bone Health -Review of DXA (bone density scanning) facilities. Available at: </w:t>
      </w:r>
      <w:hyperlink r:id="rId6">
        <w:r w:rsidDel="00000000" w:rsidR="00000000" w:rsidRPr="00000000">
          <w:rPr>
            <w:rFonts w:ascii="Calibri" w:cs="Calibri" w:eastAsia="Calibri" w:hAnsi="Calibri"/>
            <w:color w:val="1155cc"/>
            <w:u w:val="single"/>
            <w:rtl w:val="0"/>
          </w:rPr>
          <w:t xml:space="preserve">https://strwebprdmedia.blob.core.windows.net/media/4q3jpfv3/final-dxa-report-13-12-23.pdf</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40">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1">
      <w:pPr>
        <w:ind w:left="0" w:firstLine="0"/>
        <w:rPr>
          <w:rFonts w:ascii="Calibri" w:cs="Calibri" w:eastAsia="Calibri" w:hAnsi="Calibri"/>
        </w:rPr>
      </w:pPr>
      <w:r w:rsidDel="00000000" w:rsidR="00000000" w:rsidRPr="00000000">
        <w:rPr>
          <w:rFonts w:ascii="Calibri" w:cs="Calibri" w:eastAsia="Calibri" w:hAnsi="Calibri"/>
          <w:rtl w:val="0"/>
        </w:rPr>
        <w:t xml:space="preserve">Department of Health and Social Care and The Rt Hon Wes Streeting MP (2025) More scanners across the country for better care of brittle bones, GOV.UK. Available at: </w:t>
      </w:r>
      <w:hyperlink r:id="rId7">
        <w:r w:rsidDel="00000000" w:rsidR="00000000" w:rsidRPr="00000000">
          <w:rPr>
            <w:rFonts w:ascii="Calibri" w:cs="Calibri" w:eastAsia="Calibri" w:hAnsi="Calibri"/>
            <w:color w:val="1155cc"/>
            <w:u w:val="single"/>
            <w:rtl w:val="0"/>
          </w:rPr>
          <w:t xml:space="preserve">https://www.gov.uk/government/news/more-scanners-across-the-country-for-better-care-of-brittle-bones</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42">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3">
      <w:pPr>
        <w:ind w:left="0" w:firstLine="0"/>
        <w:rPr>
          <w:rFonts w:ascii="Calibri" w:cs="Calibri" w:eastAsia="Calibri" w:hAnsi="Calibri"/>
        </w:rPr>
      </w:pPr>
      <w:r w:rsidDel="00000000" w:rsidR="00000000" w:rsidRPr="00000000">
        <w:rPr>
          <w:rFonts w:ascii="Calibri" w:cs="Calibri" w:eastAsia="Calibri" w:hAnsi="Calibri"/>
          <w:rtl w:val="0"/>
        </w:rPr>
        <w:t xml:space="preserve">Hutchins, M., Maggs, S., Williams, A., K Vegad, D. and Singh, I. (2024) Quality improvement initiatives to improve one year follow up as per FLS-DB national recommendations: Aneurin Bevan University Health Board | British Geriatrics Society. [online] British Geriatrics Society. Available at: </w:t>
      </w:r>
      <w:hyperlink r:id="rId8">
        <w:r w:rsidDel="00000000" w:rsidR="00000000" w:rsidRPr="00000000">
          <w:rPr>
            <w:rFonts w:ascii="Calibri" w:cs="Calibri" w:eastAsia="Calibri" w:hAnsi="Calibri"/>
            <w:color w:val="1155cc"/>
            <w:u w:val="single"/>
            <w:rtl w:val="0"/>
          </w:rPr>
          <w:t xml:space="preserve">https://www.bgs.org.uk/quality-improvement-initiatives-to-improve-one-year-follow-up-as-per-fls-db-national</w:t>
        </w:r>
      </w:hyperlink>
      <w:r w:rsidDel="00000000" w:rsidR="00000000" w:rsidRPr="00000000">
        <w:rPr>
          <w:rFonts w:ascii="Calibri" w:cs="Calibri" w:eastAsia="Calibri" w:hAnsi="Calibri"/>
          <w:rtl w:val="0"/>
        </w:rPr>
        <w:t xml:space="preserve">. </w:t>
      </w:r>
      <w:r w:rsidDel="00000000" w:rsidR="00000000" w:rsidRPr="00000000">
        <w:rPr>
          <w:rtl w:val="0"/>
        </w:rPr>
      </w:r>
    </w:p>
    <w:p w:rsidR="00000000" w:rsidDel="00000000" w:rsidP="00000000" w:rsidRDefault="00000000" w:rsidRPr="00000000" w14:paraId="00000044">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45">
      <w:pPr>
        <w:ind w:left="0" w:firstLine="0"/>
        <w:rPr>
          <w:rFonts w:ascii="Calibri" w:cs="Calibri" w:eastAsia="Calibri" w:hAnsi="Calibri"/>
        </w:rPr>
      </w:pPr>
      <w:r w:rsidDel="00000000" w:rsidR="00000000" w:rsidRPr="00000000">
        <w:rPr>
          <w:rFonts w:ascii="Calibri" w:cs="Calibri" w:eastAsia="Calibri" w:hAnsi="Calibri"/>
          <w:rtl w:val="0"/>
        </w:rPr>
        <w:t xml:space="preserve">International Osteoporosis Foundation (2021) SCORECARD FOR OSTEOPOROSIS IN EUROPE (SCOPE). Available at: </w:t>
      </w:r>
      <w:hyperlink r:id="rId9">
        <w:r w:rsidDel="00000000" w:rsidR="00000000" w:rsidRPr="00000000">
          <w:rPr>
            <w:rFonts w:ascii="Calibri" w:cs="Calibri" w:eastAsia="Calibri" w:hAnsi="Calibri"/>
            <w:color w:val="1155cc"/>
            <w:u w:val="single"/>
            <w:rtl w:val="0"/>
          </w:rPr>
          <w:t xml:space="preserve">https://www.osteoporosis.foundation/sites/iofbonehealth/files/scope-2021/UK%20report.pdf</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46">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7">
      <w:pPr>
        <w:ind w:left="0" w:firstLine="0"/>
        <w:rPr>
          <w:rFonts w:ascii="Calibri" w:cs="Calibri" w:eastAsia="Calibri" w:hAnsi="Calibri"/>
        </w:rPr>
      </w:pPr>
      <w:r w:rsidDel="00000000" w:rsidR="00000000" w:rsidRPr="00000000">
        <w:rPr>
          <w:rFonts w:ascii="Calibri" w:cs="Calibri" w:eastAsia="Calibri" w:hAnsi="Calibri"/>
          <w:rtl w:val="0"/>
        </w:rPr>
        <w:t xml:space="preserve">Mayo Clinic (2024) Osteoporosis, Mayo Clinic. Available at: </w:t>
      </w:r>
      <w:hyperlink r:id="rId10">
        <w:r w:rsidDel="00000000" w:rsidR="00000000" w:rsidRPr="00000000">
          <w:rPr>
            <w:rFonts w:ascii="Calibri" w:cs="Calibri" w:eastAsia="Calibri" w:hAnsi="Calibri"/>
            <w:color w:val="1155cc"/>
            <w:u w:val="single"/>
            <w:rtl w:val="0"/>
          </w:rPr>
          <w:t xml:space="preserve">https://www.mayoclinic.org/diseases-conditions/osteoporosis/symptoms-causes/syc-20351968</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48">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9">
      <w:pPr>
        <w:ind w:left="0" w:firstLine="0"/>
        <w:rPr>
          <w:rFonts w:ascii="Calibri" w:cs="Calibri" w:eastAsia="Calibri" w:hAnsi="Calibri"/>
        </w:rPr>
      </w:pPr>
      <w:r w:rsidDel="00000000" w:rsidR="00000000" w:rsidRPr="00000000">
        <w:rPr>
          <w:rFonts w:ascii="Calibri" w:cs="Calibri" w:eastAsia="Calibri" w:hAnsi="Calibri"/>
          <w:rtl w:val="0"/>
        </w:rPr>
        <w:t xml:space="preserve">Miles, J. (2024) Written Statement: Quality Statement for Osteoporosis and Bone Health (6 December 2024) | GOV.WALES, GOV.WALES. Available at: </w:t>
      </w:r>
      <w:hyperlink r:id="rId11">
        <w:r w:rsidDel="00000000" w:rsidR="00000000" w:rsidRPr="00000000">
          <w:rPr>
            <w:rFonts w:ascii="Calibri" w:cs="Calibri" w:eastAsia="Calibri" w:hAnsi="Calibri"/>
            <w:color w:val="1155cc"/>
            <w:u w:val="single"/>
            <w:rtl w:val="0"/>
          </w:rPr>
          <w:t xml:space="preserve">https://www.gov.wales/written-statement-quality-statement-osteoporosis-and-bone-health</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4A">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B">
      <w:pPr>
        <w:ind w:left="0" w:firstLine="0"/>
        <w:rPr>
          <w:rFonts w:ascii="Calibri" w:cs="Calibri" w:eastAsia="Calibri" w:hAnsi="Calibri"/>
        </w:rPr>
      </w:pPr>
      <w:r w:rsidDel="00000000" w:rsidR="00000000" w:rsidRPr="00000000">
        <w:rPr>
          <w:rFonts w:ascii="Calibri" w:cs="Calibri" w:eastAsia="Calibri" w:hAnsi="Calibri"/>
          <w:rtl w:val="0"/>
        </w:rPr>
        <w:t xml:space="preserve">National Health Service (2018) Osteoporosis, 111.wales.nhs.uk. Available at: </w:t>
      </w:r>
      <w:hyperlink r:id="rId12">
        <w:r w:rsidDel="00000000" w:rsidR="00000000" w:rsidRPr="00000000">
          <w:rPr>
            <w:rFonts w:ascii="Calibri" w:cs="Calibri" w:eastAsia="Calibri" w:hAnsi="Calibri"/>
            <w:color w:val="1155cc"/>
            <w:u w:val="single"/>
            <w:rtl w:val="0"/>
          </w:rPr>
          <w:t xml:space="preserve">https://111.wales.nhs.uk/encyclopaedia/o/article/osteoporosis/</w:t>
        </w:r>
      </w:hyperlink>
      <w:r w:rsidDel="00000000" w:rsidR="00000000" w:rsidRPr="00000000">
        <w:rPr>
          <w:rFonts w:ascii="Calibri" w:cs="Calibri" w:eastAsia="Calibri" w:hAnsi="Calibri"/>
          <w:rtl w:val="0"/>
        </w:rPr>
        <w:t xml:space="preserve">. </w:t>
        <w:br w:type="textWrapping"/>
        <w:br w:type="textWrapping"/>
        <w:t xml:space="preserve">National Health Service (2022) Prevention - Osteoporosis. [online] NHS. Available at: </w:t>
      </w:r>
      <w:hyperlink r:id="rId13">
        <w:r w:rsidDel="00000000" w:rsidR="00000000" w:rsidRPr="00000000">
          <w:rPr>
            <w:rFonts w:ascii="Calibri" w:cs="Calibri" w:eastAsia="Calibri" w:hAnsi="Calibri"/>
            <w:color w:val="1155cc"/>
            <w:u w:val="single"/>
            <w:rtl w:val="0"/>
          </w:rPr>
          <w:t xml:space="preserve">https://www.nhs.uk/conditions/osteoporosis/prevention/</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4C">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D">
      <w:pPr>
        <w:ind w:left="0" w:firstLine="0"/>
        <w:rPr>
          <w:rFonts w:ascii="Calibri" w:cs="Calibri" w:eastAsia="Calibri" w:hAnsi="Calibri"/>
        </w:rPr>
      </w:pPr>
      <w:r w:rsidDel="00000000" w:rsidR="00000000" w:rsidRPr="00000000">
        <w:rPr>
          <w:rFonts w:ascii="Calibri" w:cs="Calibri" w:eastAsia="Calibri" w:hAnsi="Calibri"/>
          <w:rtl w:val="0"/>
        </w:rPr>
        <w:t xml:space="preserve">NHS England (2017) Falls and fragility fractures pathway. Available at: </w:t>
      </w:r>
      <w:hyperlink r:id="rId14">
        <w:r w:rsidDel="00000000" w:rsidR="00000000" w:rsidRPr="00000000">
          <w:rPr>
            <w:rFonts w:ascii="Calibri" w:cs="Calibri" w:eastAsia="Calibri" w:hAnsi="Calibri"/>
            <w:color w:val="1155cc"/>
            <w:u w:val="single"/>
            <w:rtl w:val="0"/>
          </w:rPr>
          <w:t xml:space="preserve">https://www.england.nhs.uk/rightcare/wp-content/uploads/sites/40/2017/12/falls-fragility-fractures-pathway-v18.pdf</w:t>
        </w:r>
      </w:hyperlink>
      <w:r w:rsidDel="00000000" w:rsidR="00000000" w:rsidRPr="00000000">
        <w:rPr>
          <w:rFonts w:ascii="Calibri" w:cs="Calibri" w:eastAsia="Calibri" w:hAnsi="Calibri"/>
          <w:rtl w:val="0"/>
        </w:rPr>
        <w:t xml:space="preserve">. </w:t>
      </w:r>
      <w:r w:rsidDel="00000000" w:rsidR="00000000" w:rsidRPr="00000000">
        <w:rPr>
          <w:rtl w:val="0"/>
        </w:rPr>
      </w:r>
    </w:p>
    <w:p w:rsidR="00000000" w:rsidDel="00000000" w:rsidP="00000000" w:rsidRDefault="00000000" w:rsidRPr="00000000" w14:paraId="0000004E">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F">
      <w:pPr>
        <w:ind w:left="0" w:firstLine="0"/>
        <w:rPr>
          <w:rFonts w:ascii="Calibri" w:cs="Calibri" w:eastAsia="Calibri" w:hAnsi="Calibri"/>
        </w:rPr>
      </w:pPr>
      <w:r w:rsidDel="00000000" w:rsidR="00000000" w:rsidRPr="00000000">
        <w:rPr>
          <w:rFonts w:ascii="Calibri" w:cs="Calibri" w:eastAsia="Calibri" w:hAnsi="Calibri"/>
          <w:rtl w:val="0"/>
        </w:rPr>
        <w:t xml:space="preserve">Owen, S. (2025) Welsh Fracture Liaison Service (FLS) Model - Bevan Commission, Bevan Commission. Available at: </w:t>
      </w:r>
      <w:hyperlink r:id="rId15">
        <w:r w:rsidDel="00000000" w:rsidR="00000000" w:rsidRPr="00000000">
          <w:rPr>
            <w:rFonts w:ascii="Calibri" w:cs="Calibri" w:eastAsia="Calibri" w:hAnsi="Calibri"/>
            <w:color w:val="1155cc"/>
            <w:u w:val="single"/>
            <w:rtl w:val="0"/>
          </w:rPr>
          <w:t xml:space="preserve">https://bevancommission.org/welsh-fracture-liaison-service-fls-model/</w:t>
        </w:r>
      </w:hyperlink>
      <w:r w:rsidDel="00000000" w:rsidR="00000000" w:rsidRPr="00000000">
        <w:rPr>
          <w:rFonts w:ascii="Calibri" w:cs="Calibri" w:eastAsia="Calibri" w:hAnsi="Calibri"/>
          <w:rtl w:val="0"/>
        </w:rPr>
        <w:t xml:space="preserve"> . </w:t>
      </w:r>
    </w:p>
    <w:p w:rsidR="00000000" w:rsidDel="00000000" w:rsidP="00000000" w:rsidRDefault="00000000" w:rsidRPr="00000000" w14:paraId="00000050">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51">
      <w:pPr>
        <w:ind w:left="0" w:firstLine="0"/>
        <w:rPr>
          <w:rFonts w:ascii="Calibri" w:cs="Calibri" w:eastAsia="Calibri" w:hAnsi="Calibri"/>
        </w:rPr>
      </w:pPr>
      <w:r w:rsidDel="00000000" w:rsidR="00000000" w:rsidRPr="00000000">
        <w:rPr>
          <w:rFonts w:ascii="Calibri" w:cs="Calibri" w:eastAsia="Calibri" w:hAnsi="Calibri"/>
          <w:rtl w:val="0"/>
        </w:rPr>
        <w:t xml:space="preserve">Powell, R. (2024) A summary of prevalence of non-communicable disease and cancer incidence in Wales – trends and 10-year projections, Public Health Wales. Available at: </w:t>
      </w:r>
      <w:hyperlink r:id="rId16">
        <w:r w:rsidDel="00000000" w:rsidR="00000000" w:rsidRPr="00000000">
          <w:rPr>
            <w:rFonts w:ascii="Calibri" w:cs="Calibri" w:eastAsia="Calibri" w:hAnsi="Calibri"/>
            <w:color w:val="1155cc"/>
            <w:u w:val="single"/>
            <w:rtl w:val="0"/>
          </w:rPr>
          <w:t xml:space="preserve">https://phw.nhs.wales/services-and-teams/observatory/data-and-analysis/a-summary-of-prevalence-of-non-communicable-disease-and-cancer-incidence-in-wales-trends-and-10-year-projections/</w:t>
        </w:r>
      </w:hyperlink>
      <w:r w:rsidDel="00000000" w:rsidR="00000000" w:rsidRPr="00000000">
        <w:rPr>
          <w:rFonts w:ascii="Calibri" w:cs="Calibri" w:eastAsia="Calibri" w:hAnsi="Calibri"/>
          <w:rtl w:val="0"/>
        </w:rPr>
        <w:t xml:space="preserve">. </w:t>
        <w:br w:type="textWrapping"/>
        <w:br w:type="textWrapping"/>
        <w:t xml:space="preserve">Royal Osteoporosis Society (2025) FLS Implementation Toolkit. [online] Theros.org.uk. Available at: </w:t>
      </w:r>
      <w:hyperlink r:id="rId17">
        <w:r w:rsidDel="00000000" w:rsidR="00000000" w:rsidRPr="00000000">
          <w:rPr>
            <w:rFonts w:ascii="Calibri" w:cs="Calibri" w:eastAsia="Calibri" w:hAnsi="Calibri"/>
            <w:color w:val="1155cc"/>
            <w:u w:val="single"/>
            <w:rtl w:val="0"/>
          </w:rPr>
          <w:t xml:space="preserve">https://theros.org.uk/healthcare-professionals/clinical-quality-hub/fracture-liaison-services/implementation-toolkit/</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52">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53">
      <w:pPr>
        <w:ind w:left="0" w:firstLine="0"/>
        <w:rPr>
          <w:rFonts w:ascii="Calibri" w:cs="Calibri" w:eastAsia="Calibri" w:hAnsi="Calibri"/>
        </w:rPr>
      </w:pPr>
      <w:r w:rsidDel="00000000" w:rsidR="00000000" w:rsidRPr="00000000">
        <w:rPr>
          <w:rFonts w:ascii="Calibri" w:cs="Calibri" w:eastAsia="Calibri" w:hAnsi="Calibri"/>
          <w:rtl w:val="0"/>
        </w:rPr>
        <w:t xml:space="preserve">Royal Osteoporosis Society (2026) Information and support - Royal Osteoporosis Society, Theros.org.uk. Available at: </w:t>
      </w:r>
      <w:hyperlink r:id="rId18">
        <w:r w:rsidDel="00000000" w:rsidR="00000000" w:rsidRPr="00000000">
          <w:rPr>
            <w:rFonts w:ascii="Calibri" w:cs="Calibri" w:eastAsia="Calibri" w:hAnsi="Calibri"/>
            <w:color w:val="1155cc"/>
            <w:u w:val="single"/>
            <w:rtl w:val="0"/>
          </w:rPr>
          <w:t xml:space="preserve">https://theros.org.uk/information-and-support/</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54">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55">
      <w:pPr>
        <w:ind w:left="0" w:firstLine="0"/>
        <w:rPr>
          <w:rFonts w:ascii="Calibri" w:cs="Calibri" w:eastAsia="Calibri" w:hAnsi="Calibri"/>
        </w:rPr>
      </w:pPr>
      <w:r w:rsidDel="00000000" w:rsidR="00000000" w:rsidRPr="00000000">
        <w:rPr>
          <w:rFonts w:ascii="Calibri" w:cs="Calibri" w:eastAsia="Calibri" w:hAnsi="Calibri"/>
          <w:rtl w:val="0"/>
        </w:rPr>
        <w:t xml:space="preserve">Stevenson, J. (2022) Prevention and treatment of osteoporosis in women. [online] British Menopause Society. Available at: </w:t>
      </w:r>
      <w:hyperlink r:id="rId19">
        <w:r w:rsidDel="00000000" w:rsidR="00000000" w:rsidRPr="00000000">
          <w:rPr>
            <w:rFonts w:ascii="Calibri" w:cs="Calibri" w:eastAsia="Calibri" w:hAnsi="Calibri"/>
            <w:color w:val="1155cc"/>
            <w:u w:val="single"/>
            <w:rtl w:val="0"/>
          </w:rPr>
          <w:t xml:space="preserve">https://thebms.org.uk/publications/consensus-statements/prevention-and-treatment-of-osteoporosis-in-women/</w:t>
        </w:r>
      </w:hyperlink>
      <w:r w:rsidDel="00000000" w:rsidR="00000000" w:rsidRPr="00000000">
        <w:rPr>
          <w:rFonts w:ascii="Calibri" w:cs="Calibri" w:eastAsia="Calibri" w:hAnsi="Calibri"/>
          <w:rtl w:val="0"/>
        </w:rPr>
        <w:t xml:space="preserve">. </w:t>
        <w:br w:type="textWrapping"/>
      </w:r>
    </w:p>
    <w:p w:rsidR="00000000" w:rsidDel="00000000" w:rsidP="00000000" w:rsidRDefault="00000000" w:rsidRPr="00000000" w14:paraId="00000056">
      <w:pPr>
        <w:ind w:left="0" w:firstLine="0"/>
        <w:rPr>
          <w:rFonts w:ascii="Calibri" w:cs="Calibri" w:eastAsia="Calibri" w:hAnsi="Calibri"/>
        </w:rPr>
      </w:pPr>
      <w:r w:rsidDel="00000000" w:rsidR="00000000" w:rsidRPr="00000000">
        <w:rPr>
          <w:rFonts w:ascii="Calibri" w:cs="Calibri" w:eastAsia="Calibri" w:hAnsi="Calibri"/>
          <w:rtl w:val="0"/>
        </w:rPr>
        <w:t xml:space="preserve">The Society of Radiographers (2024) SoR responds to report raising concerns over ‘systemic failings’ in bone density scanning, SoR. Available at: </w:t>
      </w:r>
      <w:hyperlink r:id="rId20">
        <w:r w:rsidDel="00000000" w:rsidR="00000000" w:rsidRPr="00000000">
          <w:rPr>
            <w:rFonts w:ascii="Calibri" w:cs="Calibri" w:eastAsia="Calibri" w:hAnsi="Calibri"/>
            <w:color w:val="1155cc"/>
            <w:u w:val="single"/>
            <w:rtl w:val="0"/>
          </w:rPr>
          <w:t xml:space="preserve">https://www.sor.org/news/x-ray/sor-responds-to-report-raising-concerns-over-syst</w:t>
        </w:r>
      </w:hyperlink>
      <w:r w:rsidDel="00000000" w:rsidR="00000000" w:rsidRPr="00000000">
        <w:rPr>
          <w:rFonts w:ascii="Calibri" w:cs="Calibri" w:eastAsia="Calibri" w:hAnsi="Calibri"/>
          <w:rtl w:val="0"/>
        </w:rPr>
        <w:t xml:space="preserve">.</w:t>
      </w:r>
    </w:p>
    <w:p w:rsidR="00000000" w:rsidDel="00000000" w:rsidP="00000000" w:rsidRDefault="00000000" w:rsidRPr="00000000" w14:paraId="00000057">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58">
      <w:pPr>
        <w:ind w:left="0" w:firstLine="0"/>
        <w:rPr>
          <w:rFonts w:ascii="Calibri" w:cs="Calibri" w:eastAsia="Calibri" w:hAnsi="Calibri"/>
        </w:rPr>
      </w:pPr>
      <w:r w:rsidDel="00000000" w:rsidR="00000000" w:rsidRPr="00000000">
        <w:rPr>
          <w:rFonts w:ascii="Calibri" w:cs="Calibri" w:eastAsia="Calibri" w:hAnsi="Calibri"/>
          <w:rtl w:val="0"/>
        </w:rPr>
        <w:t xml:space="preserve">Welsh Government (2024) Quality statement for osteoporosis and bone health [HTML] | GOV.WALES, GOV.WALES. Available at: </w:t>
      </w:r>
      <w:hyperlink r:id="rId21">
        <w:r w:rsidDel="00000000" w:rsidR="00000000" w:rsidRPr="00000000">
          <w:rPr>
            <w:rFonts w:ascii="Calibri" w:cs="Calibri" w:eastAsia="Calibri" w:hAnsi="Calibri"/>
            <w:color w:val="1155cc"/>
            <w:rtl w:val="0"/>
          </w:rPr>
          <w:t xml:space="preserve">https://www.gov.wales/quality-statement-osteoporosis-and-bone-health-html</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59">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5A">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5B">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5C">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5D">
      <w:pPr>
        <w:ind w:left="0" w:firstLine="0"/>
        <w:rPr>
          <w:rFonts w:ascii="Calibri" w:cs="Calibri" w:eastAsia="Calibri" w:hAnsi="Calibri"/>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sor.org/news/x-ray/sor-responds-to-report-raising-concerns-over-syst" TargetMode="External"/><Relationship Id="rId11" Type="http://schemas.openxmlformats.org/officeDocument/2006/relationships/hyperlink" Target="https://www.gov.wales/written-statement-quality-statement-osteoporosis-and-bone-health" TargetMode="External"/><Relationship Id="rId10" Type="http://schemas.openxmlformats.org/officeDocument/2006/relationships/hyperlink" Target="https://www.mayoclinic.org/diseases-conditions/osteoporosis/symptoms-causes/syc-20351968" TargetMode="External"/><Relationship Id="rId21" Type="http://schemas.openxmlformats.org/officeDocument/2006/relationships/hyperlink" Target="https://www.gov.wales/quality-statement-osteoporosis-and-bone-health-html" TargetMode="External"/><Relationship Id="rId13" Type="http://schemas.openxmlformats.org/officeDocument/2006/relationships/hyperlink" Target="https://www.nhs.uk/conditions/osteoporosis/prevention/" TargetMode="External"/><Relationship Id="rId12" Type="http://schemas.openxmlformats.org/officeDocument/2006/relationships/hyperlink" Target="https://111.wales.nhs.uk/encyclopaedia/o/article/osteoporosi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steoporosis.foundation/sites/iofbonehealth/files/scope-2021/UK%20report.pdf" TargetMode="External"/><Relationship Id="rId15" Type="http://schemas.openxmlformats.org/officeDocument/2006/relationships/hyperlink" Target="https://bevancommission.org/welsh-fracture-liaison-service-fls-model/" TargetMode="External"/><Relationship Id="rId14" Type="http://schemas.openxmlformats.org/officeDocument/2006/relationships/hyperlink" Target="https://www.england.nhs.uk/rightcare/wp-content/uploads/sites/40/2017/12/falls-fragility-fractures-pathway-v18.pdf" TargetMode="External"/><Relationship Id="rId17" Type="http://schemas.openxmlformats.org/officeDocument/2006/relationships/hyperlink" Target="https://theros.org.uk/healthcare-professionals/clinical-quality-hub/fracture-liaison-services/implementation-toolkit/" TargetMode="External"/><Relationship Id="rId16" Type="http://schemas.openxmlformats.org/officeDocument/2006/relationships/hyperlink" Target="https://phw.nhs.wales/services-and-teams/observatory/data-and-analysis/a-summary-of-prevalence-of-non-communicable-disease-and-cancer-incidence-in-wales-trends-and-10-year-projections/" TargetMode="External"/><Relationship Id="rId5" Type="http://schemas.openxmlformats.org/officeDocument/2006/relationships/styles" Target="styles.xml"/><Relationship Id="rId19" Type="http://schemas.openxmlformats.org/officeDocument/2006/relationships/hyperlink" Target="https://thebms.org.uk/publications/consensus-statements/prevention-and-treatment-of-osteoporosis-in-women/" TargetMode="External"/><Relationship Id="rId6" Type="http://schemas.openxmlformats.org/officeDocument/2006/relationships/hyperlink" Target="https://strwebprdmedia.blob.core.windows.net/media/4q3jpfv3/final-dxa-report-13-12-23.pdf" TargetMode="External"/><Relationship Id="rId18" Type="http://schemas.openxmlformats.org/officeDocument/2006/relationships/hyperlink" Target="https://theros.org.uk/information-and-support/" TargetMode="External"/><Relationship Id="rId7" Type="http://schemas.openxmlformats.org/officeDocument/2006/relationships/hyperlink" Target="https://www.gov.uk/government/news/more-scanners-across-the-country-for-better-care-of-brittle-bones" TargetMode="External"/><Relationship Id="rId8" Type="http://schemas.openxmlformats.org/officeDocument/2006/relationships/hyperlink" Target="https://www.bgs.org.uk/quality-improvement-initiatives-to-improve-one-year-follow-up-as-per-fls-db-nat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