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4F3E" w:rsidRPr="008E3AF5" w:rsidRDefault="00414F3E" w:rsidP="008E3AF5">
      <w:pPr>
        <w:tabs>
          <w:tab w:val="left" w:pos="-720"/>
          <w:tab w:val="left" w:pos="0"/>
        </w:tabs>
        <w:suppressAutoHyphens/>
        <w:spacing w:line="276" w:lineRule="auto"/>
        <w:jc w:val="center"/>
        <w:rPr>
          <w:rFonts w:ascii="Perpetua" w:hAnsi="Perpetua" w:cs="Adobe Devanagari"/>
          <w:b/>
          <w:spacing w:val="-3"/>
          <w:sz w:val="26"/>
          <w:szCs w:val="26"/>
          <w:lang w:val="en-GB"/>
        </w:rPr>
      </w:pPr>
      <w:r w:rsidRPr="008E3AF5">
        <w:rPr>
          <w:rFonts w:ascii="Perpetua" w:hAnsi="Perpetua" w:cs="Adobe Devanagari"/>
          <w:b/>
          <w:spacing w:val="-3"/>
          <w:sz w:val="26"/>
          <w:szCs w:val="26"/>
          <w:lang w:val="en-GB"/>
        </w:rPr>
        <w:t>Error and Sweet Violence: Shakespeare and Renaissance Comedy and Tragedy</w:t>
      </w:r>
    </w:p>
    <w:p w:rsidR="00414F3E" w:rsidRPr="008E3AF5" w:rsidRDefault="00414F3E" w:rsidP="008E3AF5">
      <w:pPr>
        <w:tabs>
          <w:tab w:val="left" w:pos="-720"/>
          <w:tab w:val="left" w:pos="0"/>
        </w:tabs>
        <w:suppressAutoHyphens/>
        <w:spacing w:line="276" w:lineRule="auto"/>
        <w:jc w:val="center"/>
        <w:rPr>
          <w:rFonts w:ascii="Perpetua" w:hAnsi="Perpetua" w:cs="Adobe Devanagari"/>
          <w:spacing w:val="-3"/>
          <w:sz w:val="26"/>
          <w:szCs w:val="26"/>
          <w:lang w:val="en-GB"/>
        </w:rPr>
      </w:pPr>
      <w:r w:rsidRPr="008E3AF5">
        <w:rPr>
          <w:rFonts w:ascii="Perpetua" w:hAnsi="Perpetua" w:cs="Adobe Devanagari"/>
          <w:spacing w:val="-3"/>
          <w:sz w:val="26"/>
          <w:szCs w:val="26"/>
          <w:lang w:val="en-GB"/>
        </w:rPr>
        <w:t>HPEN</w:t>
      </w:r>
      <w:r w:rsidR="006C50AC" w:rsidRPr="008E3AF5">
        <w:rPr>
          <w:rFonts w:ascii="Perpetua" w:hAnsi="Perpetua" w:cs="Adobe Devanagari"/>
          <w:spacing w:val="-3"/>
          <w:sz w:val="26"/>
          <w:szCs w:val="26"/>
          <w:lang w:val="en-GB"/>
        </w:rPr>
        <w:t>5</w:t>
      </w:r>
      <w:r w:rsidRPr="008E3AF5">
        <w:rPr>
          <w:rFonts w:ascii="Perpetua" w:hAnsi="Perpetua" w:cs="Adobe Devanagari"/>
          <w:spacing w:val="-3"/>
          <w:sz w:val="26"/>
          <w:szCs w:val="26"/>
          <w:lang w:val="en-GB"/>
        </w:rPr>
        <w:t>00</w:t>
      </w:r>
      <w:r w:rsidR="006C50AC" w:rsidRPr="008E3AF5">
        <w:rPr>
          <w:rFonts w:ascii="Perpetua" w:hAnsi="Perpetua" w:cs="Adobe Devanagari"/>
          <w:spacing w:val="-3"/>
          <w:sz w:val="26"/>
          <w:szCs w:val="26"/>
          <w:lang w:val="en-GB"/>
        </w:rPr>
        <w:t>4</w:t>
      </w:r>
      <w:r w:rsidRPr="008E3AF5">
        <w:rPr>
          <w:rFonts w:ascii="Perpetua" w:hAnsi="Perpetua" w:cs="Adobe Devanagari"/>
          <w:spacing w:val="-3"/>
          <w:sz w:val="26"/>
          <w:szCs w:val="26"/>
          <w:lang w:val="en-GB"/>
        </w:rPr>
        <w:t>/</w:t>
      </w:r>
      <w:r w:rsidR="006C50AC" w:rsidRPr="008E3AF5">
        <w:rPr>
          <w:rFonts w:ascii="Perpetua" w:hAnsi="Perpetua" w:cs="Adobe Devanagari"/>
          <w:spacing w:val="-3"/>
          <w:sz w:val="26"/>
          <w:szCs w:val="26"/>
          <w:lang w:val="en-GB"/>
        </w:rPr>
        <w:t>6</w:t>
      </w:r>
      <w:r w:rsidRPr="008E3AF5">
        <w:rPr>
          <w:rFonts w:ascii="Perpetua" w:hAnsi="Perpetua" w:cs="Adobe Devanagari"/>
          <w:spacing w:val="-3"/>
          <w:sz w:val="26"/>
          <w:szCs w:val="26"/>
          <w:lang w:val="en-GB"/>
        </w:rPr>
        <w:t>00</w:t>
      </w:r>
      <w:r w:rsidR="006C50AC" w:rsidRPr="008E3AF5">
        <w:rPr>
          <w:rFonts w:ascii="Perpetua" w:hAnsi="Perpetua" w:cs="Adobe Devanagari"/>
          <w:spacing w:val="-3"/>
          <w:sz w:val="26"/>
          <w:szCs w:val="26"/>
          <w:lang w:val="en-GB"/>
        </w:rPr>
        <w:t>4</w:t>
      </w:r>
    </w:p>
    <w:p w:rsidR="00414F3E" w:rsidRPr="008E3AF5" w:rsidRDefault="00414F3E" w:rsidP="008E3AF5">
      <w:pPr>
        <w:tabs>
          <w:tab w:val="left" w:pos="-720"/>
          <w:tab w:val="left" w:pos="0"/>
        </w:tabs>
        <w:suppressAutoHyphens/>
        <w:spacing w:line="276" w:lineRule="auto"/>
        <w:jc w:val="center"/>
        <w:rPr>
          <w:rFonts w:ascii="Perpetua" w:hAnsi="Perpetua" w:cs="Adobe Devanagari"/>
          <w:spacing w:val="-3"/>
          <w:sz w:val="26"/>
          <w:szCs w:val="26"/>
          <w:lang w:val="en-GB"/>
        </w:rPr>
      </w:pPr>
      <w:r w:rsidRPr="008E3AF5">
        <w:rPr>
          <w:rFonts w:ascii="Perpetua" w:hAnsi="Perpetua" w:cs="Adobe Devanagari"/>
          <w:spacing w:val="-3"/>
          <w:sz w:val="26"/>
          <w:szCs w:val="26"/>
          <w:lang w:val="en-GB"/>
        </w:rPr>
        <w:t>LECTURE</w:t>
      </w:r>
    </w:p>
    <w:p w:rsidR="00414F3E" w:rsidRPr="008E3AF5" w:rsidRDefault="00EC0069" w:rsidP="008E3AF5">
      <w:pPr>
        <w:tabs>
          <w:tab w:val="left" w:pos="-720"/>
          <w:tab w:val="left" w:pos="0"/>
        </w:tabs>
        <w:suppressAutoHyphens/>
        <w:spacing w:line="276" w:lineRule="auto"/>
        <w:jc w:val="center"/>
        <w:rPr>
          <w:rFonts w:ascii="Perpetua" w:hAnsi="Perpetua" w:cs="Adobe Devanagari"/>
          <w:b/>
          <w:i/>
          <w:spacing w:val="-3"/>
          <w:sz w:val="26"/>
          <w:szCs w:val="26"/>
          <w:lang w:val="en-GB"/>
        </w:rPr>
      </w:pPr>
      <w:r w:rsidRPr="008E3AF5">
        <w:rPr>
          <w:rFonts w:ascii="Perpetua" w:hAnsi="Perpetua" w:cs="Adobe Devanagari"/>
          <w:b/>
          <w:spacing w:val="-3"/>
          <w:sz w:val="26"/>
          <w:szCs w:val="26"/>
          <w:lang w:val="en-GB"/>
        </w:rPr>
        <w:t>DEKK</w:t>
      </w:r>
      <w:r w:rsidR="006D776F" w:rsidRPr="008E3AF5">
        <w:rPr>
          <w:rFonts w:ascii="Perpetua" w:hAnsi="Perpetua" w:cs="Adobe Devanagari"/>
          <w:b/>
          <w:spacing w:val="-3"/>
          <w:sz w:val="26"/>
          <w:szCs w:val="26"/>
          <w:lang w:val="en-GB"/>
        </w:rPr>
        <w:t>E</w:t>
      </w:r>
      <w:r w:rsidRPr="008E3AF5">
        <w:rPr>
          <w:rFonts w:ascii="Perpetua" w:hAnsi="Perpetua" w:cs="Adobe Devanagari"/>
          <w:b/>
          <w:spacing w:val="-3"/>
          <w:sz w:val="26"/>
          <w:szCs w:val="26"/>
          <w:lang w:val="en-GB"/>
        </w:rPr>
        <w:t>R</w:t>
      </w:r>
      <w:r w:rsidR="006D776F" w:rsidRPr="008E3AF5">
        <w:rPr>
          <w:rFonts w:ascii="Perpetua" w:hAnsi="Perpetua" w:cs="Adobe Devanagari"/>
          <w:b/>
          <w:spacing w:val="-3"/>
          <w:sz w:val="26"/>
          <w:szCs w:val="26"/>
          <w:lang w:val="en-GB"/>
        </w:rPr>
        <w:t xml:space="preserve">, </w:t>
      </w:r>
      <w:r w:rsidR="006D776F" w:rsidRPr="008E3AF5">
        <w:rPr>
          <w:rFonts w:ascii="Perpetua" w:hAnsi="Perpetua" w:cs="Adobe Devanagari"/>
          <w:b/>
          <w:i/>
          <w:spacing w:val="-3"/>
          <w:sz w:val="26"/>
          <w:szCs w:val="26"/>
          <w:lang w:val="en-GB"/>
        </w:rPr>
        <w:t xml:space="preserve">THE </w:t>
      </w:r>
      <w:r w:rsidRPr="008E3AF5">
        <w:rPr>
          <w:rFonts w:ascii="Perpetua" w:hAnsi="Perpetua" w:cs="Adobe Devanagari"/>
          <w:b/>
          <w:i/>
          <w:spacing w:val="-3"/>
          <w:sz w:val="26"/>
          <w:szCs w:val="26"/>
          <w:lang w:val="en-GB"/>
        </w:rPr>
        <w:t>SHOEMAKERS</w:t>
      </w:r>
      <w:r w:rsidR="00D922AA">
        <w:rPr>
          <w:rFonts w:ascii="Perpetua" w:hAnsi="Perpetua" w:cs="Adobe Devanagari"/>
          <w:b/>
          <w:i/>
          <w:spacing w:val="-3"/>
          <w:sz w:val="26"/>
          <w:szCs w:val="26"/>
          <w:lang w:val="en-GB"/>
        </w:rPr>
        <w:t>’</w:t>
      </w:r>
      <w:r w:rsidRPr="008E3AF5">
        <w:rPr>
          <w:rFonts w:ascii="Perpetua" w:hAnsi="Perpetua" w:cs="Adobe Devanagari"/>
          <w:b/>
          <w:i/>
          <w:spacing w:val="-3"/>
          <w:sz w:val="26"/>
          <w:szCs w:val="26"/>
          <w:lang w:val="en-GB"/>
        </w:rPr>
        <w:t xml:space="preserve"> HOLIDAY</w:t>
      </w:r>
    </w:p>
    <w:p w:rsidR="00D645B1" w:rsidRPr="008E3AF5" w:rsidRDefault="00D645B1" w:rsidP="008E3AF5">
      <w:pPr>
        <w:tabs>
          <w:tab w:val="left" w:pos="-720"/>
          <w:tab w:val="left" w:pos="0"/>
        </w:tabs>
        <w:suppressAutoHyphens/>
        <w:spacing w:line="276" w:lineRule="auto"/>
        <w:rPr>
          <w:rFonts w:ascii="Perpetua" w:hAnsi="Perpetua" w:cs="Adobe Devanagari"/>
          <w:b/>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u w:val="single"/>
          <w:lang w:val="en-GB"/>
        </w:rPr>
      </w:pPr>
      <w:r w:rsidRPr="008E3AF5">
        <w:rPr>
          <w:rFonts w:ascii="Perpetua" w:hAnsi="Perpetua" w:cs="Adobe Devanagari"/>
          <w:b/>
          <w:spacing w:val="-3"/>
          <w:sz w:val="26"/>
          <w:szCs w:val="26"/>
          <w:lang w:val="en-GB"/>
        </w:rPr>
        <w:t xml:space="preserve">The early textual history and performance of </w:t>
      </w:r>
      <w:r w:rsidRPr="008E3AF5">
        <w:rPr>
          <w:rFonts w:ascii="Perpetua" w:hAnsi="Perpetua" w:cs="Adobe Devanagari"/>
          <w:b/>
          <w:i/>
          <w:spacing w:val="-3"/>
          <w:sz w:val="26"/>
          <w:szCs w:val="26"/>
          <w:lang w:val="en-GB"/>
        </w:rPr>
        <w:t>The Shoemaker’s Holiday</w:t>
      </w:r>
    </w:p>
    <w:p w:rsidR="00D645B1" w:rsidRDefault="00D645B1" w:rsidP="00D922AA">
      <w:pPr>
        <w:tabs>
          <w:tab w:val="left" w:pos="-720"/>
          <w:tab w:val="left" w:pos="0"/>
        </w:tabs>
        <w:suppressAutoHyphens/>
        <w:snapToGrid/>
        <w:spacing w:line="276" w:lineRule="auto"/>
        <w:rPr>
          <w:rFonts w:ascii="Perpetua" w:hAnsi="Perpetua" w:cs="Adobe Devanagari"/>
          <w:spacing w:val="-3"/>
          <w:sz w:val="26"/>
          <w:szCs w:val="26"/>
          <w:lang w:val="en-GB"/>
        </w:rPr>
      </w:pPr>
    </w:p>
    <w:p w:rsidR="00D922AA" w:rsidRPr="008E3AF5" w:rsidRDefault="00B95530" w:rsidP="00D922AA">
      <w:pPr>
        <w:tabs>
          <w:tab w:val="left" w:pos="-720"/>
          <w:tab w:val="left" w:pos="0"/>
        </w:tabs>
        <w:suppressAutoHyphens/>
        <w:snapToGrid/>
        <w:spacing w:line="276" w:lineRule="auto"/>
        <w:rPr>
          <w:rFonts w:ascii="Perpetua" w:hAnsi="Perpetua" w:cs="Adobe Devanagari"/>
          <w:spacing w:val="-3"/>
          <w:sz w:val="26"/>
          <w:szCs w:val="26"/>
          <w:lang w:val="en-GB"/>
        </w:rPr>
      </w:pPr>
      <w:r w:rsidRPr="00B95530">
        <w:rPr>
          <w:rFonts w:ascii="Perpetua" w:hAnsi="Perpetua" w:cs="Adobe Devanagari"/>
          <w:i/>
          <w:spacing w:val="-3"/>
          <w:sz w:val="26"/>
          <w:szCs w:val="26"/>
          <w:lang w:val="en-GB"/>
        </w:rPr>
        <w:t>The Shoemaker’s Holiday</w:t>
      </w:r>
      <w:r>
        <w:rPr>
          <w:rFonts w:ascii="Perpetua" w:hAnsi="Perpetua" w:cs="Adobe Devanagari"/>
          <w:spacing w:val="-3"/>
          <w:sz w:val="26"/>
          <w:szCs w:val="26"/>
          <w:lang w:val="en-GB"/>
        </w:rPr>
        <w:t>, as it was published in 1600, provides us with evidence of some of the ways in which the drama was framed in the Renaissance, both in print and in performance. For example the play is published with an Epistle. This was written for the published play-text and unlike the Prologue, it would not have been said aloud in performance. The Epistle provides evidence of the play’s earliest performance, in 1599, by the Lord Admiral’s Players, before ‘the Queen’s most excellent Majesty’. The title of the 1600 edition reads ‘</w:t>
      </w:r>
      <w:r>
        <w:rPr>
          <w:rFonts w:ascii="Perpetua" w:hAnsi="Perpetua" w:cs="Adobe Devanagari"/>
          <w:i/>
          <w:spacing w:val="-3"/>
          <w:sz w:val="26"/>
          <w:szCs w:val="26"/>
          <w:lang w:val="en-GB"/>
        </w:rPr>
        <w:t>The Shoemakers Holiday. Or The Gentle Craft</w:t>
      </w:r>
      <w:r>
        <w:rPr>
          <w:rFonts w:ascii="Perpetua" w:hAnsi="Perpetua" w:cs="Adobe Devanagari"/>
          <w:spacing w:val="-3"/>
          <w:sz w:val="26"/>
          <w:szCs w:val="26"/>
          <w:lang w:val="en-GB"/>
        </w:rPr>
        <w:t>’. The absence of an apostrophe in the possessive noun</w:t>
      </w:r>
      <w:r w:rsidR="00877EE7">
        <w:rPr>
          <w:rFonts w:ascii="Perpetua" w:hAnsi="Perpetua" w:cs="Adobe Devanagari"/>
          <w:spacing w:val="-3"/>
          <w:sz w:val="26"/>
          <w:szCs w:val="26"/>
          <w:lang w:val="en-GB"/>
        </w:rPr>
        <w:t xml:space="preserve"> has led to modern editions rendering the title either in the singular possessive </w:t>
      </w:r>
      <w:r w:rsidR="00523F23">
        <w:rPr>
          <w:rFonts w:ascii="Perpetua" w:hAnsi="Perpetua" w:cs="Adobe Devanagari"/>
          <w:spacing w:val="-3"/>
          <w:sz w:val="26"/>
          <w:szCs w:val="26"/>
          <w:lang w:val="en-GB"/>
        </w:rPr>
        <w:t>Shoemaker’s</w:t>
      </w:r>
      <w:r w:rsidR="00877EE7">
        <w:rPr>
          <w:rFonts w:ascii="Perpetua" w:hAnsi="Perpetua" w:cs="Adobe Devanagari"/>
          <w:spacing w:val="-3"/>
          <w:sz w:val="26"/>
          <w:szCs w:val="26"/>
          <w:lang w:val="en-GB"/>
        </w:rPr>
        <w:t>, o</w:t>
      </w:r>
      <w:r w:rsidR="00523F23">
        <w:rPr>
          <w:rFonts w:ascii="Perpetua" w:hAnsi="Perpetua" w:cs="Adobe Devanagari"/>
          <w:spacing w:val="-3"/>
          <w:sz w:val="26"/>
          <w:szCs w:val="26"/>
          <w:lang w:val="en-GB"/>
        </w:rPr>
        <w:t>r</w:t>
      </w:r>
      <w:r w:rsidR="00877EE7">
        <w:rPr>
          <w:rFonts w:ascii="Perpetua" w:hAnsi="Perpetua" w:cs="Adobe Devanagari"/>
          <w:spacing w:val="-3"/>
          <w:sz w:val="26"/>
          <w:szCs w:val="26"/>
          <w:lang w:val="en-GB"/>
        </w:rPr>
        <w:t xml:space="preserve"> the plural possessive</w:t>
      </w:r>
      <w:r w:rsidR="00523F23">
        <w:rPr>
          <w:rFonts w:ascii="Perpetua" w:hAnsi="Perpetua" w:cs="Adobe Devanagari"/>
          <w:spacing w:val="-3"/>
          <w:sz w:val="26"/>
          <w:szCs w:val="26"/>
          <w:lang w:val="en-GB"/>
        </w:rPr>
        <w:t xml:space="preserve"> Shoemakers’</w:t>
      </w:r>
      <w:r w:rsidR="00877EE7">
        <w:rPr>
          <w:rFonts w:ascii="Perpetua" w:hAnsi="Perpetua" w:cs="Adobe Devanagari"/>
          <w:spacing w:val="-3"/>
          <w:sz w:val="26"/>
          <w:szCs w:val="26"/>
          <w:lang w:val="en-GB"/>
        </w:rPr>
        <w:t>.</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u w:val="single"/>
          <w:lang w:val="en-GB"/>
        </w:rPr>
      </w:pPr>
      <w:r w:rsidRPr="008E3AF5">
        <w:rPr>
          <w:rFonts w:ascii="Perpetua" w:hAnsi="Perpetua" w:cs="Adobe Devanagari"/>
          <w:b/>
          <w:spacing w:val="-3"/>
          <w:sz w:val="26"/>
          <w:szCs w:val="26"/>
          <w:lang w:val="en-GB"/>
        </w:rPr>
        <w:t xml:space="preserve">The English Renaissance </w:t>
      </w:r>
      <w:r w:rsidRPr="008E3AF5">
        <w:rPr>
          <w:rFonts w:ascii="Perpetua" w:hAnsi="Perpetua" w:cs="Adobe Devanagari"/>
          <w:b/>
          <w:sz w:val="26"/>
          <w:szCs w:val="26"/>
        </w:rPr>
        <w:t xml:space="preserve">revival of the classical dramatic genre of comedy, and </w:t>
      </w:r>
      <w:r w:rsidRPr="008E3AF5">
        <w:rPr>
          <w:rFonts w:ascii="Perpetua" w:hAnsi="Perpetua" w:cs="Adobe Devanagari"/>
          <w:b/>
          <w:spacing w:val="-3"/>
          <w:sz w:val="26"/>
          <w:szCs w:val="26"/>
          <w:lang w:val="en-GB"/>
        </w:rPr>
        <w:t>theory of comedy</w:t>
      </w:r>
    </w:p>
    <w:p w:rsidR="00D645B1" w:rsidRPr="00D922AA"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922AA" w:rsidRPr="00D922AA" w:rsidRDefault="00D922AA" w:rsidP="00D922AA">
      <w:pPr>
        <w:widowControl/>
        <w:snapToGrid/>
        <w:rPr>
          <w:rFonts w:ascii="Perpetua" w:hAnsi="Perpetua"/>
          <w:sz w:val="26"/>
          <w:szCs w:val="26"/>
        </w:rPr>
      </w:pPr>
      <w:r w:rsidRPr="00D922AA">
        <w:rPr>
          <w:rFonts w:ascii="Perpetua" w:hAnsi="Perpetua"/>
          <w:sz w:val="26"/>
          <w:szCs w:val="26"/>
        </w:rPr>
        <w:t xml:space="preserve">Sidney’ </w:t>
      </w:r>
      <w:r w:rsidRPr="00D922AA">
        <w:rPr>
          <w:rFonts w:ascii="Perpetua" w:hAnsi="Perpetua"/>
          <w:i/>
          <w:sz w:val="26"/>
          <w:szCs w:val="26"/>
        </w:rPr>
        <w:t>Defence of Poesie</w:t>
      </w:r>
      <w:r w:rsidRPr="00D922AA">
        <w:rPr>
          <w:rFonts w:ascii="Perpetua" w:hAnsi="Perpetua"/>
          <w:sz w:val="26"/>
          <w:szCs w:val="26"/>
        </w:rPr>
        <w:t>, on comedy:</w:t>
      </w:r>
    </w:p>
    <w:p w:rsidR="00D922AA" w:rsidRPr="00D922AA" w:rsidRDefault="00D922AA" w:rsidP="00D922AA">
      <w:pPr>
        <w:ind w:left="1152" w:right="1152"/>
        <w:rPr>
          <w:rFonts w:ascii="Perpetua" w:hAnsi="Perpetua"/>
        </w:rPr>
      </w:pPr>
    </w:p>
    <w:p w:rsidR="00D922AA" w:rsidRPr="00D922AA" w:rsidRDefault="00D922AA" w:rsidP="00D922AA">
      <w:pPr>
        <w:pStyle w:val="ListParagraph"/>
        <w:ind w:left="1800" w:right="1152"/>
        <w:rPr>
          <w:rFonts w:ascii="Perpetua" w:hAnsi="Perpetua"/>
        </w:rPr>
      </w:pPr>
      <w:r w:rsidRPr="00D922AA">
        <w:rPr>
          <w:rFonts w:ascii="Perpetua" w:hAnsi="Perpetua"/>
        </w:rPr>
        <w:t>No perchance it is the Comick, whom naughtie Play-makers and stage-keepers, have justly made odious. To the arguments of abuse, I will after answer, onely thus much now is to be said, that the Comedy is an imitation of the common errors of our life, which he representeth in the most ridiculous &amp; scornfull sort that may be: so as it is impossible that any beholder can be content to be such a one. Now as in Geometrie, the oblique must be knowne as well as the right, and in Arithmetick, the odde as well as the even, so in the actions of our life, who seeth not the filthinesse of evill, wanteth a great foile to perceive the bewtie of vertue. This doth the Comaedie handle so in our private and domesticall matters, as with hearing it, wee get as it were an experience what is to be looked for of a niggardly Demea, of a crafty Davus, of a flattering Gnato, of a vain- glorious Thraso ‡ and not onely to know what effects are to be expected, but to know who be such, by the signifying badge given them by the Comaedient. And little reason hath any man to say, that men learne the evill by seeing it so set out, since as I said before, there is no man living, but by the force truth hath in nature, no sooner seeth these men play their parts, but wisheth them in Pistrinum #, although perchance the lack of his owne faults lie so behinde his backe, that he seeth not himselfe to dance the same measure: whereto yet nothing can more open his eies, then to see his owne actions contemptibly set forth. So that the right use of Comaedie, will I thinke, by no bodie be blamed; […].</w:t>
      </w:r>
    </w:p>
    <w:p w:rsidR="00D922AA" w:rsidRPr="00D922AA" w:rsidRDefault="00D922AA" w:rsidP="00D922AA">
      <w:pPr>
        <w:ind w:left="1152" w:right="1152"/>
        <w:rPr>
          <w:rFonts w:ascii="Perpetua" w:hAnsi="Perpetua"/>
        </w:rPr>
      </w:pPr>
    </w:p>
    <w:p w:rsidR="00D922AA" w:rsidRPr="00D922AA" w:rsidRDefault="00D922AA" w:rsidP="00D922AA">
      <w:pPr>
        <w:pStyle w:val="ListParagraph"/>
        <w:ind w:left="1800" w:right="1152"/>
        <w:rPr>
          <w:rFonts w:ascii="Perpetua" w:hAnsi="Perpetua"/>
        </w:rPr>
      </w:pPr>
      <w:bookmarkStart w:id="0" w:name="{84}"/>
      <w:bookmarkEnd w:id="0"/>
      <w:r w:rsidRPr="00D922AA">
        <w:rPr>
          <w:rFonts w:ascii="Perpetua" w:hAnsi="Perpetua"/>
        </w:rPr>
        <w:t>‡ Characters from the Roman writer Terence, none of whom were intended to be imitated.</w:t>
      </w:r>
    </w:p>
    <w:p w:rsidR="00D922AA" w:rsidRPr="00D922AA" w:rsidRDefault="00D922AA" w:rsidP="00D922AA">
      <w:pPr>
        <w:pStyle w:val="ListParagraph"/>
        <w:ind w:left="1800" w:right="1152"/>
        <w:rPr>
          <w:rFonts w:ascii="Perpetua" w:hAnsi="Perpetua"/>
          <w:szCs w:val="24"/>
        </w:rPr>
      </w:pPr>
      <w:bookmarkStart w:id="1" w:name="{85}"/>
      <w:bookmarkEnd w:id="1"/>
      <w:r w:rsidRPr="00D922AA">
        <w:rPr>
          <w:rFonts w:ascii="Perpetua" w:hAnsi="Perpetua"/>
        </w:rPr>
        <w:t xml:space="preserve"># Pistrinum: </w:t>
      </w:r>
      <w:r w:rsidRPr="00D922AA">
        <w:rPr>
          <w:rFonts w:ascii="Perpetua" w:hAnsi="Perpetua"/>
          <w:i/>
          <w:iCs/>
        </w:rPr>
        <w:t>pistrinum</w:t>
      </w:r>
      <w:r w:rsidRPr="00D922AA">
        <w:rPr>
          <w:rFonts w:ascii="Perpetua" w:hAnsi="Perpetua"/>
        </w:rPr>
        <w:t>, a type of Roman flour mill, powered by asses; when slaves misbehaved, they were sometimes substituted for the asses as a punishment. </w:t>
      </w:r>
    </w:p>
    <w:p w:rsidR="00D922AA" w:rsidRPr="00D922AA" w:rsidRDefault="00D922AA" w:rsidP="00D922AA">
      <w:pPr>
        <w:ind w:right="1152"/>
        <w:rPr>
          <w:rFonts w:ascii="Perpetua" w:hAnsi="Perpetua"/>
          <w:sz w:val="26"/>
          <w:szCs w:val="26"/>
        </w:rPr>
      </w:pPr>
    </w:p>
    <w:p w:rsidR="00D922AA" w:rsidRPr="00B95530" w:rsidRDefault="00D922AA" w:rsidP="00B95530">
      <w:pPr>
        <w:spacing w:line="276" w:lineRule="auto"/>
        <w:ind w:right="1152"/>
        <w:rPr>
          <w:rFonts w:ascii="Perpetua" w:hAnsi="Perpetua"/>
          <w:sz w:val="26"/>
          <w:szCs w:val="26"/>
        </w:rPr>
      </w:pPr>
      <w:r w:rsidRPr="00D922AA">
        <w:rPr>
          <w:rFonts w:ascii="Perpetua" w:hAnsi="Perpetua"/>
          <w:sz w:val="26"/>
          <w:szCs w:val="26"/>
        </w:rPr>
        <w:t xml:space="preserve">The resolutions </w:t>
      </w:r>
      <w:r>
        <w:rPr>
          <w:rFonts w:ascii="Perpetua" w:hAnsi="Perpetua"/>
          <w:sz w:val="26"/>
          <w:szCs w:val="26"/>
        </w:rPr>
        <w:t>comedies traditionally</w:t>
      </w:r>
      <w:r w:rsidRPr="00D922AA">
        <w:rPr>
          <w:rFonts w:ascii="Perpetua" w:hAnsi="Perpetua"/>
          <w:sz w:val="26"/>
          <w:szCs w:val="26"/>
        </w:rPr>
        <w:t xml:space="preserve"> undertake to provide for the play’s tensions are forgiveness of injuries, repentance for wrongs, above all reconciliation through the harmony of marriage</w:t>
      </w:r>
      <w:r>
        <w:rPr>
          <w:rFonts w:ascii="Perpetua" w:hAnsi="Perpetua"/>
          <w:sz w:val="26"/>
          <w:szCs w:val="26"/>
        </w:rPr>
        <w:t>.</w:t>
      </w:r>
      <w:r w:rsidR="00B95530">
        <w:rPr>
          <w:rFonts w:ascii="Perpetua" w:hAnsi="Perpetua"/>
          <w:sz w:val="26"/>
          <w:szCs w:val="26"/>
        </w:rPr>
        <w:t xml:space="preserve"> How do any of these relate specifically to Dekker’s comedy?</w:t>
      </w:r>
    </w:p>
    <w:p w:rsidR="00B95530" w:rsidRPr="00B95530" w:rsidRDefault="00B95530" w:rsidP="00B95530">
      <w:pPr>
        <w:spacing w:line="276" w:lineRule="auto"/>
        <w:ind w:right="1152"/>
        <w:rPr>
          <w:rFonts w:ascii="Perpetua" w:hAnsi="Perpetua"/>
          <w:sz w:val="26"/>
          <w:szCs w:val="26"/>
        </w:rPr>
      </w:pPr>
    </w:p>
    <w:p w:rsidR="00B95530" w:rsidRPr="00B95530" w:rsidRDefault="00B95530" w:rsidP="00B95530">
      <w:pPr>
        <w:tabs>
          <w:tab w:val="left" w:pos="-720"/>
        </w:tabs>
        <w:suppressAutoHyphens/>
        <w:spacing w:line="276" w:lineRule="auto"/>
        <w:rPr>
          <w:rFonts w:ascii="Perpetua" w:hAnsi="Perpetua"/>
          <w:sz w:val="26"/>
          <w:szCs w:val="26"/>
        </w:rPr>
      </w:pPr>
      <w:r w:rsidRPr="00B95530">
        <w:rPr>
          <w:rFonts w:ascii="Perpetua" w:hAnsi="Perpetua"/>
          <w:sz w:val="26"/>
          <w:szCs w:val="26"/>
        </w:rPr>
        <w:t>Why do we laugh? According to Stephen Pender, in the Renaissance ‘laughter was imagined as an effect of a limited ensemble of causes: moderate joy, wonder or surprise, contempt, and apprehension of the ridiculous or the deformed, provided they do not too closely approach thresholds of harm’.</w:t>
      </w:r>
      <w:r w:rsidRPr="00B95530">
        <w:rPr>
          <w:rStyle w:val="FootnoteReference"/>
          <w:rFonts w:ascii="Perpetua" w:hAnsi="Perpetua"/>
          <w:sz w:val="26"/>
          <w:szCs w:val="26"/>
        </w:rPr>
        <w:footnoteReference w:id="1"/>
      </w:r>
      <w:r w:rsidRPr="00B95530">
        <w:rPr>
          <w:rFonts w:ascii="Perpetua" w:hAnsi="Perpetua"/>
          <w:sz w:val="26"/>
          <w:szCs w:val="26"/>
        </w:rPr>
        <w:t xml:space="preserve"> </w:t>
      </w:r>
    </w:p>
    <w:p w:rsidR="00B95530" w:rsidRPr="00B95530" w:rsidRDefault="00B95530" w:rsidP="00B95530">
      <w:pPr>
        <w:tabs>
          <w:tab w:val="left" w:pos="-720"/>
        </w:tabs>
        <w:suppressAutoHyphens/>
        <w:spacing w:line="276" w:lineRule="auto"/>
        <w:rPr>
          <w:rFonts w:ascii="Perpetua" w:hAnsi="Perpetua"/>
          <w:sz w:val="26"/>
          <w:szCs w:val="26"/>
        </w:rPr>
      </w:pPr>
    </w:p>
    <w:p w:rsidR="00B95530" w:rsidRPr="00B95530" w:rsidRDefault="00B95530" w:rsidP="00B95530">
      <w:pPr>
        <w:tabs>
          <w:tab w:val="left" w:pos="-720"/>
        </w:tabs>
        <w:suppressAutoHyphens/>
        <w:spacing w:line="276" w:lineRule="auto"/>
        <w:rPr>
          <w:rFonts w:ascii="Perpetua" w:hAnsi="Perpetua"/>
          <w:sz w:val="26"/>
          <w:szCs w:val="26"/>
        </w:rPr>
      </w:pPr>
      <w:r w:rsidRPr="00B95530">
        <w:rPr>
          <w:rFonts w:ascii="Perpetua" w:hAnsi="Perpetua"/>
          <w:sz w:val="26"/>
          <w:szCs w:val="26"/>
        </w:rPr>
        <w:t xml:space="preserve">Arising from this range of stimuli, laughter had been a source of controversy for orators, philosophers and physicians since antiquity. Laughter partakes of the essential goodness of the passions and affections which function to secure the health and well-being of the fragile thinking, feeling body and soul, ideally inciting the will toward the good, supporting moral goals, and conditioning, importantly, felicity, contentment, zest for life. Still, philosophers were discouraged from excessive laughter, in part because it betrayed deficits of wisdom, sagacity, and self-regard: only fools, rustics, or buffoons indulge in fulsome laughter. </w:t>
      </w:r>
    </w:p>
    <w:p w:rsidR="00B95530" w:rsidRPr="00B95530" w:rsidRDefault="00B95530" w:rsidP="00B95530">
      <w:pPr>
        <w:tabs>
          <w:tab w:val="left" w:pos="-720"/>
        </w:tabs>
        <w:suppressAutoHyphens/>
        <w:spacing w:line="276" w:lineRule="auto"/>
        <w:rPr>
          <w:rFonts w:ascii="Perpetua" w:hAnsi="Perpetua"/>
          <w:sz w:val="26"/>
          <w:szCs w:val="26"/>
        </w:rPr>
      </w:pPr>
    </w:p>
    <w:p w:rsidR="00B95530" w:rsidRPr="00B95530" w:rsidRDefault="00B95530" w:rsidP="00B95530">
      <w:pPr>
        <w:spacing w:line="276" w:lineRule="auto"/>
        <w:ind w:right="1152"/>
        <w:rPr>
          <w:rFonts w:ascii="Perpetua" w:hAnsi="Perpetua"/>
          <w:sz w:val="26"/>
          <w:szCs w:val="26"/>
        </w:rPr>
      </w:pPr>
      <w:r w:rsidRPr="00B95530">
        <w:rPr>
          <w:rFonts w:ascii="Perpetua" w:hAnsi="Perpetua"/>
          <w:sz w:val="26"/>
          <w:szCs w:val="26"/>
        </w:rPr>
        <w:t>Yet humanist habits of thought, especially in the sixteenth century, which considered philosophy as an indispensable therapy for remedying civil distemper, offered cures that licensed the use of laughter as humanizing, as a means of making necessary and health-giving criticism, as health-preserving by expanding the vital spirit and natural heat and purifying the blood, and as according with the recreation and relaxation that Aristotle had recommended for contemplation. For example, Ficino conceived of laughter as an ecstatic expansion of spirit, and while warning against ‘shaking laughter’ as highly unsuitable for a man of character because it is clearly the expression of a mind which has lost control, Erasmus not only condones but commends moderate delight, for, he says, it tastes more of sobriety than levity.</w:t>
      </w:r>
      <w:r w:rsidRPr="00B95530">
        <w:rPr>
          <w:rStyle w:val="FootnoteReference"/>
          <w:rFonts w:ascii="Perpetua" w:hAnsi="Perpetua"/>
          <w:sz w:val="26"/>
          <w:szCs w:val="26"/>
        </w:rPr>
        <w:footnoteReference w:id="2"/>
      </w:r>
    </w:p>
    <w:p w:rsidR="00D922AA" w:rsidRDefault="00D922AA" w:rsidP="00D922AA">
      <w:pPr>
        <w:ind w:left="360" w:right="1152"/>
        <w:rPr>
          <w:rFonts w:ascii="Perpetua" w:hAnsi="Perpetua"/>
          <w:sz w:val="26"/>
          <w:szCs w:val="26"/>
        </w:rPr>
      </w:pPr>
    </w:p>
    <w:p w:rsidR="00D922AA" w:rsidRDefault="00D922AA" w:rsidP="00D922AA">
      <w:pPr>
        <w:ind w:left="360" w:right="1152"/>
        <w:rPr>
          <w:rFonts w:ascii="Perpetua" w:hAnsi="Perpetua"/>
          <w:sz w:val="26"/>
          <w:szCs w:val="26"/>
        </w:rPr>
      </w:pPr>
    </w:p>
    <w:p w:rsidR="00D645B1" w:rsidRPr="00D922AA" w:rsidRDefault="00D922AA" w:rsidP="00D922AA">
      <w:pPr>
        <w:ind w:left="360" w:right="1152"/>
        <w:rPr>
          <w:rFonts w:ascii="Perpetua" w:hAnsi="Perpetua" w:cs="Adobe Devanagari"/>
          <w:spacing w:val="-3"/>
          <w:sz w:val="26"/>
          <w:szCs w:val="26"/>
          <w:lang w:val="en-GB"/>
        </w:rPr>
      </w:pPr>
      <w:r>
        <w:rPr>
          <w:rFonts w:ascii="Perpetua" w:hAnsi="Perpetua" w:cs="Adobe Devanagari"/>
          <w:spacing w:val="-3"/>
          <w:sz w:val="26"/>
          <w:szCs w:val="26"/>
          <w:lang w:val="en-GB"/>
        </w:rPr>
        <w:tab/>
      </w:r>
    </w:p>
    <w:p w:rsidR="00D645B1" w:rsidRPr="008E3AF5" w:rsidRDefault="00D645B1" w:rsidP="00D922AA">
      <w:pPr>
        <w:pStyle w:val="ListParagraph"/>
        <w:numPr>
          <w:ilvl w:val="0"/>
          <w:numId w:val="3"/>
        </w:numPr>
        <w:tabs>
          <w:tab w:val="left" w:pos="-720"/>
          <w:tab w:val="left" w:pos="0"/>
        </w:tabs>
        <w:suppressAutoHyphens/>
        <w:snapToGrid/>
        <w:rPr>
          <w:rFonts w:ascii="Perpetua" w:hAnsi="Perpetua" w:cs="Adobe Devanagari"/>
          <w:b/>
          <w:spacing w:val="-3"/>
          <w:sz w:val="26"/>
          <w:szCs w:val="26"/>
          <w:u w:val="single"/>
          <w:lang w:val="en-GB"/>
        </w:rPr>
      </w:pPr>
      <w:r w:rsidRPr="008E3AF5">
        <w:rPr>
          <w:rFonts w:ascii="Perpetua" w:hAnsi="Perpetua" w:cs="Adobe Devanagari"/>
          <w:b/>
          <w:spacing w:val="-3"/>
          <w:sz w:val="26"/>
          <w:szCs w:val="26"/>
          <w:lang w:val="en-GB"/>
        </w:rPr>
        <w:lastRenderedPageBreak/>
        <w:t>City or Citizen comedy, romantic comedy, satire: the play’s genre, sources, and literary context</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5E1F56" w:rsidRDefault="00877EE7"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r>
        <w:rPr>
          <w:rFonts w:ascii="Perpetua" w:hAnsi="Perpetua" w:cs="Adobe Devanagari"/>
          <w:i/>
          <w:spacing w:val="-3"/>
          <w:sz w:val="26"/>
          <w:szCs w:val="26"/>
          <w:lang w:val="en-GB"/>
        </w:rPr>
        <w:t>The Shoemaker’s Holiday</w:t>
      </w:r>
      <w:r>
        <w:rPr>
          <w:rFonts w:ascii="Perpetua" w:hAnsi="Perpetua" w:cs="Adobe Devanagari"/>
          <w:spacing w:val="-3"/>
          <w:sz w:val="26"/>
          <w:szCs w:val="26"/>
          <w:lang w:val="en-GB"/>
        </w:rPr>
        <w:t xml:space="preserve"> has been described as city or citizen comedy on account of the centrality of the citizenry among its cast and it firm location within the City of London and its vicinity. It plot is two-fold. One the one hand there is the story of Simon Eyre’s social or civic ascent to the elevated position of Lord Mayor of the City of London. Dekker’s Simon Eyre is a fictionalised version of a historical figure of the same name, who had in fact been elected sheriff of London in 1434, then alderman, and finally Lord Mayor in 1445. Dekker relied for most of the biographical information on Thomas Deloney’s </w:t>
      </w:r>
      <w:r>
        <w:rPr>
          <w:rFonts w:ascii="Perpetua" w:hAnsi="Perpetua" w:cs="Adobe Devanagari"/>
          <w:i/>
          <w:spacing w:val="-3"/>
          <w:sz w:val="26"/>
          <w:szCs w:val="26"/>
          <w:lang w:val="en-GB"/>
        </w:rPr>
        <w:t>The Gentle Craft</w:t>
      </w:r>
      <w:r>
        <w:rPr>
          <w:rFonts w:ascii="Perpetua" w:hAnsi="Perpetua" w:cs="Adobe Devanagari"/>
          <w:spacing w:val="-3"/>
          <w:sz w:val="26"/>
          <w:szCs w:val="26"/>
          <w:lang w:val="en-GB"/>
        </w:rPr>
        <w:t xml:space="preserve"> (1597), a collection of prose tales about shoemaking and shoemakers, tha</w:t>
      </w:r>
      <w:r w:rsidR="00E54AE8">
        <w:rPr>
          <w:rFonts w:ascii="Perpetua" w:hAnsi="Perpetua" w:cs="Adobe Devanagari"/>
          <w:spacing w:val="-3"/>
          <w:sz w:val="26"/>
          <w:szCs w:val="26"/>
          <w:lang w:val="en-GB"/>
        </w:rPr>
        <w:t>t included a life of Simon Eyre, including his building of Leadenhall.</w:t>
      </w:r>
      <w:r w:rsidR="005E1F56">
        <w:rPr>
          <w:rFonts w:ascii="Perpetua" w:hAnsi="Perpetua" w:cs="Adobe Devanagari"/>
          <w:spacing w:val="-3"/>
          <w:sz w:val="26"/>
          <w:szCs w:val="26"/>
          <w:lang w:val="en-GB"/>
        </w:rPr>
        <w:t xml:space="preserve"> Yet Simon Eyre was not a shoemaker, so why might Dekker has chosen creatively to change his trade?</w:t>
      </w:r>
    </w:p>
    <w:p w:rsidR="005E1F56" w:rsidRDefault="005E1F56"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5E1F56" w:rsidRDefault="005E1F56"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r>
        <w:rPr>
          <w:rFonts w:ascii="Perpetua" w:hAnsi="Perpetua" w:cs="Adobe Devanagari"/>
          <w:spacing w:val="-3"/>
          <w:sz w:val="26"/>
          <w:szCs w:val="26"/>
          <w:lang w:val="en-GB"/>
        </w:rPr>
        <w:t>Dekker’s play is also a romantic comedy, for at least two reasons. Its elevation of a humble shoemaker from far down the economic scale is heart-warming and appeals to a fantasy of social mobility, a dream of worldly advancement, that defies the still entrenched social order of Elizabethan England. A second reason is of course the romantic plot of Lacy and Rose, and to some extent also, that of Ralph and Jane, the first of which pair defy parental opposition to their marriage, and the second defy the interference of nobility.</w:t>
      </w:r>
    </w:p>
    <w:p w:rsidR="008669B7" w:rsidRDefault="008669B7"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8669B7" w:rsidRDefault="008669B7"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r>
        <w:rPr>
          <w:rFonts w:ascii="Perpetua" w:hAnsi="Perpetua" w:cs="Adobe Devanagari"/>
          <w:spacing w:val="-3"/>
          <w:sz w:val="26"/>
          <w:szCs w:val="26"/>
          <w:lang w:val="en-GB"/>
        </w:rPr>
        <w:t>What is the significance of Hammer refusing to play the lover (9.40 f.), and of Jane’s rejection of wealth in favour of love (18.63-67)? Consider also Hammon’s coercion of Jane in Scene 12. See also 18.8-11.</w:t>
      </w:r>
      <w:r w:rsidR="00BC5A98">
        <w:rPr>
          <w:rFonts w:ascii="Perpetua" w:hAnsi="Perpetua" w:cs="Adobe Devanagari"/>
          <w:spacing w:val="-3"/>
          <w:sz w:val="26"/>
          <w:szCs w:val="26"/>
          <w:lang w:val="en-GB"/>
        </w:rPr>
        <w:t xml:space="preserve"> References in the play to ‘love’s laws’ (21.78) and to love respecting no blood (21.106) are also indicative of its romantic investment in the aspirant artisan class.</w:t>
      </w:r>
    </w:p>
    <w:p w:rsidR="005E1F56" w:rsidRDefault="005E1F56"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5E1F56" w:rsidRPr="00877EE7" w:rsidRDefault="005E1F56"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r>
        <w:rPr>
          <w:rFonts w:ascii="Perpetua" w:hAnsi="Perpetua" w:cs="Adobe Devanagari"/>
          <w:spacing w:val="-3"/>
          <w:sz w:val="26"/>
          <w:szCs w:val="26"/>
          <w:lang w:val="en-GB"/>
        </w:rPr>
        <w:t>Dekker’s comedy is mildly satiric and frequently bawdy. See 18.166-67.</w:t>
      </w:r>
      <w:r w:rsidR="00BC5A98">
        <w:rPr>
          <w:rFonts w:ascii="Perpetua" w:hAnsi="Perpetua" w:cs="Adobe Devanagari"/>
          <w:spacing w:val="-3"/>
          <w:sz w:val="26"/>
          <w:szCs w:val="26"/>
          <w:lang w:val="en-GB"/>
        </w:rPr>
        <w:t xml:space="preserve"> Indeed the bawdry is a notable source of the comedy.</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D645B1" w:rsidP="008E3AF5">
      <w:pPr>
        <w:tabs>
          <w:tab w:val="left" w:pos="-720"/>
          <w:tab w:val="left" w:pos="0"/>
        </w:tabs>
        <w:suppressAutoHyphens/>
        <w:snapToGrid/>
        <w:spacing w:line="276" w:lineRule="auto"/>
        <w:ind w:left="360"/>
        <w:rPr>
          <w:rFonts w:ascii="Perpetua" w:hAnsi="Perpetua" w:cs="Adobe Devanagari"/>
          <w:b/>
          <w:spacing w:val="-3"/>
          <w:sz w:val="26"/>
          <w:szCs w:val="26"/>
          <w:u w:val="single"/>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u w:val="single"/>
          <w:lang w:val="en-GB"/>
        </w:rPr>
      </w:pPr>
      <w:r w:rsidRPr="008E3AF5">
        <w:rPr>
          <w:rFonts w:ascii="Perpetua" w:hAnsi="Perpetua" w:cs="Adobe Devanagari"/>
          <w:b/>
          <w:spacing w:val="-3"/>
          <w:sz w:val="26"/>
          <w:szCs w:val="26"/>
          <w:lang w:val="en-GB"/>
        </w:rPr>
        <w:t>Thomas Dekker and London: the play in its biographical context</w:t>
      </w:r>
      <w:r w:rsidR="005E1F56">
        <w:rPr>
          <w:rFonts w:ascii="Perpetua" w:hAnsi="Perpetua" w:cs="Adobe Devanagari"/>
          <w:b/>
          <w:spacing w:val="-3"/>
          <w:sz w:val="26"/>
          <w:szCs w:val="26"/>
          <w:lang w:val="en-GB"/>
        </w:rPr>
        <w:t>; and</w:t>
      </w: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lang w:val="en-GB"/>
        </w:rPr>
      </w:pPr>
      <w:r w:rsidRPr="008E3AF5">
        <w:rPr>
          <w:rFonts w:ascii="Perpetua" w:hAnsi="Perpetua" w:cs="Adobe Devanagari"/>
          <w:b/>
          <w:spacing w:val="-3"/>
          <w:sz w:val="26"/>
          <w:szCs w:val="26"/>
          <w:lang w:val="en-GB"/>
        </w:rPr>
        <w:t>The City of London and the community and fraternity of its guilds and livery companies</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922AA" w:rsidRDefault="008E3AF5" w:rsidP="00D922AA">
      <w:pPr>
        <w:tabs>
          <w:tab w:val="left" w:pos="-720"/>
          <w:tab w:val="left" w:pos="0"/>
        </w:tabs>
        <w:suppressAutoHyphens/>
        <w:snapToGrid/>
        <w:spacing w:line="276" w:lineRule="auto"/>
        <w:rPr>
          <w:rFonts w:ascii="Perpetua" w:hAnsi="Perpetua"/>
          <w:spacing w:val="-3"/>
          <w:sz w:val="26"/>
          <w:szCs w:val="26"/>
        </w:rPr>
      </w:pPr>
      <w:r>
        <w:rPr>
          <w:rFonts w:ascii="Perpetua" w:hAnsi="Perpetua"/>
          <w:spacing w:val="-3"/>
          <w:sz w:val="26"/>
          <w:szCs w:val="26"/>
        </w:rPr>
        <w:t>The Worshipful Company of Cordwainers</w:t>
      </w:r>
      <w:r w:rsidR="003C135A">
        <w:rPr>
          <w:rFonts w:ascii="Perpetua" w:hAnsi="Perpetua"/>
          <w:spacing w:val="-3"/>
          <w:sz w:val="26"/>
          <w:szCs w:val="26"/>
        </w:rPr>
        <w:t xml:space="preserve"> of London</w:t>
      </w:r>
      <w:r>
        <w:rPr>
          <w:rFonts w:ascii="Perpetua" w:hAnsi="Perpetua"/>
          <w:spacing w:val="-3"/>
          <w:sz w:val="26"/>
          <w:szCs w:val="26"/>
        </w:rPr>
        <w:t xml:space="preserve"> is a livery company.</w:t>
      </w:r>
      <w:r w:rsidR="003C135A">
        <w:rPr>
          <w:rFonts w:ascii="Perpetua" w:hAnsi="Perpetua"/>
          <w:spacing w:val="-3"/>
          <w:sz w:val="26"/>
          <w:szCs w:val="26"/>
        </w:rPr>
        <w:t xml:space="preserve"> The term ‘livery’ originated in the specific form of dress worn by retainers of a nobleman.</w:t>
      </w:r>
      <w:r w:rsidR="00802380">
        <w:rPr>
          <w:rFonts w:ascii="Perpetua" w:hAnsi="Perpetua"/>
          <w:spacing w:val="-3"/>
          <w:sz w:val="26"/>
          <w:szCs w:val="26"/>
        </w:rPr>
        <w:t xml:space="preserve"> Among the livery companies of London the term livery refers to special apparel to denote the status of belonging to a trade. Livery companies evolved from London’s medieval guilds. </w:t>
      </w:r>
      <w:r w:rsidR="00802380" w:rsidRPr="008E3AF5">
        <w:rPr>
          <w:rFonts w:ascii="Perpetua" w:hAnsi="Perpetua"/>
          <w:spacing w:val="-3"/>
          <w:sz w:val="26"/>
          <w:szCs w:val="26"/>
        </w:rPr>
        <w:t>Every trade in urban society had its guild, an organization combining the functions of a modern club, trade union, and religious society</w:t>
      </w:r>
      <w:r w:rsidR="002C29BB">
        <w:rPr>
          <w:rFonts w:ascii="Perpetua" w:hAnsi="Perpetua"/>
          <w:spacing w:val="-3"/>
          <w:sz w:val="26"/>
          <w:szCs w:val="26"/>
        </w:rPr>
        <w:t>. In Renaissance or early modern London, t</w:t>
      </w:r>
      <w:r w:rsidR="00802380">
        <w:rPr>
          <w:rFonts w:ascii="Perpetua" w:hAnsi="Perpetua"/>
          <w:spacing w:val="-3"/>
          <w:sz w:val="26"/>
          <w:szCs w:val="26"/>
        </w:rPr>
        <w:t xml:space="preserve">he playing companies, while not strictly livery companies, existed somewhere between retainers who may receive from their patron a suit of </w:t>
      </w:r>
      <w:r w:rsidR="00802380">
        <w:rPr>
          <w:rFonts w:ascii="Perpetua" w:hAnsi="Perpetua"/>
          <w:spacing w:val="-3"/>
          <w:sz w:val="26"/>
          <w:szCs w:val="26"/>
        </w:rPr>
        <w:lastRenderedPageBreak/>
        <w:t>livery to wear, and a trade guild practicing the craft of acting, performing, putting on plays.</w:t>
      </w:r>
    </w:p>
    <w:p w:rsidR="00D645B1" w:rsidRDefault="008E3AF5" w:rsidP="00D922AA">
      <w:pPr>
        <w:tabs>
          <w:tab w:val="left" w:pos="-720"/>
          <w:tab w:val="left" w:pos="0"/>
        </w:tabs>
        <w:suppressAutoHyphens/>
        <w:snapToGrid/>
        <w:spacing w:line="276" w:lineRule="auto"/>
        <w:rPr>
          <w:rFonts w:ascii="Perpetua" w:hAnsi="Perpetua"/>
          <w:spacing w:val="-3"/>
          <w:sz w:val="26"/>
          <w:szCs w:val="26"/>
        </w:rPr>
      </w:pPr>
      <w:r w:rsidRPr="008E3AF5">
        <w:rPr>
          <w:rFonts w:ascii="Perpetua" w:hAnsi="Perpetua"/>
          <w:spacing w:val="-3"/>
          <w:sz w:val="26"/>
          <w:szCs w:val="26"/>
        </w:rPr>
        <w:t>During the late fourteenth and the fifteenth centuries the English mystery cycles</w:t>
      </w:r>
      <w:r>
        <w:rPr>
          <w:rFonts w:ascii="Perpetua" w:hAnsi="Perpetua"/>
          <w:spacing w:val="-3"/>
          <w:sz w:val="26"/>
          <w:szCs w:val="26"/>
        </w:rPr>
        <w:t xml:space="preserve"> of plays</w:t>
      </w:r>
      <w:r w:rsidRPr="008E3AF5">
        <w:rPr>
          <w:rFonts w:ascii="Perpetua" w:hAnsi="Perpetua"/>
          <w:spacing w:val="-3"/>
          <w:sz w:val="26"/>
          <w:szCs w:val="26"/>
        </w:rPr>
        <w:t xml:space="preserve"> </w:t>
      </w:r>
      <w:r w:rsidR="002C29BB">
        <w:rPr>
          <w:rFonts w:ascii="Perpetua" w:hAnsi="Perpetua"/>
          <w:spacing w:val="-3"/>
          <w:sz w:val="26"/>
          <w:szCs w:val="26"/>
        </w:rPr>
        <w:t>had</w:t>
      </w:r>
      <w:r w:rsidRPr="008E3AF5">
        <w:rPr>
          <w:rFonts w:ascii="Perpetua" w:hAnsi="Perpetua"/>
          <w:spacing w:val="-3"/>
          <w:sz w:val="26"/>
          <w:szCs w:val="26"/>
        </w:rPr>
        <w:t xml:space="preserve"> formed in the towns. They were produced by the guilds. </w:t>
      </w:r>
      <w:r w:rsidR="00802380">
        <w:rPr>
          <w:rFonts w:ascii="Perpetua" w:hAnsi="Perpetua"/>
          <w:spacing w:val="-3"/>
          <w:sz w:val="26"/>
          <w:szCs w:val="26"/>
        </w:rPr>
        <w:t>E</w:t>
      </w:r>
      <w:r w:rsidRPr="008E3AF5">
        <w:rPr>
          <w:rFonts w:ascii="Perpetua" w:hAnsi="Perpetua"/>
          <w:spacing w:val="-3"/>
          <w:sz w:val="26"/>
          <w:szCs w:val="26"/>
        </w:rPr>
        <w:t>ach of these guilds had its traditional play to perform on the days when the cycles were presented.</w:t>
      </w:r>
      <w:r w:rsidR="002C29BB">
        <w:rPr>
          <w:rFonts w:ascii="Perpetua" w:hAnsi="Perpetua"/>
          <w:spacing w:val="-3"/>
          <w:sz w:val="26"/>
          <w:szCs w:val="26"/>
        </w:rPr>
        <w:t xml:space="preserve"> So by the late sixteenth century, the guilds had been long-associated with the putting on of plays.</w:t>
      </w:r>
      <w:r w:rsidRPr="008E3AF5">
        <w:rPr>
          <w:rFonts w:ascii="Perpetua" w:hAnsi="Perpetua"/>
          <w:spacing w:val="-3"/>
          <w:sz w:val="26"/>
          <w:szCs w:val="26"/>
        </w:rPr>
        <w:t xml:space="preserve"> The Mystery plays were performed every year at the time of one of the two great early summer festivals</w:t>
      </w:r>
      <w:r w:rsidR="002C29BB">
        <w:rPr>
          <w:rFonts w:ascii="Perpetua" w:hAnsi="Perpetua"/>
          <w:spacing w:val="-3"/>
          <w:sz w:val="26"/>
          <w:szCs w:val="26"/>
        </w:rPr>
        <w:t xml:space="preserve"> or holy days</w:t>
      </w:r>
      <w:r w:rsidRPr="008E3AF5">
        <w:rPr>
          <w:rFonts w:ascii="Perpetua" w:hAnsi="Perpetua"/>
          <w:spacing w:val="-3"/>
          <w:sz w:val="26"/>
          <w:szCs w:val="26"/>
        </w:rPr>
        <w:t xml:space="preserve"> – Whitsuntide, the week following the seventh Sunday after Easter, or Corpus Christi, a week later. It is probable that they served as both religious instruction and entertainment for a wide audience.</w:t>
      </w:r>
      <w:r w:rsidR="002C29BB">
        <w:rPr>
          <w:rFonts w:ascii="Perpetua" w:hAnsi="Perpetua"/>
          <w:spacing w:val="-3"/>
          <w:sz w:val="26"/>
          <w:szCs w:val="26"/>
        </w:rPr>
        <w:t xml:space="preserve"> Holy days were days on which craftsmen or tradesmen, their foremen, journeymen, and apprentices were freed from the duty of labour for one day – holydays were literally holidays.</w:t>
      </w:r>
      <w:r>
        <w:rPr>
          <w:rFonts w:ascii="Perpetua" w:hAnsi="Perpetua"/>
          <w:spacing w:val="-3"/>
          <w:sz w:val="26"/>
          <w:szCs w:val="26"/>
        </w:rPr>
        <w:t xml:space="preserve"> </w:t>
      </w:r>
      <w:r w:rsidR="002C29BB">
        <w:rPr>
          <w:rFonts w:ascii="Perpetua" w:hAnsi="Perpetua"/>
          <w:spacing w:val="-3"/>
          <w:sz w:val="26"/>
          <w:szCs w:val="26"/>
        </w:rPr>
        <w:t>While the</w:t>
      </w:r>
      <w:r>
        <w:rPr>
          <w:rFonts w:ascii="Perpetua" w:hAnsi="Perpetua"/>
          <w:spacing w:val="-3"/>
          <w:sz w:val="26"/>
          <w:szCs w:val="26"/>
        </w:rPr>
        <w:t xml:space="preserve"> title of Dekker’s play</w:t>
      </w:r>
      <w:r w:rsidR="002C29BB">
        <w:rPr>
          <w:rFonts w:ascii="Perpetua" w:hAnsi="Perpetua"/>
          <w:spacing w:val="-3"/>
          <w:sz w:val="26"/>
          <w:szCs w:val="26"/>
        </w:rPr>
        <w:t xml:space="preserve"> in the first Quarto edition of … is </w:t>
      </w:r>
      <w:r w:rsidR="002C29BB">
        <w:rPr>
          <w:rFonts w:ascii="Perpetua" w:hAnsi="Perpetua"/>
          <w:i/>
          <w:spacing w:val="-3"/>
          <w:sz w:val="26"/>
          <w:szCs w:val="26"/>
        </w:rPr>
        <w:t>The Shoemaker’s Holiday</w:t>
      </w:r>
      <w:r w:rsidR="002C29BB">
        <w:rPr>
          <w:rFonts w:ascii="Perpetua" w:hAnsi="Perpetua"/>
          <w:spacing w:val="-3"/>
          <w:sz w:val="26"/>
          <w:szCs w:val="26"/>
        </w:rPr>
        <w:t xml:space="preserve">, the second Quarto, of 1610, entitles the play </w:t>
      </w:r>
      <w:r w:rsidR="002C29BB">
        <w:rPr>
          <w:rFonts w:ascii="Perpetua" w:hAnsi="Perpetua"/>
          <w:i/>
          <w:spacing w:val="-3"/>
          <w:sz w:val="26"/>
          <w:szCs w:val="26"/>
        </w:rPr>
        <w:t>The Shoemaker’s Holy-Day</w:t>
      </w:r>
      <w:r w:rsidR="002C29BB">
        <w:rPr>
          <w:rFonts w:ascii="Perpetua" w:hAnsi="Perpetua"/>
          <w:spacing w:val="-3"/>
          <w:sz w:val="26"/>
          <w:szCs w:val="26"/>
        </w:rPr>
        <w:t>.</w:t>
      </w:r>
    </w:p>
    <w:p w:rsidR="00BC5A98" w:rsidRDefault="00BC5A98" w:rsidP="00D922AA">
      <w:pPr>
        <w:tabs>
          <w:tab w:val="left" w:pos="-720"/>
          <w:tab w:val="left" w:pos="0"/>
        </w:tabs>
        <w:suppressAutoHyphens/>
        <w:snapToGrid/>
        <w:spacing w:line="276" w:lineRule="auto"/>
        <w:rPr>
          <w:rFonts w:ascii="Perpetua" w:hAnsi="Perpetua"/>
          <w:spacing w:val="-3"/>
          <w:sz w:val="26"/>
          <w:szCs w:val="26"/>
        </w:rPr>
      </w:pPr>
    </w:p>
    <w:p w:rsidR="00BC5A98" w:rsidRPr="002C29BB" w:rsidRDefault="00BC5A98" w:rsidP="00D922AA">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spacing w:val="-3"/>
          <w:sz w:val="26"/>
          <w:szCs w:val="26"/>
        </w:rPr>
        <w:t>There are many evidences in Dekker’s play of the sense of belonging and protection that the livery companies afforded their members. Consider, for example, Firk’s confidence in the protection of his old master, Simon Eyre, now Lord Mayor (18.19-21).</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D645B1" w:rsidP="008E3AF5">
      <w:pPr>
        <w:tabs>
          <w:tab w:val="left" w:pos="-720"/>
          <w:tab w:val="left" w:pos="0"/>
        </w:tabs>
        <w:suppressAutoHyphens/>
        <w:snapToGrid/>
        <w:spacing w:line="276" w:lineRule="auto"/>
        <w:ind w:left="360"/>
        <w:rPr>
          <w:rFonts w:ascii="Perpetua" w:hAnsi="Perpetua" w:cs="Adobe Devanagari"/>
          <w:b/>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lang w:val="en-GB"/>
        </w:rPr>
      </w:pPr>
      <w:r w:rsidRPr="008E3AF5">
        <w:rPr>
          <w:rFonts w:ascii="Perpetua" w:hAnsi="Perpetua" w:cs="Adobe Devanagari"/>
          <w:b/>
          <w:spacing w:val="-3"/>
          <w:sz w:val="26"/>
          <w:szCs w:val="26"/>
          <w:lang w:val="en-GB"/>
        </w:rPr>
        <w:t>Artisans, the emergent bourgeois or middle class of the early modern period</w:t>
      </w:r>
    </w:p>
    <w:p w:rsidR="00D645B1" w:rsidRDefault="00D645B1" w:rsidP="008669B7">
      <w:pPr>
        <w:tabs>
          <w:tab w:val="left" w:pos="-720"/>
          <w:tab w:val="left" w:pos="0"/>
        </w:tabs>
        <w:suppressAutoHyphens/>
        <w:snapToGrid/>
        <w:spacing w:line="276" w:lineRule="auto"/>
        <w:rPr>
          <w:rFonts w:ascii="Perpetua" w:hAnsi="Perpetua" w:cs="Adobe Devanagari"/>
          <w:spacing w:val="-3"/>
          <w:sz w:val="26"/>
          <w:szCs w:val="26"/>
          <w:lang w:val="en-GB"/>
        </w:rPr>
      </w:pPr>
    </w:p>
    <w:p w:rsidR="008669B7" w:rsidRDefault="008669B7" w:rsidP="008669B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Consider Simon Eyre’s social elevation and how it might relate to the social reality.</w:t>
      </w:r>
    </w:p>
    <w:p w:rsidR="00D645B1" w:rsidRDefault="008669B7" w:rsidP="008669B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Consider the significance of Margery’s conspicuous delight in social elevation and the fashionable clothes that denote elevated social status. (10.37 f.)</w:t>
      </w:r>
    </w:p>
    <w:p w:rsidR="008669B7" w:rsidRPr="008E3AF5" w:rsidRDefault="008669B7" w:rsidP="008669B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Widespread among the ‘middling sort’ was Protestantism of a puritan kind. How is this reflected in Margery’s use of biblical quotations (10.43; 10.104-6)?</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D645B1" w:rsidP="008E3AF5">
      <w:pPr>
        <w:tabs>
          <w:tab w:val="left" w:pos="-720"/>
          <w:tab w:val="left" w:pos="0"/>
        </w:tabs>
        <w:suppressAutoHyphens/>
        <w:snapToGrid/>
        <w:spacing w:line="276" w:lineRule="auto"/>
        <w:ind w:left="360"/>
        <w:rPr>
          <w:rFonts w:ascii="Perpetua" w:hAnsi="Perpetua" w:cs="Adobe Devanagari"/>
          <w:b/>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lang w:val="en-GB"/>
        </w:rPr>
      </w:pPr>
      <w:r w:rsidRPr="008E3AF5">
        <w:rPr>
          <w:rFonts w:ascii="Perpetua" w:hAnsi="Perpetua" w:cs="Adobe Devanagari"/>
          <w:b/>
          <w:spacing w:val="-3"/>
          <w:sz w:val="26"/>
          <w:szCs w:val="26"/>
          <w:lang w:val="en-GB"/>
        </w:rPr>
        <w:t>Shoemaking (‘The Gentle Craft’), cobblers and the Company of Cordwainers</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8669B7" w:rsidP="008669B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 relative status of the various guilds and livery companies.</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lang w:val="en-GB"/>
        </w:rPr>
      </w:pPr>
      <w:r w:rsidRPr="008E3AF5">
        <w:rPr>
          <w:rFonts w:ascii="Perpetua" w:hAnsi="Perpetua" w:cs="Adobe Devanagari"/>
          <w:b/>
          <w:spacing w:val="-3"/>
          <w:sz w:val="26"/>
          <w:szCs w:val="26"/>
          <w:lang w:val="en-GB"/>
        </w:rPr>
        <w:t>Social and class distinctions and markers and social mobility</w:t>
      </w: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Default="008669B7" w:rsidP="008669B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Consider in detail the opening scene of the play and Scene 16, the conversations between Oatley and Lincoln.</w:t>
      </w:r>
    </w:p>
    <w:p w:rsidR="008669B7" w:rsidRDefault="008669B7" w:rsidP="008669B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What is the significance of Eyre’s repeated refrains (e.g. 17.21)</w:t>
      </w:r>
    </w:p>
    <w:p w:rsidR="008669B7" w:rsidRDefault="008669B7" w:rsidP="008669B7">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What is the significance of Firk’</w:t>
      </w:r>
      <w:r w:rsidR="00BC5A98">
        <w:rPr>
          <w:rFonts w:ascii="Perpetua" w:hAnsi="Perpetua" w:cs="Adobe Devanagari"/>
          <w:spacing w:val="-3"/>
          <w:sz w:val="26"/>
          <w:szCs w:val="26"/>
          <w:lang w:val="en-GB"/>
        </w:rPr>
        <w:t>s discriminating use of the terms ‘varlet’ (18.150 n.) and ‘craft’ (18.151 n.)</w:t>
      </w:r>
    </w:p>
    <w:p w:rsidR="008669B7" w:rsidRPr="008E3AF5" w:rsidRDefault="008669B7" w:rsidP="008669B7">
      <w:pPr>
        <w:tabs>
          <w:tab w:val="left" w:pos="-720"/>
          <w:tab w:val="left" w:pos="0"/>
        </w:tabs>
        <w:suppressAutoHyphens/>
        <w:snapToGrid/>
        <w:spacing w:line="276" w:lineRule="auto"/>
        <w:ind w:left="720" w:hanging="720"/>
        <w:rPr>
          <w:rFonts w:ascii="Perpetua" w:hAnsi="Perpetua" w:cs="Adobe Devanagari"/>
          <w:spacing w:val="-3"/>
          <w:sz w:val="26"/>
          <w:szCs w:val="26"/>
          <w:lang w:val="en-GB"/>
        </w:rPr>
      </w:pPr>
    </w:p>
    <w:p w:rsidR="00D645B1" w:rsidRPr="008E3AF5"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lang w:val="en-GB"/>
        </w:rPr>
      </w:pPr>
      <w:r w:rsidRPr="008E3AF5">
        <w:rPr>
          <w:rFonts w:ascii="Perpetua" w:hAnsi="Perpetua" w:cs="Adobe Devanagari"/>
          <w:b/>
          <w:spacing w:val="-3"/>
          <w:sz w:val="26"/>
          <w:szCs w:val="26"/>
          <w:lang w:val="en-GB"/>
        </w:rPr>
        <w:t>Shrove Tuesday (the day before Lent) and the world upside-down: society’s built-in day of release</w:t>
      </w:r>
    </w:p>
    <w:p w:rsidR="00D645B1" w:rsidRDefault="00D645B1" w:rsidP="00E54AE8">
      <w:pPr>
        <w:tabs>
          <w:tab w:val="left" w:pos="-720"/>
          <w:tab w:val="left" w:pos="0"/>
        </w:tabs>
        <w:suppressAutoHyphens/>
        <w:snapToGrid/>
        <w:spacing w:line="276" w:lineRule="auto"/>
        <w:rPr>
          <w:rFonts w:ascii="Perpetua" w:hAnsi="Perpetua" w:cs="Adobe Devanagari"/>
          <w:spacing w:val="-3"/>
          <w:sz w:val="26"/>
          <w:szCs w:val="26"/>
          <w:lang w:val="en-GB"/>
        </w:rPr>
      </w:pPr>
    </w:p>
    <w:p w:rsidR="00E54AE8" w:rsidRDefault="00E54AE8" w:rsidP="00E54AE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There were specific days in the calendar that provided for disruption to the normally maintained social order. Some of these were local. For example, the feast of the Archangel Michael, ‘Michaelmas’, the 29</w:t>
      </w:r>
      <w:r w:rsidRPr="00E54AE8">
        <w:rPr>
          <w:rFonts w:ascii="Perpetua" w:hAnsi="Perpetua" w:cs="Adobe Devanagari"/>
          <w:spacing w:val="-3"/>
          <w:sz w:val="26"/>
          <w:szCs w:val="26"/>
          <w:vertAlign w:val="superscript"/>
          <w:lang w:val="en-GB"/>
        </w:rPr>
        <w:t>th</w:t>
      </w:r>
      <w:r>
        <w:rPr>
          <w:rFonts w:ascii="Perpetua" w:hAnsi="Perpetua" w:cs="Adobe Devanagari"/>
          <w:spacing w:val="-3"/>
          <w:sz w:val="26"/>
          <w:szCs w:val="26"/>
          <w:lang w:val="en-GB"/>
        </w:rPr>
        <w:t xml:space="preserve"> September, has a ‘lawless hour’ in Kidderminster. But the most widely practiced day of feasting, festivity, and social inversion, was Shrove Tuesday, just before Ash Wednesday, the first day of Lent, a period of abstinence.</w:t>
      </w:r>
    </w:p>
    <w:p w:rsidR="00E54AE8" w:rsidRDefault="00E54AE8" w:rsidP="00E54AE8">
      <w:pPr>
        <w:tabs>
          <w:tab w:val="left" w:pos="-720"/>
          <w:tab w:val="left" w:pos="0"/>
        </w:tabs>
        <w:suppressAutoHyphens/>
        <w:snapToGrid/>
        <w:spacing w:line="276" w:lineRule="auto"/>
        <w:rPr>
          <w:rFonts w:ascii="Perpetua" w:hAnsi="Perpetua" w:cs="Adobe Devanagari"/>
          <w:spacing w:val="-3"/>
          <w:sz w:val="26"/>
          <w:szCs w:val="26"/>
          <w:lang w:val="en-GB"/>
        </w:rPr>
      </w:pPr>
    </w:p>
    <w:p w:rsidR="00E54AE8" w:rsidRPr="008E3AF5" w:rsidRDefault="00E54AE8" w:rsidP="00E54AE8">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See 17.50; 18.217-20.</w:t>
      </w:r>
    </w:p>
    <w:p w:rsidR="00D645B1" w:rsidRDefault="00D645B1"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E54AE8" w:rsidRPr="008E3AF5" w:rsidRDefault="00E54AE8" w:rsidP="008E3AF5">
      <w:pPr>
        <w:tabs>
          <w:tab w:val="left" w:pos="-720"/>
          <w:tab w:val="left" w:pos="0"/>
        </w:tabs>
        <w:suppressAutoHyphens/>
        <w:snapToGrid/>
        <w:spacing w:line="276" w:lineRule="auto"/>
        <w:ind w:left="360"/>
        <w:rPr>
          <w:rFonts w:ascii="Perpetua" w:hAnsi="Perpetua" w:cs="Adobe Devanagari"/>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lang w:val="en-GB"/>
        </w:rPr>
      </w:pPr>
      <w:r w:rsidRPr="008E3AF5">
        <w:rPr>
          <w:rFonts w:ascii="Perpetua" w:hAnsi="Perpetua" w:cs="Adobe Devanagari"/>
          <w:b/>
          <w:spacing w:val="-3"/>
          <w:sz w:val="26"/>
          <w:szCs w:val="26"/>
          <w:lang w:val="en-GB"/>
        </w:rPr>
        <w:t>Economic competitiveness and social and political conflict: owners vs. workers; nobility vs. guilds; artisans vs. immigrant labourers; English vs. foreigners (Anglo-Dutch politics)</w:t>
      </w:r>
    </w:p>
    <w:p w:rsidR="00D645B1" w:rsidRPr="008E3AF5" w:rsidRDefault="00D645B1"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D645B1" w:rsidRDefault="001A6631" w:rsidP="001A663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 xml:space="preserve">Consider </w:t>
      </w:r>
      <w:r w:rsidR="000E0152">
        <w:rPr>
          <w:rFonts w:ascii="Perpetua" w:hAnsi="Perpetua" w:cs="Adobe Devanagari"/>
          <w:spacing w:val="-3"/>
          <w:sz w:val="26"/>
          <w:szCs w:val="26"/>
          <w:lang w:val="en-GB"/>
        </w:rPr>
        <w:t xml:space="preserve">how </w:t>
      </w:r>
      <w:r>
        <w:rPr>
          <w:rFonts w:ascii="Perpetua" w:hAnsi="Perpetua" w:cs="Adobe Devanagari"/>
          <w:spacing w:val="-3"/>
          <w:sz w:val="26"/>
          <w:szCs w:val="26"/>
          <w:lang w:val="en-GB"/>
        </w:rPr>
        <w:t xml:space="preserve">the following </w:t>
      </w:r>
      <w:r w:rsidR="000E0152">
        <w:rPr>
          <w:rFonts w:ascii="Perpetua" w:hAnsi="Perpetua" w:cs="Adobe Devanagari"/>
          <w:spacing w:val="-3"/>
          <w:sz w:val="26"/>
          <w:szCs w:val="26"/>
          <w:lang w:val="en-GB"/>
        </w:rPr>
        <w:t xml:space="preserve">statement by Julia Gasper about </w:t>
      </w:r>
      <w:r w:rsidR="000E0152">
        <w:rPr>
          <w:rFonts w:ascii="Perpetua" w:hAnsi="Perpetua" w:cs="Adobe Devanagari"/>
          <w:i/>
          <w:spacing w:val="-3"/>
          <w:sz w:val="26"/>
          <w:szCs w:val="26"/>
          <w:lang w:val="en-GB"/>
        </w:rPr>
        <w:t>The Gentle Craft</w:t>
      </w:r>
      <w:r w:rsidR="000E0152">
        <w:rPr>
          <w:rFonts w:ascii="Perpetua" w:hAnsi="Perpetua" w:cs="Adobe Devanagari"/>
          <w:spacing w:val="-3"/>
          <w:sz w:val="26"/>
          <w:szCs w:val="26"/>
          <w:lang w:val="en-GB"/>
        </w:rPr>
        <w:t xml:space="preserve">, by Deloney, an important source for </w:t>
      </w:r>
      <w:r w:rsidR="000E0152">
        <w:rPr>
          <w:rFonts w:ascii="Perpetua" w:hAnsi="Perpetua" w:cs="Adobe Devanagari"/>
          <w:i/>
          <w:spacing w:val="-3"/>
          <w:sz w:val="26"/>
          <w:szCs w:val="26"/>
          <w:lang w:val="en-GB"/>
        </w:rPr>
        <w:t>The Shoemaker’s Holiday</w:t>
      </w:r>
      <w:r w:rsidR="000E0152">
        <w:rPr>
          <w:rFonts w:ascii="Perpetua" w:hAnsi="Perpetua" w:cs="Adobe Devanagari"/>
          <w:spacing w:val="-3"/>
          <w:sz w:val="26"/>
          <w:szCs w:val="26"/>
          <w:lang w:val="en-GB"/>
        </w:rPr>
        <w:t>, is relevant to our understanding of Dekker’s play.</w:t>
      </w:r>
    </w:p>
    <w:p w:rsidR="000E0152" w:rsidRDefault="000E0152"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0E0152" w:rsidRPr="000E0152" w:rsidRDefault="000E0152" w:rsidP="000E0152">
      <w:pPr>
        <w:tabs>
          <w:tab w:val="left" w:pos="-720"/>
          <w:tab w:val="left" w:pos="0"/>
        </w:tabs>
        <w:suppressAutoHyphens/>
        <w:snapToGrid/>
        <w:ind w:left="1134" w:right="1134"/>
        <w:rPr>
          <w:rFonts w:ascii="Perpetua" w:hAnsi="Perpetua" w:cs="Adobe Devanagari"/>
          <w:spacing w:val="-3"/>
          <w:szCs w:val="24"/>
          <w:lang w:val="en-GB"/>
        </w:rPr>
      </w:pPr>
      <w:r w:rsidRPr="000E0152">
        <w:rPr>
          <w:rFonts w:ascii="Perpetua" w:hAnsi="Perpetua" w:cs="Adobe Devanagari"/>
          <w:spacing w:val="-3"/>
          <w:szCs w:val="24"/>
          <w:lang w:val="en-GB"/>
        </w:rPr>
        <w:t xml:space="preserve">Indeed the last story in </w:t>
      </w:r>
      <w:r w:rsidRPr="000E0152">
        <w:rPr>
          <w:rFonts w:ascii="Perpetua" w:hAnsi="Perpetua" w:cs="Adobe Devanagari"/>
          <w:i/>
          <w:spacing w:val="-3"/>
          <w:szCs w:val="24"/>
          <w:lang w:val="en-GB"/>
        </w:rPr>
        <w:t>The Gentle Craft</w:t>
      </w:r>
      <w:r w:rsidRPr="000E0152">
        <w:rPr>
          <w:rFonts w:ascii="Perpetua" w:hAnsi="Perpetua" w:cs="Adobe Devanagari"/>
          <w:spacing w:val="-3"/>
          <w:szCs w:val="24"/>
          <w:lang w:val="en-GB"/>
        </w:rPr>
        <w:t>, the one about Simon Eyre, is both secular and chauvinistic. It has an extensive sub-plot concerning Simon Eyre’s three journeymen: Haunce the Dutchman, John the Frenchman, and Nicholas, and Englishman. These three are rivals for the Eyres’ maid, Florence, who is also English. Haunce uses trickery and deceit to win Florence’s affections away from John. John and Nicholas then play a cruel practical joke on Haunce to prevent Florence from marrying him, but John double-crosses Nicholas and gets him arrested. Florence is about to become the bride of John when his French wife turns up, newly disembarked in London. Reflecting that Haunce may also have a wife in Flaunders, Florence decides to marry Nicholas instead, who is a native Englishman and not a ‘stranger’. The slant of this story is distinctly xenophobic; its suggests that foreigners are malicious, deceitful, or even bigamous, and so a sensible girl is better off choosing an English husband.</w:t>
      </w:r>
      <w:r w:rsidRPr="000E0152">
        <w:rPr>
          <w:rStyle w:val="FootnoteReference"/>
          <w:rFonts w:ascii="Perpetua" w:hAnsi="Perpetua" w:cs="Adobe Devanagari"/>
          <w:spacing w:val="-3"/>
          <w:szCs w:val="24"/>
          <w:lang w:val="en-GB"/>
        </w:rPr>
        <w:footnoteReference w:id="3"/>
      </w:r>
    </w:p>
    <w:p w:rsidR="00D645B1" w:rsidRDefault="00D645B1"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0E0152" w:rsidRDefault="000E0152" w:rsidP="001A663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Gasper goes on to remark:</w:t>
      </w:r>
    </w:p>
    <w:p w:rsidR="000E0152" w:rsidRDefault="000E0152"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0E0152" w:rsidRPr="00164B7E" w:rsidRDefault="000E0152" w:rsidP="00164B7E">
      <w:pPr>
        <w:tabs>
          <w:tab w:val="left" w:pos="-720"/>
          <w:tab w:val="left" w:pos="0"/>
        </w:tabs>
        <w:suppressAutoHyphens/>
        <w:snapToGrid/>
        <w:ind w:left="1134" w:right="1134"/>
        <w:rPr>
          <w:rFonts w:ascii="Perpetua" w:hAnsi="Perpetua" w:cs="Adobe Devanagari"/>
          <w:spacing w:val="-3"/>
          <w:szCs w:val="24"/>
          <w:lang w:val="en-GB"/>
        </w:rPr>
      </w:pPr>
      <w:r w:rsidRPr="00164B7E">
        <w:rPr>
          <w:rFonts w:ascii="Perpetua" w:hAnsi="Perpetua" w:cs="Adobe Devanagari"/>
          <w:spacing w:val="-3"/>
          <w:szCs w:val="24"/>
          <w:lang w:val="en-GB"/>
        </w:rPr>
        <w:t>Deloney’s hostility towards immigrants was typical</w:t>
      </w:r>
      <w:r w:rsidR="00164B7E" w:rsidRPr="00164B7E">
        <w:rPr>
          <w:rFonts w:ascii="Perpetua" w:hAnsi="Perpetua" w:cs="Adobe Devanagari"/>
          <w:spacing w:val="-3"/>
          <w:szCs w:val="24"/>
          <w:lang w:val="en-GB"/>
        </w:rPr>
        <w:t xml:space="preserve"> of one section of the London public. The nationalities he picks in the story, Dutch and French, are those of the Protestant refugee communities who had fled to London from religious persecution on the Continent. These ‘strangers’ were granted asylum and religious freedom by the government, but they were resented by many English people: those who cared less about Protestant solidarity than about trade rivalry </w:t>
      </w:r>
      <w:r w:rsidR="00164B7E" w:rsidRPr="00164B7E">
        <w:rPr>
          <w:rFonts w:ascii="Perpetua" w:hAnsi="Perpetua" w:cs="Adobe Devanagari"/>
          <w:spacing w:val="-3"/>
          <w:szCs w:val="24"/>
          <w:lang w:val="en-GB"/>
        </w:rPr>
        <w:lastRenderedPageBreak/>
        <w:t>(the foreigners were often more skilled than the English), or about the sheer fact of their foreignness. The guilds in London and elsewhere sought to exclude the strangers from employment, and there were complaints to the government about their numbers and status.[</w:t>
      </w:r>
      <w:r w:rsidR="00164B7E" w:rsidRPr="00164B7E">
        <w:rPr>
          <w:rStyle w:val="FootnoteReference"/>
          <w:rFonts w:ascii="Perpetua" w:hAnsi="Perpetua" w:cs="Adobe Devanagari"/>
          <w:spacing w:val="-3"/>
          <w:szCs w:val="24"/>
          <w:lang w:val="en-GB"/>
        </w:rPr>
        <w:footnoteReference w:id="4"/>
      </w:r>
      <w:r w:rsidR="00164B7E" w:rsidRPr="00164B7E">
        <w:rPr>
          <w:rFonts w:ascii="Perpetua" w:hAnsi="Perpetua" w:cs="Adobe Devanagari"/>
          <w:spacing w:val="-3"/>
          <w:szCs w:val="24"/>
          <w:lang w:val="en-GB"/>
        </w:rPr>
        <w:t xml:space="preserve">] There were anti-immigrant riots in London in 1593 and 1596, libels being posted in the street and on the walls of the Dutch church of the Austin Friars. One of these accused the ‘beastly brutes, the </w:t>
      </w:r>
      <w:r w:rsidR="00164B7E" w:rsidRPr="00164B7E">
        <w:rPr>
          <w:rFonts w:ascii="Perpetua" w:hAnsi="Perpetua" w:cs="Adobe Devanagari"/>
          <w:i/>
          <w:spacing w:val="-3"/>
          <w:szCs w:val="24"/>
          <w:lang w:val="en-GB"/>
        </w:rPr>
        <w:t>Belgians</w:t>
      </w:r>
      <w:r w:rsidR="00164B7E" w:rsidRPr="00164B7E">
        <w:rPr>
          <w:rFonts w:ascii="Perpetua" w:hAnsi="Perpetua" w:cs="Adobe Devanagari"/>
          <w:spacing w:val="-3"/>
          <w:szCs w:val="24"/>
          <w:lang w:val="en-GB"/>
        </w:rPr>
        <w:t>, or rather Drunken Drones, and faint-hearted Flemings’ of using ‘a feigned Hypocrisy, and counterfeit shew of Religion’, in order to establish themselves in England.[</w:t>
      </w:r>
      <w:r w:rsidR="00164B7E" w:rsidRPr="00164B7E">
        <w:rPr>
          <w:rStyle w:val="FootnoteReference"/>
          <w:rFonts w:ascii="Perpetua" w:hAnsi="Perpetua" w:cs="Adobe Devanagari"/>
          <w:spacing w:val="-3"/>
          <w:szCs w:val="24"/>
          <w:lang w:val="en-GB"/>
        </w:rPr>
        <w:footnoteReference w:id="5"/>
      </w:r>
      <w:r w:rsidR="00164B7E" w:rsidRPr="00164B7E">
        <w:rPr>
          <w:rFonts w:ascii="Perpetua" w:hAnsi="Perpetua" w:cs="Adobe Devanagari"/>
          <w:spacing w:val="-3"/>
          <w:szCs w:val="24"/>
          <w:lang w:val="en-GB"/>
        </w:rPr>
        <w:t>]</w:t>
      </w:r>
      <w:r w:rsidR="00164B7E" w:rsidRPr="00164B7E">
        <w:rPr>
          <w:rStyle w:val="FootnoteReference"/>
          <w:rFonts w:ascii="Perpetua" w:hAnsi="Perpetua" w:cs="Adobe Devanagari"/>
          <w:spacing w:val="-3"/>
          <w:szCs w:val="24"/>
          <w:lang w:val="en-GB"/>
        </w:rPr>
        <w:footnoteReference w:id="6"/>
      </w:r>
    </w:p>
    <w:p w:rsidR="00D645B1" w:rsidRPr="00304638" w:rsidRDefault="00D645B1"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164B7E" w:rsidRDefault="00304638" w:rsidP="001A6631">
      <w:pPr>
        <w:tabs>
          <w:tab w:val="left" w:pos="-720"/>
          <w:tab w:val="left" w:pos="0"/>
        </w:tabs>
        <w:suppressAutoHyphens/>
        <w:snapToGrid/>
        <w:spacing w:line="276" w:lineRule="auto"/>
        <w:rPr>
          <w:rFonts w:ascii="Perpetua" w:hAnsi="Perpetua" w:cs="Adobe Devanagari"/>
          <w:spacing w:val="-3"/>
          <w:sz w:val="26"/>
          <w:szCs w:val="26"/>
          <w:lang w:val="en-GB"/>
        </w:rPr>
      </w:pPr>
      <w:r w:rsidRPr="00304638">
        <w:rPr>
          <w:rFonts w:ascii="Perpetua" w:hAnsi="Perpetua" w:cs="Adobe Devanagari"/>
          <w:spacing w:val="-3"/>
          <w:sz w:val="26"/>
          <w:szCs w:val="26"/>
          <w:lang w:val="en-GB"/>
        </w:rPr>
        <w:t xml:space="preserve">How </w:t>
      </w:r>
      <w:r>
        <w:rPr>
          <w:rFonts w:ascii="Perpetua" w:hAnsi="Perpetua" w:cs="Adobe Devanagari"/>
          <w:spacing w:val="-3"/>
          <w:sz w:val="26"/>
          <w:szCs w:val="26"/>
          <w:lang w:val="en-GB"/>
        </w:rPr>
        <w:t xml:space="preserve">does </w:t>
      </w:r>
      <w:r>
        <w:rPr>
          <w:rFonts w:ascii="Perpetua" w:hAnsi="Perpetua" w:cs="Adobe Devanagari"/>
          <w:i/>
          <w:spacing w:val="-3"/>
          <w:sz w:val="26"/>
          <w:szCs w:val="26"/>
          <w:lang w:val="en-GB"/>
        </w:rPr>
        <w:t>The Shoemaker’s Holiday</w:t>
      </w:r>
      <w:r>
        <w:rPr>
          <w:rFonts w:ascii="Perpetua" w:hAnsi="Perpetua" w:cs="Adobe Devanagari"/>
          <w:spacing w:val="-3"/>
          <w:sz w:val="26"/>
          <w:szCs w:val="26"/>
          <w:lang w:val="en-GB"/>
        </w:rPr>
        <w:t xml:space="preserve"> alter this xenophobic tendency?</w:t>
      </w:r>
    </w:p>
    <w:p w:rsidR="00304638" w:rsidRDefault="00304638"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304638" w:rsidRDefault="00A86E9D" w:rsidP="001A663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Ra</w:t>
      </w:r>
      <w:r>
        <w:rPr>
          <w:rFonts w:ascii="Perpetua" w:hAnsi="Perpetua" w:cs="Adobe Devanagari"/>
          <w:spacing w:val="-3"/>
          <w:sz w:val="26"/>
          <w:szCs w:val="26"/>
          <w:lang w:val="en-GB"/>
        </w:rPr>
        <w:t>ther than lead the military companies as ‘Chief colonel’ in war in France</w:t>
      </w:r>
      <w:r>
        <w:rPr>
          <w:rFonts w:ascii="Perpetua" w:hAnsi="Perpetua" w:cs="Adobe Devanagari"/>
          <w:spacing w:val="-3"/>
          <w:sz w:val="26"/>
          <w:szCs w:val="26"/>
          <w:lang w:val="en-GB"/>
        </w:rPr>
        <w:t>, Lacy</w:t>
      </w:r>
      <w:r w:rsidR="00304638">
        <w:rPr>
          <w:rFonts w:ascii="Perpetua" w:hAnsi="Perpetua" w:cs="Adobe Devanagari"/>
          <w:spacing w:val="-3"/>
          <w:sz w:val="26"/>
          <w:szCs w:val="26"/>
          <w:lang w:val="en-GB"/>
        </w:rPr>
        <w:t xml:space="preserve"> disguises himself as a Dutch shoemaker in order to seek work in London where he can be close to Rose, the daughter of Sir Roger Oatley, the Lord Mayor of </w:t>
      </w:r>
      <w:r>
        <w:rPr>
          <w:rFonts w:ascii="Perpetua" w:hAnsi="Perpetua" w:cs="Adobe Devanagari"/>
          <w:spacing w:val="-3"/>
          <w:sz w:val="26"/>
          <w:szCs w:val="26"/>
          <w:lang w:val="en-GB"/>
        </w:rPr>
        <w:t>London at the start of the play</w:t>
      </w:r>
      <w:r w:rsidR="00304638">
        <w:rPr>
          <w:rFonts w:ascii="Perpetua" w:hAnsi="Perpetua" w:cs="Adobe Devanagari"/>
          <w:spacing w:val="-3"/>
          <w:sz w:val="26"/>
          <w:szCs w:val="26"/>
          <w:lang w:val="en-GB"/>
        </w:rPr>
        <w:t xml:space="preserve">. When Lacy arrives early one morning at Simon Eyre’s shop, at first </w:t>
      </w:r>
      <w:r>
        <w:rPr>
          <w:rFonts w:ascii="Perpetua" w:hAnsi="Perpetua" w:cs="Adobe Devanagari"/>
          <w:spacing w:val="-3"/>
          <w:sz w:val="26"/>
          <w:szCs w:val="26"/>
          <w:lang w:val="en-GB"/>
        </w:rPr>
        <w:t>‘</w:t>
      </w:r>
      <w:r w:rsidR="00304638">
        <w:rPr>
          <w:rFonts w:ascii="Perpetua" w:hAnsi="Perpetua" w:cs="Adobe Devanagari"/>
          <w:spacing w:val="-3"/>
          <w:sz w:val="26"/>
          <w:szCs w:val="26"/>
          <w:lang w:val="en-GB"/>
        </w:rPr>
        <w:t xml:space="preserve">Eyre </w:t>
      </w:r>
      <w:r>
        <w:rPr>
          <w:rFonts w:ascii="Perpetua" w:hAnsi="Perpetua" w:cs="Adobe Devanagari"/>
          <w:spacing w:val="-3"/>
          <w:sz w:val="26"/>
          <w:szCs w:val="26"/>
          <w:lang w:val="en-GB"/>
        </w:rPr>
        <w:t>responds gruffly to his request for work and tries to turn him away. But Hodge and Firk, Eyre’s foreman and journeyman, take the stranger’s part and actually threaten to leave if he is not taken on’.</w:t>
      </w:r>
      <w:r>
        <w:rPr>
          <w:rStyle w:val="FootnoteReference"/>
          <w:rFonts w:ascii="Perpetua" w:hAnsi="Perpetua" w:cs="Adobe Devanagari"/>
          <w:spacing w:val="-3"/>
          <w:sz w:val="26"/>
          <w:szCs w:val="26"/>
          <w:lang w:val="en-GB"/>
        </w:rPr>
        <w:footnoteReference w:id="7"/>
      </w:r>
      <w:r>
        <w:rPr>
          <w:rFonts w:ascii="Perpetua" w:hAnsi="Perpetua" w:cs="Adobe Devanagari"/>
          <w:spacing w:val="-3"/>
          <w:sz w:val="26"/>
          <w:szCs w:val="26"/>
          <w:lang w:val="en-GB"/>
        </w:rPr>
        <w:t xml:space="preserve"> Gasper argues that this is surely didactic, i.e. intended to teach the play’s audience: ‘it shows how the Dutchman ought to be received, not how he probably would have been received in Elizabethan London. Despite his strange speech and appearance, inside he is just the same as an Englishman: very much so, since in this case he is, of course, an Englishman in disguise.’</w:t>
      </w:r>
      <w:r>
        <w:rPr>
          <w:rStyle w:val="FootnoteReference"/>
          <w:rFonts w:ascii="Perpetua" w:hAnsi="Perpetua" w:cs="Adobe Devanagari"/>
          <w:spacing w:val="-3"/>
          <w:sz w:val="26"/>
          <w:szCs w:val="26"/>
          <w:lang w:val="en-GB"/>
        </w:rPr>
        <w:footnoteReference w:id="8"/>
      </w:r>
    </w:p>
    <w:p w:rsidR="00A86E9D" w:rsidRDefault="00A86E9D"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A86E9D" w:rsidRDefault="00A86E9D" w:rsidP="001A663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Consider in this relation, however, Firk’s frequent remarks on the Dutch language, e.g. 4.77.</w:t>
      </w:r>
    </w:p>
    <w:p w:rsidR="00BC5A98" w:rsidRDefault="00BC5A98"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BC5A98" w:rsidRPr="00304638" w:rsidRDefault="00BC5A98" w:rsidP="001A6631">
      <w:pPr>
        <w:tabs>
          <w:tab w:val="left" w:pos="-720"/>
          <w:tab w:val="left" w:pos="0"/>
        </w:tabs>
        <w:suppressAutoHyphens/>
        <w:snapToGrid/>
        <w:spacing w:line="276" w:lineRule="auto"/>
        <w:rPr>
          <w:rFonts w:ascii="Perpetua" w:hAnsi="Perpetua" w:cs="Adobe Devanagari"/>
          <w:spacing w:val="-3"/>
          <w:sz w:val="26"/>
          <w:szCs w:val="26"/>
          <w:lang w:val="en-GB"/>
        </w:rPr>
      </w:pPr>
      <w:r>
        <w:rPr>
          <w:rFonts w:ascii="Perpetua" w:hAnsi="Perpetua" w:cs="Adobe Devanagari"/>
          <w:spacing w:val="-3"/>
          <w:sz w:val="26"/>
          <w:szCs w:val="26"/>
          <w:lang w:val="en-GB"/>
        </w:rPr>
        <w:t>Scene 18 of Dekker’s comedy foregrounds the confrontation of guildsmen and lords or nobility. It also represents the tensions between the officials of the City of London (such as the Lord Mayor) and the nobility, who in this case are joined by the former Lord Mayor.</w:t>
      </w:r>
    </w:p>
    <w:p w:rsidR="00164B7E" w:rsidRPr="00304638" w:rsidRDefault="00164B7E" w:rsidP="001A6631">
      <w:pPr>
        <w:tabs>
          <w:tab w:val="left" w:pos="-720"/>
          <w:tab w:val="left" w:pos="0"/>
        </w:tabs>
        <w:suppressAutoHyphens/>
        <w:snapToGrid/>
        <w:spacing w:line="276" w:lineRule="auto"/>
        <w:rPr>
          <w:rFonts w:ascii="Perpetua" w:hAnsi="Perpetua" w:cs="Adobe Devanagari"/>
          <w:spacing w:val="-3"/>
          <w:sz w:val="26"/>
          <w:szCs w:val="26"/>
          <w:lang w:val="en-GB"/>
        </w:rPr>
      </w:pPr>
    </w:p>
    <w:p w:rsidR="00D645B1" w:rsidRPr="008E3AF5" w:rsidRDefault="00D645B1" w:rsidP="008E3AF5">
      <w:pPr>
        <w:pStyle w:val="ListParagraph"/>
        <w:numPr>
          <w:ilvl w:val="0"/>
          <w:numId w:val="3"/>
        </w:numPr>
        <w:tabs>
          <w:tab w:val="left" w:pos="-720"/>
          <w:tab w:val="left" w:pos="0"/>
        </w:tabs>
        <w:suppressAutoHyphens/>
        <w:snapToGrid/>
        <w:spacing w:line="276" w:lineRule="auto"/>
        <w:rPr>
          <w:rFonts w:ascii="Perpetua" w:hAnsi="Perpetua" w:cs="Adobe Devanagari"/>
          <w:b/>
          <w:spacing w:val="-3"/>
          <w:sz w:val="26"/>
          <w:szCs w:val="26"/>
          <w:lang w:val="en-GB"/>
        </w:rPr>
      </w:pPr>
      <w:bookmarkStart w:id="2" w:name="_GoBack"/>
      <w:bookmarkEnd w:id="2"/>
      <w:r w:rsidRPr="008E3AF5">
        <w:rPr>
          <w:rFonts w:ascii="Perpetua" w:hAnsi="Perpetua" w:cs="Adobe Devanagari"/>
          <w:b/>
          <w:spacing w:val="-3"/>
          <w:sz w:val="26"/>
          <w:szCs w:val="26"/>
          <w:lang w:val="en-GB"/>
        </w:rPr>
        <w:t>Society’s contradictions and dramatic social realism</w:t>
      </w:r>
    </w:p>
    <w:p w:rsidR="00EC0069" w:rsidRDefault="00EC0069" w:rsidP="008E3AF5">
      <w:pPr>
        <w:spacing w:line="276" w:lineRule="auto"/>
        <w:rPr>
          <w:rFonts w:ascii="Perpetua" w:hAnsi="Perpetua"/>
          <w:sz w:val="26"/>
          <w:szCs w:val="26"/>
        </w:rPr>
      </w:pPr>
    </w:p>
    <w:p w:rsidR="001A6631" w:rsidRDefault="001A6631" w:rsidP="008E3AF5">
      <w:pPr>
        <w:spacing w:line="276" w:lineRule="auto"/>
        <w:rPr>
          <w:rFonts w:ascii="Perpetua" w:hAnsi="Perpetua"/>
          <w:sz w:val="26"/>
          <w:szCs w:val="26"/>
        </w:rPr>
      </w:pPr>
      <w:r>
        <w:rPr>
          <w:rFonts w:ascii="Perpetua" w:hAnsi="Perpetua"/>
          <w:sz w:val="26"/>
          <w:szCs w:val="26"/>
        </w:rPr>
        <w:t>Consider the following argument:</w:t>
      </w:r>
    </w:p>
    <w:p w:rsidR="001A6631" w:rsidRPr="00D922AA" w:rsidRDefault="001A6631" w:rsidP="008E3AF5">
      <w:pPr>
        <w:spacing w:line="276" w:lineRule="auto"/>
        <w:rPr>
          <w:rFonts w:ascii="Perpetua" w:hAnsi="Perpetua"/>
          <w:sz w:val="26"/>
          <w:szCs w:val="26"/>
        </w:rPr>
      </w:pPr>
    </w:p>
    <w:p w:rsidR="00D922AA" w:rsidRPr="001A6631" w:rsidRDefault="00D922AA" w:rsidP="001A6631">
      <w:pPr>
        <w:ind w:left="1134" w:right="1134"/>
        <w:rPr>
          <w:rFonts w:ascii="Perpetua" w:hAnsi="Perpetua"/>
          <w:szCs w:val="24"/>
        </w:rPr>
      </w:pPr>
      <w:r w:rsidRPr="001A6631">
        <w:rPr>
          <w:rFonts w:ascii="Perpetua" w:hAnsi="Perpetua"/>
          <w:i/>
          <w:szCs w:val="24"/>
        </w:rPr>
        <w:t>The Shoemakers’</w:t>
      </w:r>
      <w:r w:rsidR="00523F23" w:rsidRPr="001A6631">
        <w:rPr>
          <w:rFonts w:ascii="Perpetua" w:hAnsi="Perpetua"/>
          <w:i/>
          <w:szCs w:val="24"/>
        </w:rPr>
        <w:t xml:space="preserve"> Holiday</w:t>
      </w:r>
      <w:r w:rsidR="00523F23" w:rsidRPr="001A6631">
        <w:rPr>
          <w:rFonts w:ascii="Perpetua" w:hAnsi="Perpetua"/>
          <w:szCs w:val="24"/>
        </w:rPr>
        <w:t xml:space="preserve"> is an intensely topical play. David Novarr has shown that it not only dramatizes elements of a story about a contemporary Lord Mayor of London, Sir John Spencer, but also refers to the military activities in London the previous year. In Act I soldiers are being pressed in London for a war in France. Lacey and his cousin Askew are officers, and the shoemaker, </w:t>
      </w:r>
      <w:r w:rsidR="00523F23" w:rsidRPr="001A6631">
        <w:rPr>
          <w:rFonts w:ascii="Perpetua" w:hAnsi="Perpetua"/>
          <w:szCs w:val="24"/>
        </w:rPr>
        <w:lastRenderedPageBreak/>
        <w:t>Rafe [Ralph], is a conscript. In Act III Rafe’s wife Jane is persuaded from a list of casualties to believe that Rafe is dead. In 1598 the Earl of Essex had levied an army in London and elsewhere to serve in his Irish campaign. Rumours of the casualties in that campaign were reaching London in July 1599, about the time Dekker was writing the play.</w:t>
      </w:r>
      <w:r w:rsidR="001A6631" w:rsidRPr="001A6631">
        <w:rPr>
          <w:rFonts w:ascii="Perpetua" w:hAnsi="Perpetua"/>
          <w:szCs w:val="24"/>
        </w:rPr>
        <w:t>[</w:t>
      </w:r>
      <w:r w:rsidR="00523F23" w:rsidRPr="001A6631">
        <w:rPr>
          <w:rStyle w:val="FootnoteReference"/>
          <w:rFonts w:ascii="Perpetua" w:hAnsi="Perpetua"/>
          <w:szCs w:val="24"/>
        </w:rPr>
        <w:footnoteReference w:id="9"/>
      </w:r>
      <w:r w:rsidR="001A6631" w:rsidRPr="001A6631">
        <w:rPr>
          <w:rFonts w:ascii="Perpetua" w:hAnsi="Perpetua"/>
          <w:szCs w:val="24"/>
        </w:rPr>
        <w:t>]</w:t>
      </w:r>
      <w:r w:rsidR="00523F23" w:rsidRPr="001A6631">
        <w:rPr>
          <w:rFonts w:ascii="Perpetua" w:hAnsi="Perpetua"/>
          <w:szCs w:val="24"/>
        </w:rPr>
        <w:t xml:space="preserve"> Earlier, in 1591-2, Essex had taken a leading role in the English expedition to support Henri IV against the Catholic League in France. These contemporary campaigns on behalf of the Protestant cause provide part of the assumed background of the play. Only this can explain why the war in </w:t>
      </w:r>
      <w:r w:rsidR="00523F23" w:rsidRPr="001A6631">
        <w:rPr>
          <w:rFonts w:ascii="Perpetua" w:hAnsi="Perpetua"/>
          <w:i/>
          <w:szCs w:val="24"/>
        </w:rPr>
        <w:t>The Shoemaker’s Holiday</w:t>
      </w:r>
      <w:r w:rsidR="00523F23" w:rsidRPr="001A6631">
        <w:rPr>
          <w:rFonts w:ascii="Perpetua" w:hAnsi="Perpetua"/>
          <w:szCs w:val="24"/>
        </w:rPr>
        <w:t>, despite its evils, is still accepted stoically by the Londoners. While the play creates concern for the casualties of war such as Rafe – a concern that runs throughout Dekker’s work – the King nevertheless concludes the play by insisting that the war must go on. This resolution, evidently not a facile one, can only be understood in the light of the Protestant-Catholic struggle that is fundamental to Dekker’s world-view.</w:t>
      </w:r>
      <w:r w:rsidR="001A6631" w:rsidRPr="001A6631">
        <w:rPr>
          <w:rStyle w:val="FootnoteReference"/>
          <w:rFonts w:ascii="Perpetua" w:hAnsi="Perpetua"/>
          <w:szCs w:val="24"/>
        </w:rPr>
        <w:footnoteReference w:id="10"/>
      </w:r>
    </w:p>
    <w:p w:rsidR="00EC0069" w:rsidRDefault="00EC0069" w:rsidP="008E3AF5">
      <w:pPr>
        <w:spacing w:line="276" w:lineRule="auto"/>
        <w:rPr>
          <w:rFonts w:ascii="Perpetua" w:hAnsi="Perpetua"/>
          <w:sz w:val="26"/>
          <w:szCs w:val="26"/>
        </w:rPr>
      </w:pPr>
    </w:p>
    <w:p w:rsidR="001A6631" w:rsidRDefault="001A6631" w:rsidP="008E3AF5">
      <w:pPr>
        <w:spacing w:line="276" w:lineRule="auto"/>
        <w:rPr>
          <w:rFonts w:ascii="Perpetua" w:hAnsi="Perpetua"/>
          <w:sz w:val="26"/>
          <w:szCs w:val="26"/>
        </w:rPr>
      </w:pPr>
      <w:r>
        <w:rPr>
          <w:rFonts w:ascii="Perpetua" w:hAnsi="Perpetua"/>
          <w:sz w:val="26"/>
          <w:szCs w:val="26"/>
        </w:rPr>
        <w:t>In your opinion, how important to understanding the play is the background of the war with France?</w:t>
      </w:r>
    </w:p>
    <w:sectPr w:rsidR="001A663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4A38" w:rsidRDefault="004F4A38" w:rsidP="00D43544">
      <w:r>
        <w:separator/>
      </w:r>
    </w:p>
  </w:endnote>
  <w:endnote w:type="continuationSeparator" w:id="0">
    <w:p w:rsidR="004F4A38" w:rsidRDefault="004F4A38" w:rsidP="00D43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2040503050201020203"/>
    <w:charset w:val="00"/>
    <w:family w:val="roman"/>
    <w:notTrueType/>
    <w:pitch w:val="variable"/>
    <w:sig w:usb0="00008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0195809"/>
      <w:docPartObj>
        <w:docPartGallery w:val="Page Numbers (Bottom of Page)"/>
        <w:docPartUnique/>
      </w:docPartObj>
    </w:sdtPr>
    <w:sdtEndPr>
      <w:rPr>
        <w:noProof/>
      </w:rPr>
    </w:sdtEndPr>
    <w:sdtContent>
      <w:p w:rsidR="007F0165" w:rsidRDefault="007F0165">
        <w:pPr>
          <w:pStyle w:val="Footer"/>
          <w:jc w:val="center"/>
        </w:pPr>
        <w:r>
          <w:fldChar w:fldCharType="begin"/>
        </w:r>
        <w:r>
          <w:instrText xml:space="preserve"> PAGE   \* MERGEFORMAT </w:instrText>
        </w:r>
        <w:r>
          <w:fldChar w:fldCharType="separate"/>
        </w:r>
        <w:r w:rsidR="00446541">
          <w:rPr>
            <w:noProof/>
          </w:rPr>
          <w:t>7</w:t>
        </w:r>
        <w:r>
          <w:rPr>
            <w:noProof/>
          </w:rPr>
          <w:fldChar w:fldCharType="end"/>
        </w:r>
      </w:p>
    </w:sdtContent>
  </w:sdt>
  <w:p w:rsidR="007F0165" w:rsidRDefault="007F0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4A38" w:rsidRDefault="004F4A38" w:rsidP="00D43544">
      <w:r>
        <w:separator/>
      </w:r>
    </w:p>
  </w:footnote>
  <w:footnote w:type="continuationSeparator" w:id="0">
    <w:p w:rsidR="004F4A38" w:rsidRDefault="004F4A38" w:rsidP="00D43544">
      <w:r>
        <w:continuationSeparator/>
      </w:r>
    </w:p>
  </w:footnote>
  <w:footnote w:id="1">
    <w:p w:rsidR="00B95530" w:rsidRPr="006A4F35" w:rsidRDefault="00B95530" w:rsidP="00B95530">
      <w:pPr>
        <w:pStyle w:val="FootnoteText"/>
        <w:rPr>
          <w:rFonts w:ascii="Sylfaen" w:hAnsi="Sylfaen"/>
          <w:lang w:val="en-GB"/>
        </w:rPr>
      </w:pPr>
      <w:r w:rsidRPr="006A4F35">
        <w:rPr>
          <w:rStyle w:val="FootnoteReference"/>
          <w:rFonts w:ascii="Sylfaen" w:hAnsi="Sylfaen"/>
        </w:rPr>
        <w:footnoteRef/>
      </w:r>
      <w:r w:rsidRPr="006A4F35">
        <w:rPr>
          <w:rFonts w:ascii="Sylfaen" w:hAnsi="Sylfaen"/>
        </w:rPr>
        <w:t xml:space="preserve"> </w:t>
      </w:r>
      <w:r>
        <w:rPr>
          <w:rFonts w:ascii="Sylfaen" w:hAnsi="Sylfaen"/>
        </w:rPr>
        <w:t xml:space="preserve">Stephen Pender, ‘The Moral Physiology of Laughter’, in </w:t>
      </w:r>
      <w:r>
        <w:rPr>
          <w:rFonts w:ascii="Sylfaen" w:hAnsi="Sylfaen"/>
          <w:i/>
        </w:rPr>
        <w:t>Knowing Nature in Early Modern Europe</w:t>
      </w:r>
      <w:r>
        <w:rPr>
          <w:rFonts w:ascii="Sylfaen" w:hAnsi="Sylfaen"/>
        </w:rPr>
        <w:t>, ed. by David Beck (London: Pickering &amp; Chatto, 2015), pp. 29-48 (p. 30).</w:t>
      </w:r>
    </w:p>
  </w:footnote>
  <w:footnote w:id="2">
    <w:p w:rsidR="00B95530" w:rsidRPr="006A4F35" w:rsidRDefault="00B95530" w:rsidP="00B95530">
      <w:pPr>
        <w:pStyle w:val="FootnoteText"/>
        <w:rPr>
          <w:rFonts w:ascii="Sylfaen" w:hAnsi="Sylfaen"/>
          <w:lang w:val="en-GB"/>
        </w:rPr>
      </w:pPr>
      <w:r w:rsidRPr="006A4F35">
        <w:rPr>
          <w:rStyle w:val="FootnoteReference"/>
          <w:rFonts w:ascii="Sylfaen" w:hAnsi="Sylfaen"/>
        </w:rPr>
        <w:footnoteRef/>
      </w:r>
      <w:r w:rsidRPr="006A4F35">
        <w:rPr>
          <w:rFonts w:ascii="Sylfaen" w:hAnsi="Sylfaen"/>
        </w:rPr>
        <w:t xml:space="preserve"> </w:t>
      </w:r>
      <w:r>
        <w:rPr>
          <w:rFonts w:ascii="Sylfaen" w:hAnsi="Sylfaen"/>
        </w:rPr>
        <w:t>Pender, pp. 29-31.</w:t>
      </w:r>
    </w:p>
  </w:footnote>
  <w:footnote w:id="3">
    <w:p w:rsidR="000E0152" w:rsidRPr="000E0152" w:rsidRDefault="000E0152">
      <w:pPr>
        <w:pStyle w:val="FootnoteText"/>
        <w:rPr>
          <w:rFonts w:ascii="Perpetua" w:hAnsi="Perpetua"/>
          <w:lang w:val="en-GB"/>
        </w:rPr>
      </w:pPr>
      <w:r w:rsidRPr="000E0152">
        <w:rPr>
          <w:rStyle w:val="FootnoteReference"/>
          <w:rFonts w:ascii="Perpetua" w:hAnsi="Perpetua"/>
        </w:rPr>
        <w:footnoteRef/>
      </w:r>
      <w:r w:rsidRPr="000E0152">
        <w:rPr>
          <w:rFonts w:ascii="Perpetua" w:hAnsi="Perpetua"/>
        </w:rPr>
        <w:t xml:space="preserve"> </w:t>
      </w:r>
      <w:r>
        <w:rPr>
          <w:rFonts w:ascii="Perpetua" w:hAnsi="Perpetua"/>
        </w:rPr>
        <w:t xml:space="preserve">Julia Gasper, </w:t>
      </w:r>
      <w:r>
        <w:rPr>
          <w:rFonts w:ascii="Perpetua" w:hAnsi="Perpetua"/>
          <w:i/>
        </w:rPr>
        <w:t>The Dragon and the Dove: The Plays of Thomas Dekker</w:t>
      </w:r>
      <w:r>
        <w:rPr>
          <w:rFonts w:ascii="Perpetua" w:hAnsi="Perpetua"/>
        </w:rPr>
        <w:t xml:space="preserve"> (Oxford: Clarendon Press, 1990), p. 18.</w:t>
      </w:r>
    </w:p>
  </w:footnote>
  <w:footnote w:id="4">
    <w:p w:rsidR="00164B7E" w:rsidRPr="00164B7E" w:rsidRDefault="00164B7E">
      <w:pPr>
        <w:pStyle w:val="FootnoteText"/>
        <w:rPr>
          <w:rFonts w:ascii="Perpetua" w:hAnsi="Perpetua"/>
          <w:lang w:val="en-GB"/>
        </w:rPr>
      </w:pPr>
      <w:r w:rsidRPr="00164B7E">
        <w:rPr>
          <w:rStyle w:val="FootnoteReference"/>
          <w:rFonts w:ascii="Perpetua" w:hAnsi="Perpetua"/>
        </w:rPr>
        <w:footnoteRef/>
      </w:r>
      <w:r w:rsidRPr="00164B7E">
        <w:rPr>
          <w:rFonts w:ascii="Perpetua" w:hAnsi="Perpetua"/>
        </w:rPr>
        <w:t xml:space="preserve"> </w:t>
      </w:r>
      <w:r>
        <w:rPr>
          <w:rFonts w:ascii="Perpetua" w:hAnsi="Perpetua"/>
        </w:rPr>
        <w:t xml:space="preserve">William Cunningham, </w:t>
      </w:r>
      <w:r>
        <w:rPr>
          <w:rFonts w:ascii="Perpetua" w:hAnsi="Perpetua"/>
          <w:i/>
        </w:rPr>
        <w:t>The Growth of English Industry and Commerce</w:t>
      </w:r>
      <w:r>
        <w:rPr>
          <w:rFonts w:ascii="Perpetua" w:hAnsi="Perpetua"/>
        </w:rPr>
        <w:t xml:space="preserve"> (Cambridge: Cambridge University Press, 1882; 2nd edn 1938), Part II, i. 36-37, 81.</w:t>
      </w:r>
    </w:p>
  </w:footnote>
  <w:footnote w:id="5">
    <w:p w:rsidR="00164B7E" w:rsidRPr="00164B7E" w:rsidRDefault="00164B7E">
      <w:pPr>
        <w:pStyle w:val="FootnoteText"/>
        <w:rPr>
          <w:rFonts w:ascii="Perpetua" w:hAnsi="Perpetua"/>
          <w:lang w:val="en-GB"/>
        </w:rPr>
      </w:pPr>
      <w:r w:rsidRPr="00164B7E">
        <w:rPr>
          <w:rStyle w:val="FootnoteReference"/>
          <w:rFonts w:ascii="Perpetua" w:hAnsi="Perpetua"/>
        </w:rPr>
        <w:footnoteRef/>
      </w:r>
      <w:r w:rsidRPr="00164B7E">
        <w:rPr>
          <w:rFonts w:ascii="Perpetua" w:hAnsi="Perpetua"/>
        </w:rPr>
        <w:t xml:space="preserve"> </w:t>
      </w:r>
      <w:r>
        <w:rPr>
          <w:rFonts w:ascii="Perpetua" w:hAnsi="Perpetua"/>
        </w:rPr>
        <w:t xml:space="preserve">A.W. Pollard, ed., </w:t>
      </w:r>
      <w:r>
        <w:rPr>
          <w:rFonts w:ascii="Perpetua" w:hAnsi="Perpetua"/>
          <w:i/>
        </w:rPr>
        <w:t>Shakespeare’s Hand in ‘Sir Thomas More’</w:t>
      </w:r>
      <w:r>
        <w:rPr>
          <w:rFonts w:ascii="Perpetua" w:hAnsi="Perpetua"/>
        </w:rPr>
        <w:t xml:space="preserve"> (Cambridge: Cambridge University Press, 1923), p. 39.</w:t>
      </w:r>
    </w:p>
  </w:footnote>
  <w:footnote w:id="6">
    <w:p w:rsidR="00164B7E" w:rsidRPr="00164B7E" w:rsidRDefault="00164B7E">
      <w:pPr>
        <w:pStyle w:val="FootnoteText"/>
        <w:rPr>
          <w:rFonts w:ascii="Perpetua" w:hAnsi="Perpetua"/>
          <w:lang w:val="en-GB"/>
        </w:rPr>
      </w:pPr>
      <w:r w:rsidRPr="00164B7E">
        <w:rPr>
          <w:rStyle w:val="FootnoteReference"/>
          <w:rFonts w:ascii="Perpetua" w:hAnsi="Perpetua"/>
        </w:rPr>
        <w:footnoteRef/>
      </w:r>
      <w:r w:rsidRPr="00164B7E">
        <w:rPr>
          <w:rFonts w:ascii="Perpetua" w:hAnsi="Perpetua"/>
        </w:rPr>
        <w:t xml:space="preserve"> </w:t>
      </w:r>
      <w:r>
        <w:rPr>
          <w:rFonts w:ascii="Perpetua" w:hAnsi="Perpetua"/>
        </w:rPr>
        <w:t>Gasper, pp. 18-19.</w:t>
      </w:r>
    </w:p>
  </w:footnote>
  <w:footnote w:id="7">
    <w:p w:rsidR="00A86E9D" w:rsidRPr="00A86E9D" w:rsidRDefault="00A86E9D">
      <w:pPr>
        <w:pStyle w:val="FootnoteText"/>
        <w:rPr>
          <w:rFonts w:ascii="Perpetua" w:hAnsi="Perpetua"/>
          <w:lang w:val="en-GB"/>
        </w:rPr>
      </w:pPr>
      <w:r w:rsidRPr="00A86E9D">
        <w:rPr>
          <w:rStyle w:val="FootnoteReference"/>
          <w:rFonts w:ascii="Perpetua" w:hAnsi="Perpetua"/>
        </w:rPr>
        <w:footnoteRef/>
      </w:r>
      <w:r w:rsidRPr="00A86E9D">
        <w:rPr>
          <w:rFonts w:ascii="Perpetua" w:hAnsi="Perpetua"/>
        </w:rPr>
        <w:t xml:space="preserve"> </w:t>
      </w:r>
      <w:r>
        <w:rPr>
          <w:rFonts w:ascii="Perpetua" w:hAnsi="Perpetua"/>
        </w:rPr>
        <w:t>Gasper, p. 19.</w:t>
      </w:r>
    </w:p>
  </w:footnote>
  <w:footnote w:id="8">
    <w:p w:rsidR="00A86E9D" w:rsidRPr="00A86E9D" w:rsidRDefault="00A86E9D">
      <w:pPr>
        <w:pStyle w:val="FootnoteText"/>
        <w:rPr>
          <w:rFonts w:ascii="Perpetua" w:hAnsi="Perpetua"/>
          <w:lang w:val="en-GB"/>
        </w:rPr>
      </w:pPr>
      <w:r w:rsidRPr="00A86E9D">
        <w:rPr>
          <w:rStyle w:val="FootnoteReference"/>
          <w:rFonts w:ascii="Perpetua" w:hAnsi="Perpetua"/>
        </w:rPr>
        <w:footnoteRef/>
      </w:r>
      <w:r w:rsidRPr="00A86E9D">
        <w:rPr>
          <w:rFonts w:ascii="Perpetua" w:hAnsi="Perpetua"/>
        </w:rPr>
        <w:t xml:space="preserve"> </w:t>
      </w:r>
      <w:r>
        <w:rPr>
          <w:rFonts w:ascii="Perpetua" w:hAnsi="Perpetua"/>
        </w:rPr>
        <w:t>Gasper, p. 19.</w:t>
      </w:r>
    </w:p>
  </w:footnote>
  <w:footnote w:id="9">
    <w:p w:rsidR="00523F23" w:rsidRPr="00523F23" w:rsidRDefault="00523F23">
      <w:pPr>
        <w:pStyle w:val="FootnoteText"/>
        <w:rPr>
          <w:rFonts w:ascii="Perpetua" w:hAnsi="Perpetua"/>
          <w:lang w:val="en-GB"/>
        </w:rPr>
      </w:pPr>
      <w:r w:rsidRPr="00523F23">
        <w:rPr>
          <w:rStyle w:val="FootnoteReference"/>
          <w:rFonts w:ascii="Perpetua" w:hAnsi="Perpetua"/>
        </w:rPr>
        <w:footnoteRef/>
      </w:r>
      <w:r w:rsidRPr="00523F23">
        <w:rPr>
          <w:rFonts w:ascii="Perpetua" w:hAnsi="Perpetua"/>
        </w:rPr>
        <w:t xml:space="preserve"> </w:t>
      </w:r>
      <w:r>
        <w:rPr>
          <w:rFonts w:ascii="Perpetua" w:hAnsi="Perpetua"/>
        </w:rPr>
        <w:t xml:space="preserve">David Novarr, ‘Dekker’s Gentle Craft and the Lord Mayor of London’, </w:t>
      </w:r>
      <w:r>
        <w:rPr>
          <w:rFonts w:ascii="Perpetua" w:hAnsi="Perpetua"/>
          <w:i/>
        </w:rPr>
        <w:t>Modern Philology</w:t>
      </w:r>
      <w:r>
        <w:rPr>
          <w:rFonts w:ascii="Perpetua" w:hAnsi="Perpetua"/>
        </w:rPr>
        <w:t>, 57 (1960), 234.</w:t>
      </w:r>
    </w:p>
  </w:footnote>
  <w:footnote w:id="10">
    <w:p w:rsidR="001A6631" w:rsidRPr="001A6631" w:rsidRDefault="001A6631">
      <w:pPr>
        <w:pStyle w:val="FootnoteText"/>
        <w:rPr>
          <w:rFonts w:ascii="Perpetua" w:hAnsi="Perpetua"/>
          <w:lang w:val="en-GB"/>
        </w:rPr>
      </w:pPr>
      <w:r w:rsidRPr="001A6631">
        <w:rPr>
          <w:rStyle w:val="FootnoteReference"/>
          <w:rFonts w:ascii="Perpetua" w:hAnsi="Perpetua"/>
        </w:rPr>
        <w:footnoteRef/>
      </w:r>
      <w:r w:rsidRPr="001A6631">
        <w:rPr>
          <w:rFonts w:ascii="Perpetua" w:hAnsi="Perpetua"/>
        </w:rPr>
        <w:t xml:space="preserve"> </w:t>
      </w:r>
      <w:r>
        <w:rPr>
          <w:rFonts w:ascii="Perpetua" w:hAnsi="Perpetua"/>
        </w:rPr>
        <w:t>Gasper, pp. 16-17.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050D9A"/>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7145DD"/>
    <w:multiLevelType w:val="hybridMultilevel"/>
    <w:tmpl w:val="60028DE4"/>
    <w:lvl w:ilvl="0" w:tplc="FFE20FFA">
      <w:start w:val="1"/>
      <w:numFmt w:val="lowerRoman"/>
      <w:lvlText w:val="(%1)"/>
      <w:lvlJc w:val="left"/>
      <w:pPr>
        <w:ind w:left="1080" w:hanging="72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2890B05"/>
    <w:multiLevelType w:val="hybridMultilevel"/>
    <w:tmpl w:val="B89E2486"/>
    <w:lvl w:ilvl="0" w:tplc="72908030">
      <w:start w:val="1"/>
      <w:numFmt w:val="lowerRoman"/>
      <w:lvlText w:val="(%1)"/>
      <w:lvlJc w:val="left"/>
      <w:pPr>
        <w:ind w:left="720" w:hanging="360"/>
      </w:pPr>
      <w:rPr>
        <w:rFonts w:hint="default"/>
        <w:sz w:val="26"/>
        <w:szCs w:val="2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EE2D6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F3E"/>
    <w:rsid w:val="00030B3D"/>
    <w:rsid w:val="00040BAB"/>
    <w:rsid w:val="000642EE"/>
    <w:rsid w:val="00081373"/>
    <w:rsid w:val="000847E1"/>
    <w:rsid w:val="000C3735"/>
    <w:rsid w:val="000E0152"/>
    <w:rsid w:val="00121AB5"/>
    <w:rsid w:val="0013098B"/>
    <w:rsid w:val="00164B7E"/>
    <w:rsid w:val="001872DF"/>
    <w:rsid w:val="001A6631"/>
    <w:rsid w:val="001F1BC6"/>
    <w:rsid w:val="00205DCF"/>
    <w:rsid w:val="00252392"/>
    <w:rsid w:val="0028126C"/>
    <w:rsid w:val="002C29BB"/>
    <w:rsid w:val="002C35AF"/>
    <w:rsid w:val="002F11F3"/>
    <w:rsid w:val="003024D7"/>
    <w:rsid w:val="00304638"/>
    <w:rsid w:val="0032766D"/>
    <w:rsid w:val="00344AFF"/>
    <w:rsid w:val="003617A9"/>
    <w:rsid w:val="00362515"/>
    <w:rsid w:val="003B6478"/>
    <w:rsid w:val="003C135A"/>
    <w:rsid w:val="003D4F00"/>
    <w:rsid w:val="00414F3E"/>
    <w:rsid w:val="00446541"/>
    <w:rsid w:val="00473053"/>
    <w:rsid w:val="00473977"/>
    <w:rsid w:val="004A5E54"/>
    <w:rsid w:val="004C2FE2"/>
    <w:rsid w:val="004C4735"/>
    <w:rsid w:val="004C49DF"/>
    <w:rsid w:val="004F4A38"/>
    <w:rsid w:val="005158D7"/>
    <w:rsid w:val="00523F23"/>
    <w:rsid w:val="00532181"/>
    <w:rsid w:val="005436BA"/>
    <w:rsid w:val="00582163"/>
    <w:rsid w:val="005A2AC8"/>
    <w:rsid w:val="005C2D87"/>
    <w:rsid w:val="005C45C5"/>
    <w:rsid w:val="005C4889"/>
    <w:rsid w:val="005D3B8D"/>
    <w:rsid w:val="005E1F56"/>
    <w:rsid w:val="00610F51"/>
    <w:rsid w:val="006A6615"/>
    <w:rsid w:val="006C50AC"/>
    <w:rsid w:val="006C74E5"/>
    <w:rsid w:val="006D0422"/>
    <w:rsid w:val="006D776F"/>
    <w:rsid w:val="006D79FE"/>
    <w:rsid w:val="006F6EC3"/>
    <w:rsid w:val="007021CD"/>
    <w:rsid w:val="007049EC"/>
    <w:rsid w:val="00714D7D"/>
    <w:rsid w:val="00734FB6"/>
    <w:rsid w:val="00793735"/>
    <w:rsid w:val="007A71B6"/>
    <w:rsid w:val="007F0165"/>
    <w:rsid w:val="007F7AE8"/>
    <w:rsid w:val="00802380"/>
    <w:rsid w:val="00836460"/>
    <w:rsid w:val="008669B7"/>
    <w:rsid w:val="008722CA"/>
    <w:rsid w:val="00877EE7"/>
    <w:rsid w:val="0088197F"/>
    <w:rsid w:val="008A5D66"/>
    <w:rsid w:val="008C6A53"/>
    <w:rsid w:val="008E3AF5"/>
    <w:rsid w:val="00910738"/>
    <w:rsid w:val="00954975"/>
    <w:rsid w:val="0098071C"/>
    <w:rsid w:val="00994F06"/>
    <w:rsid w:val="009D535F"/>
    <w:rsid w:val="00A07491"/>
    <w:rsid w:val="00A2579B"/>
    <w:rsid w:val="00A260DC"/>
    <w:rsid w:val="00A27DE6"/>
    <w:rsid w:val="00A86E9D"/>
    <w:rsid w:val="00AC229C"/>
    <w:rsid w:val="00AC284E"/>
    <w:rsid w:val="00AC77E2"/>
    <w:rsid w:val="00AD3349"/>
    <w:rsid w:val="00AD6D8F"/>
    <w:rsid w:val="00AE18DB"/>
    <w:rsid w:val="00AE1D54"/>
    <w:rsid w:val="00AF7A26"/>
    <w:rsid w:val="00B0571D"/>
    <w:rsid w:val="00B21AC5"/>
    <w:rsid w:val="00B44211"/>
    <w:rsid w:val="00B62A6C"/>
    <w:rsid w:val="00B95530"/>
    <w:rsid w:val="00BC5A98"/>
    <w:rsid w:val="00C05512"/>
    <w:rsid w:val="00C8335C"/>
    <w:rsid w:val="00C84CD8"/>
    <w:rsid w:val="00D1349C"/>
    <w:rsid w:val="00D3519C"/>
    <w:rsid w:val="00D4208B"/>
    <w:rsid w:val="00D43544"/>
    <w:rsid w:val="00D645B1"/>
    <w:rsid w:val="00D91365"/>
    <w:rsid w:val="00D922AA"/>
    <w:rsid w:val="00DC03A6"/>
    <w:rsid w:val="00DF3DDD"/>
    <w:rsid w:val="00DF6B54"/>
    <w:rsid w:val="00E03895"/>
    <w:rsid w:val="00E04007"/>
    <w:rsid w:val="00E3133E"/>
    <w:rsid w:val="00E54AE8"/>
    <w:rsid w:val="00E554FB"/>
    <w:rsid w:val="00E676A5"/>
    <w:rsid w:val="00E77A5E"/>
    <w:rsid w:val="00E87001"/>
    <w:rsid w:val="00EC0069"/>
    <w:rsid w:val="00EF5BD5"/>
    <w:rsid w:val="00F63273"/>
    <w:rsid w:val="00F87CCA"/>
    <w:rsid w:val="00FB2656"/>
    <w:rsid w:val="00FC76B9"/>
    <w:rsid w:val="00FE029B"/>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5CEBA"/>
  <w15:chartTrackingRefBased/>
  <w15:docId w15:val="{843A9896-20C0-4C02-8E7F-286C5C3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F3E"/>
    <w:pPr>
      <w:widowControl w:val="0"/>
      <w:snapToGrid w:val="0"/>
      <w:spacing w:after="0" w:line="240" w:lineRule="auto"/>
    </w:pPr>
    <w:rPr>
      <w:rFonts w:ascii="Courier" w:eastAsia="Times New Roman" w:hAnsi="Courier"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F3E"/>
    <w:pPr>
      <w:ind w:left="720"/>
      <w:contextualSpacing/>
    </w:pPr>
  </w:style>
  <w:style w:type="paragraph" w:styleId="FootnoteText">
    <w:name w:val="footnote text"/>
    <w:basedOn w:val="Normal"/>
    <w:link w:val="FootnoteTextChar"/>
    <w:uiPriority w:val="99"/>
    <w:unhideWhenUsed/>
    <w:rsid w:val="00D43544"/>
    <w:rPr>
      <w:sz w:val="20"/>
    </w:rPr>
  </w:style>
  <w:style w:type="character" w:customStyle="1" w:styleId="FootnoteTextChar">
    <w:name w:val="Footnote Text Char"/>
    <w:basedOn w:val="DefaultParagraphFont"/>
    <w:link w:val="FootnoteText"/>
    <w:uiPriority w:val="99"/>
    <w:rsid w:val="00D43544"/>
    <w:rPr>
      <w:rFonts w:ascii="Courier" w:eastAsia="Times New Roman" w:hAnsi="Courier" w:cs="Times New Roman"/>
      <w:sz w:val="20"/>
      <w:szCs w:val="20"/>
      <w:lang w:val="en-US"/>
    </w:rPr>
  </w:style>
  <w:style w:type="character" w:styleId="FootnoteReference">
    <w:name w:val="footnote reference"/>
    <w:basedOn w:val="DefaultParagraphFont"/>
    <w:uiPriority w:val="99"/>
    <w:unhideWhenUsed/>
    <w:rsid w:val="00D43544"/>
    <w:rPr>
      <w:vertAlign w:val="superscript"/>
    </w:rPr>
  </w:style>
  <w:style w:type="paragraph" w:styleId="Header">
    <w:name w:val="header"/>
    <w:basedOn w:val="Normal"/>
    <w:link w:val="HeaderChar"/>
    <w:uiPriority w:val="99"/>
    <w:unhideWhenUsed/>
    <w:rsid w:val="007F0165"/>
    <w:pPr>
      <w:tabs>
        <w:tab w:val="center" w:pos="4513"/>
        <w:tab w:val="right" w:pos="9026"/>
      </w:tabs>
    </w:pPr>
  </w:style>
  <w:style w:type="character" w:customStyle="1" w:styleId="HeaderChar">
    <w:name w:val="Header Char"/>
    <w:basedOn w:val="DefaultParagraphFont"/>
    <w:link w:val="Header"/>
    <w:uiPriority w:val="99"/>
    <w:rsid w:val="007F0165"/>
    <w:rPr>
      <w:rFonts w:ascii="Courier" w:eastAsia="Times New Roman" w:hAnsi="Courier" w:cs="Times New Roman"/>
      <w:sz w:val="24"/>
      <w:szCs w:val="20"/>
      <w:lang w:val="en-US"/>
    </w:rPr>
  </w:style>
  <w:style w:type="paragraph" w:styleId="Footer">
    <w:name w:val="footer"/>
    <w:basedOn w:val="Normal"/>
    <w:link w:val="FooterChar"/>
    <w:uiPriority w:val="99"/>
    <w:unhideWhenUsed/>
    <w:rsid w:val="007F0165"/>
    <w:pPr>
      <w:tabs>
        <w:tab w:val="center" w:pos="4513"/>
        <w:tab w:val="right" w:pos="9026"/>
      </w:tabs>
    </w:pPr>
  </w:style>
  <w:style w:type="character" w:customStyle="1" w:styleId="FooterChar">
    <w:name w:val="Footer Char"/>
    <w:basedOn w:val="DefaultParagraphFont"/>
    <w:link w:val="Footer"/>
    <w:uiPriority w:val="99"/>
    <w:rsid w:val="007F0165"/>
    <w:rPr>
      <w:rFonts w:ascii="Courier" w:eastAsia="Times New Roman" w:hAnsi="Courier"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DF79F-1473-44D6-BF3D-583438389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2416</Words>
  <Characters>13776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3</cp:revision>
  <dcterms:created xsi:type="dcterms:W3CDTF">2019-05-16T09:04:00Z</dcterms:created>
  <dcterms:modified xsi:type="dcterms:W3CDTF">2019-05-16T09:05:00Z</dcterms:modified>
</cp:coreProperties>
</file>