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600" w:lineRule="auto"/>
        <w:jc w:val="both"/>
        <w:rPr>
          <w:b w:val="1"/>
          <w:sz w:val="20"/>
          <w:szCs w:val="20"/>
          <w:highlight w:val="white"/>
          <w:u w:val="single"/>
        </w:rPr>
      </w:pPr>
      <w:r w:rsidDel="00000000" w:rsidR="00000000" w:rsidRPr="00000000">
        <w:rPr>
          <w:b w:val="1"/>
          <w:sz w:val="20"/>
          <w:szCs w:val="20"/>
          <w:highlight w:val="white"/>
          <w:u w:val="single"/>
          <w:rtl w:val="0"/>
        </w:rPr>
        <w:t xml:space="preserve">A critical analysis of the implementation of play based early years curricula.</w:t>
      </w:r>
    </w:p>
    <w:p w:rsidR="00000000" w:rsidDel="00000000" w:rsidP="00000000" w:rsidRDefault="00000000" w:rsidRPr="00000000" w14:paraId="00000002">
      <w:pPr>
        <w:spacing w:line="600" w:lineRule="auto"/>
        <w:jc w:val="both"/>
        <w:rPr>
          <w:color w:val="ff0000"/>
          <w:sz w:val="20"/>
          <w:szCs w:val="20"/>
        </w:rPr>
      </w:pPr>
      <w:r w:rsidDel="00000000" w:rsidR="00000000" w:rsidRPr="00000000">
        <w:rPr>
          <w:sz w:val="20"/>
          <w:szCs w:val="20"/>
          <w:rtl w:val="0"/>
        </w:rPr>
        <w:t xml:space="preserve">The purpose of this article is to critically evaluate the implementation of play based early years curricula, concentrating mainly on the implementation of the Foundation Phase in Wales. </w:t>
      </w:r>
      <w:r w:rsidDel="00000000" w:rsidR="00000000" w:rsidRPr="00000000">
        <w:rPr>
          <w:rtl w:val="0"/>
        </w:rPr>
      </w:r>
    </w:p>
    <w:p w:rsidR="00000000" w:rsidDel="00000000" w:rsidP="00000000" w:rsidRDefault="00000000" w:rsidRPr="00000000" w14:paraId="00000003">
      <w:pPr>
        <w:spacing w:line="600" w:lineRule="auto"/>
        <w:jc w:val="both"/>
        <w:rPr>
          <w:sz w:val="20"/>
          <w:szCs w:val="20"/>
        </w:rPr>
      </w:pPr>
      <w:r w:rsidDel="00000000" w:rsidR="00000000" w:rsidRPr="00000000">
        <w:rPr>
          <w:sz w:val="20"/>
          <w:szCs w:val="20"/>
          <w:rtl w:val="0"/>
        </w:rPr>
        <w:t xml:space="preserve">Taylor et al (2015) state that the Foundation Phase as a statutory curriculum marked a change for education with its design to provide an experiential, play-based approach to teaching and learning. Drawing on positive practice from such early years programmes as Reggio Emilia in Scandinavia and Te Whariki in New Zealand, that suggested that overly formal curriculum before the age of six could result in attainment in the long term. Thus inspiring the adoption of a play-based approach to learning in Wales. </w:t>
      </w:r>
    </w:p>
    <w:p w:rsidR="00000000" w:rsidDel="00000000" w:rsidP="00000000" w:rsidRDefault="00000000" w:rsidRPr="00000000" w14:paraId="00000004">
      <w:pPr>
        <w:spacing w:line="600" w:lineRule="auto"/>
        <w:jc w:val="both"/>
        <w:rPr>
          <w:sz w:val="20"/>
          <w:szCs w:val="20"/>
        </w:rPr>
      </w:pPr>
      <w:r w:rsidDel="00000000" w:rsidR="00000000" w:rsidRPr="00000000">
        <w:rPr>
          <w:sz w:val="20"/>
          <w:szCs w:val="20"/>
          <w:rtl w:val="0"/>
        </w:rPr>
        <w:t xml:space="preserve">The Foundation Phase is centred around the child and encourages a balance of child-initiated and practitioner led activities within stimulating indoor and outdoor environments. Rather than embodying the policies set out for the early years in England the Foundation Phase set out to deviate away from Uk central government education policy and create a legislation for the provision of a single phase of education in which the pedagogical priorities are play and experiential learning for children aged three to seven years (Walters 2016). According to Welsh Government (2015) play provides children with learning opportunities through first- hand experiential activities and through these play activities children are given opportunities to take risks, solve problems whilst practising and consolidating their learning. On the other hand, the statutory framework for the early years foundation stage in England promotes teaching and learning to ensure that children are prepared and ready for school by providing children with a broad range of knowledge and skills that provide a foundation for children's future learning and future progress in school (Department of Education 2017). Notably, the foundation stage does recognise that a balance between play and teaching is important, play however is not seen as the vehicle for learning. With the Department of Education (2012) stating that it is the responsibility of practitioners to make judgement of the balance between play and teaching in between activities that are child led and practitioner led. Where as the Welsh Government (2015) believe that a fun and stimulating indoor and outdoor environment will promote children’s development and will encourage children’s natural curiosity to explore and learn through first hand experiences and this is why the Foundation Phase encourages the use of the outdoor environment  and both the indoor and outdoor Foundation Phase environment should encourage children’s independence and discovery through play. There has been an extensive amount of research into the importance of play in children’s learning with Piaget identifying play as an assimilation with children using play as a way to process, and through play children practice forms of bodily and psychic control whilst  Vygotsky focused on the experience of play. Vygotsky believed that play is used as a dialogue between individuals and encourages them to challenge one another as well as cooperate together (Henricks 2014). </w:t>
      </w:r>
    </w:p>
    <w:p w:rsidR="00000000" w:rsidDel="00000000" w:rsidP="00000000" w:rsidRDefault="00000000" w:rsidRPr="00000000" w14:paraId="00000005">
      <w:pPr>
        <w:spacing w:line="600" w:lineRule="auto"/>
        <w:jc w:val="both"/>
        <w:rPr>
          <w:sz w:val="20"/>
          <w:szCs w:val="20"/>
        </w:rPr>
      </w:pPr>
      <w:r w:rsidDel="00000000" w:rsidR="00000000" w:rsidRPr="00000000">
        <w:rPr>
          <w:sz w:val="20"/>
          <w:szCs w:val="20"/>
          <w:rtl w:val="0"/>
        </w:rPr>
        <w:t xml:space="preserve">With this said there was a sense of excitement and relief from the majority of practitioners and key stakeholders in the implementation of the Foundation Phase however there were some initial reservations more so among key stage two teachers (Taylor et al 2015). Equally results of research undertaken by Grigg (2016) highlighted the concerns of a high number or secondary school teachers and key stage two teachers over the effectiveness of the Foundation Phase in preparing young children for the next phase of education. </w:t>
      </w:r>
    </w:p>
    <w:p w:rsidR="00000000" w:rsidDel="00000000" w:rsidP="00000000" w:rsidRDefault="00000000" w:rsidRPr="00000000" w14:paraId="00000006">
      <w:pPr>
        <w:spacing w:line="600" w:lineRule="auto"/>
        <w:jc w:val="both"/>
        <w:rPr>
          <w:sz w:val="20"/>
          <w:szCs w:val="20"/>
        </w:rPr>
      </w:pPr>
      <w:r w:rsidDel="00000000" w:rsidR="00000000" w:rsidRPr="00000000">
        <w:rPr>
          <w:sz w:val="20"/>
          <w:szCs w:val="20"/>
          <w:rtl w:val="0"/>
        </w:rPr>
        <w:t xml:space="preserve">Although there were some reservations, there have been many positives to the implementation of the Foundation phase. Firstly, Taylor et al (2015) state that the majority of the practitioners that were interviewed and surveyed as part of the Foundation Phase evaluation believed that the Foundation Phase was seen to have a positive impact on children's learning and has also led to improvements in numeracy and literacy in both Welsh and English with Foundation Phase children being more likely to achieve Level four or above in Key stage two English. As Well as this there is an association between the foundation Phase and the improvement in overall school attendance since its implementation. Secondly, according to Welsh Government (2013) there is evidence that suggests that the pedagogy and practice within the Foundation Phase have a positive impact on practitioners and also lead to improvements in the quality of provision for children. However, there are concerns over the consistency of the understanding of the pedagogues and practices within the foundation phase and concerns of how these are being implemented and whether they are being implemented consistently across Wales with research showing that only one fifth of schools are effectively implementing the Foundation Phase (Kingston and Siraj 2017). Furthermore, it has been said that there is no clear breakdown for the pedagogy of the Foundation Phase available for practitioners to use within their practise (Waters 2016) which may have led to inconsistencies in the implementation of the Foundation Phase .</w:t>
      </w:r>
    </w:p>
    <w:p w:rsidR="00000000" w:rsidDel="00000000" w:rsidP="00000000" w:rsidRDefault="00000000" w:rsidRPr="00000000" w14:paraId="00000007">
      <w:pPr>
        <w:spacing w:line="600" w:lineRule="auto"/>
        <w:jc w:val="both"/>
        <w:rPr>
          <w:sz w:val="20"/>
          <w:szCs w:val="20"/>
        </w:rPr>
      </w:pPr>
      <w:r w:rsidDel="00000000" w:rsidR="00000000" w:rsidRPr="00000000">
        <w:rPr>
          <w:sz w:val="20"/>
          <w:szCs w:val="20"/>
          <w:rtl w:val="0"/>
        </w:rPr>
        <w:t xml:space="preserve">Nonetheless, the Evaluation of the Foundation Phase found that the foundation phase had led to overall improvements in children's learning and educational achievements as well as their well being and involvement with an increased potential for children to succeed educationally in future learning. However it found that more could be done to implement the Foundation Phase curricula and therefore the evaluation encourages the Welsh Government, Estyn and teaching staff to continue to develop, enhance and implement the foundation phase (Taylor et al 2015).</w:t>
      </w:r>
    </w:p>
    <w:p w:rsidR="00000000" w:rsidDel="00000000" w:rsidP="00000000" w:rsidRDefault="00000000" w:rsidRPr="00000000" w14:paraId="00000008">
      <w:pPr>
        <w:spacing w:line="600" w:lineRule="auto"/>
        <w:jc w:val="both"/>
        <w:rPr>
          <w:sz w:val="20"/>
          <w:szCs w:val="20"/>
        </w:rPr>
      </w:pPr>
      <w:r w:rsidDel="00000000" w:rsidR="00000000" w:rsidRPr="00000000">
        <w:rPr>
          <w:sz w:val="20"/>
          <w:szCs w:val="20"/>
          <w:rtl w:val="0"/>
        </w:rPr>
        <w:t xml:space="preserve">Kingston and Siraj (2017) describe the recommendations made following a recent review of the Foundation Phase as complex and multilayered; including; country, teachers, inspectors, practitioners among many other professionals, with a need to improve and consider the implementation on all levels within the provision. </w:t>
      </w:r>
    </w:p>
    <w:p w:rsidR="00000000" w:rsidDel="00000000" w:rsidP="00000000" w:rsidRDefault="00000000" w:rsidRPr="00000000" w14:paraId="00000009">
      <w:pPr>
        <w:spacing w:line="600" w:lineRule="auto"/>
        <w:jc w:val="both"/>
        <w:rPr>
          <w:sz w:val="20"/>
          <w:szCs w:val="20"/>
        </w:rPr>
      </w:pPr>
      <w:r w:rsidDel="00000000" w:rsidR="00000000" w:rsidRPr="00000000">
        <w:rPr>
          <w:sz w:val="20"/>
          <w:szCs w:val="20"/>
          <w:rtl w:val="0"/>
        </w:rPr>
        <w:t xml:space="preserve">It was evident that there was a need to improve on staff training and support in implementing the Foundation Phase. Therefore, unsurprisingly there were recommendations to target training and support given. It is thought that through improving on the training and support given to Foundation Phase teachers and practitioners there will be an improvement to the quality of teaching that they provided and rather than concentrating on structural changes to the Foundation Phase (Welsh Government 2013). Agreeably Kingston and Siraj (2017) key pointed to the statement made in the review of the Foundation Phase that for the foundation phase to succeed it was fundamental that staff working with children and families within the Foundation Phase are motivated and continue with professional development. A view shared by some teachers in Wales whose opinions towards the educational system is generally that there is room for improvement through various means such as clear leadership and developing quality professional development (Griggs 2016).</w:t>
      </w:r>
      <w:r w:rsidDel="00000000" w:rsidR="00000000" w:rsidRPr="00000000">
        <w:rPr>
          <w:color w:val="ff0000"/>
          <w:sz w:val="20"/>
          <w:szCs w:val="20"/>
          <w:rtl w:val="0"/>
        </w:rPr>
        <w:t xml:space="preserve"> </w:t>
      </w:r>
      <w:r w:rsidDel="00000000" w:rsidR="00000000" w:rsidRPr="00000000">
        <w:rPr>
          <w:sz w:val="20"/>
          <w:szCs w:val="20"/>
          <w:rtl w:val="0"/>
        </w:rPr>
        <w:t xml:space="preserve">Although there were growing concerns amongst practitioners that the Foundation Phase could cause the educational achievements of seven year old's to decrease this became more apparent after the introduction of the Literacy and Numeracy framework as a statutory curriculum requirement and more so the introduction of statutory reading and numeracy tests for seven year old that are in the Foundation Phase, there was a bigger concern amongst head teachers, most of whom stated that funding and existing school infrastructures were the main difficulties in implementing the Foundation Phase (Taylor et al 2015). Clearly, for the Foundation Phase to succeed and to be implemented effectively there were improvements to be made. Despite there being evidence to suggest that some schools and settings were achieving effective implementation it was imminent that further investment and support was essential for the implementation to succeed (Kingston and Siraj 2017).</w:t>
      </w:r>
    </w:p>
    <w:p w:rsidR="00000000" w:rsidDel="00000000" w:rsidP="00000000" w:rsidRDefault="00000000" w:rsidRPr="00000000" w14:paraId="0000000A">
      <w:pPr>
        <w:spacing w:line="600" w:lineRule="auto"/>
        <w:jc w:val="both"/>
        <w:rPr>
          <w:sz w:val="20"/>
          <w:szCs w:val="20"/>
        </w:rPr>
      </w:pPr>
      <w:r w:rsidDel="00000000" w:rsidR="00000000" w:rsidRPr="00000000">
        <w:rPr>
          <w:sz w:val="20"/>
          <w:szCs w:val="20"/>
          <w:rtl w:val="0"/>
        </w:rPr>
        <w:t xml:space="preserve">Undoubtedly, there are many benefits to children receiving early education with considerable evidence to support the positive effects of early years curricula on young children. Sim et al (2018) suggest that children who attend high-quality childcare have been seen to improve on many different outcomes, such as healthy cognitive, behavioural and social development as well as improvements to physical developments whilst laying the foundations for later outcomes and development. MacDonald (2018) argues the importance of early years education by reflecting on the movements of international countries with Norway providing early childhood education from the of one and Australia, China and Singapore introducing a policy and curriculum from birth.   Therefore, there is undoubtedly evidence to suggest that early years curricula is an important part of young children's development. </w:t>
      </w:r>
    </w:p>
    <w:p w:rsidR="00000000" w:rsidDel="00000000" w:rsidP="00000000" w:rsidRDefault="00000000" w:rsidRPr="00000000" w14:paraId="0000000B">
      <w:pPr>
        <w:spacing w:line="600" w:lineRule="auto"/>
        <w:jc w:val="both"/>
        <w:rPr>
          <w:sz w:val="20"/>
          <w:szCs w:val="20"/>
        </w:rPr>
      </w:pPr>
      <w:r w:rsidDel="00000000" w:rsidR="00000000" w:rsidRPr="00000000">
        <w:rPr>
          <w:sz w:val="20"/>
          <w:szCs w:val="20"/>
          <w:rtl w:val="0"/>
        </w:rPr>
        <w:t xml:space="preserve">To conclude there are many benefits to a play based curricula such as the Foundation Phase and Reggio Emilia approach. When looking at the benefits to the Reggio Emilia approach it is said that the curriculum is based on children’s interests and gives children the opportunity to be equal partners with parents and teachers as well as benefiting from using many ‘languages’ to express themselves such as writing, sculpting and dramatic play. Children also benefit from hands-on experiences and opportunities to develop their problem solving whilst having the environment as their third teacher. These are principles that are also embedded within the Foundation Phase curriculum. According to Welsh Government (2015) The holistic development of children is at the centre of the Foundation Phase framework the curriculum should give children opportunities to be involved in their own learning whilst building on children’s skills and building on their previous learning experiences and knowledge. A belief shared by Estyn (2009) who believes that a play based curricula needs to be well organised, well planned and purposeful for it to be beneficial to children and for them to fully gain from the experiences that a play based curricula provides. There are however improvements needed to ensure that the Foundation phase is consistently implemented across Wales. A belief shared by Welsh Government (2013) who  argue that more training is needed and training should be relevant including guidelines on how the Foundation phase is situated within other current policies such as the National Literacy and Numeracy framework. A view shared by</w:t>
      </w:r>
      <w:r w:rsidDel="00000000" w:rsidR="00000000" w:rsidRPr="00000000">
        <w:rPr>
          <w:rtl w:val="0"/>
        </w:rPr>
        <w:t xml:space="preserve"> </w:t>
      </w:r>
      <w:r w:rsidDel="00000000" w:rsidR="00000000" w:rsidRPr="00000000">
        <w:rPr>
          <w:sz w:val="20"/>
          <w:szCs w:val="20"/>
          <w:rtl w:val="0"/>
        </w:rPr>
        <w:t xml:space="preserve">Taylor et al (2015) who argues that there needs to be advice available to practitioners on how best to implement the Literacy and Numeracy Framework within the Foundation Phase</w:t>
      </w:r>
      <w:r w:rsidDel="00000000" w:rsidR="00000000" w:rsidRPr="00000000">
        <w:rPr>
          <w:color w:val="ff0000"/>
          <w:sz w:val="20"/>
          <w:szCs w:val="20"/>
          <w:rtl w:val="0"/>
        </w:rPr>
        <w:t xml:space="preserve">. </w:t>
      </w:r>
      <w:r w:rsidDel="00000000" w:rsidR="00000000" w:rsidRPr="00000000">
        <w:rPr>
          <w:sz w:val="20"/>
          <w:szCs w:val="20"/>
          <w:rtl w:val="0"/>
        </w:rPr>
        <w:t xml:space="preserve">Despite this Professor Donaldson (2015) states that evidence suggests that the Foundation Phase along with the Welsh language and bilingualism are the ‘best things’ about education in Wales. </w:t>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D">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E">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2F">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30">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31">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32">
      <w:pPr>
        <w:pBdr>
          <w:top w:space="0" w:sz="0" w:val="nil"/>
          <w:left w:space="0" w:sz="0" w:val="nil"/>
          <w:bottom w:space="0" w:sz="0" w:val="nil"/>
          <w:right w:space="0" w:sz="0" w:val="nil"/>
          <w:between w:space="0" w:sz="0" w:val="nil"/>
        </w:pBdr>
        <w:shd w:fill="ffffff" w:val="clear"/>
        <w:rPr/>
      </w:pPr>
      <w:r w:rsidDel="00000000" w:rsidR="00000000" w:rsidRPr="00000000">
        <w:rPr>
          <w:rtl w:val="0"/>
        </w:rPr>
      </w:r>
    </w:p>
    <w:p w:rsidR="00000000" w:rsidDel="00000000" w:rsidP="00000000" w:rsidRDefault="00000000" w:rsidRPr="00000000" w14:paraId="00000033">
      <w:pPr>
        <w:pBdr>
          <w:top w:space="0" w:sz="0" w:val="nil"/>
          <w:left w:space="0" w:sz="0" w:val="nil"/>
          <w:bottom w:space="0" w:sz="0" w:val="nil"/>
          <w:right w:space="0" w:sz="0" w:val="nil"/>
          <w:between w:space="0" w:sz="0" w:val="nil"/>
        </w:pBdr>
        <w:shd w:fill="ffffff" w:val="clear"/>
        <w:rPr>
          <w:color w:val="0000ff"/>
          <w:sz w:val="24"/>
          <w:szCs w:val="24"/>
          <w:highlight w:val="white"/>
        </w:rPr>
      </w:pPr>
      <w:r w:rsidDel="00000000" w:rsidR="00000000" w:rsidRPr="00000000">
        <w:rPr>
          <w:rtl w:val="0"/>
        </w:rPr>
      </w:r>
    </w:p>
    <w:p w:rsidR="00000000" w:rsidDel="00000000" w:rsidP="00000000" w:rsidRDefault="00000000" w:rsidRPr="00000000" w14:paraId="00000034">
      <w:pPr>
        <w:pBdr>
          <w:top w:space="0" w:sz="0" w:val="nil"/>
          <w:left w:space="0" w:sz="0" w:val="nil"/>
          <w:bottom w:space="0" w:sz="0" w:val="nil"/>
          <w:right w:space="0" w:sz="0" w:val="nil"/>
          <w:between w:space="0" w:sz="0" w:val="nil"/>
        </w:pBdr>
        <w:shd w:fill="ffffff" w:val="clear"/>
        <w:spacing w:line="600" w:lineRule="auto"/>
        <w:jc w:val="both"/>
        <w:rPr>
          <w:b w:val="1"/>
          <w:sz w:val="20"/>
          <w:szCs w:val="20"/>
          <w:highlight w:val="white"/>
          <w:u w:val="single"/>
        </w:rPr>
      </w:pPr>
      <w:r w:rsidDel="00000000" w:rsidR="00000000" w:rsidRPr="00000000">
        <w:rPr>
          <w:b w:val="1"/>
          <w:sz w:val="20"/>
          <w:szCs w:val="20"/>
          <w:highlight w:val="white"/>
          <w:u w:val="single"/>
          <w:rtl w:val="0"/>
        </w:rPr>
        <w:t xml:space="preserve">A critical evaluation of methods of assessment, progress tracking and age or stage related development models within play based curricula.</w:t>
      </w:r>
    </w:p>
    <w:p w:rsidR="00000000" w:rsidDel="00000000" w:rsidP="00000000" w:rsidRDefault="00000000" w:rsidRPr="00000000" w14:paraId="00000035">
      <w:pPr>
        <w:pBdr>
          <w:top w:space="0" w:sz="0" w:val="nil"/>
          <w:left w:space="0" w:sz="0" w:val="nil"/>
          <w:bottom w:space="0" w:sz="0" w:val="nil"/>
          <w:right w:space="0" w:sz="0" w:val="nil"/>
          <w:between w:space="0" w:sz="0" w:val="nil"/>
        </w:pBdr>
        <w:shd w:fill="ffffff" w:val="clear"/>
        <w:spacing w:line="600" w:lineRule="auto"/>
        <w:jc w:val="both"/>
        <w:rPr>
          <w:b w:val="1"/>
          <w:highlight w:val="white"/>
          <w:u w:val="single"/>
        </w:rPr>
      </w:pPr>
      <w:r w:rsidDel="00000000" w:rsidR="00000000" w:rsidRPr="00000000">
        <w:rPr>
          <w:rtl w:val="0"/>
        </w:rPr>
      </w:r>
    </w:p>
    <w:p w:rsidR="00000000" w:rsidDel="00000000" w:rsidP="00000000" w:rsidRDefault="00000000" w:rsidRPr="00000000" w14:paraId="00000036">
      <w:pPr>
        <w:pBdr>
          <w:top w:space="0" w:sz="0" w:val="nil"/>
          <w:left w:space="0" w:sz="0" w:val="nil"/>
          <w:bottom w:space="0" w:sz="0" w:val="nil"/>
          <w:right w:space="0" w:sz="0" w:val="nil"/>
          <w:between w:space="0" w:sz="0" w:val="nil"/>
        </w:pBdr>
        <w:shd w:fill="ffffff" w:val="clear"/>
        <w:spacing w:line="600" w:lineRule="auto"/>
        <w:jc w:val="both"/>
        <w:rPr>
          <w:color w:val="222222"/>
          <w:sz w:val="20"/>
          <w:szCs w:val="20"/>
        </w:rPr>
      </w:pPr>
      <w:r w:rsidDel="00000000" w:rsidR="00000000" w:rsidRPr="00000000">
        <w:rPr>
          <w:sz w:val="20"/>
          <w:szCs w:val="20"/>
          <w:highlight w:val="white"/>
          <w:rtl w:val="0"/>
        </w:rPr>
        <w:t xml:space="preserve">It is believed that assessment is a fundamental process in education (William 2010), with assessment being used to determine the effectiveness of curriculum's and frameworks as well as assess teachers, schools and measure children's development. McLachlan (2018) states that it is suggested that through assessments practitioners observe children’s learning, aim to understand the learning and then put the understanding to good use. However, there are a range of assessments being used such as standardised testing and baseline assessments. </w:t>
      </w:r>
      <w:r w:rsidDel="00000000" w:rsidR="00000000" w:rsidRPr="00000000">
        <w:rPr>
          <w:sz w:val="20"/>
          <w:szCs w:val="20"/>
          <w:rtl w:val="0"/>
        </w:rPr>
        <w:t xml:space="preserve">With assessments playing a fundamental role in children;s development Estyn (2009) believed that the biggest challenge the Foundation phase presented to schools was the challenge to integrate a play-based, experiential curriculum with a clear need to improve children’s achievements and attainment with standards of seven year old's in Wales having only a slight improvement over a ten year period. </w:t>
      </w:r>
      <w:r w:rsidDel="00000000" w:rsidR="00000000" w:rsidRPr="00000000">
        <w:rPr>
          <w:rtl w:val="0"/>
        </w:rPr>
      </w:r>
    </w:p>
    <w:p w:rsidR="00000000" w:rsidDel="00000000" w:rsidP="00000000" w:rsidRDefault="00000000" w:rsidRPr="00000000" w14:paraId="00000037">
      <w:pPr>
        <w:pBdr>
          <w:top w:space="0" w:sz="0" w:val="nil"/>
          <w:left w:space="0" w:sz="0" w:val="nil"/>
          <w:bottom w:space="0" w:sz="0" w:val="nil"/>
          <w:right w:space="0" w:sz="0" w:val="nil"/>
          <w:between w:space="0" w:sz="0" w:val="nil"/>
        </w:pBdr>
        <w:shd w:fill="ffffff" w:val="clear"/>
        <w:spacing w:line="600" w:lineRule="auto"/>
        <w:jc w:val="both"/>
        <w:rPr>
          <w:highlight w:val="white"/>
        </w:rPr>
      </w:pPr>
      <w:r w:rsidDel="00000000" w:rsidR="00000000" w:rsidRPr="00000000">
        <w:rPr>
          <w:sz w:val="20"/>
          <w:szCs w:val="20"/>
          <w:highlight w:val="white"/>
          <w:rtl w:val="0"/>
        </w:rPr>
        <w:t xml:space="preserve">Walters (2016) argues that the early years curriculum that predates the Foundation Phase endorsed a developmental view of children’s learning where the practitioner was expected to manage children’s learning in age related stages as well as measure children's progress against norms that were associated with age. Whereas the Foundation Phase shifted away from the age and stage style of assessment by promoting a holistic approach to learning and development, in which the practitioners consider children’s prior experiences as the base instead of age related norms. The age and stage approach to development is one that dates back to Piaget who believed that children progress through a series of consecutive stages (Gabriel 2021). However approaches to development have moved on from the age and stage approach. </w:t>
      </w:r>
      <w:r w:rsidDel="00000000" w:rsidR="00000000" w:rsidRPr="00000000">
        <w:rPr>
          <w:sz w:val="20"/>
          <w:szCs w:val="20"/>
          <w:rtl w:val="0"/>
        </w:rPr>
        <w:t xml:space="preserve">It is explained within the foundation phase framework that the aim of the foundation phase outcomes are for the outcomes to be used as a rounded judgement of how a child performs across a range of contexts whilst considering children’s strengths and weaknesses in their performance to match each child to an outcome that best matches their performance. These outcomes were designed to support the end of phase statutory teacher assessment with teachers assessment covering a range of the foundation phase learning continuum (Welsh Government 2015). However there has been criticism over the clarity of expectations as well as the lack of information on observations and assessment within the guidelines of the Foundation Phase. </w:t>
      </w:r>
      <w:r w:rsidDel="00000000" w:rsidR="00000000" w:rsidRPr="00000000">
        <w:rPr>
          <w:sz w:val="20"/>
          <w:szCs w:val="20"/>
          <w:highlight w:val="white"/>
          <w:rtl w:val="0"/>
        </w:rPr>
        <w:t xml:space="preserve">A recommendation from the evaluation of the implementation of the Foundation Phase was the need to emphasise observation and assessment within training and guidance materials as well as the need for clear guidance clarifying expected levels of achievement (Taylor et al 2015). Agreeably, Professor Donaldson (2015) states that the Welsh Government acknowledged that there was room for improvement in its assessment framework with the assessment of learning approaches being unclear. Therefore, </w:t>
      </w:r>
      <w:r w:rsidDel="00000000" w:rsidR="00000000" w:rsidRPr="00000000">
        <w:rPr>
          <w:sz w:val="20"/>
          <w:szCs w:val="20"/>
          <w:rtl w:val="0"/>
        </w:rPr>
        <w:t xml:space="preserve">assessment is inherent in the design </w:t>
      </w:r>
      <w:r w:rsidDel="00000000" w:rsidR="00000000" w:rsidRPr="00000000">
        <w:rPr>
          <w:sz w:val="20"/>
          <w:szCs w:val="20"/>
          <w:highlight w:val="white"/>
          <w:rtl w:val="0"/>
        </w:rPr>
        <w:t xml:space="preserve">within the new curriculum being introduced in Wales.</w:t>
      </w:r>
      <w:r w:rsidDel="00000000" w:rsidR="00000000" w:rsidRPr="00000000">
        <w:rPr>
          <w:sz w:val="20"/>
          <w:szCs w:val="20"/>
          <w:rtl w:val="0"/>
        </w:rPr>
        <w:t xml:space="preserve"> With assessment playing an important part in individual learners' progress, learners are able to progress at an appropriate pace whilst being supported and challenged without assessment being used to make a judgment on the achievement of learners at a set age or point in time against criteria (Welsh Government 2020). It is clear that there are links between the Foundation phase and the new curriculum with the concept of children developing at their own pace without the need for age and stage expectations and the need for practitioners to build on the prior knowledge and experience of each child</w:t>
      </w:r>
      <w:r w:rsidDel="00000000" w:rsidR="00000000" w:rsidRPr="00000000">
        <w:rPr>
          <w:highlight w:val="white"/>
          <w:rtl w:val="0"/>
        </w:rPr>
        <w:t xml:space="preserve">. </w:t>
      </w:r>
    </w:p>
    <w:p w:rsidR="00000000" w:rsidDel="00000000" w:rsidP="00000000" w:rsidRDefault="00000000" w:rsidRPr="00000000" w14:paraId="00000038">
      <w:pPr>
        <w:pBdr>
          <w:top w:space="0" w:sz="0" w:val="nil"/>
          <w:left w:space="0" w:sz="0" w:val="nil"/>
          <w:bottom w:space="0" w:sz="0" w:val="nil"/>
          <w:right w:space="0" w:sz="0" w:val="nil"/>
          <w:between w:space="0" w:sz="0" w:val="nil"/>
        </w:pBdr>
        <w:shd w:fill="ffffff" w:val="clear"/>
        <w:spacing w:line="600" w:lineRule="auto"/>
        <w:jc w:val="both"/>
        <w:rPr>
          <w:sz w:val="20"/>
          <w:szCs w:val="20"/>
          <w:highlight w:val="white"/>
        </w:rPr>
      </w:pPr>
      <w:r w:rsidDel="00000000" w:rsidR="00000000" w:rsidRPr="00000000">
        <w:rPr>
          <w:sz w:val="20"/>
          <w:szCs w:val="20"/>
          <w:highlight w:val="white"/>
          <w:rtl w:val="0"/>
        </w:rPr>
        <w:t xml:space="preserve">Furthermore, evidence suggests that in such countries as Scandinavia play and active learning are seen to be a successful way of motivating children’s learning and achievement (Estyn 2009). Equally Finland have been known for their achievements in standardised assessments over the past decade sparking interest amongst educators into how such results are achieved. An explanation for their success could be that  children do not get regularly assessed, do not attend school until they are seven years old, do not receive homework and are not assessed for the first six years of their education (Ashleigh 2020). Hendrickson (2012) explains that the main purpose of assessment in Finland is to improve learning and Finland's high results in standardised assessment is proof that regular testing is not necessary and in fact the pressure of external assessments can prevent development of formative assessment which if used for the purpose of learning produce significant learning achievements. A belief that is shared by McLachlan (2018) who states that although there is evidence to suggest that assessments are effective and form the basis of decision making not all reasons for assessment are positive. However children in Wales participate in national literacy and numeracy tests annually from the age of seven years old. According to Professor Donaldson (2015) Wales are the only country that conducts national tests of this style on an annual basis because there is evidence to suggest that they are a reliable way of assessing children. Most people involved in the review of the foundation phase see the tests as a useful tool for teacher assessment and an effective way to support teaching and learning. Welsh Government (2019) are aware that the national tests have their limits and do not give a full picture of children's strengths and abilities and not all children will perform at their best on the day of the test however they do believe that the national tests provide useful information to teachers and are useful to identify children’s strengths as well as highlight areas where children may need additional support. Nevertheless, this is not a view shared by all teachers and especially young children who believe that their usefulness does not outweigh the disruption they cause to teaching and learning as well as the level of anxiety they cause to some children (Donaldson 2015).</w:t>
      </w:r>
    </w:p>
    <w:p w:rsidR="00000000" w:rsidDel="00000000" w:rsidP="00000000" w:rsidRDefault="00000000" w:rsidRPr="00000000" w14:paraId="00000039">
      <w:pPr>
        <w:pBdr>
          <w:top w:space="0" w:sz="0" w:val="nil"/>
          <w:left w:space="0" w:sz="0" w:val="nil"/>
          <w:bottom w:space="0" w:sz="0" w:val="nil"/>
          <w:right w:space="0" w:sz="0" w:val="nil"/>
          <w:between w:space="0" w:sz="0" w:val="nil"/>
        </w:pBdr>
        <w:shd w:fill="ffffff" w:val="clear"/>
        <w:spacing w:line="600" w:lineRule="auto"/>
        <w:jc w:val="both"/>
        <w:rPr>
          <w:sz w:val="20"/>
          <w:szCs w:val="20"/>
          <w:highlight w:val="white"/>
        </w:rPr>
      </w:pPr>
      <w:r w:rsidDel="00000000" w:rsidR="00000000" w:rsidRPr="00000000">
        <w:rPr>
          <w:sz w:val="20"/>
          <w:szCs w:val="20"/>
          <w:highlight w:val="white"/>
          <w:rtl w:val="0"/>
        </w:rPr>
        <w:t xml:space="preserve">There are alternative ways of assessing early years children without causing anxiety or disruption. According to McLachlan (2018) observations have been a primary way of assessing children in early years settings for many years, however there are a wider range of assessment methods used within primary schools such as baseline assessments. The purpose of the Early years baseline assessments of primary school children is to digitally measure children's progress across their primary years so that schools are held accountable in the future, however baseline assessments have been proven to be highly controversial due to the accountability measure being conducted with children in their first weeks of formal schooling and reducing young children's complex learning to a a number( Roberts-Holmes &amp; Bradbury 2017)</w:t>
      </w:r>
      <w:r w:rsidDel="00000000" w:rsidR="00000000" w:rsidRPr="00000000">
        <w:rPr>
          <w:highlight w:val="white"/>
          <w:rtl w:val="0"/>
        </w:rPr>
        <w:t xml:space="preserve">. </w:t>
      </w:r>
      <w:r w:rsidDel="00000000" w:rsidR="00000000" w:rsidRPr="00000000">
        <w:rPr>
          <w:sz w:val="20"/>
          <w:szCs w:val="20"/>
          <w:highlight w:val="white"/>
          <w:rtl w:val="0"/>
        </w:rPr>
        <w:t xml:space="preserve">Although, according to Standards and Testing Agency (2020) the baseline assessments are used to measure children's progress by the end of key stage two by carrying out an assessment on children in reception as a start point, they are not used as an  assessment to measure children's performance in the early years and do not hold pre school educators accountable.</w:t>
      </w:r>
      <w:r w:rsidDel="00000000" w:rsidR="00000000" w:rsidRPr="00000000">
        <w:rPr>
          <w:color w:val="222222"/>
          <w:sz w:val="20"/>
          <w:szCs w:val="20"/>
          <w:highlight w:val="white"/>
          <w:rtl w:val="0"/>
        </w:rPr>
        <w:t xml:space="preserve"> </w:t>
      </w:r>
      <w:r w:rsidDel="00000000" w:rsidR="00000000" w:rsidRPr="00000000">
        <w:rPr>
          <w:sz w:val="20"/>
          <w:szCs w:val="20"/>
          <w:highlight w:val="white"/>
          <w:rtl w:val="0"/>
        </w:rPr>
        <w:t xml:space="preserve">There have however been concerns over the accuracy of the baseline assessments with less than 8% of teachers surveyed for the national report on the introduction of the baseline assessment believed that the assessments were unfair leaving teachers concerned over the negative impact the assessment may have on children, teachers and schools ( Roberts-Holmes &amp; Bradbury 2017).  Although this may be the case early years children in Wales are assessed through the foundation phase profile which is used as a nationally consistent baseline assessment. This assessment is designed to align with foundation phase end of phase assessment and is compatible with assessments carried out by health care professionals and supports early identification of possible special educational needs and additional learning needs ensuring that support is given to children who need it (Welsh Government 2017). Roberts-Holmes and Bradbury (2017) state that the use of simple yes or no statements within the baseline assessments have a potential negative measurement of what young children in the early years reduce their abilities to a single number with evidence suggesting that baseline assessments have a tendency to under assess and set low expectations of children's abilities. Even so, through the use of observations and formative assessments, the profile supports practitioners to provide a developmentally appropriate holistic curriculum for all children. Equally, Welsh Government (2020) believe that </w:t>
      </w:r>
      <w:r w:rsidDel="00000000" w:rsidR="00000000" w:rsidRPr="00000000">
        <w:rPr>
          <w:sz w:val="20"/>
          <w:szCs w:val="20"/>
          <w:rtl w:val="0"/>
        </w:rPr>
        <w:t xml:space="preserve">assessment requires effective partnerships between practitioners and learners to develop a holistic picture of each individual learner using their strengths and areas of development to progress with teaching and learning. </w:t>
      </w:r>
      <w:r w:rsidDel="00000000" w:rsidR="00000000" w:rsidRPr="00000000">
        <w:rPr>
          <w:sz w:val="20"/>
          <w:szCs w:val="20"/>
          <w:highlight w:val="white"/>
          <w:rtl w:val="0"/>
        </w:rPr>
        <w:t xml:space="preserve">McLachlan et al (2018) believes that observation is a useful tool for teachers and practitioners to learn a great deal about children and give insight into their knowledge as well as their learning process in a way that isn't always possible in other contexts. Agreeably, Rogers and Evans (2017) believe that observation is an effective way of assessing children and a tool for curriculum planning, however for it to be used to its full potential practitioners need time to observe. </w:t>
      </w:r>
    </w:p>
    <w:p w:rsidR="00000000" w:rsidDel="00000000" w:rsidP="00000000" w:rsidRDefault="00000000" w:rsidRPr="00000000" w14:paraId="0000003A">
      <w:pPr>
        <w:pBdr>
          <w:top w:space="0" w:sz="0" w:val="nil"/>
          <w:left w:space="0" w:sz="0" w:val="nil"/>
          <w:bottom w:space="0" w:sz="0" w:val="nil"/>
          <w:right w:space="0" w:sz="0" w:val="nil"/>
          <w:between w:space="0" w:sz="0" w:val="nil"/>
        </w:pBdr>
        <w:shd w:fill="ffffff" w:val="clear"/>
        <w:spacing w:line="600" w:lineRule="auto"/>
        <w:jc w:val="both"/>
        <w:rPr>
          <w:color w:val="222222"/>
          <w:sz w:val="20"/>
          <w:szCs w:val="20"/>
          <w:highlight w:val="white"/>
        </w:rPr>
      </w:pPr>
      <w:r w:rsidDel="00000000" w:rsidR="00000000" w:rsidRPr="00000000">
        <w:rPr>
          <w:sz w:val="20"/>
          <w:szCs w:val="20"/>
          <w:highlight w:val="white"/>
          <w:rtl w:val="0"/>
        </w:rPr>
        <w:t xml:space="preserve">On the whole there are mixed views and opinions on the effectiveness of assessments, even so there is evidence that indicates assessment is an area within education that needs improvement. With 40 % of schools inspected having assessment as a significant area for improvement as well as schools with good overall inspection results having assessment identified as a shortcoming (Donaldson 2015). Notably, MacDonald (2018)</w:t>
      </w:r>
      <w:r w:rsidDel="00000000" w:rsidR="00000000" w:rsidRPr="00000000">
        <w:rPr>
          <w:color w:val="222222"/>
          <w:sz w:val="20"/>
          <w:szCs w:val="20"/>
          <w:highlight w:val="white"/>
          <w:rtl w:val="0"/>
        </w:rPr>
        <w:t xml:space="preserve"> </w:t>
      </w:r>
      <w:r w:rsidDel="00000000" w:rsidR="00000000" w:rsidRPr="00000000">
        <w:rPr>
          <w:sz w:val="20"/>
          <w:szCs w:val="20"/>
          <w:highlight w:val="white"/>
          <w:rtl w:val="0"/>
        </w:rPr>
        <w:t xml:space="preserve">states that Wales were falling below in English, Mathematics and Science compared to World leading countries such as Singapore as well as being the lowest scoring nation in the UK with England, Scotland and Northern Ireland achieving higher scores. This being said, the foundation stage in England is described as being driven by a  desire for a knowledge rich curriculum that was designed as a transition between the early years and key stage one however there are concerns that the end goal of the foundation stage is a small assessment of a child's attainment connected to a best fit with key stage one (Fairchild &amp; Kay 2020). Equally,</w:t>
      </w:r>
      <w:r w:rsidDel="00000000" w:rsidR="00000000" w:rsidRPr="00000000">
        <w:rPr>
          <w:highlight w:val="white"/>
          <w:rtl w:val="0"/>
        </w:rPr>
        <w:t xml:space="preserve"> </w:t>
      </w:r>
      <w:r w:rsidDel="00000000" w:rsidR="00000000" w:rsidRPr="00000000">
        <w:rPr>
          <w:sz w:val="20"/>
          <w:szCs w:val="20"/>
          <w:rtl w:val="0"/>
        </w:rPr>
        <w:t xml:space="preserve">the new curriculum in Wales focuses on each young person as an individual learner and encourages practitioners to identify and reflect on individual learner progress over time as well as understand group progress to reflect on practice. It also places great emphasis on schools and practitioners planning and delivering learning experiences, being clear about the specific role of each assessment and understanding what the information gained from the assessments will be used for and why (Welsh Government 2020).</w:t>
      </w:r>
      <w:r w:rsidDel="00000000" w:rsidR="00000000" w:rsidRPr="00000000">
        <w:rPr>
          <w:color w:val="222222"/>
          <w:sz w:val="20"/>
          <w:szCs w:val="20"/>
          <w:highlight w:val="white"/>
          <w:rtl w:val="0"/>
        </w:rPr>
        <w:t xml:space="preserve"> Evidence shows the success of countries such as Singapore, Finland and New Zealand in assessment results. Their success should inspire countries such as Wales to adapt their use of assessments and style of assessments to improve attainment. According to McLachlan et al (2018) the success of New Zealand in their approaches to assessment is down to the view that they support good assessment practice by recognising the child as a competent and confident learner they work closely with parents and adopt a sociocultural approach to teaching and learning by recognising that society influences children’s learning. </w:t>
      </w:r>
    </w:p>
    <w:p w:rsidR="00000000" w:rsidDel="00000000" w:rsidP="00000000" w:rsidRDefault="00000000" w:rsidRPr="00000000" w14:paraId="0000003B">
      <w:pPr>
        <w:pBdr>
          <w:top w:space="0" w:sz="0" w:val="nil"/>
          <w:left w:space="0" w:sz="0" w:val="nil"/>
          <w:bottom w:space="0" w:sz="0" w:val="nil"/>
          <w:right w:space="0" w:sz="0" w:val="nil"/>
          <w:between w:space="0" w:sz="0" w:val="nil"/>
        </w:pBdr>
        <w:shd w:fill="ffffff" w:val="clear"/>
        <w:spacing w:line="600" w:lineRule="auto"/>
        <w:jc w:val="both"/>
        <w:rPr>
          <w:color w:val="222222"/>
          <w:sz w:val="20"/>
          <w:szCs w:val="20"/>
          <w:highlight w:val="white"/>
        </w:rPr>
      </w:pPr>
      <w:r w:rsidDel="00000000" w:rsidR="00000000" w:rsidRPr="00000000">
        <w:rPr>
          <w:color w:val="222222"/>
          <w:sz w:val="20"/>
          <w:szCs w:val="20"/>
          <w:highlight w:val="white"/>
          <w:rtl w:val="0"/>
        </w:rPr>
        <w:t xml:space="preserve">To conclude all assessments have their benefits as well as their downfalls, they are continuing to develop with improvements needed, Equally more needs to be done to ensure that practitioners are trained and confident to assess. Bonetti and Brown (2018) argue that more efforts have been made over the past few years to understand better practices and formats of Continuing Professional Development with studies showing the need for professional development in order to provide a quality of learning. An important part of the Curriculum for Wales is how practitioners assess learning because it is through assessment that they can ensure that what is taught and how it is taught is supporting learners to progress as well as challenge them (Welsh Government no date). With all this in mind it will be interesting to see the evolution of assessments with the introduction of the new curriculum in Wales.</w:t>
      </w:r>
    </w:p>
    <w:p w:rsidR="00000000" w:rsidDel="00000000" w:rsidP="00000000" w:rsidRDefault="00000000" w:rsidRPr="00000000" w14:paraId="0000003C">
      <w:pPr>
        <w:pBdr>
          <w:top w:space="0" w:sz="0" w:val="nil"/>
          <w:left w:space="0" w:sz="0" w:val="nil"/>
          <w:bottom w:space="0" w:sz="0" w:val="nil"/>
          <w:right w:space="0" w:sz="0" w:val="nil"/>
          <w:between w:space="0" w:sz="0" w:val="nil"/>
        </w:pBdr>
        <w:shd w:fill="ffffff" w:val="clear"/>
        <w:rPr>
          <w:color w:val="222222"/>
          <w:sz w:val="20"/>
          <w:szCs w:val="20"/>
          <w:highlight w:val="white"/>
        </w:rPr>
      </w:pPr>
      <w:r w:rsidDel="00000000" w:rsidR="00000000" w:rsidRPr="00000000">
        <w:rPr>
          <w:rtl w:val="0"/>
        </w:rPr>
      </w:r>
    </w:p>
    <w:p w:rsidR="00000000" w:rsidDel="00000000" w:rsidP="00000000" w:rsidRDefault="00000000" w:rsidRPr="00000000" w14:paraId="0000003D">
      <w:pPr>
        <w:pBdr>
          <w:top w:space="0" w:sz="0" w:val="nil"/>
          <w:left w:space="0" w:sz="0" w:val="nil"/>
          <w:bottom w:space="0" w:sz="0" w:val="nil"/>
          <w:right w:space="0" w:sz="0" w:val="nil"/>
          <w:between w:space="0" w:sz="0" w:val="nil"/>
        </w:pBdr>
        <w:shd w:fill="ffffff" w:val="clear"/>
        <w:rPr>
          <w:color w:val="ff0000"/>
          <w:sz w:val="24"/>
          <w:szCs w:val="24"/>
          <w:highlight w:val="white"/>
        </w:rPr>
      </w:pPr>
      <w:r w:rsidDel="00000000" w:rsidR="00000000" w:rsidRPr="00000000">
        <w:rPr>
          <w:rtl w:val="0"/>
        </w:rPr>
      </w:r>
    </w:p>
    <w:p w:rsidR="00000000" w:rsidDel="00000000" w:rsidP="00000000" w:rsidRDefault="00000000" w:rsidRPr="00000000" w14:paraId="0000003E">
      <w:pPr>
        <w:pBdr>
          <w:top w:space="0" w:sz="0" w:val="nil"/>
          <w:left w:space="0" w:sz="0" w:val="nil"/>
          <w:bottom w:space="0" w:sz="0" w:val="nil"/>
          <w:right w:space="0" w:sz="0" w:val="nil"/>
          <w:between w:space="0" w:sz="0" w:val="nil"/>
        </w:pBdr>
        <w:shd w:fill="ffffff" w:val="clear"/>
        <w:rPr>
          <w:sz w:val="20"/>
          <w:szCs w:val="20"/>
          <w:highlight w:val="white"/>
        </w:rPr>
      </w:pPr>
      <w:r w:rsidDel="00000000" w:rsidR="00000000" w:rsidRPr="00000000">
        <w:rPr>
          <w:rtl w:val="0"/>
        </w:rPr>
      </w:r>
    </w:p>
    <w:p w:rsidR="00000000" w:rsidDel="00000000" w:rsidP="00000000" w:rsidRDefault="00000000" w:rsidRPr="00000000" w14:paraId="0000003F">
      <w:pPr>
        <w:pBdr>
          <w:top w:space="0" w:sz="0" w:val="nil"/>
          <w:left w:space="0" w:sz="0" w:val="nil"/>
          <w:bottom w:space="0" w:sz="0" w:val="nil"/>
          <w:right w:space="0" w:sz="0" w:val="nil"/>
          <w:between w:space="0" w:sz="0" w:val="nil"/>
        </w:pBdr>
        <w:shd w:fill="ffffff" w:val="clear"/>
        <w:rPr>
          <w:color w:val="ff0000"/>
          <w:sz w:val="24"/>
          <w:szCs w:val="24"/>
          <w:highlight w:val="white"/>
        </w:rPr>
      </w:pPr>
      <w:r w:rsidDel="00000000" w:rsidR="00000000" w:rsidRPr="00000000">
        <w:rPr>
          <w:rtl w:val="0"/>
        </w:rPr>
      </w:r>
    </w:p>
    <w:p w:rsidR="00000000" w:rsidDel="00000000" w:rsidP="00000000" w:rsidRDefault="00000000" w:rsidRPr="00000000" w14:paraId="00000040">
      <w:pPr>
        <w:pBdr>
          <w:top w:space="0" w:sz="0" w:val="nil"/>
          <w:left w:space="0" w:sz="0" w:val="nil"/>
          <w:bottom w:space="0" w:sz="0" w:val="nil"/>
          <w:right w:space="0" w:sz="0" w:val="nil"/>
          <w:between w:space="0" w:sz="0" w:val="nil"/>
        </w:pBdr>
        <w:shd w:fill="ffffff" w:val="clear"/>
        <w:rPr>
          <w:color w:val="ff0000"/>
          <w:sz w:val="24"/>
          <w:szCs w:val="24"/>
          <w:highlight w:val="white"/>
        </w:rPr>
      </w:pPr>
      <w:r w:rsidDel="00000000" w:rsidR="00000000" w:rsidRPr="00000000">
        <w:rPr>
          <w:rtl w:val="0"/>
        </w:rPr>
      </w:r>
    </w:p>
    <w:p w:rsidR="00000000" w:rsidDel="00000000" w:rsidP="00000000" w:rsidRDefault="00000000" w:rsidRPr="00000000" w14:paraId="00000041">
      <w:pPr>
        <w:pBdr>
          <w:top w:space="0" w:sz="0" w:val="nil"/>
          <w:left w:space="0" w:sz="0" w:val="nil"/>
          <w:bottom w:space="0" w:sz="0" w:val="nil"/>
          <w:right w:space="0" w:sz="0" w:val="nil"/>
          <w:between w:space="0" w:sz="0" w:val="nil"/>
        </w:pBdr>
        <w:shd w:fill="ffffff" w:val="clear"/>
        <w:rPr>
          <w:color w:val="222222"/>
          <w:sz w:val="20"/>
          <w:szCs w:val="20"/>
          <w:highlight w:val="white"/>
        </w:rPr>
      </w:pPr>
      <w:r w:rsidDel="00000000" w:rsidR="00000000" w:rsidRPr="00000000">
        <w:rPr>
          <w:rtl w:val="0"/>
        </w:rPr>
      </w:r>
    </w:p>
    <w:p w:rsidR="00000000" w:rsidDel="00000000" w:rsidP="00000000" w:rsidRDefault="00000000" w:rsidRPr="00000000" w14:paraId="00000042">
      <w:pPr>
        <w:pBdr>
          <w:top w:space="0" w:sz="0" w:val="nil"/>
          <w:left w:space="0" w:sz="0" w:val="nil"/>
          <w:bottom w:space="0" w:sz="0" w:val="nil"/>
          <w:right w:space="0" w:sz="0" w:val="nil"/>
          <w:between w:space="0" w:sz="0" w:val="nil"/>
        </w:pBdr>
        <w:shd w:fill="ffffff" w:val="clear"/>
        <w:rPr>
          <w:color w:val="ff0000"/>
          <w:sz w:val="24"/>
          <w:szCs w:val="24"/>
          <w:highlight w:val="white"/>
        </w:rPr>
      </w:pPr>
      <w:r w:rsidDel="00000000" w:rsidR="00000000" w:rsidRPr="00000000">
        <w:rPr>
          <w:rtl w:val="0"/>
        </w:rPr>
      </w:r>
    </w:p>
    <w:p w:rsidR="00000000" w:rsidDel="00000000" w:rsidP="00000000" w:rsidRDefault="00000000" w:rsidRPr="00000000" w14:paraId="00000043">
      <w:pPr>
        <w:pBdr>
          <w:top w:space="0" w:sz="0" w:val="nil"/>
          <w:left w:space="0" w:sz="0" w:val="nil"/>
          <w:bottom w:space="0" w:sz="0" w:val="nil"/>
          <w:right w:space="0" w:sz="0" w:val="nil"/>
          <w:between w:space="0" w:sz="0" w:val="nil"/>
        </w:pBdr>
        <w:shd w:fill="ffffff" w:val="clear"/>
        <w:rPr>
          <w:color w:val="ff0000"/>
          <w:sz w:val="24"/>
          <w:szCs w:val="24"/>
          <w:highlight w:val="white"/>
        </w:rPr>
      </w:pPr>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shd w:fill="ffffff" w:val="clear"/>
        <w:rPr>
          <w:color w:val="ff0000"/>
          <w:sz w:val="24"/>
          <w:szCs w:val="24"/>
          <w:highlight w:val="white"/>
        </w:rPr>
      </w:pP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shd w:fill="ffffff" w:val="clear"/>
        <w:rPr>
          <w:color w:val="ff0000"/>
          <w:sz w:val="24"/>
          <w:szCs w:val="24"/>
          <w:highlight w:val="white"/>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hd w:fill="ffffff" w:val="clear"/>
        <w:spacing w:after="0" w:line="600" w:lineRule="auto"/>
        <w:jc w:val="both"/>
        <w:rPr>
          <w:b w:val="1"/>
          <w:sz w:val="20"/>
          <w:szCs w:val="20"/>
          <w:highlight w:val="white"/>
          <w:u w:val="single"/>
        </w:rPr>
      </w:pPr>
      <w:r w:rsidDel="00000000" w:rsidR="00000000" w:rsidRPr="00000000">
        <w:rPr>
          <w:b w:val="1"/>
          <w:sz w:val="20"/>
          <w:szCs w:val="20"/>
          <w:highlight w:val="white"/>
          <w:u w:val="single"/>
          <w:rtl w:val="0"/>
        </w:rPr>
        <w:t xml:space="preserve">How will outdoor play link to the new Curriculum in Wales 2020?</w:t>
      </w:r>
    </w:p>
    <w:p w:rsidR="00000000" w:rsidDel="00000000" w:rsidP="00000000" w:rsidRDefault="00000000" w:rsidRPr="00000000" w14:paraId="00000047">
      <w:pPr>
        <w:pBdr>
          <w:top w:space="0" w:sz="0" w:val="nil"/>
          <w:left w:space="0" w:sz="0" w:val="nil"/>
          <w:bottom w:space="0" w:sz="0" w:val="nil"/>
          <w:right w:space="0" w:sz="0" w:val="nil"/>
          <w:between w:space="0" w:sz="0" w:val="nil"/>
        </w:pBdr>
        <w:shd w:fill="ffffff" w:val="clear"/>
        <w:spacing w:after="0" w:line="600" w:lineRule="auto"/>
        <w:jc w:val="both"/>
        <w:rPr>
          <w:sz w:val="20"/>
          <w:szCs w:val="20"/>
        </w:rPr>
      </w:pPr>
      <w:r w:rsidDel="00000000" w:rsidR="00000000" w:rsidRPr="00000000">
        <w:rPr>
          <w:sz w:val="20"/>
          <w:szCs w:val="20"/>
          <w:highlight w:val="white"/>
          <w:rtl w:val="0"/>
        </w:rPr>
        <w:t xml:space="preserve">Wales are currently undergoing a big change to its national curriculum. According to Power et al (2020) the Curriculum for Wales which is based on the successful futures for all review 2015, is a move away from traditional curriculum's which follow a subject based approach to learning.</w:t>
      </w:r>
      <w:r w:rsidDel="00000000" w:rsidR="00000000" w:rsidRPr="00000000">
        <w:rPr>
          <w:rFonts w:ascii="Merriweather" w:cs="Merriweather" w:eastAsia="Merriweather" w:hAnsi="Merriweather"/>
          <w:sz w:val="20"/>
          <w:szCs w:val="20"/>
          <w:highlight w:val="white"/>
          <w:rtl w:val="0"/>
        </w:rPr>
        <w:t xml:space="preserve"> </w:t>
      </w:r>
      <w:r w:rsidDel="00000000" w:rsidR="00000000" w:rsidRPr="00000000">
        <w:rPr>
          <w:sz w:val="20"/>
          <w:szCs w:val="20"/>
          <w:rtl w:val="0"/>
        </w:rPr>
        <w:t xml:space="preserve">However, according to Nursery World (2019) the curriculum for Wales will still include the principles of the Foundation Phase by continuing its commitment to play. Therefore continuing the play-based curriculum that is already in place. </w:t>
      </w:r>
    </w:p>
    <w:p w:rsidR="00000000" w:rsidDel="00000000" w:rsidP="00000000" w:rsidRDefault="00000000" w:rsidRPr="00000000" w14:paraId="00000048">
      <w:pPr>
        <w:pBdr>
          <w:top w:space="0" w:sz="0" w:val="nil"/>
          <w:left w:space="0" w:sz="0" w:val="nil"/>
          <w:bottom w:space="0" w:sz="0" w:val="nil"/>
          <w:right w:space="0" w:sz="0" w:val="nil"/>
          <w:between w:space="0" w:sz="0" w:val="nil"/>
        </w:pBdr>
        <w:shd w:fill="ffffff" w:val="clear"/>
        <w:spacing w:after="0" w:line="600" w:lineRule="auto"/>
        <w:jc w:val="both"/>
        <w:rPr>
          <w:sz w:val="20"/>
          <w:szCs w:val="20"/>
        </w:rPr>
      </w:pPr>
      <w:r w:rsidDel="00000000" w:rsidR="00000000" w:rsidRPr="00000000">
        <w:rPr>
          <w:sz w:val="20"/>
          <w:szCs w:val="20"/>
          <w:highlight w:val="white"/>
          <w:rtl w:val="0"/>
        </w:rPr>
        <w:t xml:space="preserve">The curriculum for Wales is based around four purposes, these four purposes are a shared vision and aspiration for every child and young person in Wales and should be used as a starting point for schools curriculum design. The aim of schools curriculum is to support its learners to become ambitious, capable learners who are ready to learn throughout their lives as well as being creative contributors that are ready to play a full part in life also being ethical, informed citizens of Wales and lastly healthy confident individuals who are ready to lead fulfilling lives as a member of society (Welsh Government (b) 2020). Although there is no mention of the use of the outdoors in the framework for the curriculum for Wales the outdoors does offer a space and learning opportunities that support the skills and four purposes described within the framework. Under the skill, creativity and innovation, learners should be given the opportunity to be curious and inquisitive and they should be given the space to do so as well as a space to generate many ideas (Welsh Government (b) 2020). The outdoor environment provides children with open space to be creative and a space to gather their thoughts and connect to nature, Agreeably, </w:t>
      </w:r>
      <w:r w:rsidDel="00000000" w:rsidR="00000000" w:rsidRPr="00000000">
        <w:rPr>
          <w:sz w:val="20"/>
          <w:szCs w:val="20"/>
          <w:rtl w:val="0"/>
        </w:rPr>
        <w:t xml:space="preserve">Tovey (2017) states that Froebel argues that all children should have access to a space that they can make their own small worlds a space to support creativity by being able to build a den or a quiet space for instance a comfortable grassy area where a child can find solitude and a space to think. </w:t>
      </w:r>
    </w:p>
    <w:p w:rsidR="00000000" w:rsidDel="00000000" w:rsidP="00000000" w:rsidRDefault="00000000" w:rsidRPr="00000000" w14:paraId="00000049">
      <w:pPr>
        <w:pBdr>
          <w:top w:space="0" w:sz="0" w:val="nil"/>
          <w:left w:space="0" w:sz="0" w:val="nil"/>
          <w:bottom w:space="0" w:sz="0" w:val="nil"/>
          <w:right w:space="0" w:sz="0" w:val="nil"/>
          <w:between w:space="0" w:sz="0" w:val="nil"/>
        </w:pBdr>
        <w:shd w:fill="ffffff" w:val="clear"/>
        <w:spacing w:after="0" w:line="600" w:lineRule="auto"/>
        <w:jc w:val="both"/>
        <w:rPr>
          <w:sz w:val="27"/>
          <w:szCs w:val="27"/>
        </w:rPr>
      </w:pPr>
      <w:r w:rsidDel="00000000" w:rsidR="00000000" w:rsidRPr="00000000">
        <w:rPr>
          <w:sz w:val="20"/>
          <w:szCs w:val="20"/>
          <w:rtl w:val="0"/>
        </w:rPr>
        <w:t xml:space="preserve">As part of the four purposes children are aspiring to be healthy confident individuals who are aware of the impact diet, exercise and mental health has on their daily lives as well as staying informed with ways of support to keep safe and well (welsh Government (b) 2020). Equally, Donaldson (2015) recognised the importance of well-being and mental health as well as the need to care for children and young people's physical and emotional needs with independence, self-reliance and respect being fostered throughout the learning process.The outdoors would be incorporated as part of children’s physical activities and exercise to promote their physical development. However, there is also research that suggests that the outdoor environment is beneficial to mental health. </w:t>
      </w:r>
      <w:r w:rsidDel="00000000" w:rsidR="00000000" w:rsidRPr="00000000">
        <w:rPr>
          <w:sz w:val="20"/>
          <w:szCs w:val="20"/>
          <w:highlight w:val="white"/>
          <w:rtl w:val="0"/>
        </w:rPr>
        <w:t xml:space="preserve">Muñoz (2009) states that exercising outdoors is not only beneficial for physical health it is also associated with greater levels of well-being from exercising in in outdoor spaces that facilitate contact with nature for example there is research to suggest that the use of woodlands has been shown to improve well-being with users referring to them as relaxing spaces. On the other hand, the outdoors provides children with opportunities to learn about nature and the world that we live in through first hand experiences. This supports </w:t>
      </w:r>
      <w:r w:rsidDel="00000000" w:rsidR="00000000" w:rsidRPr="00000000">
        <w:rPr>
          <w:sz w:val="20"/>
          <w:szCs w:val="20"/>
          <w:rtl w:val="0"/>
        </w:rPr>
        <w:t xml:space="preserve">the curriculum for Wales that aims to make learning experienced-based (Nursery World 2019). Froebel believed that a when a child has had the opportunity to care for another living thing such as a plant or a animal that child is more easily led to care for their own life (Tovey 2017). </w:t>
      </w:r>
      <w:r w:rsidDel="00000000" w:rsidR="00000000" w:rsidRPr="00000000">
        <w:rPr>
          <w:rtl w:val="0"/>
        </w:rPr>
      </w:r>
    </w:p>
    <w:p w:rsidR="00000000" w:rsidDel="00000000" w:rsidP="00000000" w:rsidRDefault="00000000" w:rsidRPr="00000000" w14:paraId="0000004A">
      <w:pPr>
        <w:pBdr>
          <w:top w:space="0" w:sz="0" w:val="nil"/>
          <w:left w:space="0" w:sz="0" w:val="nil"/>
          <w:bottom w:space="0" w:sz="0" w:val="nil"/>
          <w:right w:space="0" w:sz="0" w:val="nil"/>
          <w:between w:space="0" w:sz="0" w:val="nil"/>
        </w:pBdr>
        <w:shd w:fill="ffffff" w:val="clear"/>
        <w:spacing w:after="0" w:line="600" w:lineRule="auto"/>
        <w:jc w:val="both"/>
        <w:rPr>
          <w:sz w:val="20"/>
          <w:szCs w:val="20"/>
        </w:rPr>
      </w:pPr>
      <w:r w:rsidDel="00000000" w:rsidR="00000000" w:rsidRPr="00000000">
        <w:rPr>
          <w:sz w:val="20"/>
          <w:szCs w:val="20"/>
          <w:rtl w:val="0"/>
        </w:rPr>
        <w:t xml:space="preserve">The curriculum for Wales is a cross-curricular approach to learning with the mandatory cross-curricular skills of literacy, numeracy and digital competence being essential to all learning. According to Welsh Government (2020 b) learners should be given the opportunity to develop, extend and apply the mandatory cross-curricular skills and rather than practitioners planning for these skills individually, they should be embedded across the curriculum. According to Welsh Government (2017) practitioners are encouraged to integrate literacy and numeracy into their continuous, enhanced and focused provision both indoor and outdoors as part of the National  Literacy and Numeracy Framework. Therefore, it is possible to incorporate the cross-curricula approach outdoors. Froebel believed that the outdoor provides children with open-ended materials that allow children to explore different areas of meaning, he referred to these as forms of knowledge, life and beauty and they may represent aspects of knowledge such as mathematical understanding, scientific understanding or aesthetic aspects such as pattern and symmetry (Tovey 2017 ). </w:t>
      </w:r>
    </w:p>
    <w:p w:rsidR="00000000" w:rsidDel="00000000" w:rsidP="00000000" w:rsidRDefault="00000000" w:rsidRPr="00000000" w14:paraId="0000004B">
      <w:pPr>
        <w:pBdr>
          <w:top w:space="0" w:sz="0" w:val="nil"/>
          <w:left w:space="0" w:sz="0" w:val="nil"/>
          <w:bottom w:space="0" w:sz="0" w:val="nil"/>
          <w:right w:space="0" w:sz="0" w:val="nil"/>
          <w:between w:space="0" w:sz="0" w:val="nil"/>
        </w:pBdr>
        <w:shd w:fill="ffffff" w:val="clear"/>
        <w:spacing w:after="0" w:line="600" w:lineRule="auto"/>
        <w:jc w:val="both"/>
        <w:rPr>
          <w:sz w:val="20"/>
          <w:szCs w:val="20"/>
          <w:highlight w:val="white"/>
        </w:rPr>
      </w:pPr>
      <w:r w:rsidDel="00000000" w:rsidR="00000000" w:rsidRPr="00000000">
        <w:rPr>
          <w:sz w:val="20"/>
          <w:szCs w:val="20"/>
          <w:rtl w:val="0"/>
        </w:rPr>
        <w:t xml:space="preserve">To summarise the outdoors will still be a contributing factor to the curriculum for Wales and links to many of its skills and also to the four purposes. According to the </w:t>
      </w:r>
      <w:r w:rsidDel="00000000" w:rsidR="00000000" w:rsidRPr="00000000">
        <w:rPr>
          <w:sz w:val="20"/>
          <w:szCs w:val="20"/>
          <w:highlight w:val="white"/>
          <w:rtl w:val="0"/>
        </w:rPr>
        <w:t xml:space="preserve">Welsh Government (no date) the curriculum is a learners' experiences in their journey to achieving the four purposes and it is not what is taught or how it is taught but it is why it is taught. </w:t>
      </w:r>
      <w:r w:rsidDel="00000000" w:rsidR="00000000" w:rsidRPr="00000000">
        <w:rPr>
          <w:rFonts w:ascii="Calibri" w:cs="Calibri" w:eastAsia="Calibri" w:hAnsi="Calibri"/>
          <w:sz w:val="20"/>
          <w:szCs w:val="20"/>
          <w:rtl w:val="0"/>
        </w:rPr>
        <w:t xml:space="preserve">According to Tovey (2017) Outdoor play has been a feature of early years provision for many years. Therefore it is down to the individual schools and learners to incorporate the outdoors within their curriculum. </w:t>
      </w:r>
      <w:r w:rsidDel="00000000" w:rsidR="00000000" w:rsidRPr="00000000">
        <w:rPr>
          <w:rtl w:val="0"/>
        </w:rPr>
      </w:r>
    </w:p>
    <w:p w:rsidR="00000000" w:rsidDel="00000000" w:rsidP="00000000" w:rsidRDefault="00000000" w:rsidRPr="00000000" w14:paraId="0000004C">
      <w:pPr>
        <w:pBdr>
          <w:top w:space="0" w:sz="0" w:val="nil"/>
          <w:left w:space="0" w:sz="0" w:val="nil"/>
          <w:bottom w:space="0" w:sz="0" w:val="nil"/>
          <w:right w:space="0" w:sz="0" w:val="nil"/>
          <w:between w:space="0" w:sz="0" w:val="nil"/>
        </w:pBdr>
        <w:shd w:fill="ffffff" w:val="clear"/>
        <w:spacing w:after="400" w:line="360" w:lineRule="auto"/>
        <w:rPr>
          <w:color w:val="1f1f1f"/>
          <w:sz w:val="20"/>
          <w:szCs w:val="20"/>
          <w:highlight w:val="white"/>
        </w:rPr>
      </w:pPr>
      <w:r w:rsidDel="00000000" w:rsidR="00000000" w:rsidRPr="00000000">
        <w:rPr>
          <w:rtl w:val="0"/>
        </w:rPr>
      </w:r>
    </w:p>
    <w:p w:rsidR="00000000" w:rsidDel="00000000" w:rsidP="00000000" w:rsidRDefault="00000000" w:rsidRPr="00000000" w14:paraId="0000004D">
      <w:pPr>
        <w:pBdr>
          <w:top w:space="0" w:sz="0" w:val="nil"/>
          <w:left w:space="0" w:sz="0" w:val="nil"/>
          <w:bottom w:space="0" w:sz="0" w:val="nil"/>
          <w:right w:space="0" w:sz="0" w:val="nil"/>
          <w:between w:space="0" w:sz="0" w:val="nil"/>
        </w:pBdr>
        <w:shd w:fill="ffffff" w:val="clear"/>
        <w:spacing w:after="400" w:line="360" w:lineRule="auto"/>
        <w:rPr>
          <w:color w:val="1f1f1f"/>
          <w:sz w:val="20"/>
          <w:szCs w:val="20"/>
          <w:highlight w:val="white"/>
        </w:rPr>
      </w:pPr>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shd w:fill="ffffff" w:val="clear"/>
        <w:spacing w:line="360" w:lineRule="auto"/>
        <w:rPr>
          <w:b w:val="1"/>
          <w:color w:val="1f1f1f"/>
          <w:sz w:val="24"/>
          <w:szCs w:val="24"/>
          <w:highlight w:val="white"/>
          <w:u w:val="single"/>
        </w:rPr>
      </w:pPr>
      <w:r w:rsidDel="00000000" w:rsidR="00000000" w:rsidRPr="00000000">
        <w:rPr>
          <w:rtl w:val="0"/>
        </w:rPr>
      </w:r>
    </w:p>
    <w:p w:rsidR="00000000" w:rsidDel="00000000" w:rsidP="00000000" w:rsidRDefault="00000000" w:rsidRPr="00000000" w14:paraId="0000004F">
      <w:pPr>
        <w:pBdr>
          <w:top w:space="0" w:sz="0" w:val="nil"/>
          <w:left w:space="0" w:sz="0" w:val="nil"/>
          <w:bottom w:space="0" w:sz="0" w:val="nil"/>
          <w:right w:space="0" w:sz="0" w:val="nil"/>
          <w:between w:space="0" w:sz="0" w:val="nil"/>
        </w:pBdr>
        <w:shd w:fill="ffffff" w:val="clear"/>
        <w:spacing w:line="360" w:lineRule="auto"/>
        <w:ind w:left="720" w:firstLine="0"/>
        <w:rPr>
          <w:b w:val="1"/>
          <w:color w:val="1f1f1f"/>
          <w:sz w:val="24"/>
          <w:szCs w:val="24"/>
          <w:highlight w:val="white"/>
          <w:u w:val="single"/>
        </w:rPr>
      </w:pPr>
      <w:r w:rsidDel="00000000" w:rsidR="00000000" w:rsidRPr="00000000">
        <w:rPr>
          <w:rtl w:val="0"/>
        </w:rPr>
      </w:r>
    </w:p>
    <w:p w:rsidR="00000000" w:rsidDel="00000000" w:rsidP="00000000" w:rsidRDefault="00000000" w:rsidRPr="00000000" w14:paraId="00000050">
      <w:pPr>
        <w:pBdr>
          <w:top w:space="0" w:sz="0" w:val="nil"/>
          <w:left w:space="0" w:sz="0" w:val="nil"/>
          <w:bottom w:space="0" w:sz="0" w:val="nil"/>
          <w:right w:space="0" w:sz="0" w:val="nil"/>
          <w:between w:space="0" w:sz="0" w:val="nil"/>
        </w:pBdr>
        <w:shd w:fill="ffffff" w:val="clear"/>
        <w:spacing w:after="400" w:line="360" w:lineRule="auto"/>
        <w:rPr>
          <w:b w:val="1"/>
          <w:color w:val="1f1f1f"/>
          <w:sz w:val="27"/>
          <w:szCs w:val="27"/>
          <w:highlight w:val="white"/>
          <w:u w:val="single"/>
        </w:rPr>
      </w:pPr>
      <w:r w:rsidDel="00000000" w:rsidR="00000000" w:rsidRPr="00000000">
        <w:rPr>
          <w:rtl w:val="0"/>
        </w:rPr>
      </w:r>
    </w:p>
    <w:p w:rsidR="00000000" w:rsidDel="00000000" w:rsidP="00000000" w:rsidRDefault="00000000" w:rsidRPr="00000000" w14:paraId="00000051">
      <w:pPr>
        <w:pBdr>
          <w:top w:space="0" w:sz="0" w:val="nil"/>
          <w:left w:space="0" w:sz="0" w:val="nil"/>
          <w:bottom w:space="0" w:sz="0" w:val="nil"/>
          <w:right w:space="0" w:sz="0" w:val="nil"/>
          <w:between w:space="0" w:sz="0" w:val="nil"/>
        </w:pBdr>
        <w:shd w:fill="ffffff" w:val="clear"/>
        <w:spacing w:after="400" w:line="360" w:lineRule="auto"/>
        <w:rPr>
          <w:b w:val="1"/>
          <w:color w:val="1f1f1f"/>
          <w:sz w:val="27"/>
          <w:szCs w:val="27"/>
          <w:highlight w:val="white"/>
          <w:u w:val="single"/>
        </w:rPr>
      </w:pPr>
      <w:r w:rsidDel="00000000" w:rsidR="00000000" w:rsidRPr="00000000">
        <w:rPr>
          <w:rtl w:val="0"/>
        </w:rPr>
      </w:r>
    </w:p>
    <w:p w:rsidR="00000000" w:rsidDel="00000000" w:rsidP="00000000" w:rsidRDefault="00000000" w:rsidRPr="00000000" w14:paraId="00000052">
      <w:pPr>
        <w:pBdr>
          <w:top w:space="0" w:sz="0" w:val="nil"/>
          <w:left w:space="0" w:sz="0" w:val="nil"/>
          <w:bottom w:space="0" w:sz="0" w:val="nil"/>
          <w:right w:space="0" w:sz="0" w:val="nil"/>
          <w:between w:space="0" w:sz="0" w:val="nil"/>
        </w:pBdr>
        <w:shd w:fill="ffffff" w:val="clear"/>
        <w:rPr>
          <w:sz w:val="20"/>
          <w:szCs w:val="20"/>
          <w:highlight w:val="white"/>
        </w:rPr>
      </w:pPr>
      <w:r w:rsidDel="00000000" w:rsidR="00000000" w:rsidRPr="00000000">
        <w:rPr>
          <w:rtl w:val="0"/>
        </w:rPr>
      </w:r>
    </w:p>
    <w:p w:rsidR="00000000" w:rsidDel="00000000" w:rsidP="00000000" w:rsidRDefault="00000000" w:rsidRPr="00000000" w14:paraId="00000053">
      <w:pPr>
        <w:pBdr>
          <w:top w:space="0" w:sz="0" w:val="nil"/>
          <w:left w:space="0" w:sz="0" w:val="nil"/>
          <w:bottom w:space="0" w:sz="0" w:val="nil"/>
          <w:right w:space="0" w:sz="0" w:val="nil"/>
          <w:between w:space="0" w:sz="0" w:val="nil"/>
        </w:pBdr>
        <w:shd w:fill="ffffff" w:val="clear"/>
        <w:rPr>
          <w:color w:val="274e13"/>
          <w:sz w:val="24"/>
          <w:szCs w:val="24"/>
          <w:highlight w:val="white"/>
        </w:rPr>
      </w:pPr>
      <w:r w:rsidDel="00000000" w:rsidR="00000000" w:rsidRPr="00000000">
        <w:rPr>
          <w:rtl w:val="0"/>
        </w:rPr>
      </w:r>
    </w:p>
    <w:p w:rsidR="00000000" w:rsidDel="00000000" w:rsidP="00000000" w:rsidRDefault="00000000" w:rsidRPr="00000000" w14:paraId="00000054">
      <w:pPr>
        <w:pBdr>
          <w:top w:space="0" w:sz="0" w:val="nil"/>
          <w:left w:space="0" w:sz="0" w:val="nil"/>
          <w:bottom w:space="0" w:sz="0" w:val="nil"/>
          <w:right w:space="0" w:sz="0" w:val="nil"/>
          <w:between w:space="0" w:sz="0" w:val="nil"/>
        </w:pBdr>
        <w:shd w:fill="ffffff" w:val="clea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55">
      <w:pPr>
        <w:pBdr>
          <w:top w:space="0" w:sz="0" w:val="nil"/>
          <w:left w:space="0" w:sz="0" w:val="nil"/>
          <w:bottom w:space="0" w:sz="0" w:val="nil"/>
          <w:right w:space="0" w:sz="0" w:val="nil"/>
          <w:between w:space="0" w:sz="0" w:val="nil"/>
        </w:pBdr>
        <w:shd w:fill="ffffff" w:val="clear"/>
        <w:rPr>
          <w:sz w:val="20"/>
          <w:szCs w:val="20"/>
        </w:rPr>
      </w:pPr>
      <w:r w:rsidDel="00000000" w:rsidR="00000000" w:rsidRPr="00000000">
        <w:rPr>
          <w:rtl w:val="0"/>
        </w:rPr>
      </w:r>
    </w:p>
    <w:p w:rsidR="00000000" w:rsidDel="00000000" w:rsidP="00000000" w:rsidRDefault="00000000" w:rsidRPr="00000000" w14:paraId="00000056">
      <w:pPr>
        <w:pBdr>
          <w:top w:space="0" w:sz="0" w:val="nil"/>
          <w:left w:space="0" w:sz="0" w:val="nil"/>
          <w:bottom w:space="0" w:sz="0" w:val="nil"/>
          <w:right w:space="0" w:sz="0" w:val="nil"/>
          <w:between w:space="0" w:sz="0" w:val="nil"/>
        </w:pBdr>
        <w:shd w:fill="ffffff" w:val="clear"/>
        <w:rPr>
          <w:sz w:val="20"/>
          <w:szCs w:val="20"/>
        </w:rPr>
      </w:pPr>
      <w:r w:rsidDel="00000000" w:rsidR="00000000" w:rsidRPr="00000000">
        <w:rPr>
          <w:rtl w:val="0"/>
        </w:rPr>
      </w:r>
    </w:p>
    <w:p w:rsidR="00000000" w:rsidDel="00000000" w:rsidP="00000000" w:rsidRDefault="00000000" w:rsidRPr="00000000" w14:paraId="00000057">
      <w:pPr>
        <w:pBdr>
          <w:top w:space="0" w:sz="0" w:val="nil"/>
          <w:left w:space="0" w:sz="0" w:val="nil"/>
          <w:bottom w:space="0" w:sz="0" w:val="nil"/>
          <w:right w:space="0" w:sz="0" w:val="nil"/>
          <w:between w:space="0" w:sz="0" w:val="nil"/>
        </w:pBdr>
        <w:shd w:fill="ffffff" w:val="clear"/>
        <w:spacing w:after="300" w:lineRule="auto"/>
        <w:rPr>
          <w:sz w:val="20"/>
          <w:szCs w:val="20"/>
        </w:rPr>
      </w:pPr>
      <w:r w:rsidDel="00000000" w:rsidR="00000000" w:rsidRPr="00000000">
        <w:rPr>
          <w:rtl w:val="0"/>
        </w:rPr>
      </w:r>
    </w:p>
    <w:p w:rsidR="00000000" w:rsidDel="00000000" w:rsidP="00000000" w:rsidRDefault="00000000" w:rsidRPr="00000000" w14:paraId="00000058">
      <w:pPr>
        <w:pBdr>
          <w:top w:space="0" w:sz="0" w:val="nil"/>
          <w:left w:space="0" w:sz="0" w:val="nil"/>
          <w:bottom w:space="0" w:sz="0" w:val="nil"/>
          <w:right w:space="0" w:sz="0" w:val="nil"/>
          <w:between w:space="0" w:sz="0" w:val="nil"/>
        </w:pBdr>
        <w:shd w:fill="ffffff" w:val="clear"/>
        <w:rPr>
          <w:sz w:val="20"/>
          <w:szCs w:val="20"/>
        </w:rPr>
      </w:pPr>
      <w:r w:rsidDel="00000000" w:rsidR="00000000" w:rsidRPr="00000000">
        <w:rPr>
          <w:sz w:val="20"/>
          <w:szCs w:val="20"/>
          <w:rtl w:val="0"/>
        </w:rPr>
        <w:t xml:space="preserve"> </w:t>
      </w:r>
    </w:p>
    <w:p w:rsidR="00000000" w:rsidDel="00000000" w:rsidP="00000000" w:rsidRDefault="00000000" w:rsidRPr="00000000" w14:paraId="00000059">
      <w:pPr>
        <w:pBdr>
          <w:top w:space="0" w:sz="0" w:val="nil"/>
          <w:left w:space="0" w:sz="0" w:val="nil"/>
          <w:bottom w:space="0" w:sz="0" w:val="nil"/>
          <w:right w:space="0" w:sz="0" w:val="nil"/>
          <w:between w:space="0" w:sz="0" w:val="nil"/>
        </w:pBdr>
        <w:shd w:fill="ffffff" w:val="clear"/>
        <w:rPr>
          <w:color w:val="333333"/>
          <w:sz w:val="20"/>
          <w:szCs w:val="20"/>
        </w:rPr>
      </w:pPr>
      <w:r w:rsidDel="00000000" w:rsidR="00000000" w:rsidRPr="00000000">
        <w:rPr>
          <w:rtl w:val="0"/>
        </w:rPr>
      </w:r>
    </w:p>
    <w:p w:rsidR="00000000" w:rsidDel="00000000" w:rsidP="00000000" w:rsidRDefault="00000000" w:rsidRPr="00000000" w14:paraId="0000005A">
      <w:pPr>
        <w:pBdr>
          <w:top w:space="0" w:sz="0" w:val="nil"/>
          <w:left w:space="0" w:sz="0" w:val="nil"/>
          <w:bottom w:space="0" w:sz="0" w:val="nil"/>
          <w:right w:space="0" w:sz="0" w:val="nil"/>
          <w:between w:space="0" w:sz="0" w:val="nil"/>
        </w:pBdr>
        <w:shd w:fill="ffffff" w:val="clea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5B">
      <w:pPr>
        <w:pBdr>
          <w:top w:space="0" w:sz="0" w:val="nil"/>
          <w:left w:space="0" w:sz="0" w:val="nil"/>
          <w:bottom w:space="0" w:sz="0" w:val="nil"/>
          <w:right w:space="0" w:sz="0" w:val="nil"/>
          <w:between w:space="0" w:sz="0" w:val="nil"/>
        </w:pBdr>
        <w:shd w:fill="ffffff" w:val="clea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5C">
      <w:pPr>
        <w:spacing w:line="360" w:lineRule="auto"/>
        <w:jc w:val="center"/>
        <w:rPr>
          <w:b w:val="1"/>
          <w:sz w:val="20"/>
          <w:szCs w:val="20"/>
          <w:u w:val="single"/>
        </w:rPr>
      </w:pPr>
      <w:r w:rsidDel="00000000" w:rsidR="00000000" w:rsidRPr="00000000">
        <w:rPr>
          <w:b w:val="1"/>
          <w:sz w:val="20"/>
          <w:szCs w:val="20"/>
          <w:u w:val="single"/>
          <w:rtl w:val="0"/>
        </w:rPr>
        <w:t xml:space="preserve">Reference List</w:t>
      </w:r>
    </w:p>
    <w:p w:rsidR="00000000" w:rsidDel="00000000" w:rsidP="00000000" w:rsidRDefault="00000000" w:rsidRPr="00000000" w14:paraId="0000005D">
      <w:pPr>
        <w:spacing w:line="360" w:lineRule="auto"/>
        <w:jc w:val="both"/>
        <w:rPr>
          <w:b w:val="1"/>
          <w:sz w:val="20"/>
          <w:szCs w:val="20"/>
          <w:u w:val="single"/>
        </w:rPr>
      </w:pPr>
      <w:r w:rsidDel="00000000" w:rsidR="00000000" w:rsidRPr="00000000">
        <w:rPr>
          <w:rtl w:val="0"/>
        </w:rPr>
      </w:r>
    </w:p>
    <w:p w:rsidR="00000000" w:rsidDel="00000000" w:rsidP="00000000" w:rsidRDefault="00000000" w:rsidRPr="00000000" w14:paraId="0000005E">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sz w:val="20"/>
          <w:szCs w:val="20"/>
          <w:highlight w:val="white"/>
          <w:rtl w:val="0"/>
        </w:rPr>
        <w:t xml:space="preserve">Ashleigh, F., (2020). Not All Finns Think Alike: Varying Views of Assessment in Finland. </w:t>
      </w:r>
      <w:r w:rsidDel="00000000" w:rsidR="00000000" w:rsidRPr="00000000">
        <w:rPr>
          <w:i w:val="1"/>
          <w:sz w:val="20"/>
          <w:szCs w:val="20"/>
          <w:highlight w:val="white"/>
          <w:rtl w:val="0"/>
        </w:rPr>
        <w:t xml:space="preserve">International Education Studies</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13</w:t>
      </w:r>
      <w:r w:rsidDel="00000000" w:rsidR="00000000" w:rsidRPr="00000000">
        <w:rPr>
          <w:sz w:val="20"/>
          <w:szCs w:val="20"/>
          <w:highlight w:val="white"/>
          <w:rtl w:val="0"/>
        </w:rPr>
        <w:t xml:space="preserve">(1), pp.1-10.</w:t>
      </w:r>
    </w:p>
    <w:p w:rsidR="00000000" w:rsidDel="00000000" w:rsidP="00000000" w:rsidRDefault="00000000" w:rsidRPr="00000000" w14:paraId="0000005F">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60">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sz w:val="20"/>
          <w:szCs w:val="20"/>
          <w:highlight w:val="white"/>
          <w:rtl w:val="0"/>
        </w:rPr>
        <w:t xml:space="preserve">Bonetti. S,. &amp; Brown. K. (2018) Structural elements of quality early years provision: A review of the evidence. ISBN: 978-1-909274-56-3</w:t>
      </w:r>
    </w:p>
    <w:p w:rsidR="00000000" w:rsidDel="00000000" w:rsidP="00000000" w:rsidRDefault="00000000" w:rsidRPr="00000000" w14:paraId="00000061">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62">
      <w:pPr>
        <w:spacing w:line="360" w:lineRule="auto"/>
        <w:jc w:val="both"/>
        <w:rPr>
          <w:sz w:val="20"/>
          <w:szCs w:val="20"/>
          <w:highlight w:val="white"/>
        </w:rPr>
      </w:pPr>
      <w:r w:rsidDel="00000000" w:rsidR="00000000" w:rsidRPr="00000000">
        <w:rPr>
          <w:sz w:val="20"/>
          <w:szCs w:val="20"/>
          <w:highlight w:val="white"/>
          <w:rtl w:val="0"/>
        </w:rPr>
        <w:t xml:space="preserve">Department of Education. (2012). </w:t>
      </w:r>
      <w:r w:rsidDel="00000000" w:rsidR="00000000" w:rsidRPr="00000000">
        <w:rPr>
          <w:sz w:val="20"/>
          <w:szCs w:val="20"/>
          <w:rtl w:val="0"/>
        </w:rPr>
        <w:t xml:space="preserve">EYFS 2012: a summary of the key reforms. </w:t>
      </w:r>
      <w:r w:rsidDel="00000000" w:rsidR="00000000" w:rsidRPr="00000000">
        <w:rPr>
          <w:sz w:val="20"/>
          <w:szCs w:val="20"/>
          <w:highlight w:val="white"/>
          <w:rtl w:val="0"/>
        </w:rPr>
        <w:t xml:space="preserve">Available at : </w:t>
      </w:r>
      <w:hyperlink r:id="rId6">
        <w:r w:rsidDel="00000000" w:rsidR="00000000" w:rsidRPr="00000000">
          <w:rPr>
            <w:sz w:val="20"/>
            <w:szCs w:val="20"/>
            <w:highlight w:val="white"/>
            <w:u w:val="single"/>
            <w:rtl w:val="0"/>
          </w:rPr>
          <w:t xml:space="preserve">https://www.foundationyears.org.uk/wp-content/uploads/2012/07/Overall-Reforms-to-the-2012-EYFS-Framework.pdf</w:t>
        </w:r>
      </w:hyperlink>
      <w:r w:rsidDel="00000000" w:rsidR="00000000" w:rsidRPr="00000000">
        <w:rPr>
          <w:rtl w:val="0"/>
        </w:rPr>
      </w:r>
    </w:p>
    <w:p w:rsidR="00000000" w:rsidDel="00000000" w:rsidP="00000000" w:rsidRDefault="00000000" w:rsidRPr="00000000" w14:paraId="00000063">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64">
      <w:pPr>
        <w:spacing w:line="360" w:lineRule="auto"/>
        <w:jc w:val="both"/>
        <w:rPr>
          <w:sz w:val="20"/>
          <w:szCs w:val="20"/>
          <w:highlight w:val="white"/>
        </w:rPr>
      </w:pPr>
      <w:r w:rsidDel="00000000" w:rsidR="00000000" w:rsidRPr="00000000">
        <w:rPr>
          <w:sz w:val="20"/>
          <w:szCs w:val="20"/>
          <w:highlight w:val="white"/>
          <w:rtl w:val="0"/>
        </w:rPr>
        <w:t xml:space="preserve">Department of Education. (2017). Statutory framework for the early years foundation stage. </w:t>
      </w:r>
      <w:r w:rsidDel="00000000" w:rsidR="00000000" w:rsidRPr="00000000">
        <w:rPr>
          <w:i w:val="1"/>
          <w:sz w:val="20"/>
          <w:szCs w:val="20"/>
          <w:highlight w:val="white"/>
          <w:rtl w:val="0"/>
        </w:rPr>
        <w:t xml:space="preserve">Setting the standards for learning, development and care for children from birth to five</w:t>
      </w:r>
      <w:r w:rsidDel="00000000" w:rsidR="00000000" w:rsidRPr="00000000">
        <w:rPr>
          <w:sz w:val="20"/>
          <w:szCs w:val="20"/>
          <w:highlight w:val="white"/>
          <w:rtl w:val="0"/>
        </w:rPr>
        <w:t xml:space="preserve">.</w:t>
      </w:r>
    </w:p>
    <w:p w:rsidR="00000000" w:rsidDel="00000000" w:rsidP="00000000" w:rsidRDefault="00000000" w:rsidRPr="00000000" w14:paraId="00000065">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66">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sz w:val="20"/>
          <w:szCs w:val="20"/>
          <w:highlight w:val="white"/>
          <w:rtl w:val="0"/>
        </w:rPr>
        <w:t xml:space="preserve">Donaldson. G., (2015). Successful Futures. </w:t>
      </w:r>
      <w:r w:rsidDel="00000000" w:rsidR="00000000" w:rsidRPr="00000000">
        <w:rPr>
          <w:i w:val="1"/>
          <w:sz w:val="20"/>
          <w:szCs w:val="20"/>
          <w:highlight w:val="white"/>
          <w:rtl w:val="0"/>
        </w:rPr>
        <w:t xml:space="preserve">Independent Review of Curriculum and Assessment Arrangements in Wales. </w:t>
      </w:r>
      <w:r w:rsidDel="00000000" w:rsidR="00000000" w:rsidRPr="00000000">
        <w:rPr>
          <w:sz w:val="20"/>
          <w:szCs w:val="20"/>
          <w:highlight w:val="white"/>
          <w:rtl w:val="0"/>
        </w:rPr>
        <w:t xml:space="preserve">Available at: </w:t>
      </w:r>
      <w:hyperlink r:id="rId7">
        <w:r w:rsidDel="00000000" w:rsidR="00000000" w:rsidRPr="00000000">
          <w:rPr>
            <w:sz w:val="20"/>
            <w:szCs w:val="20"/>
            <w:highlight w:val="white"/>
            <w:u w:val="single"/>
            <w:rtl w:val="0"/>
          </w:rPr>
          <w:t xml:space="preserve">https://gov.wales/sites/default/files/publications/2018-03/successful-futures.pdf</w:t>
        </w:r>
      </w:hyperlink>
      <w:r w:rsidDel="00000000" w:rsidR="00000000" w:rsidRPr="00000000">
        <w:rPr>
          <w:sz w:val="20"/>
          <w:szCs w:val="20"/>
          <w:highlight w:val="white"/>
          <w:rtl w:val="0"/>
        </w:rPr>
        <w:t xml:space="preserve"> (Accessed: 15th March 2021).</w:t>
      </w:r>
    </w:p>
    <w:p w:rsidR="00000000" w:rsidDel="00000000" w:rsidP="00000000" w:rsidRDefault="00000000" w:rsidRPr="00000000" w14:paraId="00000067">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68">
      <w:pPr>
        <w:spacing w:line="360" w:lineRule="auto"/>
        <w:jc w:val="both"/>
        <w:rPr>
          <w:i w:val="1"/>
          <w:sz w:val="20"/>
          <w:szCs w:val="20"/>
          <w:highlight w:val="white"/>
        </w:rPr>
      </w:pPr>
      <w:r w:rsidDel="00000000" w:rsidR="00000000" w:rsidRPr="00000000">
        <w:rPr>
          <w:sz w:val="20"/>
          <w:szCs w:val="20"/>
          <w:highlight w:val="white"/>
          <w:rtl w:val="0"/>
        </w:rPr>
        <w:t xml:space="preserve">Estyn., (2009). Play and active Learning. </w:t>
      </w:r>
      <w:r w:rsidDel="00000000" w:rsidR="00000000" w:rsidRPr="00000000">
        <w:rPr>
          <w:i w:val="1"/>
          <w:sz w:val="20"/>
          <w:szCs w:val="20"/>
          <w:highlight w:val="white"/>
          <w:rtl w:val="0"/>
        </w:rPr>
        <w:t xml:space="preserve">A tool kit for Foundation Phase Practitioners.</w:t>
      </w:r>
    </w:p>
    <w:p w:rsidR="00000000" w:rsidDel="00000000" w:rsidP="00000000" w:rsidRDefault="00000000" w:rsidRPr="00000000" w14:paraId="00000069">
      <w:pPr>
        <w:spacing w:line="360" w:lineRule="auto"/>
        <w:jc w:val="both"/>
        <w:rPr>
          <w:i w:val="1"/>
          <w:sz w:val="20"/>
          <w:szCs w:val="20"/>
          <w:highlight w:val="white"/>
        </w:rPr>
      </w:pPr>
      <w:r w:rsidDel="00000000" w:rsidR="00000000" w:rsidRPr="00000000">
        <w:rPr>
          <w:rtl w:val="0"/>
        </w:rPr>
      </w:r>
    </w:p>
    <w:p w:rsidR="00000000" w:rsidDel="00000000" w:rsidP="00000000" w:rsidRDefault="00000000" w:rsidRPr="00000000" w14:paraId="0000006A">
      <w:pPr>
        <w:spacing w:line="360" w:lineRule="auto"/>
        <w:jc w:val="both"/>
        <w:rPr>
          <w:sz w:val="20"/>
          <w:szCs w:val="20"/>
          <w:highlight w:val="white"/>
        </w:rPr>
      </w:pPr>
      <w:r w:rsidDel="00000000" w:rsidR="00000000" w:rsidRPr="00000000">
        <w:rPr>
          <w:sz w:val="20"/>
          <w:szCs w:val="20"/>
          <w:highlight w:val="white"/>
          <w:rtl w:val="0"/>
        </w:rPr>
        <w:t xml:space="preserve">Fairchild. N. &amp; Kay. L. (2021) The early years foundation stage: Challenges and Opportunities.</w:t>
      </w:r>
    </w:p>
    <w:p w:rsidR="00000000" w:rsidDel="00000000" w:rsidP="00000000" w:rsidRDefault="00000000" w:rsidRPr="00000000" w14:paraId="0000006B">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6C">
      <w:pPr>
        <w:spacing w:line="360" w:lineRule="auto"/>
        <w:jc w:val="both"/>
        <w:rPr>
          <w:sz w:val="20"/>
          <w:szCs w:val="20"/>
          <w:highlight w:val="white"/>
        </w:rPr>
      </w:pPr>
      <w:r w:rsidDel="00000000" w:rsidR="00000000" w:rsidRPr="00000000">
        <w:rPr>
          <w:sz w:val="20"/>
          <w:szCs w:val="20"/>
          <w:highlight w:val="white"/>
          <w:rtl w:val="0"/>
        </w:rPr>
        <w:t xml:space="preserve">Gabriel, N., 2021. Beyond ‘developmentalism’: A relational and embodied approach to young children's development. </w:t>
      </w:r>
      <w:r w:rsidDel="00000000" w:rsidR="00000000" w:rsidRPr="00000000">
        <w:rPr>
          <w:i w:val="1"/>
          <w:sz w:val="20"/>
          <w:szCs w:val="20"/>
          <w:highlight w:val="white"/>
          <w:rtl w:val="0"/>
        </w:rPr>
        <w:t xml:space="preserve">Children &amp; Society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35</w:t>
      </w:r>
      <w:r w:rsidDel="00000000" w:rsidR="00000000" w:rsidRPr="00000000">
        <w:rPr>
          <w:sz w:val="20"/>
          <w:szCs w:val="20"/>
          <w:highlight w:val="white"/>
          <w:rtl w:val="0"/>
        </w:rPr>
        <w:t xml:space="preserve">(1), pp.48-61.</w:t>
      </w:r>
    </w:p>
    <w:p w:rsidR="00000000" w:rsidDel="00000000" w:rsidP="00000000" w:rsidRDefault="00000000" w:rsidRPr="00000000" w14:paraId="0000006D">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6E">
      <w:pPr>
        <w:spacing w:line="360" w:lineRule="auto"/>
        <w:jc w:val="both"/>
        <w:rPr>
          <w:sz w:val="20"/>
          <w:szCs w:val="20"/>
          <w:highlight w:val="white"/>
        </w:rPr>
      </w:pPr>
      <w:r w:rsidDel="00000000" w:rsidR="00000000" w:rsidRPr="00000000">
        <w:rPr>
          <w:sz w:val="20"/>
          <w:szCs w:val="20"/>
          <w:highlight w:val="white"/>
          <w:rtl w:val="0"/>
        </w:rPr>
        <w:t xml:space="preserve">Grigg, R., (2016). 'Leave me alone and let me teach.'Teachers' views of Welsh Government education policies and education in Wales. </w:t>
      </w:r>
      <w:r w:rsidDel="00000000" w:rsidR="00000000" w:rsidRPr="00000000">
        <w:rPr>
          <w:i w:val="1"/>
          <w:sz w:val="20"/>
          <w:szCs w:val="20"/>
          <w:highlight w:val="white"/>
          <w:rtl w:val="0"/>
        </w:rPr>
        <w:t xml:space="preserve">Cylchgrawn Addysg Cymru/Wales Journal of Education</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18</w:t>
      </w:r>
      <w:r w:rsidDel="00000000" w:rsidR="00000000" w:rsidRPr="00000000">
        <w:rPr>
          <w:sz w:val="20"/>
          <w:szCs w:val="20"/>
          <w:highlight w:val="white"/>
          <w:rtl w:val="0"/>
        </w:rPr>
        <w:t xml:space="preserve">(1), pp.64-86.</w:t>
      </w:r>
    </w:p>
    <w:p w:rsidR="00000000" w:rsidDel="00000000" w:rsidP="00000000" w:rsidRDefault="00000000" w:rsidRPr="00000000" w14:paraId="0000006F">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70">
      <w:pPr>
        <w:spacing w:line="360" w:lineRule="auto"/>
        <w:jc w:val="both"/>
        <w:rPr>
          <w:sz w:val="20"/>
          <w:szCs w:val="20"/>
          <w:highlight w:val="white"/>
        </w:rPr>
      </w:pPr>
      <w:r w:rsidDel="00000000" w:rsidR="00000000" w:rsidRPr="00000000">
        <w:rPr>
          <w:sz w:val="20"/>
          <w:szCs w:val="20"/>
          <w:highlight w:val="white"/>
          <w:rtl w:val="0"/>
        </w:rPr>
        <w:t xml:space="preserve">Henricks, T.S., (2014). Play as Self-Realization: Toward a General Theory of Play. </w:t>
      </w:r>
      <w:r w:rsidDel="00000000" w:rsidR="00000000" w:rsidRPr="00000000">
        <w:rPr>
          <w:i w:val="1"/>
          <w:sz w:val="20"/>
          <w:szCs w:val="20"/>
          <w:highlight w:val="white"/>
          <w:rtl w:val="0"/>
        </w:rPr>
        <w:t xml:space="preserve">American Journal of Play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6</w:t>
      </w:r>
      <w:r w:rsidDel="00000000" w:rsidR="00000000" w:rsidRPr="00000000">
        <w:rPr>
          <w:sz w:val="20"/>
          <w:szCs w:val="20"/>
          <w:highlight w:val="white"/>
          <w:rtl w:val="0"/>
        </w:rPr>
        <w:t xml:space="preserve">(2), pp.190-213.</w:t>
      </w:r>
    </w:p>
    <w:p w:rsidR="00000000" w:rsidDel="00000000" w:rsidP="00000000" w:rsidRDefault="00000000" w:rsidRPr="00000000" w14:paraId="00000071">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sz w:val="20"/>
          <w:szCs w:val="20"/>
          <w:highlight w:val="white"/>
          <w:rtl w:val="0"/>
        </w:rPr>
        <w:t xml:space="preserve">Hendrickson, K.A., (2012). Assessment in Finland: A Scholarly Reflection on One Country's Use of Formative, Summative, and Evaluative Practices. </w:t>
      </w:r>
      <w:r w:rsidDel="00000000" w:rsidR="00000000" w:rsidRPr="00000000">
        <w:rPr>
          <w:i w:val="1"/>
          <w:sz w:val="20"/>
          <w:szCs w:val="20"/>
          <w:highlight w:val="white"/>
          <w:rtl w:val="0"/>
        </w:rPr>
        <w:t xml:space="preserve">Mid-Western Educational Researcher</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25</w:t>
      </w:r>
      <w:r w:rsidDel="00000000" w:rsidR="00000000" w:rsidRPr="00000000">
        <w:rPr>
          <w:sz w:val="20"/>
          <w:szCs w:val="20"/>
          <w:highlight w:val="white"/>
          <w:rtl w:val="0"/>
        </w:rPr>
        <w:t xml:space="preserve">.</w:t>
      </w:r>
    </w:p>
    <w:p w:rsidR="00000000" w:rsidDel="00000000" w:rsidP="00000000" w:rsidRDefault="00000000" w:rsidRPr="00000000" w14:paraId="00000073">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74">
      <w:pPr>
        <w:spacing w:line="360" w:lineRule="auto"/>
        <w:jc w:val="both"/>
        <w:rPr>
          <w:sz w:val="20"/>
          <w:szCs w:val="20"/>
          <w:highlight w:val="white"/>
        </w:rPr>
      </w:pPr>
      <w:r w:rsidDel="00000000" w:rsidR="00000000" w:rsidRPr="00000000">
        <w:rPr>
          <w:sz w:val="20"/>
          <w:szCs w:val="20"/>
          <w:highlight w:val="white"/>
          <w:rtl w:val="0"/>
        </w:rPr>
        <w:t xml:space="preserve">Kingston, D. and Siraj, I., (2017). Supporting the implementation of the foundation phase through effective professional development. </w:t>
      </w:r>
      <w:r w:rsidDel="00000000" w:rsidR="00000000" w:rsidRPr="00000000">
        <w:rPr>
          <w:i w:val="1"/>
          <w:sz w:val="20"/>
          <w:szCs w:val="20"/>
          <w:highlight w:val="white"/>
          <w:rtl w:val="0"/>
        </w:rPr>
        <w:t xml:space="preserve">Cylchgrawn Addysg Cymru/Wales Journal of Education</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19</w:t>
      </w:r>
      <w:r w:rsidDel="00000000" w:rsidR="00000000" w:rsidRPr="00000000">
        <w:rPr>
          <w:sz w:val="20"/>
          <w:szCs w:val="20"/>
          <w:highlight w:val="white"/>
          <w:rtl w:val="0"/>
        </w:rPr>
        <w:t xml:space="preserve">(1), pp.39-68.</w:t>
      </w:r>
    </w:p>
    <w:p w:rsidR="00000000" w:rsidDel="00000000" w:rsidP="00000000" w:rsidRDefault="00000000" w:rsidRPr="00000000" w14:paraId="00000075">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76">
      <w:pPr>
        <w:spacing w:line="360" w:lineRule="auto"/>
        <w:jc w:val="both"/>
        <w:rPr>
          <w:sz w:val="20"/>
          <w:szCs w:val="20"/>
        </w:rPr>
      </w:pPr>
      <w:r w:rsidDel="00000000" w:rsidR="00000000" w:rsidRPr="00000000">
        <w:rPr>
          <w:sz w:val="20"/>
          <w:szCs w:val="20"/>
          <w:rtl w:val="0"/>
        </w:rPr>
        <w:t xml:space="preserve">Macdonald, N., (2018). The Great Divide: </w:t>
      </w:r>
      <w:r w:rsidDel="00000000" w:rsidR="00000000" w:rsidRPr="00000000">
        <w:rPr>
          <w:i w:val="1"/>
          <w:sz w:val="20"/>
          <w:szCs w:val="20"/>
          <w:rtl w:val="0"/>
        </w:rPr>
        <w:t xml:space="preserve">separation of care and education in Wales an examination of policy, reform and research evidence</w:t>
      </w:r>
      <w:r w:rsidDel="00000000" w:rsidR="00000000" w:rsidRPr="00000000">
        <w:rPr>
          <w:sz w:val="20"/>
          <w:szCs w:val="20"/>
          <w:rtl w:val="0"/>
        </w:rPr>
        <w:t xml:space="preserve">. </w:t>
      </w:r>
    </w:p>
    <w:p w:rsidR="00000000" w:rsidDel="00000000" w:rsidP="00000000" w:rsidRDefault="00000000" w:rsidRPr="00000000" w14:paraId="00000077">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78">
      <w:pPr>
        <w:spacing w:line="360" w:lineRule="auto"/>
        <w:jc w:val="both"/>
        <w:rPr>
          <w:sz w:val="20"/>
          <w:szCs w:val="20"/>
          <w:highlight w:val="white"/>
        </w:rPr>
      </w:pPr>
      <w:r w:rsidDel="00000000" w:rsidR="00000000" w:rsidRPr="00000000">
        <w:rPr>
          <w:sz w:val="20"/>
          <w:szCs w:val="20"/>
          <w:highlight w:val="white"/>
          <w:rtl w:val="0"/>
        </w:rPr>
        <w:t xml:space="preserve">McLachlan, C., Fleer, M. and Edwards, S., (2018). </w:t>
      </w:r>
      <w:r w:rsidDel="00000000" w:rsidR="00000000" w:rsidRPr="00000000">
        <w:rPr>
          <w:i w:val="1"/>
          <w:sz w:val="20"/>
          <w:szCs w:val="20"/>
          <w:highlight w:val="white"/>
          <w:rtl w:val="0"/>
        </w:rPr>
        <w:t xml:space="preserve">Early childhood curriculum: Planning, assessment and implementation</w:t>
      </w:r>
      <w:r w:rsidDel="00000000" w:rsidR="00000000" w:rsidRPr="00000000">
        <w:rPr>
          <w:sz w:val="20"/>
          <w:szCs w:val="20"/>
          <w:highlight w:val="white"/>
          <w:rtl w:val="0"/>
        </w:rPr>
        <w:t xml:space="preserve">. Cambridge University Press.</w:t>
      </w:r>
    </w:p>
    <w:p w:rsidR="00000000" w:rsidDel="00000000" w:rsidP="00000000" w:rsidRDefault="00000000" w:rsidRPr="00000000" w14:paraId="00000079">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7A">
      <w:pPr>
        <w:spacing w:line="360" w:lineRule="auto"/>
        <w:jc w:val="both"/>
        <w:rPr>
          <w:color w:val="222222"/>
          <w:sz w:val="20"/>
          <w:szCs w:val="20"/>
          <w:highlight w:val="white"/>
        </w:rPr>
      </w:pPr>
      <w:r w:rsidDel="00000000" w:rsidR="00000000" w:rsidRPr="00000000">
        <w:rPr>
          <w:color w:val="222222"/>
          <w:sz w:val="20"/>
          <w:szCs w:val="20"/>
          <w:highlight w:val="white"/>
          <w:rtl w:val="0"/>
        </w:rPr>
        <w:t xml:space="preserve">Muñoz, S.A., (2009). Children in the Outdoors. </w:t>
      </w:r>
      <w:r w:rsidDel="00000000" w:rsidR="00000000" w:rsidRPr="00000000">
        <w:rPr>
          <w:i w:val="1"/>
          <w:color w:val="222222"/>
          <w:sz w:val="20"/>
          <w:szCs w:val="20"/>
          <w:highlight w:val="white"/>
          <w:rtl w:val="0"/>
        </w:rPr>
        <w:t xml:space="preserve">London: Sustainable Development Research Centre</w:t>
      </w:r>
      <w:r w:rsidDel="00000000" w:rsidR="00000000" w:rsidRPr="00000000">
        <w:rPr>
          <w:color w:val="222222"/>
          <w:sz w:val="20"/>
          <w:szCs w:val="20"/>
          <w:highlight w:val="white"/>
          <w:rtl w:val="0"/>
        </w:rPr>
        <w:t xml:space="preserve">.</w:t>
      </w:r>
    </w:p>
    <w:p w:rsidR="00000000" w:rsidDel="00000000" w:rsidP="00000000" w:rsidRDefault="00000000" w:rsidRPr="00000000" w14:paraId="0000007B">
      <w:pPr>
        <w:spacing w:line="360" w:lineRule="auto"/>
        <w:jc w:val="both"/>
        <w:rPr>
          <w:color w:val="222222"/>
          <w:sz w:val="20"/>
          <w:szCs w:val="20"/>
          <w:highlight w:val="white"/>
        </w:rPr>
      </w:pPr>
      <w:r w:rsidDel="00000000" w:rsidR="00000000" w:rsidRPr="00000000">
        <w:rPr>
          <w:rtl w:val="0"/>
        </w:rPr>
      </w:r>
    </w:p>
    <w:p w:rsidR="00000000" w:rsidDel="00000000" w:rsidP="00000000" w:rsidRDefault="00000000" w:rsidRPr="00000000" w14:paraId="0000007C">
      <w:pPr>
        <w:spacing w:line="360" w:lineRule="auto"/>
        <w:jc w:val="both"/>
        <w:rPr>
          <w:sz w:val="20"/>
          <w:szCs w:val="20"/>
          <w:highlight w:val="white"/>
        </w:rPr>
      </w:pPr>
      <w:r w:rsidDel="00000000" w:rsidR="00000000" w:rsidRPr="00000000">
        <w:rPr>
          <w:sz w:val="20"/>
          <w:szCs w:val="20"/>
          <w:highlight w:val="white"/>
          <w:rtl w:val="0"/>
        </w:rPr>
        <w:t xml:space="preserve">Nursery World (2019). Wales unveils experience-rich curriculum. Available at: </w:t>
      </w:r>
      <w:hyperlink r:id="rId8">
        <w:r w:rsidDel="00000000" w:rsidR="00000000" w:rsidRPr="00000000">
          <w:rPr>
            <w:sz w:val="20"/>
            <w:szCs w:val="20"/>
            <w:highlight w:val="white"/>
            <w:u w:val="single"/>
            <w:rtl w:val="0"/>
          </w:rPr>
          <w:t xml:space="preserve">https://www.nurseryworld.co.uk/news/article/wales-unveils-experience-rich-curriculum</w:t>
        </w:r>
      </w:hyperlink>
      <w:r w:rsidDel="00000000" w:rsidR="00000000" w:rsidRPr="00000000">
        <w:rPr>
          <w:sz w:val="20"/>
          <w:szCs w:val="20"/>
          <w:highlight w:val="white"/>
          <w:rtl w:val="0"/>
        </w:rPr>
        <w:t xml:space="preserve"> (Accessed 27th March 2021).</w:t>
      </w:r>
    </w:p>
    <w:p w:rsidR="00000000" w:rsidDel="00000000" w:rsidP="00000000" w:rsidRDefault="00000000" w:rsidRPr="00000000" w14:paraId="0000007D">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7E">
      <w:pPr>
        <w:spacing w:line="360" w:lineRule="auto"/>
        <w:jc w:val="both"/>
        <w:rPr>
          <w:sz w:val="20"/>
          <w:szCs w:val="20"/>
          <w:highlight w:val="white"/>
        </w:rPr>
      </w:pPr>
      <w:r w:rsidDel="00000000" w:rsidR="00000000" w:rsidRPr="00000000">
        <w:rPr>
          <w:sz w:val="20"/>
          <w:szCs w:val="20"/>
          <w:highlight w:val="white"/>
          <w:rtl w:val="0"/>
        </w:rPr>
        <w:t xml:space="preserve">Power.s, Taylor. C., Newton.N. (2020). CUrriculum reform and inequality: The challenges facing Wales. Bera. Available at: </w:t>
      </w:r>
      <w:hyperlink r:id="rId9">
        <w:r w:rsidDel="00000000" w:rsidR="00000000" w:rsidRPr="00000000">
          <w:rPr>
            <w:sz w:val="20"/>
            <w:szCs w:val="20"/>
            <w:highlight w:val="white"/>
            <w:u w:val="single"/>
            <w:rtl w:val="0"/>
          </w:rPr>
          <w:t xml:space="preserve">https://www.bera.ac.uk/blog/curriculum-reform-and-inequality-the-challenges-facing-wales</w:t>
        </w:r>
      </w:hyperlink>
      <w:r w:rsidDel="00000000" w:rsidR="00000000" w:rsidRPr="00000000">
        <w:rPr>
          <w:sz w:val="20"/>
          <w:szCs w:val="20"/>
          <w:highlight w:val="white"/>
          <w:rtl w:val="0"/>
        </w:rPr>
        <w:t xml:space="preserve"> (Accessed: 27th March 2021).</w:t>
      </w:r>
    </w:p>
    <w:p w:rsidR="00000000" w:rsidDel="00000000" w:rsidP="00000000" w:rsidRDefault="00000000" w:rsidRPr="00000000" w14:paraId="0000007F">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0">
      <w:pPr>
        <w:spacing w:line="360" w:lineRule="auto"/>
        <w:jc w:val="both"/>
        <w:rPr>
          <w:sz w:val="20"/>
          <w:szCs w:val="20"/>
          <w:highlight w:val="white"/>
        </w:rPr>
      </w:pPr>
      <w:r w:rsidDel="00000000" w:rsidR="00000000" w:rsidRPr="00000000">
        <w:rPr>
          <w:sz w:val="20"/>
          <w:szCs w:val="20"/>
          <w:highlight w:val="white"/>
          <w:rtl w:val="0"/>
        </w:rPr>
        <w:t xml:space="preserve">Reggio Emilia., (2015). Benefits of the Reggio Emilia Approach. Available at :</w:t>
      </w:r>
      <w:hyperlink r:id="rId10">
        <w:r w:rsidDel="00000000" w:rsidR="00000000" w:rsidRPr="00000000">
          <w:rPr>
            <w:sz w:val="20"/>
            <w:szCs w:val="20"/>
            <w:highlight w:val="white"/>
            <w:u w:val="single"/>
            <w:rtl w:val="0"/>
          </w:rPr>
          <w:t xml:space="preserve">https://reggioemilia2015.weebly.com/summary.html</w:t>
        </w:r>
      </w:hyperlink>
      <w:r w:rsidDel="00000000" w:rsidR="00000000" w:rsidRPr="00000000">
        <w:rPr>
          <w:sz w:val="20"/>
          <w:szCs w:val="20"/>
          <w:highlight w:val="white"/>
          <w:rtl w:val="0"/>
        </w:rPr>
        <w:t xml:space="preserve"> (Accessed 24th March 2021).</w:t>
      </w:r>
    </w:p>
    <w:p w:rsidR="00000000" w:rsidDel="00000000" w:rsidP="00000000" w:rsidRDefault="00000000" w:rsidRPr="00000000" w14:paraId="00000081">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2">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sz w:val="20"/>
          <w:szCs w:val="20"/>
          <w:highlight w:val="white"/>
          <w:rtl w:val="0"/>
        </w:rPr>
        <w:t xml:space="preserve">Roberts‐Holmes, G. and Bradbury, A., (2017). Primary schools and network governance: A policy analysis of reception baseline assessment. </w:t>
      </w:r>
      <w:r w:rsidDel="00000000" w:rsidR="00000000" w:rsidRPr="00000000">
        <w:rPr>
          <w:i w:val="1"/>
          <w:sz w:val="20"/>
          <w:szCs w:val="20"/>
          <w:highlight w:val="white"/>
          <w:rtl w:val="0"/>
        </w:rPr>
        <w:t xml:space="preserve">British Educational Research Journal</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43</w:t>
      </w:r>
      <w:r w:rsidDel="00000000" w:rsidR="00000000" w:rsidRPr="00000000">
        <w:rPr>
          <w:sz w:val="20"/>
          <w:szCs w:val="20"/>
          <w:highlight w:val="white"/>
          <w:rtl w:val="0"/>
        </w:rPr>
        <w:t xml:space="preserve">(4), pp.671-682.</w:t>
      </w:r>
    </w:p>
    <w:p w:rsidR="00000000" w:rsidDel="00000000" w:rsidP="00000000" w:rsidRDefault="00000000" w:rsidRPr="00000000" w14:paraId="00000083">
      <w:pPr>
        <w:pBdr>
          <w:top w:space="0" w:sz="0" w:val="nil"/>
          <w:left w:space="0" w:sz="0" w:val="nil"/>
          <w:bottom w:space="0" w:sz="0" w:val="nil"/>
          <w:right w:space="0" w:sz="0" w:val="nil"/>
          <w:between w:space="0" w:sz="0" w:val="nil"/>
        </w:pBdr>
        <w:shd w:fill="ffffff" w:val="clea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4">
      <w:pPr>
        <w:spacing w:line="360" w:lineRule="auto"/>
        <w:jc w:val="both"/>
        <w:rPr>
          <w:sz w:val="20"/>
          <w:szCs w:val="20"/>
          <w:highlight w:val="white"/>
        </w:rPr>
      </w:pPr>
      <w:r w:rsidDel="00000000" w:rsidR="00000000" w:rsidRPr="00000000">
        <w:rPr>
          <w:sz w:val="20"/>
          <w:szCs w:val="20"/>
          <w:highlight w:val="white"/>
          <w:rtl w:val="0"/>
        </w:rPr>
        <w:t xml:space="preserve">Rogers, S. and Evans, J., 2007. Rethinking role play in the reception class. </w:t>
      </w:r>
      <w:r w:rsidDel="00000000" w:rsidR="00000000" w:rsidRPr="00000000">
        <w:rPr>
          <w:i w:val="1"/>
          <w:sz w:val="20"/>
          <w:szCs w:val="20"/>
          <w:highlight w:val="white"/>
          <w:rtl w:val="0"/>
        </w:rPr>
        <w:t xml:space="preserve">Educational Research</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49</w:t>
      </w:r>
      <w:r w:rsidDel="00000000" w:rsidR="00000000" w:rsidRPr="00000000">
        <w:rPr>
          <w:sz w:val="20"/>
          <w:szCs w:val="20"/>
          <w:highlight w:val="white"/>
          <w:rtl w:val="0"/>
        </w:rPr>
        <w:t xml:space="preserve">(2), pp.153-167.</w:t>
      </w:r>
    </w:p>
    <w:p w:rsidR="00000000" w:rsidDel="00000000" w:rsidP="00000000" w:rsidRDefault="00000000" w:rsidRPr="00000000" w14:paraId="00000085">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6">
      <w:pPr>
        <w:spacing w:line="360" w:lineRule="auto"/>
        <w:jc w:val="both"/>
        <w:rPr>
          <w:sz w:val="20"/>
          <w:szCs w:val="20"/>
        </w:rPr>
      </w:pPr>
      <w:r w:rsidDel="00000000" w:rsidR="00000000" w:rsidRPr="00000000">
        <w:rPr>
          <w:sz w:val="20"/>
          <w:szCs w:val="20"/>
          <w:highlight w:val="white"/>
          <w:rtl w:val="0"/>
        </w:rPr>
        <w:t xml:space="preserve">Sim, M., Bélanger, J., Hocking, L., Dimova, S., Iakovidou, E., Janta, B. and Teager, W., 2018. Teaching, pedagogy and practice in early years childcare: an evidence review. </w:t>
      </w:r>
      <w:r w:rsidDel="00000000" w:rsidR="00000000" w:rsidRPr="00000000">
        <w:rPr>
          <w:i w:val="1"/>
          <w:sz w:val="20"/>
          <w:szCs w:val="20"/>
          <w:highlight w:val="white"/>
          <w:rtl w:val="0"/>
        </w:rPr>
        <w:t xml:space="preserve">London, UK: Early Intervention Foundation</w:t>
      </w:r>
      <w:r w:rsidDel="00000000" w:rsidR="00000000" w:rsidRPr="00000000">
        <w:rPr>
          <w:sz w:val="20"/>
          <w:szCs w:val="20"/>
          <w:highlight w:val="white"/>
          <w:rtl w:val="0"/>
        </w:rPr>
        <w:t xml:space="preserve">.</w:t>
      </w:r>
      <w:r w:rsidDel="00000000" w:rsidR="00000000" w:rsidRPr="00000000">
        <w:rPr>
          <w:rtl w:val="0"/>
        </w:rPr>
      </w:r>
    </w:p>
    <w:p w:rsidR="00000000" w:rsidDel="00000000" w:rsidP="00000000" w:rsidRDefault="00000000" w:rsidRPr="00000000" w14:paraId="00000087">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8">
      <w:pPr>
        <w:spacing w:line="360" w:lineRule="auto"/>
        <w:jc w:val="both"/>
        <w:rPr>
          <w:sz w:val="20"/>
          <w:szCs w:val="20"/>
          <w:highlight w:val="white"/>
        </w:rPr>
      </w:pPr>
      <w:r w:rsidDel="00000000" w:rsidR="00000000" w:rsidRPr="00000000">
        <w:rPr>
          <w:sz w:val="20"/>
          <w:szCs w:val="20"/>
          <w:highlight w:val="white"/>
          <w:rtl w:val="0"/>
        </w:rPr>
        <w:t xml:space="preserve">Standards and Testing Agency. (2020) Assessment Framework. </w:t>
      </w:r>
      <w:r w:rsidDel="00000000" w:rsidR="00000000" w:rsidRPr="00000000">
        <w:rPr>
          <w:i w:val="1"/>
          <w:sz w:val="20"/>
          <w:szCs w:val="20"/>
          <w:highlight w:val="white"/>
          <w:rtl w:val="0"/>
        </w:rPr>
        <w:t xml:space="preserve">Reception Baseline Assessment. </w:t>
      </w:r>
      <w:r w:rsidDel="00000000" w:rsidR="00000000" w:rsidRPr="00000000">
        <w:rPr>
          <w:sz w:val="20"/>
          <w:szCs w:val="20"/>
          <w:highlight w:val="white"/>
          <w:rtl w:val="0"/>
        </w:rPr>
        <w:t xml:space="preserve">Available at: </w:t>
      </w:r>
      <w:hyperlink r:id="rId11">
        <w:r w:rsidDel="00000000" w:rsidR="00000000" w:rsidRPr="00000000">
          <w:rPr>
            <w:sz w:val="20"/>
            <w:szCs w:val="20"/>
            <w:highlight w:val="white"/>
            <w:u w:val="single"/>
            <w:rtl w:val="0"/>
          </w:rPr>
          <w:t xml:space="preserve">https://assets.publishing.service.gov.uk/government/uploads/system/uploads/attachment_data/file/868099/2020_Assessment_Framework_Reception_Baseline_Assessment.pdf</w:t>
        </w:r>
      </w:hyperlink>
      <w:r w:rsidDel="00000000" w:rsidR="00000000" w:rsidRPr="00000000">
        <w:rPr>
          <w:sz w:val="20"/>
          <w:szCs w:val="20"/>
          <w:highlight w:val="white"/>
          <w:rtl w:val="0"/>
        </w:rPr>
        <w:t xml:space="preserve"> (Accessed: 23rd March 2021).</w:t>
      </w:r>
    </w:p>
    <w:p w:rsidR="00000000" w:rsidDel="00000000" w:rsidP="00000000" w:rsidRDefault="00000000" w:rsidRPr="00000000" w14:paraId="00000089">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A">
      <w:pPr>
        <w:spacing w:line="360" w:lineRule="auto"/>
        <w:jc w:val="both"/>
        <w:rPr>
          <w:sz w:val="20"/>
          <w:szCs w:val="20"/>
          <w:highlight w:val="white"/>
        </w:rPr>
      </w:pPr>
      <w:r w:rsidDel="00000000" w:rsidR="00000000" w:rsidRPr="00000000">
        <w:rPr>
          <w:sz w:val="20"/>
          <w:szCs w:val="20"/>
          <w:highlight w:val="white"/>
          <w:rtl w:val="0"/>
        </w:rPr>
        <w:t xml:space="preserve">Taylor, C., Rhys, M., Waldron, S., Davies, R., Power, S., Maynard, T., Moore, L., Blackaby, D. and Plewis, I., (2015). Evaluating the foundation phase.</w:t>
      </w:r>
    </w:p>
    <w:p w:rsidR="00000000" w:rsidDel="00000000" w:rsidP="00000000" w:rsidRDefault="00000000" w:rsidRPr="00000000" w14:paraId="0000008B">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C">
      <w:pPr>
        <w:spacing w:line="360" w:lineRule="auto"/>
        <w:jc w:val="both"/>
        <w:rPr>
          <w:sz w:val="20"/>
          <w:szCs w:val="20"/>
          <w:highlight w:val="white"/>
        </w:rPr>
      </w:pPr>
      <w:r w:rsidDel="00000000" w:rsidR="00000000" w:rsidRPr="00000000">
        <w:rPr>
          <w:sz w:val="20"/>
          <w:szCs w:val="20"/>
          <w:highlight w:val="white"/>
          <w:rtl w:val="0"/>
        </w:rPr>
        <w:t xml:space="preserve">Tovey. H., (2017) Outdoor PLay and expiration. Available at: </w:t>
      </w:r>
      <w:hyperlink r:id="rId12">
        <w:r w:rsidDel="00000000" w:rsidR="00000000" w:rsidRPr="00000000">
          <w:rPr>
            <w:sz w:val="20"/>
            <w:szCs w:val="20"/>
            <w:highlight w:val="white"/>
            <w:u w:val="single"/>
            <w:rtl w:val="0"/>
          </w:rPr>
          <w:t xml:space="preserve">https://www.froebel.org.uk/uploads/documents/FT-Outdoor-Play-Pamphlet.pdf</w:t>
        </w:r>
      </w:hyperlink>
      <w:r w:rsidDel="00000000" w:rsidR="00000000" w:rsidRPr="00000000">
        <w:rPr>
          <w:sz w:val="20"/>
          <w:szCs w:val="20"/>
          <w:highlight w:val="white"/>
          <w:rtl w:val="0"/>
        </w:rPr>
        <w:t xml:space="preserve"> (Accessed: 28th March 2021).</w:t>
      </w:r>
    </w:p>
    <w:p w:rsidR="00000000" w:rsidDel="00000000" w:rsidP="00000000" w:rsidRDefault="00000000" w:rsidRPr="00000000" w14:paraId="0000008D">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8E">
      <w:pPr>
        <w:spacing w:line="360" w:lineRule="auto"/>
        <w:jc w:val="both"/>
        <w:rPr>
          <w:sz w:val="20"/>
          <w:szCs w:val="20"/>
          <w:highlight w:val="white"/>
        </w:rPr>
      </w:pPr>
      <w:r w:rsidDel="00000000" w:rsidR="00000000" w:rsidRPr="00000000">
        <w:rPr>
          <w:sz w:val="20"/>
          <w:szCs w:val="20"/>
          <w:highlight w:val="white"/>
          <w:rtl w:val="0"/>
        </w:rPr>
        <w:t xml:space="preserve">Waters, J. (2016). The Foundation Phase in Wales – time to grow up? </w:t>
      </w:r>
    </w:p>
    <w:p w:rsidR="00000000" w:rsidDel="00000000" w:rsidP="00000000" w:rsidRDefault="00000000" w:rsidRPr="00000000" w14:paraId="0000008F">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0">
      <w:pPr>
        <w:spacing w:line="360" w:lineRule="auto"/>
        <w:jc w:val="both"/>
        <w:rPr>
          <w:sz w:val="20"/>
          <w:szCs w:val="20"/>
          <w:highlight w:val="white"/>
        </w:rPr>
      </w:pPr>
      <w:r w:rsidDel="00000000" w:rsidR="00000000" w:rsidRPr="00000000">
        <w:rPr>
          <w:sz w:val="20"/>
          <w:szCs w:val="20"/>
          <w:highlight w:val="white"/>
          <w:rtl w:val="0"/>
        </w:rPr>
        <w:t xml:space="preserve">Welsh Government. (2013). An Independent Stocktake of the Foundation Phase in Wales. ISBN 978 1 4734 1361 0</w:t>
      </w:r>
    </w:p>
    <w:p w:rsidR="00000000" w:rsidDel="00000000" w:rsidP="00000000" w:rsidRDefault="00000000" w:rsidRPr="00000000" w14:paraId="00000091">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2">
      <w:pPr>
        <w:spacing w:line="360" w:lineRule="auto"/>
        <w:jc w:val="both"/>
        <w:rPr>
          <w:sz w:val="20"/>
          <w:szCs w:val="20"/>
          <w:highlight w:val="white"/>
        </w:rPr>
      </w:pPr>
      <w:r w:rsidDel="00000000" w:rsidR="00000000" w:rsidRPr="00000000">
        <w:rPr>
          <w:sz w:val="20"/>
          <w:szCs w:val="20"/>
          <w:highlight w:val="white"/>
          <w:rtl w:val="0"/>
        </w:rPr>
        <w:t xml:space="preserve">Welsh Government. (no date). Curriculum for Wales: Implementation Plan, Available at: </w:t>
      </w:r>
      <w:hyperlink r:id="rId13">
        <w:r w:rsidDel="00000000" w:rsidR="00000000" w:rsidRPr="00000000">
          <w:rPr>
            <w:sz w:val="20"/>
            <w:szCs w:val="20"/>
            <w:highlight w:val="white"/>
            <w:u w:val="single"/>
            <w:rtl w:val="0"/>
          </w:rPr>
          <w:t xml:space="preserve">https://hwb.gov.wales/curriculum-for-wales/curriculum-for-wales-implementation-plan/</w:t>
        </w:r>
      </w:hyperlink>
      <w:r w:rsidDel="00000000" w:rsidR="00000000" w:rsidRPr="00000000">
        <w:rPr>
          <w:sz w:val="20"/>
          <w:szCs w:val="20"/>
          <w:highlight w:val="white"/>
          <w:rtl w:val="0"/>
        </w:rPr>
        <w:t xml:space="preserve"> (Accessed: 28th March 2021). </w:t>
      </w:r>
    </w:p>
    <w:p w:rsidR="00000000" w:rsidDel="00000000" w:rsidP="00000000" w:rsidRDefault="00000000" w:rsidRPr="00000000" w14:paraId="00000093">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4">
      <w:pPr>
        <w:spacing w:line="360" w:lineRule="auto"/>
        <w:jc w:val="both"/>
        <w:rPr>
          <w:sz w:val="20"/>
          <w:szCs w:val="20"/>
          <w:highlight w:val="white"/>
        </w:rPr>
      </w:pPr>
      <w:r w:rsidDel="00000000" w:rsidR="00000000" w:rsidRPr="00000000">
        <w:rPr>
          <w:sz w:val="20"/>
          <w:szCs w:val="20"/>
          <w:highlight w:val="white"/>
          <w:rtl w:val="0"/>
        </w:rPr>
        <w:t xml:space="preserve">Welsh Government (b). (2020). Developing a vision for curriculum design. Available at: </w:t>
      </w:r>
      <w:hyperlink r:id="rId14">
        <w:r w:rsidDel="00000000" w:rsidR="00000000" w:rsidRPr="00000000">
          <w:rPr>
            <w:sz w:val="20"/>
            <w:szCs w:val="20"/>
            <w:highlight w:val="white"/>
            <w:u w:val="single"/>
            <w:rtl w:val="0"/>
          </w:rPr>
          <w:t xml:space="preserve">https://hwb.gov.wales/curriculum-for-wales/designing-your-curriculum/developing-a-vision-for-curriculum-design/</w:t>
        </w:r>
      </w:hyperlink>
      <w:r w:rsidDel="00000000" w:rsidR="00000000" w:rsidRPr="00000000">
        <w:rPr>
          <w:sz w:val="20"/>
          <w:szCs w:val="20"/>
          <w:highlight w:val="white"/>
          <w:rtl w:val="0"/>
        </w:rPr>
        <w:t xml:space="preserve"> (Accessed: 27th March 2021).</w:t>
      </w:r>
    </w:p>
    <w:p w:rsidR="00000000" w:rsidDel="00000000" w:rsidP="00000000" w:rsidRDefault="00000000" w:rsidRPr="00000000" w14:paraId="00000095">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6">
      <w:pPr>
        <w:spacing w:line="360" w:lineRule="auto"/>
        <w:jc w:val="both"/>
        <w:rPr>
          <w:sz w:val="20"/>
          <w:szCs w:val="20"/>
          <w:highlight w:val="white"/>
        </w:rPr>
      </w:pPr>
      <w:r w:rsidDel="00000000" w:rsidR="00000000" w:rsidRPr="00000000">
        <w:rPr>
          <w:sz w:val="20"/>
          <w:szCs w:val="20"/>
          <w:highlight w:val="white"/>
          <w:rtl w:val="0"/>
        </w:rPr>
        <w:t xml:space="preserve">Welsh Government. (2015). Foundation Phase Framework. Available at: </w:t>
      </w:r>
      <w:hyperlink r:id="rId15">
        <w:r w:rsidDel="00000000" w:rsidR="00000000" w:rsidRPr="00000000">
          <w:rPr>
            <w:sz w:val="20"/>
            <w:szCs w:val="20"/>
            <w:highlight w:val="white"/>
            <w:u w:val="single"/>
            <w:rtl w:val="0"/>
          </w:rPr>
          <w:t xml:space="preserve">https://hwb.gov.wales/storage/d5d8e39c-b534-40cb-a3f5-7e2e126d8077/foundation-phase-framework.pdf</w:t>
        </w:r>
      </w:hyperlink>
      <w:r w:rsidDel="00000000" w:rsidR="00000000" w:rsidRPr="00000000">
        <w:rPr>
          <w:sz w:val="20"/>
          <w:szCs w:val="20"/>
          <w:highlight w:val="white"/>
          <w:rtl w:val="0"/>
        </w:rPr>
        <w:t xml:space="preserve"> (Accessed: 15th March 2021).</w:t>
      </w:r>
    </w:p>
    <w:p w:rsidR="00000000" w:rsidDel="00000000" w:rsidP="00000000" w:rsidRDefault="00000000" w:rsidRPr="00000000" w14:paraId="00000097">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8">
      <w:pPr>
        <w:spacing w:line="360" w:lineRule="auto"/>
        <w:jc w:val="both"/>
        <w:rPr>
          <w:sz w:val="20"/>
          <w:szCs w:val="20"/>
          <w:highlight w:val="white"/>
        </w:rPr>
      </w:pPr>
      <w:r w:rsidDel="00000000" w:rsidR="00000000" w:rsidRPr="00000000">
        <w:rPr>
          <w:sz w:val="20"/>
          <w:szCs w:val="20"/>
          <w:highlight w:val="white"/>
          <w:rtl w:val="0"/>
        </w:rPr>
        <w:t xml:space="preserve">Welsh Government. (2019). Reading and Numeracy Tests in Wales. Available at: </w:t>
      </w:r>
      <w:hyperlink r:id="rId16">
        <w:r w:rsidDel="00000000" w:rsidR="00000000" w:rsidRPr="00000000">
          <w:rPr>
            <w:sz w:val="20"/>
            <w:szCs w:val="20"/>
            <w:highlight w:val="white"/>
            <w:u w:val="single"/>
            <w:rtl w:val="0"/>
          </w:rPr>
          <w:t xml:space="preserve">https://hwb.gov.wales/api/storage/93a461f5-5c06-488a-a556-974ebdb7e00f/reading-and-numeracy-tests-in-wales-information-for-parents-carers-2-9.pdf</w:t>
        </w:r>
      </w:hyperlink>
      <w:r w:rsidDel="00000000" w:rsidR="00000000" w:rsidRPr="00000000">
        <w:rPr>
          <w:sz w:val="20"/>
          <w:szCs w:val="20"/>
          <w:highlight w:val="white"/>
          <w:rtl w:val="0"/>
        </w:rPr>
        <w:t xml:space="preserve"> (Accessed 25th March 2021).</w:t>
      </w:r>
    </w:p>
    <w:p w:rsidR="00000000" w:rsidDel="00000000" w:rsidP="00000000" w:rsidRDefault="00000000" w:rsidRPr="00000000" w14:paraId="00000099">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A">
      <w:pPr>
        <w:spacing w:line="360" w:lineRule="auto"/>
        <w:jc w:val="both"/>
        <w:rPr>
          <w:sz w:val="20"/>
          <w:szCs w:val="20"/>
          <w:highlight w:val="white"/>
        </w:rPr>
      </w:pPr>
      <w:r w:rsidDel="00000000" w:rsidR="00000000" w:rsidRPr="00000000">
        <w:rPr>
          <w:sz w:val="20"/>
          <w:szCs w:val="20"/>
          <w:highlight w:val="white"/>
          <w:rtl w:val="0"/>
        </w:rPr>
        <w:t xml:space="preserve">Welsh Government (a) . (2020). Supporting learner progression : assessment guidance. Available at: </w:t>
      </w:r>
      <w:hyperlink r:id="rId17">
        <w:r w:rsidDel="00000000" w:rsidR="00000000" w:rsidRPr="00000000">
          <w:rPr>
            <w:sz w:val="20"/>
            <w:szCs w:val="20"/>
            <w:highlight w:val="white"/>
            <w:u w:val="single"/>
            <w:rtl w:val="0"/>
          </w:rPr>
          <w:t xml:space="preserve">https://hwb.gov.wales/curriculum-for-wales/supporting-learner-progression-assessment-guidance/#the-purpose-of-assessment</w:t>
        </w:r>
      </w:hyperlink>
      <w:r w:rsidDel="00000000" w:rsidR="00000000" w:rsidRPr="00000000">
        <w:rPr>
          <w:sz w:val="20"/>
          <w:szCs w:val="20"/>
          <w:highlight w:val="white"/>
          <w:rtl w:val="0"/>
        </w:rPr>
        <w:t xml:space="preserve"> (Accessed 23rd March 2021).</w:t>
      </w:r>
    </w:p>
    <w:p w:rsidR="00000000" w:rsidDel="00000000" w:rsidP="00000000" w:rsidRDefault="00000000" w:rsidRPr="00000000" w14:paraId="0000009B">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C">
      <w:pPr>
        <w:spacing w:line="360" w:lineRule="auto"/>
        <w:jc w:val="both"/>
        <w:rPr>
          <w:sz w:val="20"/>
          <w:szCs w:val="20"/>
          <w:highlight w:val="white"/>
        </w:rPr>
      </w:pPr>
      <w:r w:rsidDel="00000000" w:rsidR="00000000" w:rsidRPr="00000000">
        <w:rPr>
          <w:sz w:val="20"/>
          <w:szCs w:val="20"/>
          <w:highlight w:val="white"/>
          <w:rtl w:val="0"/>
        </w:rPr>
        <w:t xml:space="preserve">Welsh Government. (2017). Foundation Phase profile Handbook. Available at: </w:t>
      </w:r>
      <w:hyperlink r:id="rId18">
        <w:r w:rsidDel="00000000" w:rsidR="00000000" w:rsidRPr="00000000">
          <w:rPr>
            <w:sz w:val="20"/>
            <w:szCs w:val="20"/>
            <w:highlight w:val="white"/>
            <w:u w:val="single"/>
            <w:rtl w:val="0"/>
          </w:rPr>
          <w:t xml:space="preserve">https://www.earlyyears.wales/sites/www.earlyyears.wales/files/foundation-phase-profile-handbook-revised-september-2017.pdf</w:t>
        </w:r>
      </w:hyperlink>
      <w:r w:rsidDel="00000000" w:rsidR="00000000" w:rsidRPr="00000000">
        <w:rPr>
          <w:sz w:val="20"/>
          <w:szCs w:val="20"/>
          <w:highlight w:val="white"/>
          <w:rtl w:val="0"/>
        </w:rPr>
        <w:t xml:space="preserve"> (Accessed: 28th March 2021).</w:t>
      </w:r>
    </w:p>
    <w:p w:rsidR="00000000" w:rsidDel="00000000" w:rsidP="00000000" w:rsidRDefault="00000000" w:rsidRPr="00000000" w14:paraId="0000009D">
      <w:pPr>
        <w:spacing w:line="360" w:lineRule="auto"/>
        <w:jc w:val="both"/>
        <w:rPr>
          <w:sz w:val="20"/>
          <w:szCs w:val="20"/>
          <w:highlight w:val="white"/>
        </w:rPr>
      </w:pPr>
      <w:r w:rsidDel="00000000" w:rsidR="00000000" w:rsidRPr="00000000">
        <w:rPr>
          <w:rtl w:val="0"/>
        </w:rPr>
      </w:r>
    </w:p>
    <w:p w:rsidR="00000000" w:rsidDel="00000000" w:rsidP="00000000" w:rsidRDefault="00000000" w:rsidRPr="00000000" w14:paraId="0000009E">
      <w:pPr>
        <w:spacing w:line="360" w:lineRule="auto"/>
        <w:jc w:val="both"/>
        <w:rPr>
          <w:sz w:val="20"/>
          <w:szCs w:val="20"/>
          <w:highlight w:val="white"/>
        </w:rPr>
      </w:pPr>
      <w:r w:rsidDel="00000000" w:rsidR="00000000" w:rsidRPr="00000000">
        <w:rPr>
          <w:sz w:val="20"/>
          <w:szCs w:val="20"/>
          <w:highlight w:val="white"/>
          <w:rtl w:val="0"/>
        </w:rPr>
        <w:t xml:space="preserve">Wiliam, D., (2010). Standardized testing and school accountability. </w:t>
      </w:r>
      <w:r w:rsidDel="00000000" w:rsidR="00000000" w:rsidRPr="00000000">
        <w:rPr>
          <w:i w:val="1"/>
          <w:sz w:val="20"/>
          <w:szCs w:val="20"/>
          <w:highlight w:val="white"/>
          <w:rtl w:val="0"/>
        </w:rPr>
        <w:t xml:space="preserve">Educational Psychologist</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45</w:t>
      </w:r>
      <w:r w:rsidDel="00000000" w:rsidR="00000000" w:rsidRPr="00000000">
        <w:rPr>
          <w:sz w:val="20"/>
          <w:szCs w:val="20"/>
          <w:highlight w:val="white"/>
          <w:rtl w:val="0"/>
        </w:rPr>
        <w:t xml:space="preserve">(2), pp.107-122.</w:t>
      </w:r>
    </w:p>
    <w:p w:rsidR="00000000" w:rsidDel="00000000" w:rsidP="00000000" w:rsidRDefault="00000000" w:rsidRPr="00000000" w14:paraId="0000009F">
      <w:pPr>
        <w:rPr>
          <w:color w:val="222222"/>
          <w:sz w:val="20"/>
          <w:szCs w:val="20"/>
          <w:highlight w:val="white"/>
        </w:rPr>
      </w:pPr>
      <w:r w:rsidDel="00000000" w:rsidR="00000000" w:rsidRPr="00000000">
        <w:rPr>
          <w:rtl w:val="0"/>
        </w:rPr>
      </w:r>
    </w:p>
    <w:p w:rsidR="00000000" w:rsidDel="00000000" w:rsidP="00000000" w:rsidRDefault="00000000" w:rsidRPr="00000000" w14:paraId="000000A0">
      <w:pPr>
        <w:rPr>
          <w:highlight w:val="white"/>
        </w:rPr>
      </w:pPr>
      <w:r w:rsidDel="00000000" w:rsidR="00000000" w:rsidRPr="00000000">
        <w:rPr>
          <w:rtl w:val="0"/>
        </w:rPr>
      </w:r>
    </w:p>
    <w:sectPr>
      <w:headerReference r:id="rId19" w:type="default"/>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3">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1">
    <w:pPr>
      <w:rPr>
        <w:sz w:val="20"/>
        <w:szCs w:val="20"/>
      </w:rPr>
    </w:pPr>
    <w:r w:rsidDel="00000000" w:rsidR="00000000" w:rsidRPr="00000000">
      <w:rPr>
        <w:sz w:val="20"/>
        <w:szCs w:val="20"/>
        <w:rtl w:val="0"/>
      </w:rPr>
      <w:t xml:space="preserve">Cassie Watkins                                                                                                    ECEY6001/C</w:t>
    </w:r>
  </w:p>
  <w:p w:rsidR="00000000" w:rsidDel="00000000" w:rsidP="00000000" w:rsidRDefault="00000000" w:rsidRPr="00000000" w14:paraId="000000A2">
    <w:pPr>
      <w:rPr>
        <w:sz w:val="20"/>
        <w:szCs w:val="20"/>
      </w:rPr>
    </w:pPr>
    <w:r w:rsidDel="00000000" w:rsidR="00000000" w:rsidRPr="00000000">
      <w:rPr>
        <w:sz w:val="20"/>
        <w:szCs w:val="20"/>
        <w:rtl w:val="0"/>
      </w:rPr>
      <w:t xml:space="preserve">1907671                                                                                                              Word Count :4535</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assets.publishing.service.gov.uk/government/uploads/system/uploads/attachment_data/file/868099/2020_Assessment_Framework_Reception_Baseline_Assessment.pdf" TargetMode="External"/><Relationship Id="rId10" Type="http://schemas.openxmlformats.org/officeDocument/2006/relationships/hyperlink" Target="https://reggioemilia2015.weebly.com/summary.html" TargetMode="External"/><Relationship Id="rId13" Type="http://schemas.openxmlformats.org/officeDocument/2006/relationships/hyperlink" Target="https://hwb.gov.wales/curriculum-for-wales/curriculum-for-wales-implementation-plan/" TargetMode="External"/><Relationship Id="rId12" Type="http://schemas.openxmlformats.org/officeDocument/2006/relationships/hyperlink" Target="https://www.froebel.org.uk/uploads/documents/FT-Outdoor-Play-Pamphlet.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era.ac.uk/blog/curriculum-reform-and-inequality-the-challenges-facing-wales" TargetMode="External"/><Relationship Id="rId15"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hwb.gov.wales/curriculum-for-wales/designing-your-curriculum/developing-a-vision-for-curriculum-design/" TargetMode="External"/><Relationship Id="rId17" Type="http://schemas.openxmlformats.org/officeDocument/2006/relationships/hyperlink" Target="https://hwb.gov.wales/curriculum-for-wales/supporting-learner-progression-assessment-guidance/#the-purpose-of-assessment" TargetMode="External"/><Relationship Id="rId16" Type="http://schemas.openxmlformats.org/officeDocument/2006/relationships/hyperlink" Target="https://hwb.gov.wales/api/storage/93a461f5-5c06-488a-a556-974ebdb7e00f/reading-and-numeracy-tests-in-wales-information-for-parents-carers-2-9.pdf"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hyperlink" Target="https://www.foundationyears.org.uk/wp-content/uploads/2012/07/Overall-Reforms-to-the-2012-EYFS-Framework.pdf" TargetMode="External"/><Relationship Id="rId18" Type="http://schemas.openxmlformats.org/officeDocument/2006/relationships/hyperlink" Target="https://www.earlyyears.wales/sites/www.earlyyears.wales/files/foundation-phase-profile-handbook-revised-september-2017.pdf" TargetMode="External"/><Relationship Id="rId7" Type="http://schemas.openxmlformats.org/officeDocument/2006/relationships/hyperlink" Target="https://gov.wales/sites/default/files/publications/2018-03/successful-futures.pdf" TargetMode="External"/><Relationship Id="rId8" Type="http://schemas.openxmlformats.org/officeDocument/2006/relationships/hyperlink" Target="https://www.nurseryworld.co.uk/news/article/wales-unveils-experience-rich-curriculu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