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851527" w14:textId="7AD99425" w:rsidR="003A761E" w:rsidRPr="000F0212" w:rsidRDefault="00284C6B" w:rsidP="00284C6B">
      <w:pPr>
        <w:ind w:left="720" w:hanging="360"/>
        <w:jc w:val="center"/>
        <w:rPr>
          <w:rFonts w:cstheme="minorHAnsi"/>
          <w:sz w:val="24"/>
          <w:szCs w:val="24"/>
        </w:rPr>
      </w:pPr>
      <w:r w:rsidRPr="000F0212">
        <w:rPr>
          <w:rFonts w:cstheme="minorHAnsi"/>
          <w:b/>
          <w:bCs/>
          <w:sz w:val="24"/>
          <w:szCs w:val="24"/>
          <w:u w:val="single"/>
        </w:rPr>
        <w:t>Activity 4 - Reflection</w:t>
      </w:r>
    </w:p>
    <w:p w14:paraId="120AD5A6" w14:textId="77777777" w:rsidR="000D0B2C" w:rsidRPr="000F0212" w:rsidRDefault="003A761E" w:rsidP="000D0B2C">
      <w:pPr>
        <w:rPr>
          <w:rFonts w:cstheme="minorHAnsi"/>
          <w:sz w:val="24"/>
          <w:szCs w:val="24"/>
        </w:rPr>
      </w:pPr>
      <w:r w:rsidRPr="000F0212">
        <w:rPr>
          <w:rFonts w:cstheme="minorHAnsi"/>
          <w:sz w:val="24"/>
          <w:szCs w:val="24"/>
        </w:rPr>
        <w:t xml:space="preserve">Using the Gibb's </w:t>
      </w:r>
      <w:r w:rsidR="00284C6B" w:rsidRPr="000F0212">
        <w:rPr>
          <w:rFonts w:cstheme="minorHAnsi"/>
          <w:sz w:val="24"/>
          <w:szCs w:val="24"/>
        </w:rPr>
        <w:t>Reflective C</w:t>
      </w:r>
      <w:r w:rsidRPr="000F0212">
        <w:rPr>
          <w:rFonts w:cstheme="minorHAnsi"/>
          <w:sz w:val="24"/>
          <w:szCs w:val="24"/>
        </w:rPr>
        <w:t xml:space="preserve">ycle (1988) </w:t>
      </w:r>
      <w:r w:rsidR="00284C6B" w:rsidRPr="000F0212">
        <w:rPr>
          <w:rFonts w:cstheme="minorHAnsi"/>
          <w:sz w:val="24"/>
          <w:szCs w:val="24"/>
        </w:rPr>
        <w:t xml:space="preserve">template below, </w:t>
      </w:r>
      <w:r w:rsidRPr="000F0212">
        <w:rPr>
          <w:rFonts w:cstheme="minorHAnsi"/>
          <w:sz w:val="24"/>
          <w:szCs w:val="24"/>
        </w:rPr>
        <w:t>you should reflect on</w:t>
      </w:r>
      <w:r w:rsidR="00284C6B" w:rsidRPr="000F0212">
        <w:rPr>
          <w:rFonts w:cstheme="minorHAnsi"/>
          <w:sz w:val="24"/>
          <w:szCs w:val="24"/>
        </w:rPr>
        <w:t xml:space="preserve"> a time when you demonstrated care and compassion</w:t>
      </w:r>
      <w:r w:rsidR="006B1594" w:rsidRPr="000F0212">
        <w:rPr>
          <w:rFonts w:cstheme="minorHAnsi"/>
          <w:sz w:val="24"/>
          <w:szCs w:val="24"/>
        </w:rPr>
        <w:t>, this can be in any situation</w:t>
      </w:r>
      <w:r w:rsidRPr="000F0212">
        <w:rPr>
          <w:rFonts w:cstheme="minorHAnsi"/>
          <w:sz w:val="24"/>
          <w:szCs w:val="24"/>
        </w:rPr>
        <w:t>.</w:t>
      </w:r>
      <w:r w:rsidR="000D0B2C" w:rsidRPr="000F0212">
        <w:rPr>
          <w:rFonts w:cstheme="minorHAnsi"/>
          <w:sz w:val="24"/>
          <w:szCs w:val="24"/>
        </w:rPr>
        <w:t xml:space="preserve">  </w:t>
      </w:r>
    </w:p>
    <w:p w14:paraId="28B7C00C" w14:textId="6A27C058" w:rsidR="00284C6B" w:rsidRPr="000F0212" w:rsidRDefault="00284C6B" w:rsidP="000D0B2C">
      <w:pPr>
        <w:rPr>
          <w:rFonts w:cstheme="minorHAnsi"/>
          <w:sz w:val="24"/>
          <w:szCs w:val="24"/>
        </w:rPr>
      </w:pPr>
      <w:r w:rsidRPr="000F0212">
        <w:rPr>
          <w:rFonts w:cstheme="minorHAnsi"/>
          <w:sz w:val="24"/>
          <w:szCs w:val="24"/>
        </w:rPr>
        <w:t>Please pick a scenario that is comprehensive but concise – short and sweet will help you focus your responses.</w:t>
      </w:r>
    </w:p>
    <w:p w14:paraId="7B117726" w14:textId="05889276" w:rsidR="00284C6B" w:rsidRPr="000F0212" w:rsidRDefault="00284C6B" w:rsidP="000D0B2C">
      <w:pPr>
        <w:rPr>
          <w:rFonts w:cstheme="minorHAnsi"/>
          <w:sz w:val="24"/>
          <w:szCs w:val="24"/>
        </w:rPr>
      </w:pPr>
      <w:r w:rsidRPr="000F0212">
        <w:rPr>
          <w:rFonts w:cstheme="minorHAnsi"/>
          <w:sz w:val="24"/>
          <w:szCs w:val="24"/>
        </w:rPr>
        <w:t>For each area of Gibbs Cycle – you must include at least one citation and include a corresponding reference list at the end.</w:t>
      </w:r>
    </w:p>
    <w:p w14:paraId="4BEA7110" w14:textId="04DB3FB5" w:rsidR="003A761E" w:rsidRPr="000F0212" w:rsidRDefault="000D0B2C" w:rsidP="000D0B2C">
      <w:pPr>
        <w:rPr>
          <w:rFonts w:cstheme="minorHAnsi"/>
          <w:sz w:val="24"/>
          <w:szCs w:val="24"/>
        </w:rPr>
      </w:pPr>
      <w:r w:rsidRPr="000F0212">
        <w:rPr>
          <w:rFonts w:cstheme="minorHAnsi"/>
          <w:sz w:val="24"/>
          <w:szCs w:val="24"/>
        </w:rPr>
        <w:t>Please upload your word document to the correct submission link when complete.</w:t>
      </w:r>
    </w:p>
    <w:p w14:paraId="349A5C8B" w14:textId="77777777" w:rsidR="003A761E" w:rsidRPr="000F0212" w:rsidRDefault="003A761E" w:rsidP="003A761E">
      <w:pPr>
        <w:pStyle w:val="ListParagraph"/>
        <w:rPr>
          <w:rFonts w:cstheme="minorHAnsi"/>
          <w:sz w:val="24"/>
          <w:szCs w:val="24"/>
        </w:rPr>
      </w:pPr>
    </w:p>
    <w:p w14:paraId="5DBC1CBA" w14:textId="2B712FFA" w:rsidR="003A761E" w:rsidRPr="000F0212" w:rsidRDefault="003A761E" w:rsidP="003A761E">
      <w:pPr>
        <w:pStyle w:val="ListParagraph"/>
        <w:numPr>
          <w:ilvl w:val="0"/>
          <w:numId w:val="3"/>
        </w:numPr>
        <w:rPr>
          <w:rFonts w:cstheme="minorHAnsi"/>
          <w:sz w:val="24"/>
          <w:szCs w:val="24"/>
        </w:rPr>
      </w:pPr>
      <w:r w:rsidRPr="000F0212">
        <w:rPr>
          <w:rFonts w:cstheme="minorHAnsi"/>
          <w:sz w:val="24"/>
          <w:szCs w:val="24"/>
        </w:rPr>
        <w:t xml:space="preserve">Description – what happened? </w:t>
      </w:r>
    </w:p>
    <w:p w14:paraId="304A5AD2" w14:textId="2F8AEB54" w:rsidR="00356621" w:rsidRPr="000F0212" w:rsidRDefault="00356621" w:rsidP="00356621">
      <w:pPr>
        <w:pStyle w:val="ListParagraph"/>
        <w:rPr>
          <w:rFonts w:cstheme="minorHAnsi"/>
          <w:sz w:val="24"/>
          <w:szCs w:val="24"/>
        </w:rPr>
      </w:pPr>
    </w:p>
    <w:p w14:paraId="1CE4F44A" w14:textId="1304E6BC" w:rsidR="00053264" w:rsidRPr="000F0212" w:rsidRDefault="00053264" w:rsidP="00356621">
      <w:pPr>
        <w:pStyle w:val="ListParagraph"/>
        <w:rPr>
          <w:rFonts w:cstheme="minorHAnsi"/>
          <w:sz w:val="24"/>
          <w:szCs w:val="24"/>
        </w:rPr>
      </w:pPr>
      <w:r w:rsidRPr="000F0212">
        <w:rPr>
          <w:rFonts w:cstheme="minorHAnsi"/>
          <w:sz w:val="24"/>
          <w:szCs w:val="24"/>
        </w:rPr>
        <w:t xml:space="preserve">I carried out a work placement on the post-natal ward at the Princess of Wales Hospital in Bridgend. I was asked to help a new mother who was recovering from a difficult birth with the feeding and bathing of her newborn, along with the nursery nurse who I was shadowing for the day. </w:t>
      </w:r>
      <w:r w:rsidR="00B34F0F" w:rsidRPr="000F0212">
        <w:rPr>
          <w:rFonts w:cstheme="minorHAnsi"/>
          <w:sz w:val="24"/>
          <w:szCs w:val="24"/>
        </w:rPr>
        <w:t xml:space="preserve">I also had the opportunity to shadow a midwife doing her post-natal observations on women. </w:t>
      </w:r>
      <w:r w:rsidR="009C0E0F" w:rsidRPr="000F0212">
        <w:rPr>
          <w:rFonts w:cstheme="minorHAnsi"/>
          <w:sz w:val="24"/>
          <w:szCs w:val="24"/>
        </w:rPr>
        <w:t xml:space="preserve">I was able to care for the woman along with the staff by being attentive to her needs and </w:t>
      </w:r>
      <w:r w:rsidR="00B76DF0" w:rsidRPr="000F0212">
        <w:rPr>
          <w:rFonts w:cstheme="minorHAnsi"/>
          <w:sz w:val="24"/>
          <w:szCs w:val="24"/>
        </w:rPr>
        <w:t xml:space="preserve">by recognising the uniqueness of the individual without judgement. I responded to the needs of the woman with compassion for her situation, acknowledging her feelings and expressing empathy when she was in slight emotional and physical distress. </w:t>
      </w:r>
    </w:p>
    <w:p w14:paraId="0AB24D8F" w14:textId="77777777" w:rsidR="00EA1793" w:rsidRPr="000F0212" w:rsidRDefault="00EA1793" w:rsidP="00356621">
      <w:pPr>
        <w:pStyle w:val="ListParagraph"/>
        <w:rPr>
          <w:rFonts w:cstheme="minorHAnsi"/>
          <w:sz w:val="24"/>
          <w:szCs w:val="24"/>
        </w:rPr>
      </w:pPr>
    </w:p>
    <w:p w14:paraId="01271FD6" w14:textId="2FF04F6F" w:rsidR="00EA1793" w:rsidRPr="000F0212" w:rsidRDefault="00EA1793" w:rsidP="00356621">
      <w:pPr>
        <w:pStyle w:val="ListParagraph"/>
        <w:rPr>
          <w:rFonts w:cstheme="minorHAnsi"/>
          <w:sz w:val="24"/>
          <w:szCs w:val="24"/>
        </w:rPr>
      </w:pPr>
      <w:r w:rsidRPr="000F0212">
        <w:rPr>
          <w:rFonts w:cstheme="minorHAnsi"/>
          <w:sz w:val="24"/>
          <w:szCs w:val="24"/>
        </w:rPr>
        <w:t>Dewey (</w:t>
      </w:r>
      <w:r w:rsidR="00BF7657" w:rsidRPr="000F0212">
        <w:rPr>
          <w:rFonts w:cstheme="minorHAnsi"/>
          <w:sz w:val="24"/>
          <w:szCs w:val="24"/>
        </w:rPr>
        <w:t>1896</w:t>
      </w:r>
      <w:r w:rsidRPr="000F0212">
        <w:rPr>
          <w:rFonts w:cstheme="minorHAnsi"/>
          <w:sz w:val="24"/>
          <w:szCs w:val="24"/>
        </w:rPr>
        <w:t>, cited in Boud, Keogh and Walker</w:t>
      </w:r>
      <w:r w:rsidR="0030589D" w:rsidRPr="000F0212">
        <w:rPr>
          <w:rFonts w:cstheme="minorHAnsi"/>
          <w:sz w:val="24"/>
          <w:szCs w:val="24"/>
        </w:rPr>
        <w:t xml:space="preserve">, 2013, p. 19) proposes that reflection is an essential aspect of recollecting events and henceforth being able to assess what can be learnt from the experience. </w:t>
      </w:r>
    </w:p>
    <w:p w14:paraId="5D4DCD53" w14:textId="34793256" w:rsidR="003A761E" w:rsidRPr="000F0212" w:rsidRDefault="00356621" w:rsidP="002F2038">
      <w:pPr>
        <w:pStyle w:val="ListParagraph"/>
        <w:rPr>
          <w:rFonts w:cstheme="minorHAnsi"/>
          <w:sz w:val="24"/>
          <w:szCs w:val="24"/>
        </w:rPr>
      </w:pP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r w:rsidRPr="000F0212">
        <w:rPr>
          <w:rFonts w:cstheme="minorHAnsi"/>
          <w:sz w:val="24"/>
          <w:szCs w:val="24"/>
        </w:rPr>
        <w:softHyphen/>
      </w:r>
    </w:p>
    <w:p w14:paraId="775E5E65" w14:textId="4226E036" w:rsidR="003A761E" w:rsidRPr="000F0212" w:rsidRDefault="003A761E" w:rsidP="003A761E">
      <w:pPr>
        <w:pStyle w:val="ListParagraph"/>
        <w:numPr>
          <w:ilvl w:val="0"/>
          <w:numId w:val="3"/>
        </w:numPr>
        <w:rPr>
          <w:rFonts w:cstheme="minorHAnsi"/>
          <w:sz w:val="24"/>
          <w:szCs w:val="24"/>
        </w:rPr>
      </w:pPr>
      <w:r w:rsidRPr="000F0212">
        <w:rPr>
          <w:rFonts w:cstheme="minorHAnsi"/>
          <w:sz w:val="24"/>
          <w:szCs w:val="24"/>
        </w:rPr>
        <w:t xml:space="preserve"> Feelings – what were you thinking and feeling</w:t>
      </w:r>
    </w:p>
    <w:p w14:paraId="6874410B" w14:textId="4EF0437F" w:rsidR="00356621" w:rsidRPr="000F0212" w:rsidRDefault="00356621" w:rsidP="00356621">
      <w:pPr>
        <w:pStyle w:val="ListParagraph"/>
        <w:rPr>
          <w:rFonts w:cstheme="minorHAnsi"/>
          <w:sz w:val="24"/>
          <w:szCs w:val="24"/>
        </w:rPr>
      </w:pPr>
    </w:p>
    <w:p w14:paraId="6A7F5FB6" w14:textId="686A98DC" w:rsidR="00053264" w:rsidRPr="000F0212" w:rsidRDefault="00053264" w:rsidP="00356621">
      <w:pPr>
        <w:pStyle w:val="ListParagraph"/>
        <w:rPr>
          <w:rFonts w:cstheme="minorHAnsi"/>
          <w:sz w:val="24"/>
          <w:szCs w:val="24"/>
        </w:rPr>
      </w:pPr>
      <w:r w:rsidRPr="000F0212">
        <w:rPr>
          <w:rFonts w:cstheme="minorHAnsi"/>
          <w:sz w:val="24"/>
          <w:szCs w:val="24"/>
        </w:rPr>
        <w:t xml:space="preserve">I felt a mixture of feelings however I predominantly remember feeling gratitude for being able to help take care of a new mother and her newborn. I recall feeling nervous at the time also. Due to having not yet had a child of my own at the time I felt anxious at the thought of not being able to relate to how the woman was feeling on a personal level </w:t>
      </w:r>
      <w:r w:rsidR="001215B0" w:rsidRPr="000F0212">
        <w:rPr>
          <w:rFonts w:cstheme="minorHAnsi"/>
          <w:sz w:val="24"/>
          <w:szCs w:val="24"/>
        </w:rPr>
        <w:t xml:space="preserve">and I was unsure of how to offer reassurance to someone where in this instance I had not been able to relate to the situation she was in. However, I felt sympathetic for the new mother, and I was determined to help in any way I could. I felt admiration for the strength and resilience she presented during a very physically challenging time; she had received stitches after a troublesome birth. </w:t>
      </w:r>
    </w:p>
    <w:p w14:paraId="0560DFCE" w14:textId="11201685" w:rsidR="003A761E" w:rsidRPr="000F0212" w:rsidRDefault="00594277" w:rsidP="003A761E">
      <w:pPr>
        <w:rPr>
          <w:rFonts w:cstheme="minorHAnsi"/>
          <w:sz w:val="24"/>
          <w:szCs w:val="24"/>
        </w:rPr>
      </w:pPr>
      <w:r w:rsidRPr="000F0212">
        <w:rPr>
          <w:rFonts w:cstheme="minorHAnsi"/>
          <w:sz w:val="24"/>
          <w:szCs w:val="24"/>
        </w:rPr>
        <w:tab/>
      </w:r>
    </w:p>
    <w:p w14:paraId="5B57F509" w14:textId="14F84DCE" w:rsidR="00594277" w:rsidRPr="000F0212" w:rsidRDefault="00594277" w:rsidP="00594277">
      <w:pPr>
        <w:ind w:left="720"/>
        <w:rPr>
          <w:rFonts w:cstheme="minorHAnsi"/>
          <w:sz w:val="24"/>
          <w:szCs w:val="24"/>
        </w:rPr>
      </w:pPr>
      <w:r w:rsidRPr="000F0212">
        <w:rPr>
          <w:rFonts w:cstheme="minorHAnsi"/>
          <w:sz w:val="24"/>
          <w:szCs w:val="24"/>
        </w:rPr>
        <w:t xml:space="preserve">Johns (2009, cited in Wain, 2017, p. 662) advises that reflection aids in confident decision making and enables conscientious behaviour in humans. </w:t>
      </w:r>
    </w:p>
    <w:p w14:paraId="129B1519" w14:textId="77777777" w:rsidR="003A761E" w:rsidRPr="000F0212" w:rsidRDefault="003A761E" w:rsidP="003A761E">
      <w:pPr>
        <w:rPr>
          <w:rFonts w:cstheme="minorHAnsi"/>
          <w:sz w:val="24"/>
          <w:szCs w:val="24"/>
        </w:rPr>
      </w:pPr>
    </w:p>
    <w:p w14:paraId="60FD5688" w14:textId="51253C07" w:rsidR="003A761E" w:rsidRPr="000F0212" w:rsidRDefault="003A761E" w:rsidP="003A761E">
      <w:pPr>
        <w:pStyle w:val="ListParagraph"/>
        <w:numPr>
          <w:ilvl w:val="0"/>
          <w:numId w:val="3"/>
        </w:numPr>
        <w:rPr>
          <w:rFonts w:cstheme="minorHAnsi"/>
          <w:sz w:val="24"/>
          <w:szCs w:val="24"/>
        </w:rPr>
      </w:pPr>
      <w:r w:rsidRPr="000F0212">
        <w:rPr>
          <w:rFonts w:cstheme="minorHAnsi"/>
          <w:sz w:val="24"/>
          <w:szCs w:val="24"/>
        </w:rPr>
        <w:lastRenderedPageBreak/>
        <w:t>Evaluation – what was good or bad about the experience</w:t>
      </w:r>
    </w:p>
    <w:p w14:paraId="46BE85BF" w14:textId="161DD279" w:rsidR="00594277" w:rsidRDefault="001215B0" w:rsidP="00594277">
      <w:pPr>
        <w:ind w:left="720"/>
        <w:rPr>
          <w:rFonts w:cstheme="minorHAnsi"/>
          <w:sz w:val="24"/>
          <w:szCs w:val="24"/>
        </w:rPr>
      </w:pPr>
      <w:r w:rsidRPr="000F0212">
        <w:rPr>
          <w:rFonts w:cstheme="minorHAnsi"/>
          <w:sz w:val="24"/>
          <w:szCs w:val="24"/>
        </w:rPr>
        <w:t>On reflection, I remember the experience being predominantly good. I was able to learn transferable skills for future work placements and in particular thro</w:t>
      </w:r>
      <w:r w:rsidR="009C0E0F" w:rsidRPr="000F0212">
        <w:rPr>
          <w:rFonts w:cstheme="minorHAnsi"/>
          <w:sz w:val="24"/>
          <w:szCs w:val="24"/>
        </w:rPr>
        <w:t>ugh</w:t>
      </w:r>
      <w:r w:rsidRPr="000F0212">
        <w:rPr>
          <w:rFonts w:cstheme="minorHAnsi"/>
          <w:sz w:val="24"/>
          <w:szCs w:val="24"/>
        </w:rPr>
        <w:t xml:space="preserve"> shadow-work I was able to witness first-hand what a compassionate and attentive healthcare provider looks like. </w:t>
      </w:r>
    </w:p>
    <w:p w14:paraId="75D1B253" w14:textId="51F167F4" w:rsidR="00565758" w:rsidRPr="000F0212" w:rsidRDefault="00565758" w:rsidP="00594277">
      <w:pPr>
        <w:ind w:left="720"/>
        <w:rPr>
          <w:rFonts w:cstheme="minorHAnsi"/>
          <w:sz w:val="24"/>
          <w:szCs w:val="24"/>
        </w:rPr>
      </w:pPr>
      <w:r>
        <w:rPr>
          <w:rFonts w:cstheme="minorHAnsi"/>
          <w:sz w:val="24"/>
          <w:szCs w:val="24"/>
        </w:rPr>
        <w:t xml:space="preserve">However, if I had to consider the negatives of the placement I would highlight the understaffing which evidently placed stress on workers who were already overstretched with their workloads. </w:t>
      </w:r>
    </w:p>
    <w:p w14:paraId="425F68DF" w14:textId="77777777" w:rsidR="00ED7A19" w:rsidRPr="000F0212" w:rsidRDefault="00ED7A19" w:rsidP="001215B0">
      <w:pPr>
        <w:ind w:left="720"/>
        <w:rPr>
          <w:rFonts w:cstheme="minorHAnsi"/>
          <w:sz w:val="24"/>
          <w:szCs w:val="24"/>
        </w:rPr>
      </w:pPr>
    </w:p>
    <w:p w14:paraId="7AFED8CF" w14:textId="25329276" w:rsidR="00ED7A19" w:rsidRPr="000F0212" w:rsidRDefault="00ED7A19" w:rsidP="001215B0">
      <w:pPr>
        <w:ind w:left="720"/>
        <w:rPr>
          <w:rFonts w:cstheme="minorHAnsi"/>
          <w:sz w:val="24"/>
          <w:szCs w:val="24"/>
        </w:rPr>
      </w:pPr>
      <w:r w:rsidRPr="000F0212">
        <w:rPr>
          <w:rFonts w:cstheme="minorHAnsi"/>
          <w:sz w:val="24"/>
          <w:szCs w:val="24"/>
        </w:rPr>
        <w:t xml:space="preserve">Kolb </w:t>
      </w:r>
      <w:r w:rsidR="00171F56" w:rsidRPr="000F0212">
        <w:rPr>
          <w:rFonts w:cstheme="minorHAnsi"/>
          <w:sz w:val="24"/>
          <w:szCs w:val="24"/>
        </w:rPr>
        <w:t xml:space="preserve">and Kolb </w:t>
      </w:r>
      <w:r w:rsidRPr="000F0212">
        <w:rPr>
          <w:rFonts w:cstheme="minorHAnsi"/>
          <w:sz w:val="24"/>
          <w:szCs w:val="24"/>
        </w:rPr>
        <w:t>(</w:t>
      </w:r>
      <w:r w:rsidR="00171F56" w:rsidRPr="000F0212">
        <w:rPr>
          <w:rFonts w:cstheme="minorHAnsi"/>
          <w:sz w:val="24"/>
          <w:szCs w:val="24"/>
        </w:rPr>
        <w:t>2012</w:t>
      </w:r>
      <w:r w:rsidR="00D1754F" w:rsidRPr="000F0212">
        <w:rPr>
          <w:rFonts w:cstheme="minorHAnsi"/>
          <w:sz w:val="24"/>
          <w:szCs w:val="24"/>
        </w:rPr>
        <w:t>, p. 194</w:t>
      </w:r>
      <w:r w:rsidRPr="000F0212">
        <w:rPr>
          <w:rFonts w:cstheme="minorHAnsi"/>
          <w:sz w:val="24"/>
          <w:szCs w:val="24"/>
        </w:rPr>
        <w:t xml:space="preserve">) indicates that personal development is acquired through direct experiences and reflection </w:t>
      </w:r>
      <w:r w:rsidR="00171F56" w:rsidRPr="000F0212">
        <w:rPr>
          <w:rFonts w:cstheme="minorHAnsi"/>
          <w:sz w:val="24"/>
          <w:szCs w:val="24"/>
        </w:rPr>
        <w:t xml:space="preserve">of these experiences enable new ideas to be constructed. </w:t>
      </w:r>
      <w:r w:rsidRPr="000F0212">
        <w:rPr>
          <w:rFonts w:cstheme="minorHAnsi"/>
          <w:sz w:val="24"/>
          <w:szCs w:val="24"/>
        </w:rPr>
        <w:t xml:space="preserve"> </w:t>
      </w:r>
    </w:p>
    <w:p w14:paraId="06E15367" w14:textId="77777777" w:rsidR="00356621" w:rsidRPr="000F0212" w:rsidRDefault="00356621" w:rsidP="003A761E">
      <w:pPr>
        <w:rPr>
          <w:rFonts w:cstheme="minorHAnsi"/>
          <w:sz w:val="24"/>
          <w:szCs w:val="24"/>
        </w:rPr>
      </w:pPr>
    </w:p>
    <w:p w14:paraId="738CE23A" w14:textId="0C470DA1" w:rsidR="003A761E" w:rsidRPr="000F0212" w:rsidRDefault="003A761E" w:rsidP="003A761E">
      <w:pPr>
        <w:pStyle w:val="ListParagraph"/>
        <w:numPr>
          <w:ilvl w:val="0"/>
          <w:numId w:val="3"/>
        </w:numPr>
        <w:rPr>
          <w:rFonts w:cstheme="minorHAnsi"/>
          <w:sz w:val="24"/>
          <w:szCs w:val="24"/>
        </w:rPr>
      </w:pPr>
      <w:r w:rsidRPr="000F0212">
        <w:rPr>
          <w:rFonts w:cstheme="minorHAnsi"/>
          <w:sz w:val="24"/>
          <w:szCs w:val="24"/>
        </w:rPr>
        <w:t xml:space="preserve"> </w:t>
      </w:r>
      <w:r w:rsidR="00356621" w:rsidRPr="000F0212">
        <w:rPr>
          <w:rFonts w:cstheme="minorHAnsi"/>
          <w:sz w:val="24"/>
          <w:szCs w:val="24"/>
        </w:rPr>
        <w:t>Analysis</w:t>
      </w:r>
      <w:r w:rsidRPr="000F0212">
        <w:rPr>
          <w:rFonts w:cstheme="minorHAnsi"/>
          <w:sz w:val="24"/>
          <w:szCs w:val="24"/>
        </w:rPr>
        <w:t xml:space="preserve"> – Wh</w:t>
      </w:r>
      <w:r w:rsidR="000D0B2C" w:rsidRPr="000F0212">
        <w:rPr>
          <w:rFonts w:cstheme="minorHAnsi"/>
          <w:sz w:val="24"/>
          <w:szCs w:val="24"/>
        </w:rPr>
        <w:t>at sense can you make of the situation? What have you learned</w:t>
      </w:r>
      <w:r w:rsidRPr="000F0212">
        <w:rPr>
          <w:rFonts w:cstheme="minorHAnsi"/>
          <w:sz w:val="24"/>
          <w:szCs w:val="24"/>
        </w:rPr>
        <w:t>?</w:t>
      </w:r>
    </w:p>
    <w:p w14:paraId="0FB3B01A" w14:textId="189E92B6" w:rsidR="003A761E" w:rsidRPr="000F0212" w:rsidRDefault="001215B0" w:rsidP="001215B0">
      <w:pPr>
        <w:ind w:left="720"/>
        <w:rPr>
          <w:rFonts w:cstheme="minorHAnsi"/>
          <w:sz w:val="24"/>
          <w:szCs w:val="24"/>
        </w:rPr>
      </w:pPr>
      <w:r w:rsidRPr="000F0212">
        <w:rPr>
          <w:rFonts w:cstheme="minorHAnsi"/>
          <w:sz w:val="24"/>
          <w:szCs w:val="24"/>
        </w:rPr>
        <w:t xml:space="preserve">I learnt many valuable and transferable skills from the situation. I was able to recognise how valuable effective communication skills are within healthcare. </w:t>
      </w:r>
      <w:r w:rsidR="0096714C" w:rsidRPr="000F0212">
        <w:rPr>
          <w:rFonts w:cstheme="minorHAnsi"/>
          <w:sz w:val="24"/>
          <w:szCs w:val="24"/>
        </w:rPr>
        <w:t>It also became apparent to me about the importance of adjusting the way in which I communicated depending on who I was speaking to</w:t>
      </w:r>
      <w:r w:rsidR="007E4AD5" w:rsidRPr="000F0212">
        <w:rPr>
          <w:rFonts w:cstheme="minorHAnsi"/>
          <w:sz w:val="24"/>
          <w:szCs w:val="24"/>
        </w:rPr>
        <w:t xml:space="preserve">. For example, I was able to use my body language, gestures and visual aids when conversing with someone where a language barrier was in place. I also learnt to familiarise myself with basic terms used within healthcare in order to better communicate with staff members. </w:t>
      </w:r>
    </w:p>
    <w:p w14:paraId="16972999" w14:textId="1736B119" w:rsidR="00284C6B" w:rsidRPr="000F0212" w:rsidRDefault="0076557E" w:rsidP="0038175F">
      <w:pPr>
        <w:ind w:left="720"/>
        <w:rPr>
          <w:rFonts w:cstheme="minorHAnsi"/>
          <w:sz w:val="24"/>
          <w:szCs w:val="24"/>
        </w:rPr>
      </w:pPr>
      <w:r w:rsidRPr="000F0212">
        <w:rPr>
          <w:rFonts w:cstheme="minorHAnsi"/>
          <w:sz w:val="24"/>
          <w:szCs w:val="24"/>
        </w:rPr>
        <w:t>Scharmer (2007) has a reflective system known as the Theory U method, which suggests that there is a connection between the mind and the heart</w:t>
      </w:r>
      <w:r w:rsidR="0038175F" w:rsidRPr="000F0212">
        <w:rPr>
          <w:rFonts w:cstheme="minorHAnsi"/>
          <w:sz w:val="24"/>
          <w:szCs w:val="24"/>
        </w:rPr>
        <w:t>. W</w:t>
      </w:r>
      <w:r w:rsidRPr="000F0212">
        <w:rPr>
          <w:rFonts w:cstheme="minorHAnsi"/>
          <w:sz w:val="24"/>
          <w:szCs w:val="24"/>
        </w:rPr>
        <w:t xml:space="preserve">hen this connection is made people are able to </w:t>
      </w:r>
      <w:r w:rsidR="0038175F" w:rsidRPr="000F0212">
        <w:rPr>
          <w:rFonts w:cstheme="minorHAnsi"/>
          <w:sz w:val="24"/>
          <w:szCs w:val="24"/>
        </w:rPr>
        <w:t xml:space="preserve">address situations by acting with intent as opposed to addressing problems unconsciously and adhering to routines (Scharmer, 2007).  </w:t>
      </w:r>
    </w:p>
    <w:p w14:paraId="1F7D2034" w14:textId="77777777" w:rsidR="0038175F" w:rsidRPr="000F0212" w:rsidRDefault="0038175F" w:rsidP="0038175F">
      <w:pPr>
        <w:ind w:left="720"/>
        <w:rPr>
          <w:rFonts w:cstheme="minorHAnsi"/>
          <w:sz w:val="24"/>
          <w:szCs w:val="24"/>
        </w:rPr>
      </w:pPr>
    </w:p>
    <w:p w14:paraId="2B9944BB" w14:textId="69375C9F" w:rsidR="003A761E" w:rsidRPr="000F0212" w:rsidRDefault="003A761E" w:rsidP="003A761E">
      <w:pPr>
        <w:pStyle w:val="ListParagraph"/>
        <w:numPr>
          <w:ilvl w:val="0"/>
          <w:numId w:val="3"/>
        </w:numPr>
        <w:rPr>
          <w:rFonts w:cstheme="minorHAnsi"/>
          <w:sz w:val="24"/>
          <w:szCs w:val="24"/>
        </w:rPr>
      </w:pPr>
      <w:r w:rsidRPr="000F0212">
        <w:rPr>
          <w:rFonts w:cstheme="minorHAnsi"/>
          <w:sz w:val="24"/>
          <w:szCs w:val="24"/>
        </w:rPr>
        <w:t xml:space="preserve">Conclusion – what else could you have done? </w:t>
      </w:r>
    </w:p>
    <w:p w14:paraId="1CC41FE0" w14:textId="40239A24" w:rsidR="00356621" w:rsidRPr="000F0212" w:rsidRDefault="00356621" w:rsidP="00356621">
      <w:pPr>
        <w:pStyle w:val="ListParagraph"/>
        <w:rPr>
          <w:rFonts w:cstheme="minorHAnsi"/>
          <w:sz w:val="24"/>
          <w:szCs w:val="24"/>
        </w:rPr>
      </w:pPr>
    </w:p>
    <w:p w14:paraId="30DD1C77" w14:textId="4D6DC2DC" w:rsidR="00284C6B" w:rsidRPr="000F0212" w:rsidRDefault="000063DF" w:rsidP="00356621">
      <w:pPr>
        <w:pStyle w:val="ListParagraph"/>
        <w:rPr>
          <w:rFonts w:cstheme="minorHAnsi"/>
          <w:sz w:val="24"/>
          <w:szCs w:val="24"/>
        </w:rPr>
      </w:pPr>
      <w:r w:rsidRPr="000F0212">
        <w:rPr>
          <w:rFonts w:cstheme="minorHAnsi"/>
          <w:sz w:val="24"/>
          <w:szCs w:val="24"/>
        </w:rPr>
        <w:t xml:space="preserve">I could have asked to shadow other members of staff in order to get a better insight into the different job roles within a multidisciplinary team which is often seen throughout healthcare. I also could have spent more time building better relationships with other patients in order to enhance their experience during their hospital stay but also it would have helped to enhance my emotional intelligence of what a role within that particular healthcare setting required. </w:t>
      </w:r>
    </w:p>
    <w:p w14:paraId="7DDB883B" w14:textId="6A0640D5" w:rsidR="00284C6B" w:rsidRPr="000F0212" w:rsidRDefault="00284C6B" w:rsidP="00356621">
      <w:pPr>
        <w:pStyle w:val="ListParagraph"/>
        <w:rPr>
          <w:rFonts w:cstheme="minorHAnsi"/>
          <w:sz w:val="24"/>
          <w:szCs w:val="24"/>
        </w:rPr>
      </w:pPr>
    </w:p>
    <w:p w14:paraId="0CF21FE5" w14:textId="6FB6B206" w:rsidR="00284C6B" w:rsidRPr="000F0212" w:rsidRDefault="00C90160" w:rsidP="00C90160">
      <w:pPr>
        <w:pStyle w:val="ListParagraph"/>
        <w:rPr>
          <w:rFonts w:cstheme="minorHAnsi"/>
          <w:sz w:val="24"/>
          <w:szCs w:val="24"/>
        </w:rPr>
      </w:pPr>
      <w:r w:rsidRPr="000F0212">
        <w:rPr>
          <w:rFonts w:cstheme="minorHAnsi"/>
          <w:sz w:val="24"/>
          <w:szCs w:val="24"/>
        </w:rPr>
        <w:t xml:space="preserve">Reflecting after an action can help a person evaluate what they have learnt from a particular scenario and how they can apply that knowledge in future, whereas </w:t>
      </w:r>
      <w:r w:rsidRPr="000F0212">
        <w:rPr>
          <w:rFonts w:cstheme="minorHAnsi"/>
          <w:sz w:val="24"/>
          <w:szCs w:val="24"/>
        </w:rPr>
        <w:lastRenderedPageBreak/>
        <w:t xml:space="preserve">reflecting during an action allows a person to use problem solving and critical thinking skills while the scenario is happening in real time (Schon, 1991). </w:t>
      </w:r>
    </w:p>
    <w:p w14:paraId="04683EEC" w14:textId="77777777" w:rsidR="00284C6B" w:rsidRPr="000F0212" w:rsidRDefault="00284C6B" w:rsidP="00356621">
      <w:pPr>
        <w:pStyle w:val="ListParagraph"/>
        <w:rPr>
          <w:rFonts w:cstheme="minorHAnsi"/>
          <w:sz w:val="24"/>
          <w:szCs w:val="24"/>
        </w:rPr>
      </w:pPr>
    </w:p>
    <w:p w14:paraId="1F642F77" w14:textId="7C49F4DE" w:rsidR="003A761E" w:rsidRPr="000F0212" w:rsidRDefault="003A761E" w:rsidP="003A761E">
      <w:pPr>
        <w:pStyle w:val="ListParagraph"/>
        <w:numPr>
          <w:ilvl w:val="0"/>
          <w:numId w:val="3"/>
        </w:numPr>
        <w:rPr>
          <w:rFonts w:cstheme="minorHAnsi"/>
          <w:sz w:val="24"/>
          <w:szCs w:val="24"/>
        </w:rPr>
      </w:pPr>
      <w:r w:rsidRPr="000F0212">
        <w:rPr>
          <w:rFonts w:cstheme="minorHAnsi"/>
          <w:sz w:val="24"/>
          <w:szCs w:val="24"/>
        </w:rPr>
        <w:t xml:space="preserve">Action plan </w:t>
      </w:r>
      <w:r w:rsidR="00356621" w:rsidRPr="000F0212">
        <w:rPr>
          <w:rFonts w:cstheme="minorHAnsi"/>
          <w:sz w:val="24"/>
          <w:szCs w:val="24"/>
        </w:rPr>
        <w:softHyphen/>
        <w:t>– If I have to do the same thing again, what would I do differently?</w:t>
      </w:r>
    </w:p>
    <w:p w14:paraId="5B3884C3" w14:textId="224A166A" w:rsidR="00356621" w:rsidRPr="000F0212" w:rsidRDefault="00356621" w:rsidP="00356621">
      <w:pPr>
        <w:pStyle w:val="ListParagraph"/>
        <w:rPr>
          <w:rFonts w:cstheme="minorHAnsi"/>
          <w:sz w:val="24"/>
          <w:szCs w:val="24"/>
        </w:rPr>
      </w:pPr>
    </w:p>
    <w:p w14:paraId="0F4AB7BA" w14:textId="27E44571" w:rsidR="00E74CBC" w:rsidRPr="000F0212" w:rsidRDefault="00E74CBC" w:rsidP="00356621">
      <w:pPr>
        <w:pStyle w:val="ListParagraph"/>
        <w:rPr>
          <w:rFonts w:cstheme="minorHAnsi"/>
          <w:sz w:val="24"/>
          <w:szCs w:val="24"/>
        </w:rPr>
      </w:pPr>
      <w:r w:rsidRPr="000F0212">
        <w:rPr>
          <w:rFonts w:cstheme="minorHAnsi"/>
          <w:sz w:val="24"/>
          <w:szCs w:val="24"/>
        </w:rPr>
        <w:t>In hindsight, I would take a notebook with me so I could make notes of useful information and terminology which would allow me to feel better prepared and more knowledgeable in future scenarios. This would also mean I would be able to reflect on what I had learned and identify any areas where I felt I needed to address my own capabilities for personal growth. I would also plan ahead to be able to plan my schedule better, so I felt I was able to distribute my time evenly between patients</w:t>
      </w:r>
      <w:r w:rsidR="00F029E3">
        <w:rPr>
          <w:rFonts w:cstheme="minorHAnsi"/>
          <w:sz w:val="24"/>
          <w:szCs w:val="24"/>
        </w:rPr>
        <w:t xml:space="preserve"> in order to provide the best care</w:t>
      </w:r>
      <w:r w:rsidRPr="000F0212">
        <w:rPr>
          <w:rFonts w:cstheme="minorHAnsi"/>
          <w:sz w:val="24"/>
          <w:szCs w:val="24"/>
        </w:rPr>
        <w:t xml:space="preserve">. </w:t>
      </w:r>
    </w:p>
    <w:p w14:paraId="014ED6A8" w14:textId="77777777" w:rsidR="009013E0" w:rsidRPr="000F0212" w:rsidRDefault="009013E0" w:rsidP="00356621">
      <w:pPr>
        <w:pStyle w:val="ListParagraph"/>
        <w:rPr>
          <w:rFonts w:cstheme="minorHAnsi"/>
          <w:sz w:val="24"/>
          <w:szCs w:val="24"/>
        </w:rPr>
      </w:pPr>
    </w:p>
    <w:p w14:paraId="32B03813" w14:textId="5F266366" w:rsidR="00E74CBC" w:rsidRPr="000F0212" w:rsidRDefault="009013E0" w:rsidP="009013E0">
      <w:pPr>
        <w:pStyle w:val="ListParagraph"/>
        <w:rPr>
          <w:rFonts w:cstheme="minorHAnsi"/>
          <w:sz w:val="24"/>
          <w:szCs w:val="24"/>
        </w:rPr>
      </w:pPr>
      <w:r w:rsidRPr="000F0212">
        <w:rPr>
          <w:rFonts w:cstheme="minorHAnsi"/>
          <w:sz w:val="24"/>
          <w:szCs w:val="24"/>
        </w:rPr>
        <w:t xml:space="preserve">Eaton (2017) believes that reflection in healthcare can aid people to become more conscientious of their personal strengths and weaknesses and how these may influence their own personal growth and the effect these have on their patients. </w:t>
      </w:r>
    </w:p>
    <w:p w14:paraId="55E2A9AB" w14:textId="77777777" w:rsidR="009013E0" w:rsidRPr="000F0212" w:rsidRDefault="009013E0" w:rsidP="009013E0">
      <w:pPr>
        <w:pStyle w:val="ListParagraph"/>
        <w:rPr>
          <w:rFonts w:cstheme="minorHAnsi"/>
          <w:sz w:val="24"/>
          <w:szCs w:val="24"/>
        </w:rPr>
      </w:pPr>
    </w:p>
    <w:p w14:paraId="0FA1DED5" w14:textId="77777777" w:rsidR="009013E0" w:rsidRPr="000F0212" w:rsidRDefault="009013E0" w:rsidP="00356621">
      <w:pPr>
        <w:pStyle w:val="ListParagraph"/>
        <w:rPr>
          <w:rFonts w:cstheme="minorHAnsi"/>
          <w:sz w:val="24"/>
          <w:szCs w:val="24"/>
          <w:u w:val="single"/>
        </w:rPr>
      </w:pPr>
    </w:p>
    <w:p w14:paraId="1F075BC0" w14:textId="55B6F317" w:rsidR="009013E0" w:rsidRPr="000F0212" w:rsidRDefault="00BF7657" w:rsidP="00BF7657">
      <w:pPr>
        <w:rPr>
          <w:rFonts w:cstheme="minorHAnsi"/>
          <w:sz w:val="24"/>
          <w:szCs w:val="24"/>
          <w:u w:val="single"/>
        </w:rPr>
      </w:pPr>
      <w:r w:rsidRPr="000F0212">
        <w:rPr>
          <w:rFonts w:cstheme="minorHAnsi"/>
          <w:sz w:val="24"/>
          <w:szCs w:val="24"/>
          <w:u w:val="single"/>
        </w:rPr>
        <w:br w:type="page"/>
      </w:r>
    </w:p>
    <w:p w14:paraId="05931F81" w14:textId="77777777" w:rsidR="00BF7657" w:rsidRPr="000F0212" w:rsidRDefault="00BF7657" w:rsidP="00BF7657">
      <w:pPr>
        <w:rPr>
          <w:rFonts w:cstheme="minorHAnsi"/>
          <w:sz w:val="24"/>
          <w:szCs w:val="24"/>
          <w:u w:val="single"/>
        </w:rPr>
      </w:pPr>
    </w:p>
    <w:p w14:paraId="0F589E9B" w14:textId="573DFDDF" w:rsidR="009013E0" w:rsidRPr="000F0212" w:rsidRDefault="00E74CBC" w:rsidP="000C28E9">
      <w:pPr>
        <w:pStyle w:val="ListParagraph"/>
        <w:rPr>
          <w:rFonts w:cstheme="minorHAnsi"/>
          <w:sz w:val="24"/>
          <w:szCs w:val="24"/>
          <w:u w:val="single"/>
        </w:rPr>
      </w:pPr>
      <w:r w:rsidRPr="000F0212">
        <w:rPr>
          <w:rFonts w:cstheme="minorHAnsi"/>
          <w:sz w:val="24"/>
          <w:szCs w:val="24"/>
          <w:u w:val="single"/>
        </w:rPr>
        <w:t>References</w:t>
      </w:r>
    </w:p>
    <w:p w14:paraId="61C4DC21" w14:textId="77777777" w:rsidR="000C28E9" w:rsidRPr="000F0212" w:rsidRDefault="000C28E9" w:rsidP="000C28E9">
      <w:pPr>
        <w:pStyle w:val="ListParagraph"/>
        <w:rPr>
          <w:rFonts w:cstheme="minorHAnsi"/>
          <w:sz w:val="24"/>
          <w:szCs w:val="24"/>
          <w:u w:val="single"/>
        </w:rPr>
      </w:pPr>
    </w:p>
    <w:p w14:paraId="29B99F82" w14:textId="14038312" w:rsidR="009013E0" w:rsidRPr="000F0212" w:rsidRDefault="009013E0" w:rsidP="00356621">
      <w:pPr>
        <w:pStyle w:val="ListParagraph"/>
        <w:rPr>
          <w:rFonts w:cstheme="minorHAnsi"/>
          <w:sz w:val="24"/>
          <w:szCs w:val="24"/>
          <w:shd w:val="clear" w:color="auto" w:fill="FFFFFF"/>
        </w:rPr>
      </w:pPr>
      <w:r w:rsidRPr="000F0212">
        <w:rPr>
          <w:rFonts w:cstheme="minorHAnsi"/>
          <w:sz w:val="24"/>
          <w:szCs w:val="24"/>
          <w:shd w:val="clear" w:color="auto" w:fill="FFFFFF"/>
        </w:rPr>
        <w:t>Eaton, C. (2017)</w:t>
      </w:r>
      <w:r w:rsidRPr="000F0212">
        <w:rPr>
          <w:rFonts w:cstheme="minorHAnsi"/>
          <w:sz w:val="24"/>
          <w:szCs w:val="24"/>
          <w:shd w:val="clear" w:color="auto" w:fill="FFFFFF"/>
        </w:rPr>
        <w:t>.</w:t>
      </w:r>
      <w:r w:rsidRPr="000F0212">
        <w:rPr>
          <w:rFonts w:cstheme="minorHAnsi"/>
          <w:sz w:val="24"/>
          <w:szCs w:val="24"/>
          <w:shd w:val="clear" w:color="auto" w:fill="FFFFFF"/>
        </w:rPr>
        <w:t xml:space="preserve"> ‘Qualities of reflection: using Saul’s (2001) </w:t>
      </w:r>
      <w:r w:rsidRPr="000F0212">
        <w:rPr>
          <w:rFonts w:cstheme="minorHAnsi"/>
          <w:i/>
          <w:iCs/>
          <w:sz w:val="24"/>
          <w:szCs w:val="24"/>
          <w:shd w:val="clear" w:color="auto" w:fill="FFFFFF"/>
        </w:rPr>
        <w:t>On Equilibrium</w:t>
      </w:r>
      <w:r w:rsidRPr="000F0212">
        <w:rPr>
          <w:rFonts w:cstheme="minorHAnsi"/>
          <w:sz w:val="24"/>
          <w:szCs w:val="24"/>
          <w:shd w:val="clear" w:color="auto" w:fill="FFFFFF"/>
        </w:rPr>
        <w:t> to restore humanity to reflection in healthcare’, </w:t>
      </w:r>
      <w:r w:rsidRPr="000F0212">
        <w:rPr>
          <w:rFonts w:cstheme="minorHAnsi"/>
          <w:i/>
          <w:iCs/>
          <w:sz w:val="24"/>
          <w:szCs w:val="24"/>
          <w:shd w:val="clear" w:color="auto" w:fill="FFFFFF"/>
        </w:rPr>
        <w:t>Reflective Practice</w:t>
      </w:r>
      <w:r w:rsidRPr="000F0212">
        <w:rPr>
          <w:rFonts w:cstheme="minorHAnsi"/>
          <w:sz w:val="24"/>
          <w:szCs w:val="24"/>
          <w:shd w:val="clear" w:color="auto" w:fill="FFFFFF"/>
        </w:rPr>
        <w:t xml:space="preserve">, 18(5), pp. 581–588. </w:t>
      </w:r>
      <w:r w:rsidR="00351E28" w:rsidRPr="000F0212">
        <w:rPr>
          <w:rFonts w:cstheme="minorHAnsi"/>
          <w:sz w:val="24"/>
          <w:szCs w:val="24"/>
          <w:shd w:val="clear" w:color="auto" w:fill="FFFFFF"/>
        </w:rPr>
        <w:t>D</w:t>
      </w:r>
      <w:r w:rsidRPr="000F0212">
        <w:rPr>
          <w:rFonts w:cstheme="minorHAnsi"/>
          <w:sz w:val="24"/>
          <w:szCs w:val="24"/>
          <w:shd w:val="clear" w:color="auto" w:fill="FFFFFF"/>
        </w:rPr>
        <w:t>oi: 10.1080/14623943.2016.1268116.</w:t>
      </w:r>
    </w:p>
    <w:p w14:paraId="5645D798" w14:textId="77777777" w:rsidR="000C28E9" w:rsidRPr="000F0212" w:rsidRDefault="000C28E9" w:rsidP="00356621">
      <w:pPr>
        <w:pStyle w:val="ListParagraph"/>
        <w:rPr>
          <w:rFonts w:cstheme="minorHAnsi"/>
          <w:sz w:val="24"/>
          <w:szCs w:val="24"/>
          <w:shd w:val="clear" w:color="auto" w:fill="FFFFFF"/>
        </w:rPr>
      </w:pPr>
    </w:p>
    <w:p w14:paraId="77D8ED36" w14:textId="345F4EA0" w:rsidR="000C28E9" w:rsidRPr="000F0212" w:rsidRDefault="000C28E9" w:rsidP="000C28E9">
      <w:pPr>
        <w:pStyle w:val="ListParagraph"/>
        <w:rPr>
          <w:rFonts w:cstheme="minorHAnsi"/>
          <w:sz w:val="24"/>
          <w:szCs w:val="24"/>
        </w:rPr>
      </w:pPr>
      <w:r w:rsidRPr="000F0212">
        <w:rPr>
          <w:rFonts w:cstheme="minorHAnsi"/>
          <w:sz w:val="24"/>
          <w:szCs w:val="24"/>
        </w:rPr>
        <w:t xml:space="preserve">Scharmer, C.O. (2008). </w:t>
      </w:r>
      <w:r w:rsidRPr="000F0212">
        <w:rPr>
          <w:rFonts w:cstheme="minorHAnsi"/>
          <w:i/>
          <w:iCs/>
          <w:sz w:val="24"/>
          <w:szCs w:val="24"/>
        </w:rPr>
        <w:t>Theory U: Leading from the future as it emerges</w:t>
      </w:r>
      <w:r w:rsidRPr="000F0212">
        <w:rPr>
          <w:rFonts w:cstheme="minorHAnsi"/>
          <w:sz w:val="24"/>
          <w:szCs w:val="24"/>
        </w:rPr>
        <w:t xml:space="preserve">. Cambridge, MA: The Society for Organisational Learning.  </w:t>
      </w:r>
    </w:p>
    <w:p w14:paraId="30B00C6E" w14:textId="77777777" w:rsidR="00C90160" w:rsidRPr="000F0212" w:rsidRDefault="00C90160" w:rsidP="00356621">
      <w:pPr>
        <w:pStyle w:val="ListParagraph"/>
        <w:rPr>
          <w:rFonts w:cstheme="minorHAnsi"/>
          <w:sz w:val="24"/>
          <w:szCs w:val="24"/>
          <w:shd w:val="clear" w:color="auto" w:fill="FFFFFF"/>
        </w:rPr>
      </w:pPr>
    </w:p>
    <w:p w14:paraId="72484807" w14:textId="117E0692" w:rsidR="00C90160" w:rsidRPr="000F0212" w:rsidRDefault="00C90160" w:rsidP="00356621">
      <w:pPr>
        <w:pStyle w:val="ListParagraph"/>
        <w:rPr>
          <w:rFonts w:cstheme="minorHAnsi"/>
          <w:sz w:val="24"/>
          <w:szCs w:val="24"/>
        </w:rPr>
      </w:pPr>
      <w:r w:rsidRPr="000F0212">
        <w:rPr>
          <w:rFonts w:cstheme="minorHAnsi"/>
          <w:sz w:val="24"/>
          <w:szCs w:val="24"/>
          <w:shd w:val="clear" w:color="auto" w:fill="FFFFFF"/>
        </w:rPr>
        <w:t>Schon</w:t>
      </w:r>
      <w:r w:rsidR="00BB100F" w:rsidRPr="000F0212">
        <w:rPr>
          <w:rFonts w:cstheme="minorHAnsi"/>
          <w:sz w:val="24"/>
          <w:szCs w:val="24"/>
          <w:shd w:val="clear" w:color="auto" w:fill="FFFFFF"/>
        </w:rPr>
        <w:t>, D.A.</w:t>
      </w:r>
      <w:r w:rsidRPr="000F0212">
        <w:rPr>
          <w:rFonts w:cstheme="minorHAnsi"/>
          <w:sz w:val="24"/>
          <w:szCs w:val="24"/>
          <w:shd w:val="clear" w:color="auto" w:fill="FFFFFF"/>
        </w:rPr>
        <w:t xml:space="preserve"> (1991)</w:t>
      </w:r>
      <w:r w:rsidR="00BB100F" w:rsidRPr="000F0212">
        <w:rPr>
          <w:rFonts w:cstheme="minorHAnsi"/>
          <w:sz w:val="24"/>
          <w:szCs w:val="24"/>
          <w:shd w:val="clear" w:color="auto" w:fill="FFFFFF"/>
        </w:rPr>
        <w:t xml:space="preserve">. </w:t>
      </w:r>
      <w:r w:rsidR="00BB100F" w:rsidRPr="000F0212">
        <w:rPr>
          <w:rFonts w:cstheme="minorHAnsi"/>
          <w:i/>
          <w:iCs/>
          <w:sz w:val="24"/>
          <w:szCs w:val="24"/>
          <w:shd w:val="clear" w:color="auto" w:fill="FFFFFF"/>
        </w:rPr>
        <w:t xml:space="preserve">The Reflective Practitioner: How Professionals Think </w:t>
      </w:r>
      <w:r w:rsidR="00CD272B" w:rsidRPr="000F0212">
        <w:rPr>
          <w:rFonts w:cstheme="minorHAnsi"/>
          <w:i/>
          <w:iCs/>
          <w:sz w:val="24"/>
          <w:szCs w:val="24"/>
          <w:shd w:val="clear" w:color="auto" w:fill="FFFFFF"/>
        </w:rPr>
        <w:t>in</w:t>
      </w:r>
      <w:r w:rsidR="00BB100F" w:rsidRPr="000F0212">
        <w:rPr>
          <w:rFonts w:cstheme="minorHAnsi"/>
          <w:i/>
          <w:iCs/>
          <w:sz w:val="24"/>
          <w:szCs w:val="24"/>
          <w:shd w:val="clear" w:color="auto" w:fill="FFFFFF"/>
        </w:rPr>
        <w:t xml:space="preserve"> Action. </w:t>
      </w:r>
      <w:r w:rsidR="00BB100F" w:rsidRPr="000F0212">
        <w:rPr>
          <w:rFonts w:cstheme="minorHAnsi"/>
          <w:sz w:val="24"/>
          <w:szCs w:val="24"/>
          <w:shd w:val="clear" w:color="auto" w:fill="FFFFFF"/>
        </w:rPr>
        <w:t>1</w:t>
      </w:r>
      <w:r w:rsidR="00BB100F" w:rsidRPr="000F0212">
        <w:rPr>
          <w:rFonts w:cstheme="minorHAnsi"/>
          <w:sz w:val="24"/>
          <w:szCs w:val="24"/>
          <w:shd w:val="clear" w:color="auto" w:fill="FFFFFF"/>
          <w:vertAlign w:val="superscript"/>
        </w:rPr>
        <w:t>st</w:t>
      </w:r>
      <w:r w:rsidR="00BB100F" w:rsidRPr="000F0212">
        <w:rPr>
          <w:rFonts w:cstheme="minorHAnsi"/>
          <w:sz w:val="24"/>
          <w:szCs w:val="24"/>
          <w:shd w:val="clear" w:color="auto" w:fill="FFFFFF"/>
        </w:rPr>
        <w:t xml:space="preserve"> </w:t>
      </w:r>
      <w:proofErr w:type="spellStart"/>
      <w:r w:rsidR="00BB100F" w:rsidRPr="000F0212">
        <w:rPr>
          <w:rFonts w:cstheme="minorHAnsi"/>
          <w:sz w:val="24"/>
          <w:szCs w:val="24"/>
          <w:shd w:val="clear" w:color="auto" w:fill="FFFFFF"/>
        </w:rPr>
        <w:t>edn</w:t>
      </w:r>
      <w:proofErr w:type="spellEnd"/>
      <w:r w:rsidR="00BB100F" w:rsidRPr="000F0212">
        <w:rPr>
          <w:rFonts w:cstheme="minorHAnsi"/>
          <w:sz w:val="24"/>
          <w:szCs w:val="24"/>
          <w:shd w:val="clear" w:color="auto" w:fill="FFFFFF"/>
        </w:rPr>
        <w:t xml:space="preserve">. Farnham: Ashgate Publishing. </w:t>
      </w:r>
    </w:p>
    <w:p w14:paraId="114E8E8D" w14:textId="6A9BDDE9" w:rsidR="00E74CBC" w:rsidRPr="000F0212" w:rsidRDefault="00E74CBC" w:rsidP="00356621">
      <w:pPr>
        <w:pStyle w:val="ListParagraph"/>
        <w:rPr>
          <w:rFonts w:cstheme="minorHAnsi"/>
          <w:sz w:val="24"/>
          <w:szCs w:val="24"/>
          <w:shd w:val="clear" w:color="auto" w:fill="FFFFFF"/>
        </w:rPr>
      </w:pPr>
    </w:p>
    <w:p w14:paraId="319E5BC8" w14:textId="29674826" w:rsidR="00E9283F" w:rsidRPr="000F0212" w:rsidRDefault="00E9283F" w:rsidP="00356621">
      <w:pPr>
        <w:pStyle w:val="ListParagraph"/>
        <w:rPr>
          <w:rFonts w:cstheme="minorHAnsi"/>
          <w:sz w:val="24"/>
          <w:szCs w:val="24"/>
          <w:shd w:val="clear" w:color="auto" w:fill="FFFFFF"/>
        </w:rPr>
      </w:pPr>
      <w:r w:rsidRPr="000F0212">
        <w:rPr>
          <w:rFonts w:cstheme="minorHAnsi"/>
          <w:sz w:val="24"/>
          <w:szCs w:val="24"/>
          <w:shd w:val="clear" w:color="auto" w:fill="FFFFFF"/>
        </w:rPr>
        <w:t>Boud, D., Keogh</w:t>
      </w:r>
      <w:r w:rsidR="00CD272B" w:rsidRPr="000F0212">
        <w:rPr>
          <w:rFonts w:cstheme="minorHAnsi"/>
          <w:sz w:val="24"/>
          <w:szCs w:val="24"/>
          <w:shd w:val="clear" w:color="auto" w:fill="FFFFFF"/>
        </w:rPr>
        <w:t>, R. and</w:t>
      </w:r>
      <w:r w:rsidRPr="000F0212">
        <w:rPr>
          <w:rFonts w:cstheme="minorHAnsi"/>
          <w:sz w:val="24"/>
          <w:szCs w:val="24"/>
          <w:shd w:val="clear" w:color="auto" w:fill="FFFFFF"/>
        </w:rPr>
        <w:t xml:space="preserve"> Walker, D.</w:t>
      </w:r>
      <w:r w:rsidR="00CD272B" w:rsidRPr="000F0212">
        <w:rPr>
          <w:rFonts w:cstheme="minorHAnsi"/>
          <w:sz w:val="24"/>
          <w:szCs w:val="24"/>
          <w:shd w:val="clear" w:color="auto" w:fill="FFFFFF"/>
        </w:rPr>
        <w:t xml:space="preserve"> (2013). </w:t>
      </w:r>
      <w:r w:rsidR="00CD272B" w:rsidRPr="000F0212">
        <w:rPr>
          <w:rFonts w:cstheme="minorHAnsi"/>
          <w:i/>
          <w:iCs/>
          <w:sz w:val="24"/>
          <w:szCs w:val="24"/>
          <w:shd w:val="clear" w:color="auto" w:fill="FFFFFF"/>
        </w:rPr>
        <w:t xml:space="preserve">Reflection: Turning Experience into Learning. </w:t>
      </w:r>
      <w:r w:rsidR="00CD272B" w:rsidRPr="000F0212">
        <w:rPr>
          <w:rFonts w:cstheme="minorHAnsi"/>
          <w:sz w:val="24"/>
          <w:szCs w:val="24"/>
          <w:shd w:val="clear" w:color="auto" w:fill="FFFFFF"/>
        </w:rPr>
        <w:t xml:space="preserve">London: Taylor and Francis. </w:t>
      </w:r>
    </w:p>
    <w:p w14:paraId="6309F81F" w14:textId="77777777" w:rsidR="00C90160" w:rsidRPr="000F0212" w:rsidRDefault="00C90160" w:rsidP="00356621">
      <w:pPr>
        <w:pStyle w:val="ListParagraph"/>
        <w:rPr>
          <w:rFonts w:cstheme="minorHAnsi"/>
          <w:color w:val="333333"/>
          <w:sz w:val="24"/>
          <w:szCs w:val="24"/>
          <w:shd w:val="clear" w:color="auto" w:fill="FFFFFF"/>
        </w:rPr>
      </w:pPr>
    </w:p>
    <w:p w14:paraId="152DA3D1" w14:textId="160C9A2F" w:rsidR="00ED7A19" w:rsidRPr="000F0212" w:rsidRDefault="00E104B8" w:rsidP="00356621">
      <w:pPr>
        <w:pStyle w:val="ListParagraph"/>
        <w:rPr>
          <w:rFonts w:cstheme="minorHAnsi"/>
          <w:sz w:val="24"/>
          <w:szCs w:val="24"/>
          <w:shd w:val="clear" w:color="auto" w:fill="FFFFFF"/>
        </w:rPr>
      </w:pPr>
      <w:r w:rsidRPr="000F0212">
        <w:rPr>
          <w:rFonts w:cstheme="minorHAnsi"/>
          <w:sz w:val="24"/>
          <w:szCs w:val="24"/>
          <w:shd w:val="clear" w:color="auto" w:fill="FFFFFF"/>
        </w:rPr>
        <w:t xml:space="preserve">Kolb, A. and Kolb, D. (2005). ‘Learning styles and learning spaces: enhancing experiential learning in higher education’, </w:t>
      </w:r>
      <w:r w:rsidRPr="000F0212">
        <w:rPr>
          <w:rFonts w:cstheme="minorHAnsi"/>
          <w:i/>
          <w:iCs/>
          <w:sz w:val="24"/>
          <w:szCs w:val="24"/>
          <w:shd w:val="clear" w:color="auto" w:fill="FFFFFF"/>
        </w:rPr>
        <w:t xml:space="preserve">Academy of Management Learning &amp; Education, </w:t>
      </w:r>
      <w:r w:rsidRPr="000F0212">
        <w:rPr>
          <w:rFonts w:cstheme="minorHAnsi"/>
          <w:sz w:val="24"/>
          <w:szCs w:val="24"/>
          <w:shd w:val="clear" w:color="auto" w:fill="FFFFFF"/>
        </w:rPr>
        <w:t xml:space="preserve">4(2), pp. 193-212. </w:t>
      </w:r>
      <w:proofErr w:type="spellStart"/>
      <w:r w:rsidRPr="000F0212">
        <w:rPr>
          <w:rFonts w:cstheme="minorHAnsi"/>
          <w:sz w:val="24"/>
          <w:szCs w:val="24"/>
          <w:shd w:val="clear" w:color="auto" w:fill="FFFFFF"/>
        </w:rPr>
        <w:t>doi</w:t>
      </w:r>
      <w:proofErr w:type="spellEnd"/>
      <w:r w:rsidRPr="000F0212">
        <w:rPr>
          <w:rFonts w:cstheme="minorHAnsi"/>
          <w:sz w:val="24"/>
          <w:szCs w:val="24"/>
          <w:shd w:val="clear" w:color="auto" w:fill="FFFFFF"/>
        </w:rPr>
        <w:t xml:space="preserve">: 10.1007/978-1-4419-1428-6_227. </w:t>
      </w:r>
    </w:p>
    <w:p w14:paraId="404B4F7B" w14:textId="77777777" w:rsidR="005A7F11" w:rsidRPr="000F0212" w:rsidRDefault="005A7F11" w:rsidP="00356621">
      <w:pPr>
        <w:pStyle w:val="ListParagraph"/>
        <w:rPr>
          <w:rFonts w:cstheme="minorHAnsi"/>
          <w:sz w:val="24"/>
          <w:szCs w:val="24"/>
          <w:u w:val="single"/>
        </w:rPr>
      </w:pPr>
    </w:p>
    <w:p w14:paraId="3C848012" w14:textId="116B8DC3" w:rsidR="00351E28" w:rsidRPr="000F0212" w:rsidRDefault="00351E28" w:rsidP="00356621">
      <w:pPr>
        <w:pStyle w:val="ListParagraph"/>
        <w:rPr>
          <w:rFonts w:cstheme="minorHAnsi"/>
          <w:sz w:val="24"/>
          <w:szCs w:val="24"/>
        </w:rPr>
      </w:pPr>
      <w:r w:rsidRPr="000F0212">
        <w:rPr>
          <w:rFonts w:cstheme="minorHAnsi"/>
          <w:sz w:val="24"/>
          <w:szCs w:val="24"/>
        </w:rPr>
        <w:t xml:space="preserve">Wain, A. (2017). ‘Learning through reflection’, </w:t>
      </w:r>
      <w:r w:rsidRPr="000F0212">
        <w:rPr>
          <w:rFonts w:cstheme="minorHAnsi"/>
          <w:i/>
          <w:iCs/>
          <w:sz w:val="24"/>
          <w:szCs w:val="24"/>
        </w:rPr>
        <w:t xml:space="preserve">British Journal of Midwifery, </w:t>
      </w:r>
      <w:r w:rsidRPr="000F0212">
        <w:rPr>
          <w:rFonts w:cstheme="minorHAnsi"/>
          <w:sz w:val="24"/>
          <w:szCs w:val="24"/>
        </w:rPr>
        <w:t xml:space="preserve">25(10), pp. 662-666. </w:t>
      </w:r>
      <w:proofErr w:type="spellStart"/>
      <w:r w:rsidRPr="000F0212">
        <w:rPr>
          <w:rFonts w:cstheme="minorHAnsi"/>
          <w:sz w:val="24"/>
          <w:szCs w:val="24"/>
        </w:rPr>
        <w:t>doi</w:t>
      </w:r>
      <w:proofErr w:type="spellEnd"/>
      <w:r w:rsidRPr="000F0212">
        <w:rPr>
          <w:rFonts w:cstheme="minorHAnsi"/>
          <w:sz w:val="24"/>
          <w:szCs w:val="24"/>
        </w:rPr>
        <w:t xml:space="preserve">: </w:t>
      </w:r>
      <w:r w:rsidRPr="000F0212">
        <w:rPr>
          <w:rFonts w:cstheme="minorHAnsi"/>
          <w:sz w:val="24"/>
          <w:szCs w:val="24"/>
        </w:rPr>
        <w:t>10.12968/bjom.2017.25.10.662</w:t>
      </w:r>
      <w:r w:rsidRPr="000F0212">
        <w:rPr>
          <w:rFonts w:cstheme="minorHAnsi"/>
          <w:sz w:val="24"/>
          <w:szCs w:val="24"/>
        </w:rPr>
        <w:t xml:space="preserve">. </w:t>
      </w:r>
    </w:p>
    <w:sectPr w:rsidR="00351E28" w:rsidRPr="000F02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D85404"/>
    <w:multiLevelType w:val="hybridMultilevel"/>
    <w:tmpl w:val="DA7C5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B69F8"/>
    <w:multiLevelType w:val="hybridMultilevel"/>
    <w:tmpl w:val="1D6C1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D3182"/>
    <w:multiLevelType w:val="hybridMultilevel"/>
    <w:tmpl w:val="E98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10342E"/>
    <w:multiLevelType w:val="hybridMultilevel"/>
    <w:tmpl w:val="05D0532E"/>
    <w:lvl w:ilvl="0" w:tplc="69C2A6DC">
      <w:start w:val="1"/>
      <w:numFmt w:val="bullet"/>
      <w:lvlText w:val="•"/>
      <w:lvlJc w:val="left"/>
      <w:pPr>
        <w:tabs>
          <w:tab w:val="num" w:pos="720"/>
        </w:tabs>
        <w:ind w:left="720" w:hanging="360"/>
      </w:pPr>
      <w:rPr>
        <w:rFonts w:ascii="Arial" w:hAnsi="Arial" w:hint="default"/>
      </w:rPr>
    </w:lvl>
    <w:lvl w:ilvl="1" w:tplc="D43E01B8" w:tentative="1">
      <w:start w:val="1"/>
      <w:numFmt w:val="bullet"/>
      <w:lvlText w:val="•"/>
      <w:lvlJc w:val="left"/>
      <w:pPr>
        <w:tabs>
          <w:tab w:val="num" w:pos="1440"/>
        </w:tabs>
        <w:ind w:left="1440" w:hanging="360"/>
      </w:pPr>
      <w:rPr>
        <w:rFonts w:ascii="Arial" w:hAnsi="Arial" w:hint="default"/>
      </w:rPr>
    </w:lvl>
    <w:lvl w:ilvl="2" w:tplc="4B2084F4" w:tentative="1">
      <w:start w:val="1"/>
      <w:numFmt w:val="bullet"/>
      <w:lvlText w:val="•"/>
      <w:lvlJc w:val="left"/>
      <w:pPr>
        <w:tabs>
          <w:tab w:val="num" w:pos="2160"/>
        </w:tabs>
        <w:ind w:left="2160" w:hanging="360"/>
      </w:pPr>
      <w:rPr>
        <w:rFonts w:ascii="Arial" w:hAnsi="Arial" w:hint="default"/>
      </w:rPr>
    </w:lvl>
    <w:lvl w:ilvl="3" w:tplc="2950429C" w:tentative="1">
      <w:start w:val="1"/>
      <w:numFmt w:val="bullet"/>
      <w:lvlText w:val="•"/>
      <w:lvlJc w:val="left"/>
      <w:pPr>
        <w:tabs>
          <w:tab w:val="num" w:pos="2880"/>
        </w:tabs>
        <w:ind w:left="2880" w:hanging="360"/>
      </w:pPr>
      <w:rPr>
        <w:rFonts w:ascii="Arial" w:hAnsi="Arial" w:hint="default"/>
      </w:rPr>
    </w:lvl>
    <w:lvl w:ilvl="4" w:tplc="E3E68742" w:tentative="1">
      <w:start w:val="1"/>
      <w:numFmt w:val="bullet"/>
      <w:lvlText w:val="•"/>
      <w:lvlJc w:val="left"/>
      <w:pPr>
        <w:tabs>
          <w:tab w:val="num" w:pos="3600"/>
        </w:tabs>
        <w:ind w:left="3600" w:hanging="360"/>
      </w:pPr>
      <w:rPr>
        <w:rFonts w:ascii="Arial" w:hAnsi="Arial" w:hint="default"/>
      </w:rPr>
    </w:lvl>
    <w:lvl w:ilvl="5" w:tplc="62CCB3C4" w:tentative="1">
      <w:start w:val="1"/>
      <w:numFmt w:val="bullet"/>
      <w:lvlText w:val="•"/>
      <w:lvlJc w:val="left"/>
      <w:pPr>
        <w:tabs>
          <w:tab w:val="num" w:pos="4320"/>
        </w:tabs>
        <w:ind w:left="4320" w:hanging="360"/>
      </w:pPr>
      <w:rPr>
        <w:rFonts w:ascii="Arial" w:hAnsi="Arial" w:hint="default"/>
      </w:rPr>
    </w:lvl>
    <w:lvl w:ilvl="6" w:tplc="E2823DE6" w:tentative="1">
      <w:start w:val="1"/>
      <w:numFmt w:val="bullet"/>
      <w:lvlText w:val="•"/>
      <w:lvlJc w:val="left"/>
      <w:pPr>
        <w:tabs>
          <w:tab w:val="num" w:pos="5040"/>
        </w:tabs>
        <w:ind w:left="5040" w:hanging="360"/>
      </w:pPr>
      <w:rPr>
        <w:rFonts w:ascii="Arial" w:hAnsi="Arial" w:hint="default"/>
      </w:rPr>
    </w:lvl>
    <w:lvl w:ilvl="7" w:tplc="FC5C1EB0" w:tentative="1">
      <w:start w:val="1"/>
      <w:numFmt w:val="bullet"/>
      <w:lvlText w:val="•"/>
      <w:lvlJc w:val="left"/>
      <w:pPr>
        <w:tabs>
          <w:tab w:val="num" w:pos="5760"/>
        </w:tabs>
        <w:ind w:left="5760" w:hanging="360"/>
      </w:pPr>
      <w:rPr>
        <w:rFonts w:ascii="Arial" w:hAnsi="Arial" w:hint="default"/>
      </w:rPr>
    </w:lvl>
    <w:lvl w:ilvl="8" w:tplc="ADD0B12E" w:tentative="1">
      <w:start w:val="1"/>
      <w:numFmt w:val="bullet"/>
      <w:lvlText w:val="•"/>
      <w:lvlJc w:val="left"/>
      <w:pPr>
        <w:tabs>
          <w:tab w:val="num" w:pos="6480"/>
        </w:tabs>
        <w:ind w:left="6480" w:hanging="360"/>
      </w:pPr>
      <w:rPr>
        <w:rFonts w:ascii="Arial" w:hAnsi="Arial" w:hint="default"/>
      </w:rPr>
    </w:lvl>
  </w:abstractNum>
  <w:num w:numId="1" w16cid:durableId="421344796">
    <w:abstractNumId w:val="2"/>
  </w:num>
  <w:num w:numId="2" w16cid:durableId="22559481">
    <w:abstractNumId w:val="1"/>
  </w:num>
  <w:num w:numId="3" w16cid:durableId="1266956533">
    <w:abstractNumId w:val="0"/>
  </w:num>
  <w:num w:numId="4" w16cid:durableId="6276614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1E"/>
    <w:rsid w:val="000063DF"/>
    <w:rsid w:val="00053264"/>
    <w:rsid w:val="000C28E9"/>
    <w:rsid w:val="000D0B2C"/>
    <w:rsid w:val="000F0212"/>
    <w:rsid w:val="001215B0"/>
    <w:rsid w:val="00171F56"/>
    <w:rsid w:val="00284C6B"/>
    <w:rsid w:val="002F2038"/>
    <w:rsid w:val="0030589D"/>
    <w:rsid w:val="00343741"/>
    <w:rsid w:val="00351E28"/>
    <w:rsid w:val="00354B31"/>
    <w:rsid w:val="00356621"/>
    <w:rsid w:val="0038175F"/>
    <w:rsid w:val="003A761E"/>
    <w:rsid w:val="003B3AE1"/>
    <w:rsid w:val="00565758"/>
    <w:rsid w:val="00594277"/>
    <w:rsid w:val="005A7F11"/>
    <w:rsid w:val="006B1594"/>
    <w:rsid w:val="006F0379"/>
    <w:rsid w:val="0076557E"/>
    <w:rsid w:val="007E4AD5"/>
    <w:rsid w:val="00884C4E"/>
    <w:rsid w:val="009013E0"/>
    <w:rsid w:val="00921E69"/>
    <w:rsid w:val="0096714C"/>
    <w:rsid w:val="009C0E0F"/>
    <w:rsid w:val="00AD0D94"/>
    <w:rsid w:val="00B34F0F"/>
    <w:rsid w:val="00B76DF0"/>
    <w:rsid w:val="00B977FF"/>
    <w:rsid w:val="00BB100F"/>
    <w:rsid w:val="00BF7657"/>
    <w:rsid w:val="00C90160"/>
    <w:rsid w:val="00CD272B"/>
    <w:rsid w:val="00D1754F"/>
    <w:rsid w:val="00E104B8"/>
    <w:rsid w:val="00E74CBC"/>
    <w:rsid w:val="00E9283F"/>
    <w:rsid w:val="00EA1793"/>
    <w:rsid w:val="00ED7A19"/>
    <w:rsid w:val="00F029E3"/>
    <w:rsid w:val="00F03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BCE4"/>
  <w15:chartTrackingRefBased/>
  <w15:docId w15:val="{FE5B5D06-009F-47F6-96B3-9D62541AE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4</Pages>
  <Words>1004</Words>
  <Characters>5726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Georgia Arnold</cp:lastModifiedBy>
  <cp:revision>35</cp:revision>
  <dcterms:created xsi:type="dcterms:W3CDTF">2024-05-03T09:52:00Z</dcterms:created>
  <dcterms:modified xsi:type="dcterms:W3CDTF">2024-05-03T15:40:00Z</dcterms:modified>
</cp:coreProperties>
</file>