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03E88" w14:textId="3B7A50F3" w:rsidR="00AB556B" w:rsidRPr="00AB556B" w:rsidRDefault="00AB556B" w:rsidP="00AB556B">
      <w:pPr>
        <w:spacing w:line="360" w:lineRule="auto"/>
        <w:jc w:val="both"/>
        <w:rPr>
          <w:rFonts w:ascii="Arial" w:hAnsi="Arial" w:cs="Arial"/>
          <w:sz w:val="24"/>
          <w:szCs w:val="24"/>
        </w:rPr>
      </w:pPr>
      <w:r w:rsidRPr="00AB556B">
        <w:rPr>
          <w:rFonts w:ascii="Arial" w:hAnsi="Arial" w:cs="Arial"/>
          <w:noProof/>
          <w:sz w:val="24"/>
          <w:szCs w:val="24"/>
        </w:rPr>
        <w:drawing>
          <wp:inline distT="0" distB="0" distL="0" distR="0" wp14:anchorId="0C03A43C" wp14:editId="12949F69">
            <wp:extent cx="3406140" cy="1059180"/>
            <wp:effectExtent l="0" t="0" r="3810" b="7620"/>
            <wp:docPr id="661338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6140" cy="1059180"/>
                    </a:xfrm>
                    <a:prstGeom prst="rect">
                      <a:avLst/>
                    </a:prstGeom>
                    <a:noFill/>
                    <a:ln>
                      <a:noFill/>
                    </a:ln>
                  </pic:spPr>
                </pic:pic>
              </a:graphicData>
            </a:graphic>
          </wp:inline>
        </w:drawing>
      </w:r>
    </w:p>
    <w:p w14:paraId="242BABBE" w14:textId="77777777" w:rsidR="00AB556B" w:rsidRPr="00AB556B" w:rsidRDefault="00AB556B" w:rsidP="00AB556B">
      <w:pPr>
        <w:spacing w:line="360" w:lineRule="auto"/>
        <w:jc w:val="both"/>
        <w:rPr>
          <w:rFonts w:ascii="Arial" w:hAnsi="Arial" w:cs="Arial"/>
          <w:sz w:val="24"/>
          <w:szCs w:val="24"/>
        </w:rPr>
      </w:pPr>
    </w:p>
    <w:p w14:paraId="3A6864AE" w14:textId="77777777" w:rsidR="00AB556B" w:rsidRPr="00AB556B" w:rsidRDefault="00AB556B" w:rsidP="00AB556B">
      <w:pPr>
        <w:spacing w:line="360" w:lineRule="auto"/>
        <w:jc w:val="both"/>
        <w:rPr>
          <w:rFonts w:ascii="Arial" w:hAnsi="Arial" w:cs="Arial"/>
          <w:sz w:val="24"/>
          <w:szCs w:val="24"/>
        </w:rPr>
      </w:pPr>
    </w:p>
    <w:p w14:paraId="51EB2AB8"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 xml:space="preserve">Programmed: Master of Business Administration </w:t>
      </w:r>
    </w:p>
    <w:p w14:paraId="45D2C7EF" w14:textId="77777777" w:rsidR="00AB556B" w:rsidRPr="00AB556B" w:rsidRDefault="00AB556B" w:rsidP="00AB556B">
      <w:pPr>
        <w:spacing w:line="360" w:lineRule="auto"/>
        <w:jc w:val="both"/>
        <w:rPr>
          <w:rFonts w:ascii="Arial" w:hAnsi="Arial" w:cs="Arial"/>
          <w:b/>
          <w:bCs/>
          <w:sz w:val="24"/>
          <w:szCs w:val="24"/>
        </w:rPr>
      </w:pPr>
    </w:p>
    <w:p w14:paraId="424CF5AA"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 xml:space="preserve">Module: Marketing Management </w:t>
      </w:r>
    </w:p>
    <w:p w14:paraId="1D794C6F" w14:textId="77777777" w:rsidR="00AB556B" w:rsidRPr="00AB556B" w:rsidRDefault="00AB556B" w:rsidP="00AB556B">
      <w:pPr>
        <w:spacing w:line="360" w:lineRule="auto"/>
        <w:jc w:val="both"/>
        <w:rPr>
          <w:rFonts w:ascii="Arial" w:hAnsi="Arial" w:cs="Arial"/>
          <w:b/>
          <w:bCs/>
          <w:sz w:val="24"/>
          <w:szCs w:val="24"/>
        </w:rPr>
      </w:pPr>
    </w:p>
    <w:p w14:paraId="5175F15A"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Module code: LCMB7024</w:t>
      </w:r>
    </w:p>
    <w:p w14:paraId="34B8D7EC" w14:textId="77777777" w:rsidR="00AB556B" w:rsidRPr="00AB556B" w:rsidRDefault="00AB556B" w:rsidP="00AB556B">
      <w:pPr>
        <w:spacing w:line="360" w:lineRule="auto"/>
        <w:jc w:val="both"/>
        <w:rPr>
          <w:rFonts w:ascii="Arial" w:hAnsi="Arial" w:cs="Arial"/>
          <w:b/>
          <w:bCs/>
          <w:sz w:val="24"/>
          <w:szCs w:val="24"/>
        </w:rPr>
      </w:pPr>
    </w:p>
    <w:p w14:paraId="3240447D"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Title: Marketing Environmental Analysis for Pioneers and Followers</w:t>
      </w:r>
    </w:p>
    <w:p w14:paraId="66903B63" w14:textId="77777777" w:rsidR="00AB556B" w:rsidRPr="00AB556B" w:rsidRDefault="00AB556B" w:rsidP="00AB556B">
      <w:pPr>
        <w:spacing w:line="360" w:lineRule="auto"/>
        <w:jc w:val="both"/>
        <w:rPr>
          <w:rFonts w:ascii="Arial" w:hAnsi="Arial" w:cs="Arial"/>
          <w:b/>
          <w:bCs/>
          <w:sz w:val="24"/>
          <w:szCs w:val="24"/>
        </w:rPr>
      </w:pPr>
    </w:p>
    <w:p w14:paraId="464325D9"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Lecturer: Dian Mayasari</w:t>
      </w:r>
    </w:p>
    <w:p w14:paraId="190FCA5B" w14:textId="77777777" w:rsidR="00AB556B" w:rsidRPr="00AB556B" w:rsidRDefault="00AB556B" w:rsidP="00AB556B">
      <w:pPr>
        <w:spacing w:line="360" w:lineRule="auto"/>
        <w:jc w:val="both"/>
        <w:rPr>
          <w:rFonts w:ascii="Arial" w:hAnsi="Arial" w:cs="Arial"/>
          <w:b/>
          <w:bCs/>
          <w:sz w:val="24"/>
          <w:szCs w:val="24"/>
        </w:rPr>
      </w:pPr>
    </w:p>
    <w:p w14:paraId="0DD2B457"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Student Name: Darvin Sabhaya</w:t>
      </w:r>
    </w:p>
    <w:p w14:paraId="675D38AE" w14:textId="77777777" w:rsidR="00AB556B" w:rsidRPr="00AB556B" w:rsidRDefault="00AB556B" w:rsidP="00AB556B">
      <w:pPr>
        <w:spacing w:line="360" w:lineRule="auto"/>
        <w:jc w:val="both"/>
        <w:rPr>
          <w:rFonts w:ascii="Arial" w:hAnsi="Arial" w:cs="Arial"/>
          <w:b/>
          <w:bCs/>
          <w:sz w:val="24"/>
          <w:szCs w:val="24"/>
        </w:rPr>
      </w:pPr>
    </w:p>
    <w:p w14:paraId="7E546B8F"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 xml:space="preserve">Student ID: 2505280 </w:t>
      </w:r>
    </w:p>
    <w:p w14:paraId="07AF52ED" w14:textId="77777777" w:rsidR="00AB556B" w:rsidRPr="00AB556B" w:rsidRDefault="00AB556B" w:rsidP="00AB556B">
      <w:pPr>
        <w:spacing w:line="360" w:lineRule="auto"/>
        <w:jc w:val="both"/>
        <w:rPr>
          <w:rFonts w:ascii="Arial" w:hAnsi="Arial" w:cs="Arial"/>
          <w:b/>
          <w:bCs/>
          <w:sz w:val="24"/>
          <w:szCs w:val="24"/>
        </w:rPr>
      </w:pPr>
    </w:p>
    <w:p w14:paraId="6C0CF8E1" w14:textId="77777777" w:rsidR="00AB556B" w:rsidRPr="00AB556B" w:rsidRDefault="00AB556B" w:rsidP="00AB556B">
      <w:pPr>
        <w:spacing w:line="360" w:lineRule="auto"/>
        <w:jc w:val="both"/>
        <w:rPr>
          <w:rFonts w:ascii="Arial" w:hAnsi="Arial" w:cs="Arial"/>
          <w:b/>
          <w:bCs/>
          <w:sz w:val="24"/>
          <w:szCs w:val="24"/>
        </w:rPr>
      </w:pPr>
      <w:r w:rsidRPr="00AB556B">
        <w:rPr>
          <w:rFonts w:ascii="Arial" w:hAnsi="Arial" w:cs="Arial"/>
          <w:b/>
          <w:bCs/>
          <w:sz w:val="24"/>
          <w:szCs w:val="24"/>
        </w:rPr>
        <w:t>Submission Date- 24th October 2025</w:t>
      </w:r>
    </w:p>
    <w:p w14:paraId="48B4C513" w14:textId="77777777" w:rsidR="00AB556B" w:rsidRPr="00AB556B" w:rsidRDefault="00AB556B" w:rsidP="00AB556B">
      <w:pPr>
        <w:spacing w:line="360" w:lineRule="auto"/>
        <w:jc w:val="both"/>
        <w:rPr>
          <w:rFonts w:ascii="Arial" w:hAnsi="Arial" w:cs="Arial"/>
          <w:b/>
          <w:bCs/>
          <w:sz w:val="24"/>
          <w:szCs w:val="24"/>
        </w:rPr>
      </w:pPr>
    </w:p>
    <w:p w14:paraId="59F95520" w14:textId="77777777" w:rsidR="00AB556B" w:rsidRPr="00AB556B" w:rsidRDefault="00AB556B" w:rsidP="00AB556B">
      <w:pPr>
        <w:spacing w:line="360" w:lineRule="auto"/>
        <w:jc w:val="both"/>
        <w:rPr>
          <w:rFonts w:ascii="Arial" w:hAnsi="Arial" w:cs="Arial"/>
          <w:b/>
          <w:bCs/>
          <w:sz w:val="24"/>
          <w:szCs w:val="24"/>
        </w:rPr>
      </w:pPr>
    </w:p>
    <w:p w14:paraId="4D4383B1" w14:textId="03DA3230" w:rsidR="00AB556B" w:rsidRPr="00D46895" w:rsidRDefault="00AB556B" w:rsidP="00AB556B">
      <w:pPr>
        <w:spacing w:line="360" w:lineRule="auto"/>
        <w:jc w:val="center"/>
        <w:rPr>
          <w:rFonts w:ascii="Arial" w:hAnsi="Arial" w:cs="Arial"/>
          <w:b/>
          <w:bCs/>
          <w:sz w:val="28"/>
          <w:szCs w:val="28"/>
        </w:rPr>
      </w:pPr>
      <w:r w:rsidRPr="00D46895">
        <w:rPr>
          <w:rFonts w:ascii="Arial" w:hAnsi="Arial" w:cs="Arial"/>
          <w:b/>
          <w:bCs/>
          <w:sz w:val="28"/>
          <w:szCs w:val="28"/>
        </w:rPr>
        <w:lastRenderedPageBreak/>
        <w:t>Table of content</w:t>
      </w:r>
    </w:p>
    <w:p w14:paraId="321FF9B0" w14:textId="77777777" w:rsidR="00AB556B" w:rsidRPr="00AB556B" w:rsidRDefault="00AB556B" w:rsidP="00AB556B">
      <w:pPr>
        <w:spacing w:line="360" w:lineRule="auto"/>
        <w:jc w:val="both"/>
        <w:rPr>
          <w:rFonts w:ascii="Arial" w:hAnsi="Arial" w:cs="Arial"/>
          <w:b/>
          <w:bCs/>
          <w:sz w:val="24"/>
          <w:szCs w:val="24"/>
        </w:rPr>
      </w:pPr>
    </w:p>
    <w:tbl>
      <w:tblPr>
        <w:tblStyle w:val="TableGrid"/>
        <w:tblpPr w:leftFromText="180" w:rightFromText="180" w:vertAnchor="page" w:horzAnchor="margin" w:tblpY="2773"/>
        <w:tblW w:w="0" w:type="auto"/>
        <w:tblLook w:val="04A0" w:firstRow="1" w:lastRow="0" w:firstColumn="1" w:lastColumn="0" w:noHBand="0" w:noVBand="1"/>
      </w:tblPr>
      <w:tblGrid>
        <w:gridCol w:w="7603"/>
        <w:gridCol w:w="1743"/>
      </w:tblGrid>
      <w:tr w:rsidR="00D46895" w:rsidRPr="00AB556B" w14:paraId="2F140532" w14:textId="77777777" w:rsidTr="00D46895">
        <w:trPr>
          <w:trHeight w:val="561"/>
        </w:trPr>
        <w:tc>
          <w:tcPr>
            <w:tcW w:w="7603" w:type="dxa"/>
            <w:tcBorders>
              <w:top w:val="single" w:sz="4" w:space="0" w:color="auto"/>
              <w:left w:val="single" w:sz="4" w:space="0" w:color="auto"/>
              <w:bottom w:val="single" w:sz="4" w:space="0" w:color="auto"/>
              <w:right w:val="single" w:sz="4" w:space="0" w:color="auto"/>
            </w:tcBorders>
            <w:hideMark/>
          </w:tcPr>
          <w:p w14:paraId="7DB13338" w14:textId="77777777" w:rsidR="00D46895" w:rsidRPr="00AB556B" w:rsidRDefault="00D46895" w:rsidP="00D46895">
            <w:pPr>
              <w:spacing w:after="160" w:line="360" w:lineRule="auto"/>
              <w:rPr>
                <w:rFonts w:ascii="Arial" w:hAnsi="Arial" w:cs="Arial"/>
                <w:sz w:val="24"/>
                <w:szCs w:val="24"/>
              </w:rPr>
            </w:pPr>
            <w:r w:rsidRPr="00AB556B">
              <w:rPr>
                <w:rFonts w:ascii="Arial" w:hAnsi="Arial" w:cs="Arial"/>
                <w:sz w:val="24"/>
                <w:szCs w:val="24"/>
              </w:rPr>
              <w:t>Introduction</w:t>
            </w:r>
          </w:p>
        </w:tc>
        <w:tc>
          <w:tcPr>
            <w:tcW w:w="1743" w:type="dxa"/>
            <w:tcBorders>
              <w:top w:val="single" w:sz="4" w:space="0" w:color="auto"/>
              <w:left w:val="single" w:sz="4" w:space="0" w:color="auto"/>
              <w:bottom w:val="single" w:sz="4" w:space="0" w:color="auto"/>
              <w:right w:val="single" w:sz="4" w:space="0" w:color="auto"/>
            </w:tcBorders>
            <w:hideMark/>
          </w:tcPr>
          <w:p w14:paraId="1206EF38" w14:textId="77777777" w:rsidR="00D46895" w:rsidRPr="00AB556B" w:rsidRDefault="00D46895" w:rsidP="00D46895">
            <w:pPr>
              <w:spacing w:after="160" w:line="360" w:lineRule="auto"/>
              <w:jc w:val="center"/>
              <w:rPr>
                <w:rFonts w:ascii="Arial" w:hAnsi="Arial" w:cs="Arial"/>
                <w:sz w:val="24"/>
                <w:szCs w:val="24"/>
              </w:rPr>
            </w:pPr>
            <w:r w:rsidRPr="00AB556B">
              <w:rPr>
                <w:rFonts w:ascii="Arial" w:hAnsi="Arial" w:cs="Arial"/>
                <w:sz w:val="24"/>
                <w:szCs w:val="24"/>
              </w:rPr>
              <w:t>03</w:t>
            </w:r>
          </w:p>
        </w:tc>
      </w:tr>
      <w:tr w:rsidR="00D46895" w:rsidRPr="00AB556B" w14:paraId="3D092913" w14:textId="77777777" w:rsidTr="00D46895">
        <w:trPr>
          <w:trHeight w:val="513"/>
        </w:trPr>
        <w:tc>
          <w:tcPr>
            <w:tcW w:w="7603" w:type="dxa"/>
            <w:tcBorders>
              <w:top w:val="single" w:sz="4" w:space="0" w:color="auto"/>
              <w:left w:val="single" w:sz="4" w:space="0" w:color="auto"/>
              <w:bottom w:val="single" w:sz="4" w:space="0" w:color="auto"/>
              <w:right w:val="single" w:sz="4" w:space="0" w:color="auto"/>
            </w:tcBorders>
            <w:hideMark/>
          </w:tcPr>
          <w:p w14:paraId="2E181E71" w14:textId="77777777" w:rsidR="00D46895" w:rsidRPr="00AB556B" w:rsidRDefault="00D46895" w:rsidP="00D46895">
            <w:pPr>
              <w:spacing w:after="160" w:line="360" w:lineRule="auto"/>
              <w:rPr>
                <w:rFonts w:ascii="Arial" w:hAnsi="Arial" w:cs="Arial"/>
                <w:sz w:val="24"/>
                <w:szCs w:val="24"/>
              </w:rPr>
            </w:pPr>
            <w:r w:rsidRPr="00AB556B">
              <w:rPr>
                <w:rFonts w:ascii="Arial" w:hAnsi="Arial" w:cs="Arial"/>
                <w:sz w:val="24"/>
                <w:szCs w:val="24"/>
              </w:rPr>
              <w:t>Task 1</w:t>
            </w:r>
          </w:p>
        </w:tc>
        <w:tc>
          <w:tcPr>
            <w:tcW w:w="1743" w:type="dxa"/>
            <w:tcBorders>
              <w:top w:val="single" w:sz="4" w:space="0" w:color="auto"/>
              <w:left w:val="single" w:sz="4" w:space="0" w:color="auto"/>
              <w:bottom w:val="single" w:sz="4" w:space="0" w:color="auto"/>
              <w:right w:val="single" w:sz="4" w:space="0" w:color="auto"/>
            </w:tcBorders>
            <w:hideMark/>
          </w:tcPr>
          <w:p w14:paraId="6E548F44" w14:textId="77777777" w:rsidR="00D46895" w:rsidRPr="00AB556B" w:rsidRDefault="00D46895" w:rsidP="00D46895">
            <w:pPr>
              <w:spacing w:after="160" w:line="360" w:lineRule="auto"/>
              <w:jc w:val="center"/>
              <w:rPr>
                <w:rFonts w:ascii="Arial" w:hAnsi="Arial" w:cs="Arial"/>
                <w:sz w:val="24"/>
                <w:szCs w:val="24"/>
              </w:rPr>
            </w:pPr>
            <w:r w:rsidRPr="00AB556B">
              <w:rPr>
                <w:rFonts w:ascii="Arial" w:hAnsi="Arial" w:cs="Arial"/>
                <w:sz w:val="24"/>
                <w:szCs w:val="24"/>
              </w:rPr>
              <w:t>04</w:t>
            </w:r>
          </w:p>
        </w:tc>
      </w:tr>
      <w:tr w:rsidR="00D46895" w:rsidRPr="00AB556B" w14:paraId="0731CD20" w14:textId="77777777" w:rsidTr="00D46895">
        <w:trPr>
          <w:trHeight w:val="513"/>
        </w:trPr>
        <w:tc>
          <w:tcPr>
            <w:tcW w:w="7603" w:type="dxa"/>
            <w:tcBorders>
              <w:top w:val="single" w:sz="4" w:space="0" w:color="auto"/>
              <w:left w:val="single" w:sz="4" w:space="0" w:color="auto"/>
              <w:bottom w:val="single" w:sz="4" w:space="0" w:color="auto"/>
              <w:right w:val="single" w:sz="4" w:space="0" w:color="auto"/>
            </w:tcBorders>
            <w:hideMark/>
          </w:tcPr>
          <w:p w14:paraId="2379A408" w14:textId="77777777" w:rsidR="00D46895" w:rsidRPr="00AB556B" w:rsidRDefault="00D46895" w:rsidP="00D46895">
            <w:pPr>
              <w:spacing w:after="160" w:line="360" w:lineRule="auto"/>
              <w:rPr>
                <w:rFonts w:ascii="Arial" w:hAnsi="Arial" w:cs="Arial"/>
                <w:sz w:val="24"/>
                <w:szCs w:val="24"/>
              </w:rPr>
            </w:pPr>
            <w:r w:rsidRPr="00AB556B">
              <w:rPr>
                <w:rFonts w:ascii="Arial" w:hAnsi="Arial" w:cs="Arial"/>
                <w:sz w:val="24"/>
                <w:szCs w:val="24"/>
              </w:rPr>
              <w:t>Task 2</w:t>
            </w:r>
          </w:p>
        </w:tc>
        <w:tc>
          <w:tcPr>
            <w:tcW w:w="1743" w:type="dxa"/>
            <w:tcBorders>
              <w:top w:val="single" w:sz="4" w:space="0" w:color="auto"/>
              <w:left w:val="single" w:sz="4" w:space="0" w:color="auto"/>
              <w:bottom w:val="single" w:sz="4" w:space="0" w:color="auto"/>
              <w:right w:val="single" w:sz="4" w:space="0" w:color="auto"/>
            </w:tcBorders>
            <w:hideMark/>
          </w:tcPr>
          <w:p w14:paraId="0C96907D" w14:textId="77777777" w:rsidR="00D46895" w:rsidRPr="00AB556B" w:rsidRDefault="00D46895" w:rsidP="00D46895">
            <w:pPr>
              <w:spacing w:after="160" w:line="360" w:lineRule="auto"/>
              <w:jc w:val="center"/>
              <w:rPr>
                <w:rFonts w:ascii="Arial" w:hAnsi="Arial" w:cs="Arial"/>
                <w:sz w:val="24"/>
                <w:szCs w:val="24"/>
              </w:rPr>
            </w:pPr>
            <w:r w:rsidRPr="00AB556B">
              <w:rPr>
                <w:rFonts w:ascii="Arial" w:hAnsi="Arial" w:cs="Arial"/>
                <w:sz w:val="24"/>
                <w:szCs w:val="24"/>
              </w:rPr>
              <w:t>08</w:t>
            </w:r>
          </w:p>
        </w:tc>
      </w:tr>
      <w:tr w:rsidR="00D46895" w:rsidRPr="00AB556B" w14:paraId="4303D48F" w14:textId="77777777" w:rsidTr="00D46895">
        <w:trPr>
          <w:trHeight w:val="647"/>
        </w:trPr>
        <w:tc>
          <w:tcPr>
            <w:tcW w:w="7603" w:type="dxa"/>
            <w:tcBorders>
              <w:top w:val="single" w:sz="4" w:space="0" w:color="auto"/>
              <w:left w:val="single" w:sz="4" w:space="0" w:color="auto"/>
              <w:bottom w:val="single" w:sz="4" w:space="0" w:color="auto"/>
              <w:right w:val="single" w:sz="4" w:space="0" w:color="auto"/>
            </w:tcBorders>
            <w:hideMark/>
          </w:tcPr>
          <w:p w14:paraId="1C970391" w14:textId="77777777" w:rsidR="00D46895" w:rsidRPr="00AB556B" w:rsidRDefault="00D46895" w:rsidP="00D46895">
            <w:pPr>
              <w:spacing w:after="160" w:line="360" w:lineRule="auto"/>
              <w:rPr>
                <w:rFonts w:ascii="Arial" w:hAnsi="Arial" w:cs="Arial"/>
                <w:sz w:val="24"/>
                <w:szCs w:val="24"/>
              </w:rPr>
            </w:pPr>
            <w:r w:rsidRPr="00AB556B">
              <w:rPr>
                <w:rFonts w:ascii="Arial" w:hAnsi="Arial" w:cs="Arial"/>
                <w:sz w:val="24"/>
                <w:szCs w:val="24"/>
              </w:rPr>
              <w:t>Conclusion</w:t>
            </w:r>
          </w:p>
        </w:tc>
        <w:tc>
          <w:tcPr>
            <w:tcW w:w="1743" w:type="dxa"/>
            <w:tcBorders>
              <w:top w:val="single" w:sz="4" w:space="0" w:color="auto"/>
              <w:left w:val="single" w:sz="4" w:space="0" w:color="auto"/>
              <w:bottom w:val="single" w:sz="4" w:space="0" w:color="auto"/>
              <w:right w:val="single" w:sz="4" w:space="0" w:color="auto"/>
            </w:tcBorders>
            <w:hideMark/>
          </w:tcPr>
          <w:p w14:paraId="68709B54" w14:textId="57CC0C5B" w:rsidR="00D46895" w:rsidRPr="00AB556B" w:rsidRDefault="00D46895" w:rsidP="00D46895">
            <w:pPr>
              <w:spacing w:after="160" w:line="360" w:lineRule="auto"/>
              <w:jc w:val="center"/>
              <w:rPr>
                <w:rFonts w:ascii="Arial" w:hAnsi="Arial" w:cs="Arial"/>
                <w:sz w:val="24"/>
                <w:szCs w:val="24"/>
              </w:rPr>
            </w:pPr>
            <w:r w:rsidRPr="00AB556B">
              <w:rPr>
                <w:rFonts w:ascii="Arial" w:hAnsi="Arial" w:cs="Arial"/>
                <w:sz w:val="24"/>
                <w:szCs w:val="24"/>
              </w:rPr>
              <w:t>1</w:t>
            </w:r>
            <w:r>
              <w:rPr>
                <w:rFonts w:ascii="Arial" w:hAnsi="Arial" w:cs="Arial"/>
                <w:sz w:val="24"/>
                <w:szCs w:val="24"/>
              </w:rPr>
              <w:t>4</w:t>
            </w:r>
          </w:p>
        </w:tc>
      </w:tr>
      <w:tr w:rsidR="00D46895" w:rsidRPr="00AB556B" w14:paraId="341CB9C3" w14:textId="77777777" w:rsidTr="00D46895">
        <w:trPr>
          <w:trHeight w:val="694"/>
        </w:trPr>
        <w:tc>
          <w:tcPr>
            <w:tcW w:w="7603" w:type="dxa"/>
            <w:tcBorders>
              <w:top w:val="single" w:sz="4" w:space="0" w:color="auto"/>
              <w:left w:val="single" w:sz="4" w:space="0" w:color="auto"/>
              <w:bottom w:val="single" w:sz="4" w:space="0" w:color="auto"/>
              <w:right w:val="single" w:sz="4" w:space="0" w:color="auto"/>
            </w:tcBorders>
            <w:hideMark/>
          </w:tcPr>
          <w:p w14:paraId="04FE5323" w14:textId="77777777" w:rsidR="00D46895" w:rsidRPr="00AB556B" w:rsidRDefault="00D46895" w:rsidP="00D46895">
            <w:pPr>
              <w:spacing w:after="160" w:line="360" w:lineRule="auto"/>
              <w:rPr>
                <w:rFonts w:ascii="Arial" w:hAnsi="Arial" w:cs="Arial"/>
                <w:sz w:val="24"/>
                <w:szCs w:val="24"/>
              </w:rPr>
            </w:pPr>
            <w:r w:rsidRPr="00AB556B">
              <w:rPr>
                <w:rFonts w:ascii="Arial" w:hAnsi="Arial" w:cs="Arial"/>
                <w:sz w:val="24"/>
                <w:szCs w:val="24"/>
              </w:rPr>
              <w:t>Reference</w:t>
            </w:r>
          </w:p>
        </w:tc>
        <w:tc>
          <w:tcPr>
            <w:tcW w:w="1743" w:type="dxa"/>
            <w:tcBorders>
              <w:top w:val="single" w:sz="4" w:space="0" w:color="auto"/>
              <w:left w:val="single" w:sz="4" w:space="0" w:color="auto"/>
              <w:bottom w:val="single" w:sz="4" w:space="0" w:color="auto"/>
              <w:right w:val="single" w:sz="4" w:space="0" w:color="auto"/>
            </w:tcBorders>
            <w:hideMark/>
          </w:tcPr>
          <w:p w14:paraId="2BC80962" w14:textId="53B6C3C2" w:rsidR="00D46895" w:rsidRPr="00AB556B" w:rsidRDefault="00D46895" w:rsidP="00D46895">
            <w:pPr>
              <w:spacing w:after="160" w:line="360" w:lineRule="auto"/>
              <w:jc w:val="center"/>
              <w:rPr>
                <w:rFonts w:ascii="Arial" w:hAnsi="Arial" w:cs="Arial"/>
                <w:sz w:val="24"/>
                <w:szCs w:val="24"/>
              </w:rPr>
            </w:pPr>
            <w:r w:rsidRPr="00AB556B">
              <w:rPr>
                <w:rFonts w:ascii="Arial" w:hAnsi="Arial" w:cs="Arial"/>
                <w:sz w:val="24"/>
                <w:szCs w:val="24"/>
              </w:rPr>
              <w:t>1</w:t>
            </w:r>
            <w:r>
              <w:rPr>
                <w:rFonts w:ascii="Arial" w:hAnsi="Arial" w:cs="Arial"/>
                <w:sz w:val="24"/>
                <w:szCs w:val="24"/>
              </w:rPr>
              <w:t>5</w:t>
            </w:r>
          </w:p>
        </w:tc>
      </w:tr>
    </w:tbl>
    <w:p w14:paraId="0FBAAD5B" w14:textId="77777777" w:rsidR="00AB556B" w:rsidRPr="00AB556B" w:rsidRDefault="00AB556B" w:rsidP="00AB556B">
      <w:pPr>
        <w:spacing w:line="360" w:lineRule="auto"/>
        <w:jc w:val="both"/>
        <w:rPr>
          <w:rFonts w:ascii="Arial" w:hAnsi="Arial" w:cs="Arial"/>
          <w:sz w:val="24"/>
          <w:szCs w:val="24"/>
        </w:rPr>
      </w:pPr>
    </w:p>
    <w:p w14:paraId="07993C6D" w14:textId="77777777" w:rsidR="00AB556B" w:rsidRPr="00AB556B" w:rsidRDefault="00AB556B" w:rsidP="00AB556B">
      <w:pPr>
        <w:spacing w:line="360" w:lineRule="auto"/>
        <w:jc w:val="both"/>
        <w:rPr>
          <w:rFonts w:ascii="Arial" w:hAnsi="Arial" w:cs="Arial"/>
          <w:sz w:val="24"/>
          <w:szCs w:val="24"/>
        </w:rPr>
      </w:pPr>
    </w:p>
    <w:p w14:paraId="1CAFD633" w14:textId="77777777" w:rsidR="00AB556B" w:rsidRPr="00AB556B" w:rsidRDefault="00AB556B" w:rsidP="00AB556B">
      <w:pPr>
        <w:spacing w:line="360" w:lineRule="auto"/>
        <w:jc w:val="both"/>
        <w:rPr>
          <w:rFonts w:ascii="Arial" w:hAnsi="Arial" w:cs="Arial"/>
          <w:sz w:val="24"/>
          <w:szCs w:val="24"/>
        </w:rPr>
      </w:pPr>
    </w:p>
    <w:p w14:paraId="20B929A3" w14:textId="77777777" w:rsidR="00AB556B" w:rsidRPr="00AB556B" w:rsidRDefault="00AB556B" w:rsidP="00AB556B">
      <w:pPr>
        <w:spacing w:line="360" w:lineRule="auto"/>
        <w:jc w:val="both"/>
        <w:rPr>
          <w:rFonts w:ascii="Arial" w:hAnsi="Arial" w:cs="Arial"/>
          <w:sz w:val="24"/>
          <w:szCs w:val="24"/>
        </w:rPr>
      </w:pPr>
    </w:p>
    <w:p w14:paraId="7A7F1426" w14:textId="685F3E65" w:rsidR="00AB556B" w:rsidRPr="00AB556B" w:rsidRDefault="00AB556B" w:rsidP="00AB556B">
      <w:pPr>
        <w:spacing w:line="360" w:lineRule="auto"/>
        <w:jc w:val="both"/>
        <w:rPr>
          <w:rFonts w:ascii="Arial" w:hAnsi="Arial" w:cs="Arial"/>
          <w:sz w:val="24"/>
          <w:szCs w:val="24"/>
        </w:rPr>
      </w:pPr>
    </w:p>
    <w:p w14:paraId="2ABD18B2" w14:textId="77777777" w:rsidR="00AB556B" w:rsidRPr="00AB556B" w:rsidRDefault="00AB556B" w:rsidP="00AB556B">
      <w:pPr>
        <w:spacing w:line="360" w:lineRule="auto"/>
        <w:jc w:val="both"/>
        <w:rPr>
          <w:rFonts w:ascii="Arial" w:hAnsi="Arial" w:cs="Arial"/>
          <w:sz w:val="24"/>
          <w:szCs w:val="24"/>
        </w:rPr>
      </w:pPr>
    </w:p>
    <w:p w14:paraId="33692C85" w14:textId="77777777" w:rsidR="00AB556B" w:rsidRPr="00AB556B" w:rsidRDefault="00AB556B" w:rsidP="00AB556B">
      <w:pPr>
        <w:spacing w:line="360" w:lineRule="auto"/>
        <w:jc w:val="both"/>
        <w:rPr>
          <w:rFonts w:ascii="Arial" w:hAnsi="Arial" w:cs="Arial"/>
          <w:sz w:val="24"/>
          <w:szCs w:val="24"/>
        </w:rPr>
      </w:pPr>
    </w:p>
    <w:p w14:paraId="64DDCB92" w14:textId="77777777" w:rsidR="00AB556B" w:rsidRPr="00AB556B" w:rsidRDefault="00AB556B" w:rsidP="00AB556B">
      <w:pPr>
        <w:spacing w:line="360" w:lineRule="auto"/>
        <w:jc w:val="both"/>
        <w:rPr>
          <w:rFonts w:ascii="Arial" w:hAnsi="Arial" w:cs="Arial"/>
          <w:sz w:val="24"/>
          <w:szCs w:val="24"/>
        </w:rPr>
      </w:pPr>
    </w:p>
    <w:p w14:paraId="2BD79767" w14:textId="77777777" w:rsidR="00AB556B" w:rsidRPr="00AB556B" w:rsidRDefault="00AB556B" w:rsidP="00AB556B">
      <w:pPr>
        <w:spacing w:line="360" w:lineRule="auto"/>
        <w:jc w:val="both"/>
        <w:rPr>
          <w:rFonts w:ascii="Arial" w:hAnsi="Arial" w:cs="Arial"/>
          <w:sz w:val="24"/>
          <w:szCs w:val="24"/>
        </w:rPr>
      </w:pPr>
    </w:p>
    <w:p w14:paraId="08D80B76" w14:textId="77777777" w:rsidR="00AB556B" w:rsidRPr="00AB556B" w:rsidRDefault="00AB556B" w:rsidP="00AB556B">
      <w:pPr>
        <w:spacing w:line="360" w:lineRule="auto"/>
        <w:jc w:val="both"/>
        <w:rPr>
          <w:rFonts w:ascii="Arial" w:hAnsi="Arial" w:cs="Arial"/>
          <w:sz w:val="24"/>
          <w:szCs w:val="24"/>
        </w:rPr>
      </w:pPr>
    </w:p>
    <w:p w14:paraId="633C5474" w14:textId="77777777" w:rsidR="00AB556B" w:rsidRPr="00AB556B" w:rsidRDefault="00AB556B" w:rsidP="00AB556B">
      <w:pPr>
        <w:spacing w:line="360" w:lineRule="auto"/>
        <w:jc w:val="both"/>
        <w:rPr>
          <w:rFonts w:ascii="Arial" w:hAnsi="Arial" w:cs="Arial"/>
          <w:sz w:val="24"/>
          <w:szCs w:val="24"/>
        </w:rPr>
      </w:pPr>
    </w:p>
    <w:p w14:paraId="1C80D4E3" w14:textId="77777777" w:rsidR="00AB556B" w:rsidRPr="00AB556B" w:rsidRDefault="00AB556B" w:rsidP="00AB556B">
      <w:pPr>
        <w:spacing w:line="360" w:lineRule="auto"/>
        <w:jc w:val="both"/>
        <w:rPr>
          <w:rFonts w:ascii="Arial" w:hAnsi="Arial" w:cs="Arial"/>
          <w:sz w:val="24"/>
          <w:szCs w:val="24"/>
        </w:rPr>
      </w:pPr>
    </w:p>
    <w:p w14:paraId="1573CDC7" w14:textId="77777777" w:rsidR="00AB556B" w:rsidRPr="00AB556B" w:rsidRDefault="00AB556B" w:rsidP="00AB556B">
      <w:pPr>
        <w:spacing w:line="360" w:lineRule="auto"/>
        <w:jc w:val="both"/>
        <w:rPr>
          <w:rFonts w:ascii="Arial" w:hAnsi="Arial" w:cs="Arial"/>
          <w:sz w:val="24"/>
          <w:szCs w:val="24"/>
        </w:rPr>
      </w:pPr>
    </w:p>
    <w:p w14:paraId="16A9FF72" w14:textId="3EA617DA" w:rsidR="00AB556B" w:rsidRPr="00AB556B" w:rsidRDefault="00AB556B" w:rsidP="00AB556B">
      <w:pPr>
        <w:spacing w:line="360" w:lineRule="auto"/>
        <w:jc w:val="both"/>
        <w:rPr>
          <w:rFonts w:ascii="Arial" w:hAnsi="Arial" w:cs="Arial"/>
          <w:sz w:val="24"/>
          <w:szCs w:val="24"/>
        </w:rPr>
      </w:pPr>
    </w:p>
    <w:p w14:paraId="3837F9E7" w14:textId="5620F301" w:rsidR="00AB556B" w:rsidRPr="00AB556B" w:rsidRDefault="00AB556B" w:rsidP="00AB556B">
      <w:pPr>
        <w:spacing w:line="360" w:lineRule="auto"/>
        <w:jc w:val="both"/>
        <w:rPr>
          <w:rFonts w:ascii="Arial" w:hAnsi="Arial" w:cs="Arial"/>
          <w:sz w:val="24"/>
          <w:szCs w:val="24"/>
        </w:rPr>
      </w:pPr>
    </w:p>
    <w:p w14:paraId="73828C16" w14:textId="24476904" w:rsidR="00AC1A83" w:rsidRPr="00D46895" w:rsidRDefault="00AC1A83" w:rsidP="00AC1A83">
      <w:pPr>
        <w:spacing w:line="360" w:lineRule="auto"/>
        <w:jc w:val="center"/>
        <w:rPr>
          <w:rFonts w:ascii="Arial" w:hAnsi="Arial" w:cs="Arial"/>
          <w:b/>
          <w:bCs/>
          <w:sz w:val="28"/>
          <w:szCs w:val="28"/>
        </w:rPr>
      </w:pPr>
      <w:r w:rsidRPr="00D46895">
        <w:rPr>
          <w:rFonts w:ascii="Arial" w:hAnsi="Arial" w:cs="Arial"/>
          <w:b/>
          <w:bCs/>
          <w:sz w:val="28"/>
          <w:szCs w:val="28"/>
        </w:rPr>
        <w:lastRenderedPageBreak/>
        <w:t>Introduction</w:t>
      </w:r>
    </w:p>
    <w:p w14:paraId="61C4FC40" w14:textId="77777777" w:rsidR="00AC1A83" w:rsidRPr="006C259A" w:rsidRDefault="00AC1A83" w:rsidP="00AB556B">
      <w:pPr>
        <w:spacing w:line="360" w:lineRule="auto"/>
        <w:jc w:val="both"/>
        <w:rPr>
          <w:rFonts w:ascii="Arial" w:hAnsi="Arial" w:cs="Arial"/>
          <w:sz w:val="24"/>
          <w:szCs w:val="24"/>
        </w:rPr>
      </w:pPr>
    </w:p>
    <w:p w14:paraId="01DD718B" w14:textId="572E1888" w:rsidR="00AC1A83" w:rsidRPr="006C259A" w:rsidRDefault="006C259A" w:rsidP="00AB556B">
      <w:pPr>
        <w:spacing w:line="360" w:lineRule="auto"/>
        <w:jc w:val="both"/>
        <w:rPr>
          <w:rFonts w:ascii="Arial" w:hAnsi="Arial" w:cs="Arial"/>
          <w:sz w:val="24"/>
          <w:szCs w:val="24"/>
        </w:rPr>
      </w:pPr>
      <w:r w:rsidRPr="006C259A">
        <w:rPr>
          <w:rFonts w:ascii="Arial" w:hAnsi="Arial" w:cs="Arial"/>
          <w:sz w:val="24"/>
          <w:szCs w:val="24"/>
        </w:rPr>
        <w:t>Macro</w:t>
      </w:r>
      <w:r>
        <w:rPr>
          <w:rFonts w:ascii="Arial" w:hAnsi="Arial" w:cs="Arial"/>
          <w:sz w:val="24"/>
          <w:szCs w:val="24"/>
        </w:rPr>
        <w:t>-</w:t>
      </w:r>
      <w:r w:rsidRPr="006C259A">
        <w:rPr>
          <w:rFonts w:ascii="Arial" w:hAnsi="Arial" w:cs="Arial"/>
          <w:sz w:val="24"/>
          <w:szCs w:val="24"/>
        </w:rPr>
        <w:t xml:space="preserve">marketing elements like the technological and economic landscapes have a significant impact on the automotive sector, influencing business performance, competitiveness, and strategy. While rapid technological advancements like electrification, connectivity, and automation create both opportunities and challenges, economic factors like GDP growth, inflation, interest rates, and consumer income have a direct impact on vehicle demand, pricing, and profitability. Using their flagship models, the </w:t>
      </w:r>
      <w:r w:rsidRPr="00640144">
        <w:rPr>
          <w:rFonts w:ascii="Arial" w:hAnsi="Arial" w:cs="Arial"/>
          <w:b/>
          <w:bCs/>
          <w:sz w:val="24"/>
          <w:szCs w:val="24"/>
        </w:rPr>
        <w:t>Camry</w:t>
      </w:r>
      <w:r w:rsidR="00640144" w:rsidRPr="00640144">
        <w:rPr>
          <w:rFonts w:ascii="Arial" w:hAnsi="Arial" w:cs="Arial"/>
          <w:b/>
          <w:bCs/>
          <w:sz w:val="24"/>
          <w:szCs w:val="24"/>
        </w:rPr>
        <w:t xml:space="preserve"> </w:t>
      </w:r>
      <w:r w:rsidRPr="006C259A">
        <w:rPr>
          <w:rFonts w:ascii="Arial" w:hAnsi="Arial" w:cs="Arial"/>
          <w:sz w:val="24"/>
          <w:szCs w:val="24"/>
        </w:rPr>
        <w:t xml:space="preserve">and </w:t>
      </w:r>
      <w:r w:rsidRPr="00640144">
        <w:rPr>
          <w:rFonts w:ascii="Arial" w:hAnsi="Arial" w:cs="Arial"/>
          <w:b/>
          <w:bCs/>
          <w:sz w:val="24"/>
          <w:szCs w:val="24"/>
        </w:rPr>
        <w:t>Jetta</w:t>
      </w:r>
      <w:r w:rsidRPr="006C259A">
        <w:rPr>
          <w:rFonts w:ascii="Arial" w:hAnsi="Arial" w:cs="Arial"/>
          <w:sz w:val="24"/>
          <w:szCs w:val="24"/>
        </w:rPr>
        <w:t xml:space="preserve">, this analysis critically looks at how </w:t>
      </w:r>
      <w:r w:rsidRPr="00640144">
        <w:rPr>
          <w:rFonts w:ascii="Arial" w:hAnsi="Arial" w:cs="Arial"/>
          <w:b/>
          <w:bCs/>
          <w:sz w:val="24"/>
          <w:szCs w:val="24"/>
        </w:rPr>
        <w:t>Toyota</w:t>
      </w:r>
      <w:r w:rsidR="00640144">
        <w:rPr>
          <w:rFonts w:ascii="Arial" w:hAnsi="Arial" w:cs="Arial"/>
          <w:sz w:val="24"/>
          <w:szCs w:val="24"/>
        </w:rPr>
        <w:t xml:space="preserve"> </w:t>
      </w:r>
      <w:r w:rsidRPr="006C259A">
        <w:rPr>
          <w:rFonts w:ascii="Arial" w:hAnsi="Arial" w:cs="Arial"/>
          <w:sz w:val="24"/>
          <w:szCs w:val="24"/>
        </w:rPr>
        <w:t>and</w:t>
      </w:r>
      <w:r w:rsidR="00640144">
        <w:rPr>
          <w:rFonts w:ascii="Arial" w:hAnsi="Arial" w:cs="Arial"/>
          <w:sz w:val="24"/>
          <w:szCs w:val="24"/>
        </w:rPr>
        <w:t xml:space="preserve"> </w:t>
      </w:r>
      <w:r w:rsidRPr="00640144">
        <w:rPr>
          <w:rFonts w:ascii="Arial" w:hAnsi="Arial" w:cs="Arial"/>
          <w:b/>
          <w:bCs/>
          <w:sz w:val="24"/>
          <w:szCs w:val="24"/>
        </w:rPr>
        <w:t>Volkswagen</w:t>
      </w:r>
      <w:r w:rsidRPr="006C259A">
        <w:rPr>
          <w:rFonts w:ascii="Arial" w:hAnsi="Arial" w:cs="Arial"/>
          <w:sz w:val="24"/>
          <w:szCs w:val="24"/>
        </w:rPr>
        <w:t xml:space="preserve"> react to these macro factors. Volkswagen benefits from modular platforms, affordability, and digital innovation to attract younger and budget-conscious consumers, while Toyota uses its hybrid leadership and reputation for dependability to bolster resilience during uncertain economic times.</w:t>
      </w:r>
      <w:r w:rsidRPr="006C259A">
        <w:t xml:space="preserve"> </w:t>
      </w:r>
      <w:r w:rsidRPr="006C259A">
        <w:rPr>
          <w:rFonts w:ascii="Arial" w:hAnsi="Arial" w:cs="Arial"/>
          <w:sz w:val="24"/>
          <w:szCs w:val="24"/>
        </w:rPr>
        <w:t>When taken as a whole, these examples show how automakers coordinate their marketing plans and technological adjustments to maintain their competitiveness in a world that is changing quickly.</w:t>
      </w:r>
    </w:p>
    <w:p w14:paraId="30424253" w14:textId="125D9FE9" w:rsidR="00AC1A83" w:rsidRDefault="00AC1A83" w:rsidP="00AB556B">
      <w:pPr>
        <w:spacing w:line="360" w:lineRule="auto"/>
        <w:jc w:val="both"/>
        <w:rPr>
          <w:rFonts w:ascii="Arial" w:hAnsi="Arial" w:cs="Arial"/>
          <w:b/>
          <w:bCs/>
          <w:sz w:val="24"/>
          <w:szCs w:val="24"/>
        </w:rPr>
      </w:pPr>
    </w:p>
    <w:p w14:paraId="0ACEDB98" w14:textId="2CCC6B16" w:rsidR="00D91C70" w:rsidRDefault="00D91C70" w:rsidP="00AB556B">
      <w:pPr>
        <w:spacing w:line="360" w:lineRule="auto"/>
        <w:jc w:val="both"/>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47CE203C" wp14:editId="2F74ADC2">
                <wp:simplePos x="0" y="0"/>
                <wp:positionH relativeFrom="column">
                  <wp:posOffset>-34636</wp:posOffset>
                </wp:positionH>
                <wp:positionV relativeFrom="paragraph">
                  <wp:posOffset>112395</wp:posOffset>
                </wp:positionV>
                <wp:extent cx="6456045" cy="2738062"/>
                <wp:effectExtent l="0" t="0" r="20955" b="24765"/>
                <wp:wrapNone/>
                <wp:docPr id="906296355" name="Text Box 9"/>
                <wp:cNvGraphicFramePr/>
                <a:graphic xmlns:a="http://schemas.openxmlformats.org/drawingml/2006/main">
                  <a:graphicData uri="http://schemas.microsoft.com/office/word/2010/wordprocessingShape">
                    <wps:wsp>
                      <wps:cNvSpPr txBox="1"/>
                      <wps:spPr>
                        <a:xfrm>
                          <a:off x="0" y="0"/>
                          <a:ext cx="6456045" cy="2738062"/>
                        </a:xfrm>
                        <a:prstGeom prst="rect">
                          <a:avLst/>
                        </a:prstGeom>
                        <a:solidFill>
                          <a:schemeClr val="lt1"/>
                        </a:solidFill>
                        <a:ln w="6350">
                          <a:solidFill>
                            <a:schemeClr val="bg1"/>
                          </a:solidFill>
                        </a:ln>
                      </wps:spPr>
                      <wps:txbx>
                        <w:txbxContent>
                          <w:p w14:paraId="7C6AA8F9" w14:textId="64209324" w:rsidR="00D91C70" w:rsidRDefault="00D91C70">
                            <w:r>
                              <w:rPr>
                                <w:rFonts w:ascii="Arial" w:hAnsi="Arial" w:cs="Arial"/>
                                <w:b/>
                                <w:bCs/>
                                <w:noProof/>
                                <w:sz w:val="24"/>
                                <w:szCs w:val="24"/>
                              </w:rPr>
                              <w:drawing>
                                <wp:inline distT="0" distB="0" distL="0" distR="0" wp14:anchorId="50B9B3DA" wp14:editId="433483CA">
                                  <wp:extent cx="2700655" cy="2036618"/>
                                  <wp:effectExtent l="0" t="0" r="4445" b="1905"/>
                                  <wp:docPr id="1533699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99621" name="Picture 1533699621"/>
                                          <pic:cNvPicPr/>
                                        </pic:nvPicPr>
                                        <pic:blipFill rotWithShape="1">
                                          <a:blip r:embed="rId9">
                                            <a:extLst>
                                              <a:ext uri="{28A0092B-C50C-407E-A947-70E740481C1C}">
                                                <a14:useLocalDpi xmlns:a14="http://schemas.microsoft.com/office/drawing/2010/main" val="0"/>
                                              </a:ext>
                                            </a:extLst>
                                          </a:blip>
                                          <a:srcRect b="6505"/>
                                          <a:stretch>
                                            <a:fillRect/>
                                          </a:stretch>
                                        </pic:blipFill>
                                        <pic:spPr bwMode="auto">
                                          <a:xfrm>
                                            <a:off x="0" y="0"/>
                                            <a:ext cx="2730409" cy="205905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noProof/>
                                <w:sz w:val="24"/>
                                <w:szCs w:val="24"/>
                              </w:rPr>
                              <w:drawing>
                                <wp:inline distT="0" distB="0" distL="0" distR="0" wp14:anchorId="5ABE9F96" wp14:editId="3D79FEE2">
                                  <wp:extent cx="3202074" cy="1980901"/>
                                  <wp:effectExtent l="0" t="0" r="0" b="635"/>
                                  <wp:docPr id="17548298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29811" name="Picture 1754829811"/>
                                          <pic:cNvPicPr/>
                                        </pic:nvPicPr>
                                        <pic:blipFill>
                                          <a:blip r:embed="rId10">
                                            <a:extLst>
                                              <a:ext uri="{28A0092B-C50C-407E-A947-70E740481C1C}">
                                                <a14:useLocalDpi xmlns:a14="http://schemas.microsoft.com/office/drawing/2010/main" val="0"/>
                                              </a:ext>
                                            </a:extLst>
                                          </a:blip>
                                          <a:stretch>
                                            <a:fillRect/>
                                          </a:stretch>
                                        </pic:blipFill>
                                        <pic:spPr>
                                          <a:xfrm>
                                            <a:off x="0" y="0"/>
                                            <a:ext cx="3230032" cy="19981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CE203C" id="_x0000_t202" coordsize="21600,21600" o:spt="202" path="m,l,21600r21600,l21600,xe">
                <v:stroke joinstyle="miter"/>
                <v:path gradientshapeok="t" o:connecttype="rect"/>
              </v:shapetype>
              <v:shape id="Text Box 9" o:spid="_x0000_s1026" type="#_x0000_t202" style="position:absolute;left:0;text-align:left;margin-left:-2.75pt;margin-top:8.85pt;width:508.35pt;height:21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" fillcolor="white [3201]" strokecolor="white [3212]" strokeweight=".5pt">
                <v:textbox>
                  <w:txbxContent>
                    <w:p w14:paraId="7C6AA8F9" w14:textId="64209324" w:rsidR="00D91C70" w:rsidRDefault="00D91C70">
                      <w:r>
                        <w:rPr>
                          <w:rFonts w:ascii="Arial" w:hAnsi="Arial" w:cs="Arial"/>
                          <w:b/>
                          <w:bCs/>
                          <w:noProof/>
                          <w:sz w:val="24"/>
                          <w:szCs w:val="24"/>
                        </w:rPr>
                        <w:drawing>
                          <wp:inline distT="0" distB="0" distL="0" distR="0" wp14:anchorId="50B9B3DA" wp14:editId="433483CA">
                            <wp:extent cx="2700655" cy="2036618"/>
                            <wp:effectExtent l="0" t="0" r="4445" b="1905"/>
                            <wp:docPr id="1533699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99621" name="Picture 1533699621"/>
                                    <pic:cNvPicPr/>
                                  </pic:nvPicPr>
                                  <pic:blipFill rotWithShape="1">
                                    <a:blip r:embed="rId9">
                                      <a:extLst>
                                        <a:ext uri="{28A0092B-C50C-407E-A947-70E740481C1C}">
                                          <a14:useLocalDpi xmlns:a14="http://schemas.microsoft.com/office/drawing/2010/main" val="0"/>
                                        </a:ext>
                                      </a:extLst>
                                    </a:blip>
                                    <a:srcRect b="6505"/>
                                    <a:stretch>
                                      <a:fillRect/>
                                    </a:stretch>
                                  </pic:blipFill>
                                  <pic:spPr bwMode="auto">
                                    <a:xfrm>
                                      <a:off x="0" y="0"/>
                                      <a:ext cx="2730409" cy="205905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noProof/>
                          <w:sz w:val="24"/>
                          <w:szCs w:val="24"/>
                        </w:rPr>
                        <w:drawing>
                          <wp:inline distT="0" distB="0" distL="0" distR="0" wp14:anchorId="5ABE9F96" wp14:editId="3D79FEE2">
                            <wp:extent cx="3202074" cy="1980901"/>
                            <wp:effectExtent l="0" t="0" r="0" b="635"/>
                            <wp:docPr id="17548298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29811" name="Picture 1754829811"/>
                                    <pic:cNvPicPr/>
                                  </pic:nvPicPr>
                                  <pic:blipFill>
                                    <a:blip r:embed="rId10">
                                      <a:extLst>
                                        <a:ext uri="{28A0092B-C50C-407E-A947-70E740481C1C}">
                                          <a14:useLocalDpi xmlns:a14="http://schemas.microsoft.com/office/drawing/2010/main" val="0"/>
                                        </a:ext>
                                      </a:extLst>
                                    </a:blip>
                                    <a:stretch>
                                      <a:fillRect/>
                                    </a:stretch>
                                  </pic:blipFill>
                                  <pic:spPr>
                                    <a:xfrm>
                                      <a:off x="0" y="0"/>
                                      <a:ext cx="3230032" cy="1998197"/>
                                    </a:xfrm>
                                    <a:prstGeom prst="rect">
                                      <a:avLst/>
                                    </a:prstGeom>
                                  </pic:spPr>
                                </pic:pic>
                              </a:graphicData>
                            </a:graphic>
                          </wp:inline>
                        </w:drawing>
                      </w:r>
                    </w:p>
                  </w:txbxContent>
                </v:textbox>
              </v:shape>
            </w:pict>
          </mc:Fallback>
        </mc:AlternateContent>
      </w:r>
    </w:p>
    <w:p w14:paraId="4100D88F" w14:textId="2851CAEC" w:rsidR="00AC1A83" w:rsidRDefault="00AC1A83" w:rsidP="00AB556B">
      <w:pPr>
        <w:spacing w:line="360" w:lineRule="auto"/>
        <w:jc w:val="both"/>
        <w:rPr>
          <w:rFonts w:ascii="Arial" w:hAnsi="Arial" w:cs="Arial"/>
          <w:b/>
          <w:bCs/>
          <w:sz w:val="24"/>
          <w:szCs w:val="24"/>
        </w:rPr>
      </w:pPr>
    </w:p>
    <w:p w14:paraId="5C61D00A" w14:textId="59A14EFF" w:rsidR="00AC1A83" w:rsidRDefault="00640144" w:rsidP="00AB556B">
      <w:pPr>
        <w:spacing w:line="360" w:lineRule="auto"/>
        <w:jc w:val="both"/>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1C606BE0" wp14:editId="54B26348">
                <wp:simplePos x="0" y="0"/>
                <wp:positionH relativeFrom="column">
                  <wp:posOffset>2699500</wp:posOffset>
                </wp:positionH>
                <wp:positionV relativeFrom="paragraph">
                  <wp:posOffset>268259</wp:posOffset>
                </wp:positionV>
                <wp:extent cx="375557" cy="332014"/>
                <wp:effectExtent l="0" t="0" r="24765" b="11430"/>
                <wp:wrapNone/>
                <wp:docPr id="1487714611" name="Text Box 12"/>
                <wp:cNvGraphicFramePr/>
                <a:graphic xmlns:a="http://schemas.openxmlformats.org/drawingml/2006/main">
                  <a:graphicData uri="http://schemas.microsoft.com/office/word/2010/wordprocessingShape">
                    <wps:wsp>
                      <wps:cNvSpPr txBox="1"/>
                      <wps:spPr>
                        <a:xfrm>
                          <a:off x="0" y="0"/>
                          <a:ext cx="375557" cy="332014"/>
                        </a:xfrm>
                        <a:prstGeom prst="rect">
                          <a:avLst/>
                        </a:prstGeom>
                        <a:solidFill>
                          <a:schemeClr val="lt1"/>
                        </a:solidFill>
                        <a:ln w="6350">
                          <a:solidFill>
                            <a:schemeClr val="bg1"/>
                          </a:solidFill>
                        </a:ln>
                      </wps:spPr>
                      <wps:txbx>
                        <w:txbxContent>
                          <w:p w14:paraId="50231A95" w14:textId="0777DF6A" w:rsidR="00640144" w:rsidRPr="00640144" w:rsidRDefault="00640144">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06BE0" id="Text Box 12" o:spid="_x0000_s1027" type="#_x0000_t202" style="position:absolute;left:0;text-align:left;margin-left:212.55pt;margin-top:21.1pt;width:29.55pt;height:2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" fillcolor="white [3201]" strokecolor="white [3212]" strokeweight=".5pt">
                <v:textbox>
                  <w:txbxContent>
                    <w:p w14:paraId="50231A95" w14:textId="0777DF6A" w:rsidR="00640144" w:rsidRPr="00640144" w:rsidRDefault="00640144">
                      <w:pPr>
                        <w:rPr>
                          <w:sz w:val="14"/>
                          <w:szCs w:val="14"/>
                        </w:rPr>
                      </w:pPr>
                    </w:p>
                  </w:txbxContent>
                </v:textbox>
              </v:shape>
            </w:pict>
          </mc:Fallback>
        </mc:AlternateContent>
      </w:r>
    </w:p>
    <w:p w14:paraId="01578814" w14:textId="6106EA02" w:rsidR="00AC1A83" w:rsidRDefault="00AC1A83" w:rsidP="00AB556B">
      <w:pPr>
        <w:spacing w:line="360" w:lineRule="auto"/>
        <w:jc w:val="both"/>
        <w:rPr>
          <w:rFonts w:ascii="Arial" w:hAnsi="Arial" w:cs="Arial"/>
          <w:b/>
          <w:bCs/>
          <w:sz w:val="24"/>
          <w:szCs w:val="24"/>
        </w:rPr>
      </w:pPr>
    </w:p>
    <w:p w14:paraId="6AC96CEB" w14:textId="02A77597" w:rsidR="00AC1A83" w:rsidRDefault="00AC1A83" w:rsidP="00AB556B">
      <w:pPr>
        <w:spacing w:line="360" w:lineRule="auto"/>
        <w:jc w:val="both"/>
        <w:rPr>
          <w:rFonts w:ascii="Arial" w:hAnsi="Arial" w:cs="Arial"/>
          <w:b/>
          <w:bCs/>
          <w:sz w:val="24"/>
          <w:szCs w:val="24"/>
        </w:rPr>
      </w:pPr>
    </w:p>
    <w:p w14:paraId="3FFFA64F" w14:textId="4E3427C9" w:rsidR="00AC1A83" w:rsidRDefault="00300D54" w:rsidP="00AB556B">
      <w:pPr>
        <w:spacing w:line="360" w:lineRule="auto"/>
        <w:jc w:val="both"/>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61334107" wp14:editId="7386BDB3">
                <wp:simplePos x="0" y="0"/>
                <wp:positionH relativeFrom="column">
                  <wp:posOffset>685049</wp:posOffset>
                </wp:positionH>
                <wp:positionV relativeFrom="paragraph">
                  <wp:posOffset>7620</wp:posOffset>
                </wp:positionV>
                <wp:extent cx="1752600" cy="415636"/>
                <wp:effectExtent l="0" t="0" r="19050" b="22860"/>
                <wp:wrapNone/>
                <wp:docPr id="997492015" name="Text Box 11"/>
                <wp:cNvGraphicFramePr/>
                <a:graphic xmlns:a="http://schemas.openxmlformats.org/drawingml/2006/main">
                  <a:graphicData uri="http://schemas.microsoft.com/office/word/2010/wordprocessingShape">
                    <wps:wsp>
                      <wps:cNvSpPr txBox="1"/>
                      <wps:spPr>
                        <a:xfrm>
                          <a:off x="0" y="0"/>
                          <a:ext cx="1752600" cy="415636"/>
                        </a:xfrm>
                        <a:prstGeom prst="rect">
                          <a:avLst/>
                        </a:prstGeom>
                        <a:solidFill>
                          <a:schemeClr val="lt1"/>
                        </a:solidFill>
                        <a:ln w="6350">
                          <a:solidFill>
                            <a:schemeClr val="bg1"/>
                          </a:solidFill>
                        </a:ln>
                      </wps:spPr>
                      <wps:txbx>
                        <w:txbxContent>
                          <w:p w14:paraId="5C2D2281" w14:textId="00FE5691" w:rsidR="00D91C70" w:rsidRDefault="00D91C70">
                            <w:r>
                              <w:t>VOLKSWAGEN JETTA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334107" id="Text Box 11" o:spid="_x0000_s1028" type="#_x0000_t202" style="position:absolute;left:0;text-align:left;margin-left:53.95pt;margin-top:.6pt;width:138pt;height:32.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" fillcolor="white [3201]" strokecolor="white [3212]" strokeweight=".5pt">
                <v:textbox>
                  <w:txbxContent>
                    <w:p w14:paraId="5C2D2281" w14:textId="00FE5691" w:rsidR="00D91C70" w:rsidRDefault="00D91C70">
                      <w:r>
                        <w:t>VOLKSWAGEN JETTA</w:t>
                      </w:r>
                    </w:p>
                  </w:txbxContent>
                </v:textbox>
              </v:shape>
            </w:pict>
          </mc:Fallback>
        </mc:AlternateContent>
      </w: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6475BA75" wp14:editId="72CE6C0B">
                <wp:simplePos x="0" y="0"/>
                <wp:positionH relativeFrom="column">
                  <wp:posOffset>3795972</wp:posOffset>
                </wp:positionH>
                <wp:positionV relativeFrom="paragraph">
                  <wp:posOffset>13797</wp:posOffset>
                </wp:positionV>
                <wp:extent cx="1509626" cy="367146"/>
                <wp:effectExtent l="0" t="0" r="14605" b="13970"/>
                <wp:wrapNone/>
                <wp:docPr id="283913733" name="Text Box 10"/>
                <wp:cNvGraphicFramePr/>
                <a:graphic xmlns:a="http://schemas.openxmlformats.org/drawingml/2006/main">
                  <a:graphicData uri="http://schemas.microsoft.com/office/word/2010/wordprocessingShape">
                    <wps:wsp>
                      <wps:cNvSpPr txBox="1"/>
                      <wps:spPr>
                        <a:xfrm>
                          <a:off x="0" y="0"/>
                          <a:ext cx="1509626" cy="367146"/>
                        </a:xfrm>
                        <a:prstGeom prst="rect">
                          <a:avLst/>
                        </a:prstGeom>
                        <a:solidFill>
                          <a:schemeClr val="lt1"/>
                        </a:solidFill>
                        <a:ln w="6350">
                          <a:solidFill>
                            <a:schemeClr val="bg1"/>
                          </a:solidFill>
                        </a:ln>
                      </wps:spPr>
                      <wps:txbx>
                        <w:txbxContent>
                          <w:p w14:paraId="097639E0" w14:textId="604C7BDC" w:rsidR="00D91C70" w:rsidRDefault="00D91C70">
                            <w:r>
                              <w:t>TOYOTA CAMRY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75BA75" id="Text Box 10" o:spid="_x0000_s1029" type="#_x0000_t202" style="position:absolute;left:0;text-align:left;margin-left:298.9pt;margin-top:1.1pt;width:118.85pt;height:28.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" fillcolor="white [3201]" strokecolor="white [3212]" strokeweight=".5pt">
                <v:textbox>
                  <w:txbxContent>
                    <w:p w14:paraId="097639E0" w14:textId="604C7BDC" w:rsidR="00D91C70" w:rsidRDefault="00D91C70">
                      <w:r>
                        <w:t>TOYOTA CAMRY</w:t>
                      </w:r>
                    </w:p>
                  </w:txbxContent>
                </v:textbox>
              </v:shape>
            </w:pict>
          </mc:Fallback>
        </mc:AlternateContent>
      </w:r>
    </w:p>
    <w:p w14:paraId="75BFD772" w14:textId="374F6213" w:rsidR="00AC1A83" w:rsidRDefault="00AC1A83" w:rsidP="00AB556B">
      <w:pPr>
        <w:spacing w:line="360" w:lineRule="auto"/>
        <w:jc w:val="both"/>
        <w:rPr>
          <w:rFonts w:ascii="Arial" w:hAnsi="Arial" w:cs="Arial"/>
          <w:b/>
          <w:bCs/>
          <w:sz w:val="24"/>
          <w:szCs w:val="24"/>
        </w:rPr>
      </w:pPr>
    </w:p>
    <w:p w14:paraId="6AE9CACD" w14:textId="77777777" w:rsidR="00AC1A83" w:rsidRDefault="00AC1A83" w:rsidP="00AB556B">
      <w:pPr>
        <w:spacing w:line="360" w:lineRule="auto"/>
        <w:jc w:val="both"/>
        <w:rPr>
          <w:rFonts w:ascii="Arial" w:hAnsi="Arial" w:cs="Arial"/>
          <w:b/>
          <w:bCs/>
          <w:sz w:val="24"/>
          <w:szCs w:val="24"/>
        </w:rPr>
      </w:pPr>
    </w:p>
    <w:p w14:paraId="35D6F587" w14:textId="77777777" w:rsidR="00AC1A83" w:rsidRDefault="00AC1A83" w:rsidP="00AB556B">
      <w:pPr>
        <w:spacing w:line="360" w:lineRule="auto"/>
        <w:jc w:val="both"/>
        <w:rPr>
          <w:rFonts w:ascii="Arial" w:hAnsi="Arial" w:cs="Arial"/>
          <w:b/>
          <w:bCs/>
          <w:sz w:val="24"/>
          <w:szCs w:val="24"/>
        </w:rPr>
      </w:pPr>
    </w:p>
    <w:p w14:paraId="50F16B90" w14:textId="77777777" w:rsidR="00AC1A83" w:rsidRDefault="00AC1A83" w:rsidP="00AB556B">
      <w:pPr>
        <w:spacing w:line="360" w:lineRule="auto"/>
        <w:jc w:val="both"/>
        <w:rPr>
          <w:rFonts w:ascii="Arial" w:hAnsi="Arial" w:cs="Arial"/>
          <w:b/>
          <w:bCs/>
          <w:sz w:val="24"/>
          <w:szCs w:val="24"/>
        </w:rPr>
      </w:pPr>
    </w:p>
    <w:p w14:paraId="565EAC52" w14:textId="4720D0A7" w:rsidR="00D87E88"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lastRenderedPageBreak/>
        <w:t>Task 1 — Critical analysis of two macro marketing actors</w:t>
      </w:r>
    </w:p>
    <w:p w14:paraId="4BAB5446" w14:textId="1C4CC3CB" w:rsidR="00AC41D9" w:rsidRDefault="00D87E88" w:rsidP="00F50796">
      <w:pPr>
        <w:pStyle w:val="ListParagraph"/>
        <w:numPr>
          <w:ilvl w:val="0"/>
          <w:numId w:val="25"/>
        </w:numPr>
        <w:spacing w:line="360" w:lineRule="auto"/>
        <w:jc w:val="center"/>
        <w:rPr>
          <w:rFonts w:ascii="Arial" w:hAnsi="Arial" w:cs="Arial"/>
          <w:b/>
          <w:bCs/>
          <w:sz w:val="24"/>
          <w:szCs w:val="24"/>
        </w:rPr>
      </w:pPr>
      <w:r w:rsidRPr="00AC41D9">
        <w:rPr>
          <w:rFonts w:ascii="Arial" w:hAnsi="Arial" w:cs="Arial"/>
          <w:b/>
          <w:bCs/>
          <w:sz w:val="24"/>
          <w:szCs w:val="24"/>
        </w:rPr>
        <w:t>Economic environment</w:t>
      </w:r>
      <w:r w:rsidR="00AC41D9" w:rsidRPr="00AC41D9">
        <w:rPr>
          <w:rFonts w:ascii="Arial" w:hAnsi="Arial" w:cs="Arial"/>
          <w:b/>
          <w:bCs/>
          <w:sz w:val="24"/>
          <w:szCs w:val="24"/>
        </w:rPr>
        <w:t>:</w:t>
      </w:r>
    </w:p>
    <w:p w14:paraId="4C86B850" w14:textId="13AF7B76" w:rsidR="00AC41D9" w:rsidRPr="00AC41D9" w:rsidRDefault="00AC41D9" w:rsidP="00AC41D9">
      <w:pPr>
        <w:spacing w:line="360" w:lineRule="auto"/>
        <w:jc w:val="both"/>
        <w:rPr>
          <w:rFonts w:ascii="Arial" w:hAnsi="Arial" w:cs="Arial"/>
          <w:sz w:val="24"/>
          <w:szCs w:val="24"/>
        </w:rPr>
      </w:pPr>
      <w:r w:rsidRPr="00AC41D9">
        <w:rPr>
          <w:rFonts w:ascii="Arial" w:hAnsi="Arial" w:cs="Arial"/>
          <w:sz w:val="24"/>
          <w:szCs w:val="24"/>
        </w:rPr>
        <w:t>The economic environment is the sum of all economic factors that influence businesses and consumers, including a country's economic health, policies, and conditions like GDP, inflation, interest rates, and unemployment. These elements determine the opportunities and threats for businesses and affect their financial performance, strategy, and decision-making. </w:t>
      </w:r>
    </w:p>
    <w:p w14:paraId="3AA3D450" w14:textId="77777777" w:rsidR="00D87E88" w:rsidRDefault="00D87E88" w:rsidP="00AB556B">
      <w:pPr>
        <w:spacing w:line="360" w:lineRule="auto"/>
        <w:jc w:val="both"/>
        <w:rPr>
          <w:rFonts w:ascii="Arial" w:hAnsi="Arial" w:cs="Arial"/>
          <w:sz w:val="24"/>
          <w:szCs w:val="24"/>
        </w:rPr>
      </w:pPr>
      <w:r w:rsidRPr="00AC41D9">
        <w:rPr>
          <w:rFonts w:ascii="Arial" w:hAnsi="Arial" w:cs="Arial"/>
          <w:b/>
          <w:bCs/>
          <w:sz w:val="24"/>
          <w:szCs w:val="24"/>
        </w:rPr>
        <w:t>Key elements:</w:t>
      </w:r>
      <w:r w:rsidRPr="00AB556B">
        <w:rPr>
          <w:rFonts w:ascii="Arial" w:hAnsi="Arial" w:cs="Arial"/>
          <w:sz w:val="24"/>
          <w:szCs w:val="24"/>
        </w:rPr>
        <w:t> GDP growth, consumer disposable income, interest rates, inflation, exchange rates, unemployment, credit availability, fuel prices.</w:t>
      </w:r>
    </w:p>
    <w:p w14:paraId="688FEA8B" w14:textId="77777777" w:rsidR="00AB556B" w:rsidRPr="00AB556B" w:rsidRDefault="00AB556B" w:rsidP="00AB556B">
      <w:pPr>
        <w:spacing w:line="360" w:lineRule="auto"/>
        <w:jc w:val="both"/>
        <w:rPr>
          <w:rFonts w:ascii="Arial" w:hAnsi="Arial" w:cs="Arial"/>
          <w:sz w:val="24"/>
          <w:szCs w:val="24"/>
        </w:rPr>
      </w:pPr>
    </w:p>
    <w:p w14:paraId="4D0DBB0A" w14:textId="77777777" w:rsidR="00AC41D9" w:rsidRPr="00AC41D9" w:rsidRDefault="00AC41D9" w:rsidP="00AC41D9">
      <w:pPr>
        <w:spacing w:line="360" w:lineRule="auto"/>
        <w:jc w:val="both"/>
        <w:rPr>
          <w:rFonts w:ascii="Arial" w:hAnsi="Arial" w:cs="Arial"/>
          <w:b/>
          <w:bCs/>
          <w:sz w:val="24"/>
          <w:szCs w:val="24"/>
        </w:rPr>
      </w:pPr>
      <w:r w:rsidRPr="00AC41D9">
        <w:rPr>
          <w:rFonts w:ascii="Arial" w:hAnsi="Arial" w:cs="Arial"/>
          <w:b/>
          <w:bCs/>
          <w:sz w:val="24"/>
          <w:szCs w:val="24"/>
        </w:rPr>
        <w:t xml:space="preserve">How shifts lead to opportunities: </w:t>
      </w:r>
    </w:p>
    <w:p w14:paraId="518C0415" w14:textId="2E8F5DC9" w:rsidR="00AC41D9" w:rsidRPr="00AC41D9" w:rsidRDefault="00AC41D9" w:rsidP="00AC41D9">
      <w:pPr>
        <w:spacing w:line="360" w:lineRule="auto"/>
        <w:jc w:val="both"/>
        <w:rPr>
          <w:rFonts w:ascii="Arial" w:hAnsi="Arial" w:cs="Arial"/>
          <w:sz w:val="24"/>
          <w:szCs w:val="24"/>
        </w:rPr>
      </w:pPr>
      <w:r w:rsidRPr="00AC41D9">
        <w:rPr>
          <w:rFonts w:ascii="Arial" w:hAnsi="Arial" w:cs="Arial"/>
          <w:sz w:val="24"/>
          <w:szCs w:val="24"/>
        </w:rPr>
        <w:t>• Growing GDP and incomes increase the addressable market for cars in the mid-to-high segment, opening the door for premium trims and optional features. Volkswagen and Toyota are able to upsell hybrid, tech, and safety packages.</w:t>
      </w:r>
    </w:p>
    <w:p w14:paraId="0385751F" w14:textId="77777777" w:rsidR="00AC41D9" w:rsidRPr="00AC41D9" w:rsidRDefault="00AC41D9" w:rsidP="00AC41D9">
      <w:pPr>
        <w:spacing w:line="360" w:lineRule="auto"/>
        <w:jc w:val="both"/>
        <w:rPr>
          <w:rFonts w:ascii="Arial" w:hAnsi="Arial" w:cs="Arial"/>
          <w:sz w:val="24"/>
          <w:szCs w:val="24"/>
        </w:rPr>
      </w:pPr>
      <w:r w:rsidRPr="00AC41D9">
        <w:rPr>
          <w:rFonts w:ascii="Arial" w:hAnsi="Arial" w:cs="Arial"/>
          <w:sz w:val="24"/>
          <w:szCs w:val="24"/>
        </w:rPr>
        <w:t>• Cheap credit and low interest rates make it easier for consumers and fleet buyers to finance their purchases, which encourages leasing. makes promotional finance offers possible (low monthly payments, 0% APR).</w:t>
      </w:r>
    </w:p>
    <w:p w14:paraId="1870E7B1" w14:textId="098664EB" w:rsidR="00AC41D9" w:rsidRPr="00AC41D9" w:rsidRDefault="00AC41D9" w:rsidP="00AC41D9">
      <w:pPr>
        <w:spacing w:line="360" w:lineRule="auto"/>
        <w:jc w:val="both"/>
        <w:rPr>
          <w:rFonts w:ascii="Arial" w:hAnsi="Arial" w:cs="Arial"/>
          <w:sz w:val="24"/>
          <w:szCs w:val="24"/>
        </w:rPr>
      </w:pPr>
      <w:r w:rsidRPr="00AC41D9">
        <w:rPr>
          <w:rFonts w:ascii="Arial" w:hAnsi="Arial" w:cs="Arial"/>
          <w:sz w:val="24"/>
          <w:szCs w:val="24"/>
        </w:rPr>
        <w:t>• Currency strength/weakness</w:t>
      </w:r>
      <w:r w:rsidR="00B42B1A">
        <w:rPr>
          <w:rFonts w:ascii="Arial" w:hAnsi="Arial" w:cs="Arial"/>
          <w:sz w:val="24"/>
          <w:szCs w:val="24"/>
        </w:rPr>
        <w:t xml:space="preserve"> -</w:t>
      </w:r>
      <w:r w:rsidRPr="00AC41D9">
        <w:rPr>
          <w:rFonts w:ascii="Arial" w:hAnsi="Arial" w:cs="Arial"/>
          <w:sz w:val="24"/>
          <w:szCs w:val="24"/>
        </w:rPr>
        <w:t xml:space="preserve"> export competitiveness: a weaker JPY can lower export prices for Toyota, while positive EUR movements benefit Volkswagen.</w:t>
      </w:r>
    </w:p>
    <w:p w14:paraId="39DD8A8F" w14:textId="3FA99C46" w:rsidR="00AC41D9" w:rsidRDefault="00AC41D9" w:rsidP="00AC41D9">
      <w:pPr>
        <w:spacing w:line="360" w:lineRule="auto"/>
        <w:jc w:val="both"/>
        <w:rPr>
          <w:rFonts w:ascii="Arial" w:hAnsi="Arial" w:cs="Arial"/>
          <w:sz w:val="24"/>
          <w:szCs w:val="24"/>
        </w:rPr>
      </w:pPr>
      <w:r w:rsidRPr="00AC41D9">
        <w:rPr>
          <w:rFonts w:ascii="Arial" w:hAnsi="Arial" w:cs="Arial"/>
          <w:sz w:val="24"/>
          <w:szCs w:val="24"/>
        </w:rPr>
        <w:t>• Rising fuel costs lead to a greater demand for hybrid and fuel-efficient vehicles (a chance for Toyota's hybrid heritage VW can promote efficient gasoline/diesel or electric versions).</w:t>
      </w:r>
    </w:p>
    <w:p w14:paraId="66B68714" w14:textId="22CD525D" w:rsidR="00D87E88" w:rsidRPr="00AC41D9" w:rsidRDefault="00D87E88" w:rsidP="00AC41D9">
      <w:pPr>
        <w:spacing w:line="360" w:lineRule="auto"/>
        <w:jc w:val="both"/>
        <w:rPr>
          <w:rFonts w:ascii="Arial" w:hAnsi="Arial" w:cs="Arial"/>
          <w:b/>
          <w:bCs/>
          <w:sz w:val="24"/>
          <w:szCs w:val="24"/>
        </w:rPr>
      </w:pPr>
      <w:r w:rsidRPr="00AC41D9">
        <w:rPr>
          <w:rFonts w:ascii="Arial" w:hAnsi="Arial" w:cs="Arial"/>
          <w:b/>
          <w:bCs/>
          <w:sz w:val="24"/>
          <w:szCs w:val="24"/>
        </w:rPr>
        <w:t>How changes create threats</w:t>
      </w:r>
      <w:r w:rsidR="00AB556B" w:rsidRPr="00AC41D9">
        <w:rPr>
          <w:rFonts w:ascii="Arial" w:hAnsi="Arial" w:cs="Arial"/>
          <w:b/>
          <w:bCs/>
          <w:sz w:val="24"/>
          <w:szCs w:val="24"/>
        </w:rPr>
        <w:t>:</w:t>
      </w:r>
    </w:p>
    <w:p w14:paraId="6D048E5B" w14:textId="7C7557AE" w:rsidR="00AC41D9" w:rsidRPr="00AC41D9" w:rsidRDefault="00AC41D9" w:rsidP="00AC41D9">
      <w:pPr>
        <w:numPr>
          <w:ilvl w:val="0"/>
          <w:numId w:val="2"/>
        </w:numPr>
        <w:spacing w:line="360" w:lineRule="auto"/>
        <w:jc w:val="both"/>
        <w:rPr>
          <w:rFonts w:ascii="Arial" w:hAnsi="Arial" w:cs="Arial"/>
          <w:sz w:val="24"/>
          <w:szCs w:val="24"/>
        </w:rPr>
      </w:pPr>
      <w:r w:rsidRPr="00AC41D9">
        <w:rPr>
          <w:rFonts w:ascii="Arial" w:hAnsi="Arial" w:cs="Arial"/>
          <w:sz w:val="24"/>
          <w:szCs w:val="24"/>
        </w:rPr>
        <w:t>Consumers postpone purchases or switch to used cars due to the economic downturn and declining disposable income; both businesses experience decreased volumes and margin pressure.</w:t>
      </w:r>
    </w:p>
    <w:p w14:paraId="62D617D7" w14:textId="2AB52E45" w:rsidR="00AC41D9" w:rsidRPr="00AC41D9" w:rsidRDefault="00AC41D9" w:rsidP="00AC41D9">
      <w:pPr>
        <w:pStyle w:val="ListParagraph"/>
        <w:numPr>
          <w:ilvl w:val="0"/>
          <w:numId w:val="2"/>
        </w:numPr>
        <w:spacing w:line="360" w:lineRule="auto"/>
        <w:jc w:val="both"/>
        <w:rPr>
          <w:rFonts w:ascii="Arial" w:hAnsi="Arial" w:cs="Arial"/>
          <w:sz w:val="24"/>
          <w:szCs w:val="24"/>
        </w:rPr>
      </w:pPr>
      <w:r w:rsidRPr="00AC41D9">
        <w:rPr>
          <w:rFonts w:ascii="Arial" w:hAnsi="Arial" w:cs="Arial"/>
          <w:sz w:val="24"/>
          <w:szCs w:val="24"/>
        </w:rPr>
        <w:t>Higher financing costs result from tighter credit and rising interest rates, making promotional finance more costly to subsidize.</w:t>
      </w:r>
    </w:p>
    <w:p w14:paraId="4A5D8AC4" w14:textId="1229E7A9" w:rsidR="00AC41D9" w:rsidRPr="00AC41D9" w:rsidRDefault="00AC41D9" w:rsidP="00AC41D9">
      <w:pPr>
        <w:numPr>
          <w:ilvl w:val="0"/>
          <w:numId w:val="2"/>
        </w:numPr>
        <w:spacing w:line="360" w:lineRule="auto"/>
        <w:jc w:val="both"/>
        <w:rPr>
          <w:rFonts w:ascii="Arial" w:hAnsi="Arial" w:cs="Arial"/>
          <w:sz w:val="24"/>
          <w:szCs w:val="24"/>
        </w:rPr>
      </w:pPr>
      <w:r w:rsidRPr="00AC41D9">
        <w:rPr>
          <w:rFonts w:ascii="Arial" w:hAnsi="Arial" w:cs="Arial"/>
          <w:sz w:val="24"/>
          <w:szCs w:val="24"/>
        </w:rPr>
        <w:lastRenderedPageBreak/>
        <w:t>Inflation and rising input costs (steel, semiconductors, logistics) cause margins to contract; either they absorb costs, which hurts profitability, or they pass costs on to customers, which hurts demand.</w:t>
      </w:r>
    </w:p>
    <w:p w14:paraId="01A15E1E" w14:textId="42AC8792" w:rsidR="00AC41D9" w:rsidRPr="00AC41D9" w:rsidRDefault="00AC41D9" w:rsidP="00AC41D9">
      <w:pPr>
        <w:numPr>
          <w:ilvl w:val="0"/>
          <w:numId w:val="2"/>
        </w:numPr>
        <w:spacing w:line="360" w:lineRule="auto"/>
        <w:jc w:val="both"/>
        <w:rPr>
          <w:rFonts w:ascii="Arial" w:hAnsi="Arial" w:cs="Arial"/>
          <w:sz w:val="24"/>
          <w:szCs w:val="24"/>
        </w:rPr>
      </w:pPr>
      <w:r w:rsidRPr="00AC41D9">
        <w:rPr>
          <w:rFonts w:ascii="Arial" w:hAnsi="Arial" w:cs="Arial"/>
          <w:sz w:val="24"/>
          <w:szCs w:val="24"/>
        </w:rPr>
        <w:t>Global supply chains are exposed to exchange rate volatility; hedging is not perfect and may result in erratic P&amp;L fluctuations.</w:t>
      </w:r>
    </w:p>
    <w:p w14:paraId="3B0F59AE" w14:textId="76A4DC64" w:rsidR="00AB556B" w:rsidRDefault="00AC41D9" w:rsidP="00F50796">
      <w:pPr>
        <w:numPr>
          <w:ilvl w:val="0"/>
          <w:numId w:val="2"/>
        </w:numPr>
        <w:spacing w:line="360" w:lineRule="auto"/>
        <w:jc w:val="both"/>
        <w:rPr>
          <w:rFonts w:ascii="Arial" w:hAnsi="Arial" w:cs="Arial"/>
          <w:sz w:val="24"/>
          <w:szCs w:val="24"/>
        </w:rPr>
      </w:pPr>
      <w:r w:rsidRPr="00AC41D9">
        <w:rPr>
          <w:rFonts w:ascii="Arial" w:hAnsi="Arial" w:cs="Arial"/>
          <w:sz w:val="24"/>
          <w:szCs w:val="24"/>
        </w:rPr>
        <w:t xml:space="preserve">If consumers put price above efficiency, a drop in fuel prices will reduce the short-term demand for hybrids and </w:t>
      </w:r>
      <w:r w:rsidR="00B42B1A">
        <w:rPr>
          <w:rFonts w:ascii="Arial" w:hAnsi="Arial" w:cs="Arial"/>
          <w:sz w:val="24"/>
          <w:szCs w:val="24"/>
        </w:rPr>
        <w:t>EV cars.</w:t>
      </w:r>
    </w:p>
    <w:p w14:paraId="75F971A1" w14:textId="77777777" w:rsidR="00B42B1A" w:rsidRPr="00F50796" w:rsidRDefault="00B42B1A" w:rsidP="00B42B1A">
      <w:pPr>
        <w:spacing w:line="360" w:lineRule="auto"/>
        <w:ind w:left="720"/>
        <w:jc w:val="both"/>
        <w:rPr>
          <w:rFonts w:ascii="Arial" w:hAnsi="Arial" w:cs="Arial"/>
          <w:sz w:val="24"/>
          <w:szCs w:val="24"/>
        </w:rPr>
      </w:pPr>
    </w:p>
    <w:p w14:paraId="3954F947" w14:textId="3838F0FE" w:rsidR="00AC41D9" w:rsidRPr="00AB556B" w:rsidRDefault="00D87E88" w:rsidP="00F50796">
      <w:pPr>
        <w:spacing w:line="360" w:lineRule="auto"/>
        <w:rPr>
          <w:rFonts w:ascii="Arial" w:hAnsi="Arial" w:cs="Arial"/>
          <w:b/>
          <w:bCs/>
          <w:sz w:val="24"/>
          <w:szCs w:val="24"/>
        </w:rPr>
      </w:pPr>
      <w:r w:rsidRPr="00AB556B">
        <w:rPr>
          <w:rFonts w:ascii="Arial" w:hAnsi="Arial" w:cs="Arial"/>
          <w:b/>
          <w:bCs/>
          <w:sz w:val="24"/>
          <w:szCs w:val="24"/>
        </w:rPr>
        <w:t>Implications for pioneers vs followers</w:t>
      </w:r>
    </w:p>
    <w:p w14:paraId="60047349" w14:textId="611CE760" w:rsidR="00AC41D9" w:rsidRPr="00640144" w:rsidRDefault="00AC41D9" w:rsidP="00640144">
      <w:pPr>
        <w:pStyle w:val="ListParagraph"/>
        <w:numPr>
          <w:ilvl w:val="0"/>
          <w:numId w:val="35"/>
        </w:numPr>
        <w:spacing w:line="360" w:lineRule="auto"/>
        <w:jc w:val="both"/>
        <w:rPr>
          <w:rFonts w:ascii="Arial" w:hAnsi="Arial" w:cs="Arial"/>
          <w:sz w:val="24"/>
          <w:szCs w:val="24"/>
        </w:rPr>
      </w:pPr>
      <w:r w:rsidRPr="00640144">
        <w:rPr>
          <w:rFonts w:ascii="Arial" w:hAnsi="Arial" w:cs="Arial"/>
          <w:sz w:val="24"/>
          <w:szCs w:val="24"/>
        </w:rPr>
        <w:t>During growth phases, a pioneer (such as a company that commercializes a trend first) enjoys early premium pricing and brand leadership; however, when demand collapses, they face significant R&amp;D and capital exposure. When a recovery occurs, a follower can gain late mass-market share, enter at a lower cost, and learn from pioneers.</w:t>
      </w:r>
    </w:p>
    <w:p w14:paraId="20A6C111" w14:textId="0C1C416A" w:rsidR="00F50796" w:rsidRDefault="00AC41D9" w:rsidP="00AC41D9">
      <w:pPr>
        <w:pStyle w:val="ListParagraph"/>
        <w:numPr>
          <w:ilvl w:val="0"/>
          <w:numId w:val="35"/>
        </w:numPr>
        <w:spacing w:line="360" w:lineRule="auto"/>
        <w:jc w:val="both"/>
        <w:rPr>
          <w:rFonts w:ascii="Arial" w:hAnsi="Arial" w:cs="Arial"/>
          <w:sz w:val="24"/>
          <w:szCs w:val="24"/>
        </w:rPr>
      </w:pPr>
      <w:r w:rsidRPr="00640144">
        <w:rPr>
          <w:rFonts w:ascii="Arial" w:hAnsi="Arial" w:cs="Arial"/>
          <w:sz w:val="24"/>
          <w:szCs w:val="24"/>
        </w:rPr>
        <w:t>Volkswagen (which has historically been a follower or fast-follower in some tech areas) can use scale and pricing to gain share during price-sensitive times; Toyota's historical cost-lead in hybrids (pioneer) gives it a defensive advantage in fuel-price spikes.</w:t>
      </w:r>
    </w:p>
    <w:p w14:paraId="125722C5" w14:textId="77777777" w:rsidR="00F50796" w:rsidRDefault="00F50796" w:rsidP="00F50796">
      <w:pPr>
        <w:spacing w:line="360" w:lineRule="auto"/>
        <w:jc w:val="both"/>
        <w:rPr>
          <w:rFonts w:ascii="Arial" w:hAnsi="Arial" w:cs="Arial"/>
          <w:sz w:val="24"/>
          <w:szCs w:val="24"/>
        </w:rPr>
      </w:pPr>
    </w:p>
    <w:p w14:paraId="682D190E" w14:textId="77777777" w:rsidR="00F50796" w:rsidRDefault="00F50796" w:rsidP="00F50796">
      <w:pPr>
        <w:spacing w:line="360" w:lineRule="auto"/>
        <w:jc w:val="both"/>
        <w:rPr>
          <w:rFonts w:ascii="Arial" w:hAnsi="Arial" w:cs="Arial"/>
          <w:sz w:val="24"/>
          <w:szCs w:val="24"/>
        </w:rPr>
      </w:pPr>
    </w:p>
    <w:p w14:paraId="683C402D" w14:textId="77777777" w:rsidR="00F50796" w:rsidRDefault="00F50796" w:rsidP="00F50796">
      <w:pPr>
        <w:spacing w:line="360" w:lineRule="auto"/>
        <w:jc w:val="both"/>
        <w:rPr>
          <w:rFonts w:ascii="Arial" w:hAnsi="Arial" w:cs="Arial"/>
          <w:sz w:val="24"/>
          <w:szCs w:val="24"/>
        </w:rPr>
      </w:pPr>
    </w:p>
    <w:p w14:paraId="71977E53" w14:textId="77777777" w:rsidR="00F50796" w:rsidRDefault="00F50796" w:rsidP="00F50796">
      <w:pPr>
        <w:spacing w:line="360" w:lineRule="auto"/>
        <w:jc w:val="both"/>
        <w:rPr>
          <w:rFonts w:ascii="Arial" w:hAnsi="Arial" w:cs="Arial"/>
          <w:sz w:val="24"/>
          <w:szCs w:val="24"/>
        </w:rPr>
      </w:pPr>
    </w:p>
    <w:p w14:paraId="411033EA" w14:textId="77777777" w:rsidR="00F50796" w:rsidRDefault="00F50796" w:rsidP="00F50796">
      <w:pPr>
        <w:spacing w:line="360" w:lineRule="auto"/>
        <w:jc w:val="both"/>
        <w:rPr>
          <w:rFonts w:ascii="Arial" w:hAnsi="Arial" w:cs="Arial"/>
          <w:sz w:val="24"/>
          <w:szCs w:val="24"/>
        </w:rPr>
      </w:pPr>
    </w:p>
    <w:p w14:paraId="7A1EFC3E" w14:textId="77777777" w:rsidR="00D46895" w:rsidRDefault="00D46895" w:rsidP="00F50796">
      <w:pPr>
        <w:spacing w:line="360" w:lineRule="auto"/>
        <w:jc w:val="both"/>
        <w:rPr>
          <w:rFonts w:ascii="Arial" w:hAnsi="Arial" w:cs="Arial"/>
          <w:sz w:val="24"/>
          <w:szCs w:val="24"/>
        </w:rPr>
      </w:pPr>
    </w:p>
    <w:p w14:paraId="2ECA995C" w14:textId="77777777" w:rsidR="00F50796" w:rsidRDefault="00F50796" w:rsidP="00F50796">
      <w:pPr>
        <w:spacing w:line="360" w:lineRule="auto"/>
        <w:jc w:val="both"/>
        <w:rPr>
          <w:rFonts w:ascii="Arial" w:hAnsi="Arial" w:cs="Arial"/>
          <w:sz w:val="24"/>
          <w:szCs w:val="24"/>
        </w:rPr>
      </w:pPr>
    </w:p>
    <w:p w14:paraId="5FCF0A92" w14:textId="77777777" w:rsidR="00F50796" w:rsidRPr="00F50796" w:rsidRDefault="00F50796" w:rsidP="00F50796">
      <w:pPr>
        <w:spacing w:line="360" w:lineRule="auto"/>
        <w:jc w:val="both"/>
        <w:rPr>
          <w:rFonts w:ascii="Arial" w:hAnsi="Arial" w:cs="Arial"/>
          <w:sz w:val="24"/>
          <w:szCs w:val="24"/>
        </w:rPr>
      </w:pPr>
    </w:p>
    <w:p w14:paraId="5D300C10" w14:textId="754592B2" w:rsidR="00AC41D9" w:rsidRDefault="00AC41D9" w:rsidP="00AC41D9">
      <w:pPr>
        <w:pStyle w:val="ListParagraph"/>
        <w:numPr>
          <w:ilvl w:val="0"/>
          <w:numId w:val="25"/>
        </w:numPr>
        <w:spacing w:line="360" w:lineRule="auto"/>
        <w:jc w:val="center"/>
        <w:rPr>
          <w:rFonts w:ascii="Arial" w:hAnsi="Arial" w:cs="Arial"/>
          <w:b/>
          <w:bCs/>
          <w:sz w:val="24"/>
          <w:szCs w:val="24"/>
        </w:rPr>
      </w:pPr>
      <w:r w:rsidRPr="00AC41D9">
        <w:rPr>
          <w:rFonts w:ascii="Arial" w:hAnsi="Arial" w:cs="Arial"/>
          <w:b/>
          <w:bCs/>
          <w:sz w:val="24"/>
          <w:szCs w:val="24"/>
        </w:rPr>
        <w:lastRenderedPageBreak/>
        <w:t>Technological environment:</w:t>
      </w:r>
    </w:p>
    <w:p w14:paraId="36BDA01C" w14:textId="77777777" w:rsidR="00AC41D9" w:rsidRPr="00AC41D9" w:rsidRDefault="00AC41D9" w:rsidP="00AC41D9">
      <w:pPr>
        <w:pStyle w:val="ListParagraph"/>
        <w:spacing w:line="360" w:lineRule="auto"/>
        <w:rPr>
          <w:rFonts w:ascii="Arial" w:hAnsi="Arial" w:cs="Arial"/>
          <w:b/>
          <w:bCs/>
          <w:sz w:val="24"/>
          <w:szCs w:val="24"/>
        </w:rPr>
      </w:pPr>
    </w:p>
    <w:p w14:paraId="5E5E3EB3" w14:textId="7D1CEEB6" w:rsidR="00AC41D9" w:rsidRPr="00F50796" w:rsidRDefault="00AC41D9" w:rsidP="00F50796">
      <w:pPr>
        <w:pStyle w:val="ListParagraph"/>
        <w:numPr>
          <w:ilvl w:val="0"/>
          <w:numId w:val="27"/>
        </w:numPr>
        <w:spacing w:line="360" w:lineRule="auto"/>
        <w:jc w:val="both"/>
        <w:rPr>
          <w:rFonts w:ascii="Arial" w:hAnsi="Arial" w:cs="Arial"/>
          <w:sz w:val="24"/>
          <w:szCs w:val="24"/>
        </w:rPr>
      </w:pPr>
      <w:r w:rsidRPr="00AC41D9">
        <w:rPr>
          <w:rFonts w:ascii="Arial" w:hAnsi="Arial" w:cs="Arial"/>
          <w:sz w:val="24"/>
          <w:szCs w:val="24"/>
        </w:rPr>
        <w:t>Important components include autonomous driving, software/connected car features, hybrid systems, digital sales channels, manufacturing automation, OTA updates, and electrification (EVs).</w:t>
      </w:r>
    </w:p>
    <w:p w14:paraId="60B9866B" w14:textId="609838EF" w:rsidR="00D87E88" w:rsidRPr="00AC41D9" w:rsidRDefault="00D87E88" w:rsidP="00AC41D9">
      <w:pPr>
        <w:spacing w:line="360" w:lineRule="auto"/>
        <w:jc w:val="both"/>
        <w:rPr>
          <w:rFonts w:ascii="Arial" w:hAnsi="Arial" w:cs="Arial"/>
          <w:sz w:val="24"/>
          <w:szCs w:val="24"/>
        </w:rPr>
      </w:pPr>
      <w:r w:rsidRPr="00AC41D9">
        <w:rPr>
          <w:rFonts w:ascii="Arial" w:hAnsi="Arial" w:cs="Arial"/>
          <w:b/>
          <w:bCs/>
          <w:sz w:val="24"/>
          <w:szCs w:val="24"/>
        </w:rPr>
        <w:t>How changes create opportunities</w:t>
      </w:r>
      <w:r w:rsidR="00095E9E" w:rsidRPr="00AC41D9">
        <w:rPr>
          <w:rFonts w:ascii="Arial" w:hAnsi="Arial" w:cs="Arial"/>
          <w:b/>
          <w:bCs/>
          <w:sz w:val="24"/>
          <w:szCs w:val="24"/>
        </w:rPr>
        <w:t>:</w:t>
      </w:r>
    </w:p>
    <w:p w14:paraId="352F7076" w14:textId="42A64453" w:rsidR="00AC41D9" w:rsidRPr="00AC41D9" w:rsidRDefault="00AC41D9" w:rsidP="00AC41D9">
      <w:pPr>
        <w:numPr>
          <w:ilvl w:val="0"/>
          <w:numId w:val="4"/>
        </w:numPr>
        <w:spacing w:line="360" w:lineRule="auto"/>
        <w:jc w:val="both"/>
        <w:rPr>
          <w:rFonts w:ascii="Arial" w:hAnsi="Arial" w:cs="Arial"/>
          <w:sz w:val="24"/>
          <w:szCs w:val="24"/>
        </w:rPr>
      </w:pPr>
      <w:r w:rsidRPr="00AC41D9">
        <w:rPr>
          <w:rFonts w:ascii="Arial" w:hAnsi="Arial" w:cs="Arial"/>
          <w:sz w:val="24"/>
          <w:szCs w:val="24"/>
        </w:rPr>
        <w:t>The mass EV market is opened by advancements in electrification (battery energy density, cost reductions); early adopters can gain regulatory favor and customer loyalty. Both companies can assert their sustainability credentials and grow their EV lineups.</w:t>
      </w:r>
    </w:p>
    <w:p w14:paraId="77FA20E0" w14:textId="02FDE1B6" w:rsidR="00AC41D9" w:rsidRPr="00AC41D9" w:rsidRDefault="00AC41D9" w:rsidP="00AC41D9">
      <w:pPr>
        <w:numPr>
          <w:ilvl w:val="0"/>
          <w:numId w:val="4"/>
        </w:numPr>
        <w:spacing w:line="360" w:lineRule="auto"/>
        <w:jc w:val="both"/>
        <w:rPr>
          <w:rFonts w:ascii="Arial" w:hAnsi="Arial" w:cs="Arial"/>
          <w:sz w:val="24"/>
          <w:szCs w:val="24"/>
        </w:rPr>
      </w:pPr>
      <w:r w:rsidRPr="00AC41D9">
        <w:rPr>
          <w:rFonts w:ascii="Arial" w:hAnsi="Arial" w:cs="Arial"/>
          <w:sz w:val="24"/>
          <w:szCs w:val="24"/>
        </w:rPr>
        <w:t>Better customer data for tailored marketing, better service scheduling and retention, and recurring revenue (subscriptions) are all benefits of connected services and software.</w:t>
      </w:r>
    </w:p>
    <w:p w14:paraId="21BC2AC2" w14:textId="7082C923" w:rsidR="00AC41D9" w:rsidRPr="00AC41D9" w:rsidRDefault="00AC41D9" w:rsidP="00AC41D9">
      <w:pPr>
        <w:numPr>
          <w:ilvl w:val="0"/>
          <w:numId w:val="4"/>
        </w:numPr>
        <w:spacing w:line="360" w:lineRule="auto"/>
        <w:jc w:val="both"/>
        <w:rPr>
          <w:rFonts w:ascii="Arial" w:hAnsi="Arial" w:cs="Arial"/>
          <w:sz w:val="24"/>
          <w:szCs w:val="24"/>
        </w:rPr>
      </w:pPr>
      <w:r w:rsidRPr="00AC41D9">
        <w:rPr>
          <w:rFonts w:ascii="Arial" w:hAnsi="Arial" w:cs="Arial"/>
          <w:sz w:val="24"/>
          <w:szCs w:val="24"/>
        </w:rPr>
        <w:t>Industry 4.0 and manufacturing automation lead to cost savings, increased flexibility, and better quality.</w:t>
      </w:r>
    </w:p>
    <w:p w14:paraId="339FC683" w14:textId="3C78D216" w:rsidR="00D87E88" w:rsidRPr="00AB556B" w:rsidRDefault="00AC41D9" w:rsidP="00AC41D9">
      <w:pPr>
        <w:numPr>
          <w:ilvl w:val="0"/>
          <w:numId w:val="4"/>
        </w:numPr>
        <w:spacing w:line="360" w:lineRule="auto"/>
        <w:jc w:val="both"/>
        <w:rPr>
          <w:rFonts w:ascii="Arial" w:hAnsi="Arial" w:cs="Arial"/>
          <w:sz w:val="24"/>
          <w:szCs w:val="24"/>
        </w:rPr>
      </w:pPr>
      <w:r w:rsidRPr="00AC41D9">
        <w:rPr>
          <w:rFonts w:ascii="Arial" w:hAnsi="Arial" w:cs="Arial"/>
          <w:sz w:val="24"/>
          <w:szCs w:val="24"/>
        </w:rPr>
        <w:t>Higher margins through digital services and OTA and software-defined features post-sale product differentiation (feature add-ons).</w:t>
      </w:r>
      <w:r w:rsidR="00D87E88" w:rsidRPr="00AB556B">
        <w:rPr>
          <w:rFonts w:ascii="Arial" w:hAnsi="Arial" w:cs="Arial"/>
          <w:sz w:val="24"/>
          <w:szCs w:val="24"/>
        </w:rPr>
        <w:t>.</w:t>
      </w:r>
    </w:p>
    <w:p w14:paraId="138F5906" w14:textId="12CA8D3F" w:rsidR="00D87E88" w:rsidRPr="00AB556B"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t>How changes create threats</w:t>
      </w:r>
      <w:r w:rsidR="00AB556B">
        <w:rPr>
          <w:rFonts w:ascii="Arial" w:hAnsi="Arial" w:cs="Arial"/>
          <w:b/>
          <w:bCs/>
          <w:sz w:val="24"/>
          <w:szCs w:val="24"/>
        </w:rPr>
        <w:t>:</w:t>
      </w:r>
    </w:p>
    <w:p w14:paraId="18492B8A" w14:textId="77777777" w:rsidR="00AC41D9" w:rsidRDefault="00AC41D9" w:rsidP="00AB556B">
      <w:pPr>
        <w:numPr>
          <w:ilvl w:val="0"/>
          <w:numId w:val="5"/>
        </w:numPr>
        <w:spacing w:line="360" w:lineRule="auto"/>
        <w:jc w:val="both"/>
        <w:rPr>
          <w:rFonts w:ascii="Arial" w:hAnsi="Arial" w:cs="Arial"/>
          <w:sz w:val="24"/>
          <w:szCs w:val="24"/>
        </w:rPr>
      </w:pPr>
      <w:r w:rsidRPr="00AC41D9">
        <w:rPr>
          <w:rFonts w:ascii="Arial" w:hAnsi="Arial" w:cs="Arial"/>
          <w:sz w:val="24"/>
          <w:szCs w:val="24"/>
        </w:rPr>
        <w:t>High R&amp;D and capital expenditure requirements → quick changes in technology necessitate significant investment; there is a risk if adoption is slower than anticipated.</w:t>
      </w:r>
    </w:p>
    <w:p w14:paraId="7DB99E7D" w14:textId="59FEB68C" w:rsidR="00D87E88" w:rsidRPr="00AB556B" w:rsidRDefault="00AC41D9" w:rsidP="00AB556B">
      <w:pPr>
        <w:numPr>
          <w:ilvl w:val="0"/>
          <w:numId w:val="5"/>
        </w:numPr>
        <w:spacing w:line="360" w:lineRule="auto"/>
        <w:jc w:val="both"/>
        <w:rPr>
          <w:rFonts w:ascii="Arial" w:hAnsi="Arial" w:cs="Arial"/>
          <w:sz w:val="24"/>
          <w:szCs w:val="24"/>
        </w:rPr>
      </w:pPr>
      <w:r w:rsidRPr="00AC41D9">
        <w:rPr>
          <w:rFonts w:ascii="Arial" w:hAnsi="Arial" w:cs="Arial"/>
          <w:sz w:val="24"/>
          <w:szCs w:val="24"/>
        </w:rPr>
        <w:t> Concentration of raw materials in the battery supply chain → Lithium/cobalt scarcity/pricing may cause production disruptions and increase expenses.</w:t>
      </w:r>
      <w:r w:rsidR="00F50796">
        <w:rPr>
          <w:rFonts w:ascii="Arial" w:hAnsi="Arial" w:cs="Arial"/>
          <w:sz w:val="24"/>
          <w:szCs w:val="24"/>
        </w:rPr>
        <w:t xml:space="preserve"> </w:t>
      </w:r>
      <w:r w:rsidR="00D87E88" w:rsidRPr="00AB556B">
        <w:rPr>
          <w:rFonts w:ascii="Arial" w:hAnsi="Arial" w:cs="Arial"/>
          <w:sz w:val="24"/>
          <w:szCs w:val="24"/>
        </w:rPr>
        <w:t>Software vulnerability &amp; privacy issues → reputational and regulatory risk if hacked or data mishandled.</w:t>
      </w:r>
    </w:p>
    <w:p w14:paraId="6ADBC7F0" w14:textId="77777777" w:rsidR="00AC41D9" w:rsidRPr="00AC41D9" w:rsidRDefault="00AC41D9" w:rsidP="00AC41D9">
      <w:pPr>
        <w:pStyle w:val="ListParagraph"/>
        <w:numPr>
          <w:ilvl w:val="0"/>
          <w:numId w:val="5"/>
        </w:numPr>
        <w:spacing w:line="360" w:lineRule="auto"/>
        <w:jc w:val="both"/>
        <w:rPr>
          <w:rFonts w:ascii="Arial" w:hAnsi="Arial" w:cs="Arial"/>
          <w:sz w:val="24"/>
          <w:szCs w:val="24"/>
        </w:rPr>
      </w:pPr>
      <w:r w:rsidRPr="00AC41D9">
        <w:rPr>
          <w:rFonts w:ascii="Arial" w:hAnsi="Arial" w:cs="Arial"/>
          <w:sz w:val="24"/>
          <w:szCs w:val="24"/>
        </w:rPr>
        <w:t>Rapid obsolescence of in-car technology complicates resale values and resale-based marketing messages, leading to a short perception of product life.</w:t>
      </w:r>
    </w:p>
    <w:p w14:paraId="0C92410B" w14:textId="6327C337" w:rsidR="00AC41D9" w:rsidRDefault="00AC41D9" w:rsidP="00AC41D9">
      <w:pPr>
        <w:pStyle w:val="ListParagraph"/>
        <w:numPr>
          <w:ilvl w:val="0"/>
          <w:numId w:val="5"/>
        </w:numPr>
        <w:spacing w:line="360" w:lineRule="auto"/>
        <w:jc w:val="both"/>
        <w:rPr>
          <w:rFonts w:ascii="Arial" w:hAnsi="Arial" w:cs="Arial"/>
          <w:sz w:val="24"/>
          <w:szCs w:val="24"/>
        </w:rPr>
      </w:pPr>
      <w:r w:rsidRPr="00AC41D9">
        <w:rPr>
          <w:rFonts w:ascii="Arial" w:hAnsi="Arial" w:cs="Arial"/>
          <w:sz w:val="24"/>
          <w:szCs w:val="24"/>
        </w:rPr>
        <w:lastRenderedPageBreak/>
        <w:t>Changes in regulations and standards: abrupt safety or emissions regulations may make current platforms in violation.</w:t>
      </w:r>
    </w:p>
    <w:p w14:paraId="29308BB6" w14:textId="77777777" w:rsidR="00F50796" w:rsidRDefault="00F50796" w:rsidP="00AC41D9">
      <w:pPr>
        <w:spacing w:line="360" w:lineRule="auto"/>
        <w:jc w:val="center"/>
        <w:rPr>
          <w:rFonts w:ascii="Arial" w:hAnsi="Arial" w:cs="Arial"/>
          <w:sz w:val="24"/>
          <w:szCs w:val="24"/>
        </w:rPr>
      </w:pPr>
    </w:p>
    <w:p w14:paraId="5CEFDE94" w14:textId="24D56280" w:rsidR="00AC41D9" w:rsidRDefault="00AC41D9" w:rsidP="00AC41D9">
      <w:pPr>
        <w:spacing w:line="360" w:lineRule="auto"/>
        <w:jc w:val="center"/>
        <w:rPr>
          <w:rFonts w:ascii="Arial" w:hAnsi="Arial" w:cs="Arial"/>
          <w:b/>
          <w:bCs/>
          <w:sz w:val="24"/>
          <w:szCs w:val="24"/>
        </w:rPr>
      </w:pPr>
      <w:r w:rsidRPr="00AC41D9">
        <w:rPr>
          <w:rFonts w:ascii="Arial" w:hAnsi="Arial" w:cs="Arial"/>
          <w:b/>
          <w:bCs/>
          <w:sz w:val="24"/>
          <w:szCs w:val="24"/>
        </w:rPr>
        <w:t>Implications for pioneers vs followers:</w:t>
      </w:r>
    </w:p>
    <w:p w14:paraId="63815A54" w14:textId="77777777" w:rsidR="003662AB" w:rsidRPr="003662AB" w:rsidRDefault="003662AB" w:rsidP="003662AB">
      <w:pPr>
        <w:pStyle w:val="ListParagraph"/>
        <w:numPr>
          <w:ilvl w:val="0"/>
          <w:numId w:val="28"/>
        </w:numPr>
        <w:spacing w:line="360" w:lineRule="auto"/>
        <w:jc w:val="both"/>
        <w:rPr>
          <w:rFonts w:ascii="Arial" w:hAnsi="Arial" w:cs="Arial"/>
          <w:sz w:val="24"/>
          <w:szCs w:val="24"/>
        </w:rPr>
      </w:pPr>
      <w:r w:rsidRPr="003662AB">
        <w:rPr>
          <w:rFonts w:ascii="Arial" w:hAnsi="Arial" w:cs="Arial"/>
          <w:sz w:val="24"/>
          <w:szCs w:val="24"/>
        </w:rPr>
        <w:t xml:space="preserve">Pioneer advantage: early knowledge, patents, and well-known brand (e.g., Toyota in hybrids). </w:t>
      </w:r>
    </w:p>
    <w:p w14:paraId="74733B27" w14:textId="77777777" w:rsidR="003662AB" w:rsidRPr="003662AB" w:rsidRDefault="003662AB" w:rsidP="003662AB">
      <w:pPr>
        <w:pStyle w:val="ListParagraph"/>
        <w:numPr>
          <w:ilvl w:val="0"/>
          <w:numId w:val="28"/>
        </w:numPr>
        <w:spacing w:line="360" w:lineRule="auto"/>
        <w:jc w:val="both"/>
        <w:rPr>
          <w:rFonts w:ascii="Arial" w:hAnsi="Arial" w:cs="Arial"/>
          <w:sz w:val="24"/>
          <w:szCs w:val="24"/>
        </w:rPr>
      </w:pPr>
      <w:r w:rsidRPr="003662AB">
        <w:rPr>
          <w:rFonts w:ascii="Arial" w:hAnsi="Arial" w:cs="Arial"/>
          <w:sz w:val="24"/>
          <w:szCs w:val="24"/>
        </w:rPr>
        <w:t>Follower advantage: avoid first-mover errors, adopt proven technology later at a lower cost, and occasionally outperform on price and performance when maturity arrives.</w:t>
      </w:r>
    </w:p>
    <w:p w14:paraId="03B143ED" w14:textId="047AC072" w:rsidR="003662AB" w:rsidRDefault="003662AB" w:rsidP="003662AB">
      <w:pPr>
        <w:pStyle w:val="ListParagraph"/>
        <w:numPr>
          <w:ilvl w:val="0"/>
          <w:numId w:val="28"/>
        </w:numPr>
        <w:spacing w:line="360" w:lineRule="auto"/>
        <w:jc w:val="both"/>
        <w:rPr>
          <w:rFonts w:ascii="Arial" w:hAnsi="Arial" w:cs="Arial"/>
          <w:sz w:val="24"/>
          <w:szCs w:val="24"/>
        </w:rPr>
      </w:pPr>
      <w:r w:rsidRPr="003662AB">
        <w:rPr>
          <w:rFonts w:ascii="Arial" w:hAnsi="Arial" w:cs="Arial"/>
          <w:sz w:val="24"/>
          <w:szCs w:val="24"/>
        </w:rPr>
        <w:t>Volkswagen's large scale and modular platforms (such as MQB and MEB historically) enable quick rollout of new technology when economies of scale kick in; Toyota's extensive hybrid experience is a technological advantage.</w:t>
      </w:r>
    </w:p>
    <w:p w14:paraId="0261D50A" w14:textId="77777777" w:rsidR="0069601B" w:rsidRPr="00A00CE2" w:rsidRDefault="0069601B" w:rsidP="0069601B">
      <w:pPr>
        <w:pStyle w:val="ListParagraph"/>
        <w:numPr>
          <w:ilvl w:val="0"/>
          <w:numId w:val="28"/>
        </w:numPr>
        <w:spacing w:after="0" w:line="360" w:lineRule="auto"/>
        <w:rPr>
          <w:rFonts w:ascii="Arial" w:eastAsia="Times New Roman" w:hAnsi="Arial" w:cs="Arial"/>
          <w:kern w:val="0"/>
          <w:sz w:val="24"/>
          <w:szCs w:val="24"/>
          <w14:ligatures w14:val="none"/>
        </w:rPr>
      </w:pPr>
      <w:r w:rsidRPr="00A00CE2">
        <w:rPr>
          <w:rFonts w:ascii="Arial" w:eastAsia="Times New Roman" w:hAnsi="Arial" w:cs="Arial"/>
          <w:kern w:val="0"/>
          <w:sz w:val="24"/>
          <w:szCs w:val="24"/>
          <w14:ligatures w14:val="none"/>
        </w:rPr>
        <w:t xml:space="preserve">A well-known type of corporate entrepreneurship is market pioneering, in which a company is the first to introduce a distinctly novel product to the market. </w:t>
      </w:r>
    </w:p>
    <w:p w14:paraId="7E369A53" w14:textId="77777777" w:rsidR="0069601B" w:rsidRPr="00A00CE2" w:rsidRDefault="0069601B" w:rsidP="0069601B">
      <w:pPr>
        <w:pStyle w:val="ListParagraph"/>
        <w:numPr>
          <w:ilvl w:val="0"/>
          <w:numId w:val="28"/>
        </w:numPr>
        <w:spacing w:after="0" w:line="360" w:lineRule="auto"/>
        <w:rPr>
          <w:rFonts w:ascii="Arial" w:eastAsia="Times New Roman" w:hAnsi="Arial" w:cs="Arial"/>
          <w:kern w:val="0"/>
          <w:sz w:val="24"/>
          <w:szCs w:val="24"/>
          <w14:ligatures w14:val="none"/>
        </w:rPr>
      </w:pPr>
      <w:r w:rsidRPr="00A00CE2">
        <w:rPr>
          <w:rFonts w:ascii="Arial" w:eastAsia="Times New Roman" w:hAnsi="Arial" w:cs="Arial"/>
          <w:kern w:val="0"/>
          <w:sz w:val="24"/>
          <w:szCs w:val="24"/>
          <w14:ligatures w14:val="none"/>
        </w:rPr>
        <w:t xml:space="preserve">Similar to other types of corporate entrepreneurship, there hasn't been much empirical research done on the relationship between market pioneering and business performance, and what little that has been done has produced mixed findings.However, the evidence reveals two conclusions about when and how pioneering affects business success. </w:t>
      </w:r>
    </w:p>
    <w:p w14:paraId="1D954416" w14:textId="494AD2D7" w:rsidR="0069601B" w:rsidRPr="00E32840" w:rsidRDefault="0069601B" w:rsidP="00E32840">
      <w:pPr>
        <w:pStyle w:val="ListParagraph"/>
        <w:numPr>
          <w:ilvl w:val="0"/>
          <w:numId w:val="28"/>
        </w:numPr>
        <w:spacing w:after="0" w:line="360" w:lineRule="auto"/>
        <w:rPr>
          <w:rFonts w:ascii="Arial" w:eastAsia="Times New Roman" w:hAnsi="Arial" w:cs="Arial"/>
          <w:kern w:val="0"/>
          <w:sz w:val="24"/>
          <w:szCs w:val="24"/>
          <w14:ligatures w14:val="none"/>
        </w:rPr>
      </w:pPr>
      <w:r w:rsidRPr="00A00CE2">
        <w:rPr>
          <w:rFonts w:ascii="Arial" w:eastAsia="Times New Roman" w:hAnsi="Arial" w:cs="Arial"/>
          <w:kern w:val="0"/>
          <w:sz w:val="24"/>
          <w:szCs w:val="24"/>
          <w14:ligatures w14:val="none"/>
        </w:rPr>
        <w:t>First, theory and previous studies indicate that pioneering is a phenomenon that is peculiar to a given setting.That is, pioneers' efforts may be more likely to be supported or rewarded in some kinds of circumstances, but they may not be as successful in other contexts.</w:t>
      </w:r>
    </w:p>
    <w:p w14:paraId="28EF7957" w14:textId="4286BE19" w:rsidR="00D46895" w:rsidRDefault="000D2FB2" w:rsidP="000D2FB2">
      <w:pPr>
        <w:pStyle w:val="ListParagraph"/>
        <w:numPr>
          <w:ilvl w:val="0"/>
          <w:numId w:val="28"/>
        </w:numPr>
        <w:spacing w:line="360" w:lineRule="auto"/>
        <w:jc w:val="both"/>
        <w:rPr>
          <w:rFonts w:ascii="Arial" w:hAnsi="Arial" w:cs="Arial"/>
          <w:sz w:val="24"/>
          <w:szCs w:val="24"/>
        </w:rPr>
      </w:pPr>
      <w:r w:rsidRPr="000D2FB2">
        <w:rPr>
          <w:rFonts w:ascii="Arial" w:hAnsi="Arial" w:cs="Arial"/>
          <w:sz w:val="24"/>
          <w:szCs w:val="24"/>
        </w:rPr>
        <w:t>Secondly, theory and previous research indicate that a firm's competitive strategies and its pioneer/follower status have an impact on its performance. To put it another way, the order of market entry moderates the effectiveness of a firm's competitive strategies, making some strategies more effective when used by market pioneers and others more effective when used by market followers.</w:t>
      </w:r>
    </w:p>
    <w:p w14:paraId="5CD7AE57" w14:textId="77777777" w:rsidR="00D87E88" w:rsidRPr="00AB556B"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lastRenderedPageBreak/>
        <w:t>Task 2 — How Toyota Camry and Volkswagen Jetta respond strategically (marketing strategies &amp; examples)</w:t>
      </w:r>
    </w:p>
    <w:p w14:paraId="5948358B" w14:textId="77777777" w:rsidR="00D87E88" w:rsidRPr="00AB556B" w:rsidRDefault="00D87E88" w:rsidP="00AB556B">
      <w:pPr>
        <w:spacing w:line="360" w:lineRule="auto"/>
        <w:jc w:val="both"/>
        <w:rPr>
          <w:rFonts w:ascii="Arial" w:hAnsi="Arial" w:cs="Arial"/>
          <w:sz w:val="24"/>
          <w:szCs w:val="24"/>
        </w:rPr>
      </w:pPr>
      <w:r w:rsidRPr="00AB556B">
        <w:rPr>
          <w:rFonts w:ascii="Arial" w:hAnsi="Arial" w:cs="Arial"/>
          <w:sz w:val="24"/>
          <w:szCs w:val="24"/>
        </w:rPr>
        <w:t>Below I evaluate concrete marketing and strategic responses each model/brand can deploy to maintain competitiveness given economic and technological changes.</w:t>
      </w:r>
    </w:p>
    <w:p w14:paraId="423AEB97" w14:textId="77777777" w:rsidR="00D87E88" w:rsidRPr="00AB556B"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t>Toyota Camry — strategic responses &amp; marketing mix</w:t>
      </w:r>
    </w:p>
    <w:p w14:paraId="696CCE61" w14:textId="188750A9" w:rsidR="00D87E88" w:rsidRPr="00AB556B" w:rsidRDefault="00B42B1A" w:rsidP="00AB556B">
      <w:pPr>
        <w:spacing w:line="360" w:lineRule="auto"/>
        <w:jc w:val="both"/>
        <w:rPr>
          <w:rFonts w:ascii="Arial" w:hAnsi="Arial" w:cs="Arial"/>
          <w:b/>
          <w:bCs/>
          <w:sz w:val="24"/>
          <w:szCs w:val="24"/>
        </w:rPr>
      </w:pPr>
      <w:r>
        <w:rPr>
          <w:rFonts w:ascii="Arial" w:hAnsi="Arial" w:cs="Arial"/>
          <w:b/>
          <w:bCs/>
          <w:sz w:val="24"/>
          <w:szCs w:val="24"/>
        </w:rPr>
        <w:t xml:space="preserve">           </w:t>
      </w:r>
      <w:r w:rsidR="00D87E88" w:rsidRPr="00AB556B">
        <w:rPr>
          <w:rFonts w:ascii="Arial" w:hAnsi="Arial" w:cs="Arial"/>
          <w:b/>
          <w:bCs/>
          <w:sz w:val="24"/>
          <w:szCs w:val="24"/>
        </w:rPr>
        <w:t>Positioning &amp; segmentation</w:t>
      </w:r>
      <w:r w:rsidR="003662AB">
        <w:rPr>
          <w:rFonts w:ascii="Arial" w:hAnsi="Arial" w:cs="Arial"/>
          <w:b/>
          <w:bCs/>
          <w:sz w:val="24"/>
          <w:szCs w:val="24"/>
        </w:rPr>
        <w:t>:</w:t>
      </w:r>
    </w:p>
    <w:p w14:paraId="1582C9BA" w14:textId="2B50DB49" w:rsidR="00B71DC7" w:rsidRPr="00B71DC7"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t>Camry's positioning as a dependable, cost-effective mid-size sedan that strikes a balance between comfort, proven hybrid technology, and affordability—aimed at fleet managers, professionals, and families.</w:t>
      </w:r>
    </w:p>
    <w:p w14:paraId="5581B26B" w14:textId="110BD0F2" w:rsidR="00B71DC7" w:rsidRPr="00B71DC7"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t>Divide consumers into three categories: tech-trim buyers (those seeking safety and connectivity), hybrid buyers (those seeking efficiency), and traditional gasoline buyers (those concerned with cost).</w:t>
      </w:r>
    </w:p>
    <w:p w14:paraId="64FBF6E6" w14:textId="77777777" w:rsidR="00B71DC7" w:rsidRPr="00B71DC7" w:rsidRDefault="00B71DC7" w:rsidP="00B71DC7">
      <w:pPr>
        <w:pStyle w:val="ListParagraph"/>
        <w:numPr>
          <w:ilvl w:val="0"/>
          <w:numId w:val="7"/>
        </w:numPr>
        <w:spacing w:line="360" w:lineRule="auto"/>
        <w:jc w:val="both"/>
        <w:rPr>
          <w:rFonts w:ascii="Arial" w:hAnsi="Arial" w:cs="Arial"/>
          <w:b/>
          <w:bCs/>
          <w:sz w:val="24"/>
          <w:szCs w:val="24"/>
        </w:rPr>
      </w:pPr>
      <w:r w:rsidRPr="00B71DC7">
        <w:rPr>
          <w:rFonts w:ascii="Arial" w:hAnsi="Arial" w:cs="Arial"/>
          <w:sz w:val="24"/>
          <w:szCs w:val="24"/>
        </w:rPr>
        <w:t xml:space="preserve">Because of its dependability, affordability, and efficiency, Toyota markets the Camry as a mid-size sedan that appeals to a wide range of consumer segments. </w:t>
      </w:r>
    </w:p>
    <w:p w14:paraId="5CA74620" w14:textId="77777777" w:rsidR="00B71DC7" w:rsidRPr="00B71DC7" w:rsidRDefault="00B71DC7" w:rsidP="00B71DC7">
      <w:pPr>
        <w:pStyle w:val="ListParagraph"/>
        <w:numPr>
          <w:ilvl w:val="0"/>
          <w:numId w:val="7"/>
        </w:numPr>
        <w:spacing w:line="360" w:lineRule="auto"/>
        <w:jc w:val="both"/>
        <w:rPr>
          <w:rFonts w:ascii="Arial" w:hAnsi="Arial" w:cs="Arial"/>
          <w:b/>
          <w:bCs/>
          <w:sz w:val="24"/>
          <w:szCs w:val="24"/>
        </w:rPr>
      </w:pPr>
      <w:r w:rsidRPr="00B71DC7">
        <w:rPr>
          <w:rFonts w:ascii="Arial" w:hAnsi="Arial" w:cs="Arial"/>
          <w:sz w:val="24"/>
          <w:szCs w:val="24"/>
        </w:rPr>
        <w:t>The brand emphasizes long-term dependability, low ownership costs, and state-of-the-art hybrid technology—elements that promote trust, particularly during uncertain economic times.</w:t>
      </w:r>
    </w:p>
    <w:p w14:paraId="093A14B0" w14:textId="77777777" w:rsidR="00B71DC7" w:rsidRDefault="00B71DC7" w:rsidP="00B71DC7">
      <w:pPr>
        <w:pStyle w:val="ListParagraph"/>
        <w:spacing w:line="360" w:lineRule="auto"/>
        <w:jc w:val="both"/>
        <w:rPr>
          <w:rFonts w:ascii="Arial" w:hAnsi="Arial" w:cs="Arial"/>
          <w:sz w:val="24"/>
          <w:szCs w:val="24"/>
        </w:rPr>
      </w:pPr>
    </w:p>
    <w:p w14:paraId="0639D9AF" w14:textId="183A2214" w:rsidR="00B71DC7" w:rsidRPr="00B71DC7" w:rsidRDefault="00B71DC7" w:rsidP="00B71DC7">
      <w:pPr>
        <w:pStyle w:val="ListParagraph"/>
        <w:spacing w:line="360" w:lineRule="auto"/>
        <w:jc w:val="both"/>
        <w:rPr>
          <w:rFonts w:ascii="Arial" w:hAnsi="Arial" w:cs="Arial"/>
          <w:b/>
          <w:bCs/>
          <w:sz w:val="24"/>
          <w:szCs w:val="24"/>
        </w:rPr>
      </w:pPr>
      <w:r w:rsidRPr="00B71DC7">
        <w:rPr>
          <w:rFonts w:ascii="Arial" w:hAnsi="Arial" w:cs="Arial"/>
          <w:b/>
          <w:bCs/>
          <w:sz w:val="24"/>
          <w:szCs w:val="24"/>
        </w:rPr>
        <w:t>Segmentation consists:</w:t>
      </w:r>
    </w:p>
    <w:p w14:paraId="3EF5BEEA" w14:textId="1B972FD1" w:rsidR="00B71DC7" w:rsidRPr="00B71DC7"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t>Conventional gasoline buyers are people looking for comfort, affordability, and a track record of dependability without paying top dollar</w:t>
      </w:r>
    </w:p>
    <w:p w14:paraId="3336ACC9" w14:textId="02BF8CFF" w:rsidR="00B71DC7" w:rsidRPr="00B71DC7"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t>Customers that are environmentally conscious, efficiency-minded, and value sustainability and fuel economy are known as hybrid buyers.</w:t>
      </w:r>
    </w:p>
    <w:p w14:paraId="538F6CC4" w14:textId="77777777" w:rsidR="00B71DC7" w:rsidRPr="00B71DC7"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t>Tech-trim buyers are those who place a high value on connectivity, advanced driver-assistance systems (ADAS), and contemporary infotainment features.</w:t>
      </w:r>
    </w:p>
    <w:p w14:paraId="2041B4DB" w14:textId="404C7B90" w:rsidR="00B71DC7" w:rsidRPr="00AB556B" w:rsidRDefault="00B71DC7" w:rsidP="00B71DC7">
      <w:pPr>
        <w:numPr>
          <w:ilvl w:val="0"/>
          <w:numId w:val="7"/>
        </w:numPr>
        <w:spacing w:line="360" w:lineRule="auto"/>
        <w:jc w:val="both"/>
        <w:rPr>
          <w:rFonts w:ascii="Arial" w:hAnsi="Arial" w:cs="Arial"/>
          <w:sz w:val="24"/>
          <w:szCs w:val="24"/>
        </w:rPr>
      </w:pPr>
      <w:r w:rsidRPr="00B71DC7">
        <w:rPr>
          <w:rFonts w:ascii="Arial" w:hAnsi="Arial" w:cs="Arial"/>
          <w:sz w:val="24"/>
          <w:szCs w:val="24"/>
        </w:rPr>
        <w:lastRenderedPageBreak/>
        <w:t>Toyota is able to adjust its marketing messaging and product mix to appeal to a variety of motivations thanks to this segmentation, ranging from innovation and prestige to cost-effectiveness and environmental friendliness.</w:t>
      </w:r>
    </w:p>
    <w:p w14:paraId="0341E0AF" w14:textId="77777777" w:rsidR="00B71DC7" w:rsidRDefault="00B71DC7" w:rsidP="00AB556B">
      <w:pPr>
        <w:spacing w:line="360" w:lineRule="auto"/>
        <w:jc w:val="both"/>
        <w:rPr>
          <w:rFonts w:ascii="Arial" w:hAnsi="Arial" w:cs="Arial"/>
          <w:b/>
          <w:bCs/>
          <w:sz w:val="24"/>
          <w:szCs w:val="24"/>
        </w:rPr>
      </w:pPr>
    </w:p>
    <w:p w14:paraId="43133D76" w14:textId="201FE932" w:rsidR="00D87E88" w:rsidRPr="00AB556B"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t>Product</w:t>
      </w:r>
      <w:r w:rsidR="003662AB">
        <w:rPr>
          <w:rFonts w:ascii="Arial" w:hAnsi="Arial" w:cs="Arial"/>
          <w:b/>
          <w:bCs/>
          <w:sz w:val="24"/>
          <w:szCs w:val="24"/>
        </w:rPr>
        <w:t>:</w:t>
      </w:r>
    </w:p>
    <w:p w14:paraId="54299E4D" w14:textId="77777777" w:rsidR="00D87E88" w:rsidRPr="00AB556B" w:rsidRDefault="00D87E88" w:rsidP="00AB556B">
      <w:pPr>
        <w:numPr>
          <w:ilvl w:val="0"/>
          <w:numId w:val="8"/>
        </w:numPr>
        <w:spacing w:line="360" w:lineRule="auto"/>
        <w:jc w:val="both"/>
        <w:rPr>
          <w:rFonts w:ascii="Arial" w:hAnsi="Arial" w:cs="Arial"/>
          <w:sz w:val="24"/>
          <w:szCs w:val="24"/>
        </w:rPr>
      </w:pPr>
      <w:r w:rsidRPr="00AB556B">
        <w:rPr>
          <w:rFonts w:ascii="Arial" w:hAnsi="Arial" w:cs="Arial"/>
          <w:sz w:val="24"/>
          <w:szCs w:val="24"/>
        </w:rPr>
        <w:t>Continue offering hybrid variants as core proposition (Toyota’s competitive advantage). Emphasize real-world fuel economy and low total cost of ownership (TCO) in communications.</w:t>
      </w:r>
    </w:p>
    <w:p w14:paraId="5BAABFEB" w14:textId="77777777" w:rsidR="00D87E88" w:rsidRPr="00AB556B" w:rsidRDefault="00D87E88" w:rsidP="00AB556B">
      <w:pPr>
        <w:numPr>
          <w:ilvl w:val="0"/>
          <w:numId w:val="8"/>
        </w:numPr>
        <w:spacing w:line="360" w:lineRule="auto"/>
        <w:jc w:val="both"/>
        <w:rPr>
          <w:rFonts w:ascii="Arial" w:hAnsi="Arial" w:cs="Arial"/>
          <w:sz w:val="24"/>
          <w:szCs w:val="24"/>
        </w:rPr>
      </w:pPr>
      <w:r w:rsidRPr="00AB556B">
        <w:rPr>
          <w:rFonts w:ascii="Arial" w:hAnsi="Arial" w:cs="Arial"/>
          <w:sz w:val="24"/>
          <w:szCs w:val="24"/>
        </w:rPr>
        <w:t>Offer trim-tiered technology: safety suite (ADAS), connected infotainment, OTA-enabled navigation and telematics subscription optionality.</w:t>
      </w:r>
    </w:p>
    <w:p w14:paraId="4091934E" w14:textId="77777777" w:rsidR="00D87E88" w:rsidRPr="00AB556B" w:rsidRDefault="00D87E88" w:rsidP="00AB556B">
      <w:pPr>
        <w:numPr>
          <w:ilvl w:val="0"/>
          <w:numId w:val="8"/>
        </w:numPr>
        <w:spacing w:line="360" w:lineRule="auto"/>
        <w:jc w:val="both"/>
        <w:rPr>
          <w:rFonts w:ascii="Arial" w:hAnsi="Arial" w:cs="Arial"/>
          <w:sz w:val="24"/>
          <w:szCs w:val="24"/>
        </w:rPr>
      </w:pPr>
      <w:r w:rsidRPr="00AB556B">
        <w:rPr>
          <w:rFonts w:ascii="Arial" w:hAnsi="Arial" w:cs="Arial"/>
          <w:sz w:val="24"/>
          <w:szCs w:val="24"/>
        </w:rPr>
        <w:t>Refresh design cycles to maintain perceived modernity (facelift, interior material quality) without expensive full-model replacements too frequently—important in high inflation periods to preserve margins.</w:t>
      </w:r>
    </w:p>
    <w:p w14:paraId="2BCCF79F" w14:textId="3CF73918" w:rsidR="00D87E88" w:rsidRPr="00AB556B" w:rsidRDefault="00D87E88" w:rsidP="00AB556B">
      <w:pPr>
        <w:spacing w:line="360" w:lineRule="auto"/>
        <w:jc w:val="both"/>
        <w:rPr>
          <w:rFonts w:ascii="Arial" w:hAnsi="Arial" w:cs="Arial"/>
          <w:b/>
          <w:bCs/>
          <w:sz w:val="24"/>
          <w:szCs w:val="24"/>
        </w:rPr>
      </w:pPr>
      <w:r w:rsidRPr="00AB556B">
        <w:rPr>
          <w:rFonts w:ascii="Arial" w:hAnsi="Arial" w:cs="Arial"/>
          <w:b/>
          <w:bCs/>
          <w:sz w:val="24"/>
          <w:szCs w:val="24"/>
        </w:rPr>
        <w:t>Price</w:t>
      </w:r>
      <w:r w:rsidR="003662AB">
        <w:rPr>
          <w:rFonts w:ascii="Arial" w:hAnsi="Arial" w:cs="Arial"/>
          <w:b/>
          <w:bCs/>
          <w:sz w:val="24"/>
          <w:szCs w:val="24"/>
        </w:rPr>
        <w:t>:</w:t>
      </w:r>
    </w:p>
    <w:p w14:paraId="1AD04954" w14:textId="77777777" w:rsidR="00B71DC7" w:rsidRPr="00B71DC7" w:rsidRDefault="00B71DC7" w:rsidP="00B71DC7">
      <w:pPr>
        <w:spacing w:line="360" w:lineRule="auto"/>
        <w:jc w:val="both"/>
        <w:rPr>
          <w:rFonts w:ascii="Arial" w:hAnsi="Arial" w:cs="Arial"/>
          <w:sz w:val="24"/>
          <w:szCs w:val="24"/>
        </w:rPr>
      </w:pPr>
      <w:r w:rsidRPr="00B71DC7">
        <w:rPr>
          <w:rFonts w:ascii="Arial" w:hAnsi="Arial" w:cs="Arial"/>
          <w:sz w:val="24"/>
          <w:szCs w:val="24"/>
        </w:rPr>
        <w:t>• Maintain competitive pricing for base gasoline trims while implementing value-based pricing for hybrid trims (premium for fuel savings/TCO).</w:t>
      </w:r>
    </w:p>
    <w:p w14:paraId="4399D00A" w14:textId="77777777" w:rsidR="00B71DC7" w:rsidRPr="00B71DC7" w:rsidRDefault="00B71DC7" w:rsidP="00B71DC7">
      <w:pPr>
        <w:spacing w:line="360" w:lineRule="auto"/>
        <w:jc w:val="both"/>
        <w:rPr>
          <w:rFonts w:ascii="Arial" w:hAnsi="Arial" w:cs="Arial"/>
          <w:sz w:val="24"/>
          <w:szCs w:val="24"/>
        </w:rPr>
      </w:pPr>
      <w:r w:rsidRPr="00B71DC7">
        <w:rPr>
          <w:rFonts w:ascii="Arial" w:hAnsi="Arial" w:cs="Arial"/>
          <w:sz w:val="24"/>
          <w:szCs w:val="24"/>
        </w:rPr>
        <w:t>• In slow economies, provide enticing financing and leasing packages that include extended warranties, low monthly payments, and maintenance bundles to lower buyer risk.</w:t>
      </w:r>
    </w:p>
    <w:p w14:paraId="036B197B" w14:textId="77777777" w:rsidR="00B71DC7" w:rsidRDefault="00B71DC7" w:rsidP="00B71DC7">
      <w:pPr>
        <w:spacing w:line="360" w:lineRule="auto"/>
        <w:jc w:val="both"/>
        <w:rPr>
          <w:rFonts w:ascii="Arial" w:hAnsi="Arial" w:cs="Arial"/>
          <w:sz w:val="24"/>
          <w:szCs w:val="24"/>
        </w:rPr>
      </w:pPr>
      <w:r w:rsidRPr="00B71DC7">
        <w:rPr>
          <w:rFonts w:ascii="Arial" w:hAnsi="Arial" w:cs="Arial"/>
          <w:sz w:val="24"/>
          <w:szCs w:val="24"/>
        </w:rPr>
        <w:t>• Instead of raising base prices, implement targeted price increases on optional packages in response to growing input costs.</w:t>
      </w:r>
    </w:p>
    <w:p w14:paraId="05D9890B" w14:textId="64C562C5" w:rsidR="00D87E88" w:rsidRPr="004E4D96" w:rsidRDefault="00D87E88" w:rsidP="00B71DC7">
      <w:pPr>
        <w:spacing w:line="360" w:lineRule="auto"/>
        <w:jc w:val="both"/>
        <w:rPr>
          <w:rFonts w:ascii="Arial" w:hAnsi="Arial" w:cs="Arial"/>
          <w:b/>
          <w:bCs/>
          <w:sz w:val="24"/>
          <w:szCs w:val="24"/>
        </w:rPr>
      </w:pPr>
      <w:r w:rsidRPr="004E4D96">
        <w:rPr>
          <w:rFonts w:ascii="Arial" w:hAnsi="Arial" w:cs="Arial"/>
          <w:b/>
          <w:bCs/>
          <w:sz w:val="24"/>
          <w:szCs w:val="24"/>
        </w:rPr>
        <w:t>Place / distribution</w:t>
      </w:r>
      <w:r w:rsidR="003662AB">
        <w:rPr>
          <w:rFonts w:ascii="Arial" w:hAnsi="Arial" w:cs="Arial"/>
          <w:b/>
          <w:bCs/>
          <w:sz w:val="24"/>
          <w:szCs w:val="24"/>
        </w:rPr>
        <w:t>:</w:t>
      </w:r>
    </w:p>
    <w:p w14:paraId="48F178EC" w14:textId="77777777" w:rsidR="00B71DC7" w:rsidRPr="00B71DC7" w:rsidRDefault="00B71DC7" w:rsidP="00B71DC7">
      <w:pPr>
        <w:pStyle w:val="ListParagraph"/>
        <w:numPr>
          <w:ilvl w:val="0"/>
          <w:numId w:val="31"/>
        </w:numPr>
        <w:spacing w:line="360" w:lineRule="auto"/>
        <w:jc w:val="both"/>
        <w:rPr>
          <w:rFonts w:ascii="Arial" w:hAnsi="Arial" w:cs="Arial"/>
          <w:sz w:val="24"/>
          <w:szCs w:val="24"/>
        </w:rPr>
      </w:pPr>
      <w:r w:rsidRPr="00B71DC7">
        <w:rPr>
          <w:rFonts w:ascii="Arial" w:hAnsi="Arial" w:cs="Arial"/>
          <w:sz w:val="24"/>
          <w:szCs w:val="24"/>
        </w:rPr>
        <w:t>Boost omnichannel retail through home test drives, click-and-collect, and online configurators. Encourage fixed-price, no-haggle online quotes; these are appealing in erratic economic times.</w:t>
      </w:r>
    </w:p>
    <w:p w14:paraId="3D62E62B" w14:textId="77777777" w:rsidR="00B71DC7" w:rsidRPr="00B71DC7" w:rsidRDefault="00B71DC7" w:rsidP="00B71DC7">
      <w:pPr>
        <w:pStyle w:val="ListParagraph"/>
        <w:numPr>
          <w:ilvl w:val="0"/>
          <w:numId w:val="31"/>
        </w:numPr>
        <w:spacing w:line="360" w:lineRule="auto"/>
        <w:jc w:val="both"/>
        <w:rPr>
          <w:rFonts w:ascii="Arial" w:hAnsi="Arial" w:cs="Arial"/>
          <w:b/>
          <w:bCs/>
          <w:sz w:val="24"/>
          <w:szCs w:val="24"/>
        </w:rPr>
      </w:pPr>
      <w:r w:rsidRPr="00B71DC7">
        <w:rPr>
          <w:rFonts w:ascii="Arial" w:hAnsi="Arial" w:cs="Arial"/>
          <w:sz w:val="24"/>
          <w:szCs w:val="24"/>
        </w:rPr>
        <w:t>Deliver excellent after-sales and loyalty programs by leveraging Toyota's robust dealer network.</w:t>
      </w:r>
    </w:p>
    <w:p w14:paraId="3991C7DB" w14:textId="5CF851B1" w:rsidR="00D87E88" w:rsidRPr="00B71DC7" w:rsidRDefault="00D87E88" w:rsidP="00B71DC7">
      <w:pPr>
        <w:pStyle w:val="ListParagraph"/>
        <w:spacing w:line="360" w:lineRule="auto"/>
        <w:jc w:val="both"/>
        <w:rPr>
          <w:rFonts w:ascii="Arial" w:hAnsi="Arial" w:cs="Arial"/>
          <w:b/>
          <w:bCs/>
          <w:sz w:val="24"/>
          <w:szCs w:val="24"/>
        </w:rPr>
      </w:pPr>
      <w:r w:rsidRPr="00B71DC7">
        <w:rPr>
          <w:rFonts w:ascii="Arial" w:hAnsi="Arial" w:cs="Arial"/>
          <w:b/>
          <w:bCs/>
          <w:sz w:val="24"/>
          <w:szCs w:val="24"/>
        </w:rPr>
        <w:lastRenderedPageBreak/>
        <w:t>Promotion</w:t>
      </w:r>
      <w:r w:rsidR="003662AB" w:rsidRPr="00B71DC7">
        <w:rPr>
          <w:rFonts w:ascii="Arial" w:hAnsi="Arial" w:cs="Arial"/>
          <w:b/>
          <w:bCs/>
          <w:sz w:val="24"/>
          <w:szCs w:val="24"/>
        </w:rPr>
        <w:t>:</w:t>
      </w:r>
    </w:p>
    <w:p w14:paraId="4967FF4F" w14:textId="77777777" w:rsidR="00B71DC7" w:rsidRP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Use scenario-based calculators in advertisements to promote hybrids as insurance against increases in fuel prices.</w:t>
      </w:r>
    </w:p>
    <w:p w14:paraId="1ADE3CF6" w14:textId="77777777" w:rsid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Make use of content marketing (video explainers of hybrid benefits), digital remarketing, and segmented targeted social ads.</w:t>
      </w:r>
    </w:p>
    <w:p w14:paraId="6A6B4F1B" w14:textId="0788818A" w:rsidR="00B71DC7" w:rsidRP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Toyota uses data-driven and value-focused marketing strategies for the Camry.</w:t>
      </w:r>
    </w:p>
    <w:p w14:paraId="2C8CF673" w14:textId="60F8E7B2" w:rsidR="00B71DC7" w:rsidRP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Advertising highlights durability, fuel efficiency, and Total Cost of Ownership (TCO) advantages, frequently displaying savings over a five-year period when compared to rivals.</w:t>
      </w:r>
    </w:p>
    <w:p w14:paraId="6576A58E" w14:textId="57BFAA7C" w:rsidR="00B71DC7" w:rsidRP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Toyota successfully reaches segmented audiences through digital marketing, social media remarketing, and customized online advertisements.</w:t>
      </w:r>
    </w:p>
    <w:p w14:paraId="694E2885" w14:textId="02C871F3" w:rsidR="00B71DC7" w:rsidRPr="00B71DC7" w:rsidRDefault="00B71DC7" w:rsidP="00B71DC7">
      <w:pPr>
        <w:numPr>
          <w:ilvl w:val="0"/>
          <w:numId w:val="11"/>
        </w:numPr>
        <w:spacing w:line="360" w:lineRule="auto"/>
        <w:jc w:val="both"/>
        <w:rPr>
          <w:rFonts w:ascii="Arial" w:hAnsi="Arial" w:cs="Arial"/>
          <w:sz w:val="24"/>
          <w:szCs w:val="24"/>
        </w:rPr>
      </w:pPr>
      <w:r w:rsidRPr="00B71DC7">
        <w:rPr>
          <w:rFonts w:ascii="Arial" w:hAnsi="Arial" w:cs="Arial"/>
          <w:sz w:val="24"/>
          <w:szCs w:val="24"/>
        </w:rPr>
        <w:t>Videos that describe hybrid technology are examples of educational content that increases consumer confidence and comprehension</w:t>
      </w:r>
    </w:p>
    <w:p w14:paraId="02E96453" w14:textId="3E8C7D2E" w:rsidR="00D87E88" w:rsidRPr="004E4D96" w:rsidRDefault="00D87E88" w:rsidP="00AB556B">
      <w:pPr>
        <w:spacing w:line="360" w:lineRule="auto"/>
        <w:jc w:val="both"/>
        <w:rPr>
          <w:rFonts w:ascii="Arial" w:hAnsi="Arial" w:cs="Arial"/>
          <w:b/>
          <w:bCs/>
          <w:sz w:val="24"/>
          <w:szCs w:val="24"/>
        </w:rPr>
      </w:pPr>
      <w:r w:rsidRPr="004E4D96">
        <w:rPr>
          <w:rFonts w:ascii="Arial" w:hAnsi="Arial" w:cs="Arial"/>
          <w:b/>
          <w:bCs/>
          <w:sz w:val="24"/>
          <w:szCs w:val="24"/>
        </w:rPr>
        <w:t>Service &amp; retention</w:t>
      </w:r>
      <w:r w:rsidR="003662AB">
        <w:rPr>
          <w:rFonts w:ascii="Arial" w:hAnsi="Arial" w:cs="Arial"/>
          <w:b/>
          <w:bCs/>
          <w:sz w:val="24"/>
          <w:szCs w:val="24"/>
        </w:rPr>
        <w:t>:</w:t>
      </w:r>
    </w:p>
    <w:p w14:paraId="186642FD" w14:textId="77777777" w:rsidR="00AC1A83" w:rsidRPr="00AC1A83" w:rsidRDefault="00AC1A83" w:rsidP="00AC1A83">
      <w:pPr>
        <w:pStyle w:val="ListParagraph"/>
        <w:numPr>
          <w:ilvl w:val="0"/>
          <w:numId w:val="32"/>
        </w:numPr>
        <w:spacing w:line="360" w:lineRule="auto"/>
        <w:jc w:val="both"/>
        <w:rPr>
          <w:rFonts w:ascii="Arial" w:hAnsi="Arial" w:cs="Arial"/>
          <w:sz w:val="24"/>
          <w:szCs w:val="24"/>
        </w:rPr>
      </w:pPr>
      <w:r w:rsidRPr="00AC1A83">
        <w:rPr>
          <w:rFonts w:ascii="Arial" w:hAnsi="Arial" w:cs="Arial"/>
          <w:sz w:val="24"/>
          <w:szCs w:val="24"/>
        </w:rPr>
        <w:t>To ease buyers' concerns, provide maintenance plans tailored to hybrid vehicles and battery health assurances.</w:t>
      </w:r>
    </w:p>
    <w:p w14:paraId="26249EE1" w14:textId="77777777" w:rsidR="00AC1A83" w:rsidRPr="00AC1A83" w:rsidRDefault="00AC1A83" w:rsidP="00AC1A83">
      <w:pPr>
        <w:pStyle w:val="ListParagraph"/>
        <w:numPr>
          <w:ilvl w:val="0"/>
          <w:numId w:val="32"/>
        </w:numPr>
        <w:spacing w:line="360" w:lineRule="auto"/>
        <w:jc w:val="both"/>
        <w:rPr>
          <w:rFonts w:ascii="Arial" w:hAnsi="Arial" w:cs="Arial"/>
          <w:sz w:val="24"/>
          <w:szCs w:val="24"/>
        </w:rPr>
      </w:pPr>
      <w:r w:rsidRPr="00AC1A83">
        <w:rPr>
          <w:rFonts w:ascii="Arial" w:hAnsi="Arial" w:cs="Arial"/>
          <w:sz w:val="24"/>
          <w:szCs w:val="24"/>
        </w:rPr>
        <w:t>Use telematics to send out proactive service reminders and customized offers.</w:t>
      </w:r>
    </w:p>
    <w:p w14:paraId="6F3664D4" w14:textId="77777777" w:rsidR="00AC1A83" w:rsidRPr="00AC1A83" w:rsidRDefault="00AC1A83" w:rsidP="00AC1A83">
      <w:pPr>
        <w:pStyle w:val="ListParagraph"/>
        <w:numPr>
          <w:ilvl w:val="0"/>
          <w:numId w:val="32"/>
        </w:numPr>
        <w:spacing w:line="360" w:lineRule="auto"/>
        <w:jc w:val="both"/>
        <w:rPr>
          <w:rFonts w:ascii="Arial" w:hAnsi="Arial" w:cs="Arial"/>
          <w:sz w:val="24"/>
          <w:szCs w:val="24"/>
        </w:rPr>
      </w:pPr>
      <w:r w:rsidRPr="00AC1A83">
        <w:rPr>
          <w:rFonts w:ascii="Arial" w:hAnsi="Arial" w:cs="Arial"/>
          <w:sz w:val="24"/>
          <w:szCs w:val="24"/>
        </w:rPr>
        <w:t>Customers are reassured about long-term dependability and value retention by hybrid-specific maintenance plans and battery health guarantees.</w:t>
      </w:r>
    </w:p>
    <w:p w14:paraId="7CBA2732" w14:textId="71DE10C6" w:rsidR="00AC1A83" w:rsidRPr="00AC1A83" w:rsidRDefault="00AC1A83" w:rsidP="00AC1A83">
      <w:pPr>
        <w:pStyle w:val="ListParagraph"/>
        <w:numPr>
          <w:ilvl w:val="0"/>
          <w:numId w:val="32"/>
        </w:numPr>
        <w:spacing w:line="360" w:lineRule="auto"/>
        <w:jc w:val="both"/>
        <w:rPr>
          <w:rFonts w:ascii="Arial" w:hAnsi="Arial" w:cs="Arial"/>
          <w:sz w:val="24"/>
          <w:szCs w:val="24"/>
        </w:rPr>
      </w:pPr>
      <w:r w:rsidRPr="00AC1A83">
        <w:rPr>
          <w:rFonts w:ascii="Arial" w:hAnsi="Arial" w:cs="Arial"/>
          <w:sz w:val="24"/>
          <w:szCs w:val="24"/>
        </w:rPr>
        <w:t>Toyota improves customer relationships by providing proactive service reminders, predictive maintenance alerts, and customized promotions through telematics and connected services.</w:t>
      </w:r>
    </w:p>
    <w:p w14:paraId="4A0B1940" w14:textId="4270CECB" w:rsidR="00AC1A83" w:rsidRPr="00AC1A83" w:rsidRDefault="00AC1A83" w:rsidP="00AC1A83">
      <w:pPr>
        <w:pStyle w:val="ListParagraph"/>
        <w:numPr>
          <w:ilvl w:val="0"/>
          <w:numId w:val="32"/>
        </w:numPr>
        <w:spacing w:line="360" w:lineRule="auto"/>
        <w:jc w:val="both"/>
        <w:rPr>
          <w:rFonts w:ascii="Arial" w:hAnsi="Arial" w:cs="Arial"/>
          <w:sz w:val="24"/>
          <w:szCs w:val="24"/>
        </w:rPr>
      </w:pPr>
      <w:r w:rsidRPr="00AC1A83">
        <w:rPr>
          <w:rFonts w:ascii="Arial" w:hAnsi="Arial" w:cs="Arial"/>
          <w:sz w:val="24"/>
          <w:szCs w:val="24"/>
        </w:rPr>
        <w:t>Recurring purchases and recommendations are rewarded by loyalty programs, which build a steady stream of happy clients.</w:t>
      </w:r>
    </w:p>
    <w:p w14:paraId="4A4DE876" w14:textId="244D7195" w:rsidR="00D87E88" w:rsidRPr="004E4D96" w:rsidRDefault="00D87E88" w:rsidP="00AC1A83">
      <w:pPr>
        <w:spacing w:line="360" w:lineRule="auto"/>
        <w:jc w:val="both"/>
        <w:rPr>
          <w:rFonts w:ascii="Arial" w:hAnsi="Arial" w:cs="Arial"/>
          <w:b/>
          <w:bCs/>
          <w:sz w:val="24"/>
          <w:szCs w:val="24"/>
        </w:rPr>
      </w:pPr>
      <w:r w:rsidRPr="004E4D96">
        <w:rPr>
          <w:rFonts w:ascii="Arial" w:hAnsi="Arial" w:cs="Arial"/>
          <w:b/>
          <w:bCs/>
          <w:sz w:val="24"/>
          <w:szCs w:val="24"/>
        </w:rPr>
        <w:t>Risk mitigation &amp; contingency</w:t>
      </w:r>
      <w:r w:rsidR="003662AB">
        <w:rPr>
          <w:rFonts w:ascii="Arial" w:hAnsi="Arial" w:cs="Arial"/>
          <w:b/>
          <w:bCs/>
          <w:sz w:val="24"/>
          <w:szCs w:val="24"/>
        </w:rPr>
        <w:t>:</w:t>
      </w:r>
    </w:p>
    <w:p w14:paraId="2B315C6C" w14:textId="2750B8D2" w:rsidR="00AC1A83" w:rsidRPr="00AC1A83" w:rsidRDefault="00AC1A83" w:rsidP="00AC1A83">
      <w:pPr>
        <w:pStyle w:val="ListParagraph"/>
        <w:numPr>
          <w:ilvl w:val="0"/>
          <w:numId w:val="33"/>
        </w:numPr>
        <w:spacing w:line="360" w:lineRule="auto"/>
        <w:jc w:val="both"/>
        <w:rPr>
          <w:rFonts w:ascii="Arial" w:hAnsi="Arial" w:cs="Arial"/>
          <w:sz w:val="24"/>
          <w:szCs w:val="24"/>
        </w:rPr>
      </w:pPr>
      <w:r w:rsidRPr="00AC1A83">
        <w:rPr>
          <w:rFonts w:ascii="Arial" w:hAnsi="Arial" w:cs="Arial"/>
          <w:sz w:val="24"/>
          <w:szCs w:val="24"/>
        </w:rPr>
        <w:t>Hedging with currencies and commodities guards against rising input costs and market volatility.</w:t>
      </w:r>
    </w:p>
    <w:p w14:paraId="422F109E" w14:textId="0A2E2511" w:rsidR="00AC1A83" w:rsidRPr="00AC1A83" w:rsidRDefault="00AC1A83" w:rsidP="00AC1A83">
      <w:pPr>
        <w:pStyle w:val="ListParagraph"/>
        <w:numPr>
          <w:ilvl w:val="0"/>
          <w:numId w:val="33"/>
        </w:numPr>
        <w:spacing w:line="360" w:lineRule="auto"/>
        <w:jc w:val="both"/>
        <w:rPr>
          <w:rFonts w:ascii="Arial" w:hAnsi="Arial" w:cs="Arial"/>
          <w:sz w:val="24"/>
          <w:szCs w:val="24"/>
        </w:rPr>
      </w:pPr>
      <w:r w:rsidRPr="00AC1A83">
        <w:rPr>
          <w:rFonts w:ascii="Arial" w:hAnsi="Arial" w:cs="Arial"/>
          <w:sz w:val="24"/>
          <w:szCs w:val="24"/>
        </w:rPr>
        <w:lastRenderedPageBreak/>
        <w:t>To keep customers' trust during recessions, Toyota highlights its reputation for dependability and high resale value.</w:t>
      </w:r>
    </w:p>
    <w:p w14:paraId="7396F9E0" w14:textId="4BC6DA38" w:rsidR="00AC1A83" w:rsidRDefault="00AC1A83" w:rsidP="00AC1A83">
      <w:pPr>
        <w:pStyle w:val="ListParagraph"/>
        <w:numPr>
          <w:ilvl w:val="0"/>
          <w:numId w:val="33"/>
        </w:numPr>
        <w:spacing w:line="360" w:lineRule="auto"/>
        <w:jc w:val="both"/>
        <w:rPr>
          <w:rFonts w:ascii="Arial" w:hAnsi="Arial" w:cs="Arial"/>
          <w:sz w:val="24"/>
          <w:szCs w:val="24"/>
        </w:rPr>
      </w:pPr>
      <w:r w:rsidRPr="00AC1A83">
        <w:rPr>
          <w:rFonts w:ascii="Arial" w:hAnsi="Arial" w:cs="Arial"/>
          <w:sz w:val="24"/>
          <w:szCs w:val="24"/>
        </w:rPr>
        <w:t>The company's hybrid leadership serves as a buffer against future changes in fuel prices and stricter emissions regulations.</w:t>
      </w:r>
    </w:p>
    <w:p w14:paraId="0E12613D" w14:textId="7437DD79" w:rsidR="00AC1A83" w:rsidRPr="00AC1A83" w:rsidRDefault="00AC1A83" w:rsidP="00AC1A83">
      <w:pPr>
        <w:spacing w:line="360" w:lineRule="auto"/>
        <w:jc w:val="both"/>
        <w:rPr>
          <w:rFonts w:ascii="Arial" w:hAnsi="Arial" w:cs="Arial"/>
          <w:sz w:val="24"/>
          <w:szCs w:val="24"/>
        </w:rPr>
      </w:pPr>
    </w:p>
    <w:p w14:paraId="3AC44508" w14:textId="77777777" w:rsidR="00D87E88" w:rsidRPr="00095E9E" w:rsidRDefault="00D87E88" w:rsidP="003662AB">
      <w:pPr>
        <w:spacing w:line="360" w:lineRule="auto"/>
        <w:jc w:val="center"/>
        <w:rPr>
          <w:rFonts w:ascii="Arial" w:hAnsi="Arial" w:cs="Arial"/>
          <w:b/>
          <w:bCs/>
          <w:sz w:val="24"/>
          <w:szCs w:val="24"/>
        </w:rPr>
      </w:pPr>
      <w:r w:rsidRPr="00095E9E">
        <w:rPr>
          <w:rFonts w:ascii="Arial" w:hAnsi="Arial" w:cs="Arial"/>
          <w:b/>
          <w:bCs/>
          <w:sz w:val="24"/>
          <w:szCs w:val="24"/>
        </w:rPr>
        <w:t>Volkswagen Jetta — strategic responses &amp; marketing mix</w:t>
      </w:r>
    </w:p>
    <w:p w14:paraId="169912A9" w14:textId="6D74ADD4"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Positioning &amp; segmentation</w:t>
      </w:r>
      <w:r w:rsidR="00F3573A">
        <w:rPr>
          <w:rFonts w:ascii="Arial" w:hAnsi="Arial" w:cs="Arial"/>
          <w:b/>
          <w:bCs/>
          <w:sz w:val="24"/>
          <w:szCs w:val="24"/>
        </w:rPr>
        <w:t>:</w:t>
      </w:r>
    </w:p>
    <w:p w14:paraId="096D8D34" w14:textId="77777777" w:rsidR="00D87E88" w:rsidRPr="00AB556B" w:rsidRDefault="00D87E88" w:rsidP="00AB556B">
      <w:pPr>
        <w:numPr>
          <w:ilvl w:val="0"/>
          <w:numId w:val="14"/>
        </w:numPr>
        <w:spacing w:line="360" w:lineRule="auto"/>
        <w:jc w:val="both"/>
        <w:rPr>
          <w:rFonts w:ascii="Arial" w:hAnsi="Arial" w:cs="Arial"/>
          <w:sz w:val="24"/>
          <w:szCs w:val="24"/>
        </w:rPr>
      </w:pPr>
      <w:r w:rsidRPr="00AB556B">
        <w:rPr>
          <w:rFonts w:ascii="Arial" w:hAnsi="Arial" w:cs="Arial"/>
          <w:sz w:val="24"/>
          <w:szCs w:val="24"/>
        </w:rPr>
        <w:t>Position Jetta as a value-driven, European-styled compact sedan for younger professionals, urban families, and cost-conscious buyers seeking refinement.</w:t>
      </w:r>
    </w:p>
    <w:p w14:paraId="4ACEB305" w14:textId="77777777" w:rsidR="00D87E88" w:rsidRPr="00AB556B" w:rsidRDefault="00D87E88" w:rsidP="00AB556B">
      <w:pPr>
        <w:numPr>
          <w:ilvl w:val="0"/>
          <w:numId w:val="14"/>
        </w:numPr>
        <w:spacing w:line="360" w:lineRule="auto"/>
        <w:jc w:val="both"/>
        <w:rPr>
          <w:rFonts w:ascii="Arial" w:hAnsi="Arial" w:cs="Arial"/>
          <w:sz w:val="24"/>
          <w:szCs w:val="24"/>
        </w:rPr>
      </w:pPr>
      <w:r w:rsidRPr="00AB556B">
        <w:rPr>
          <w:rFonts w:ascii="Arial" w:hAnsi="Arial" w:cs="Arial"/>
          <w:sz w:val="24"/>
          <w:szCs w:val="24"/>
        </w:rPr>
        <w:t>Segment into: entry-level buyers (affordable, efficient), tech-trim buyers (connectivity and driver-assist), and fleet buyers.</w:t>
      </w:r>
    </w:p>
    <w:p w14:paraId="76B6AA51" w14:textId="07309299"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Product</w:t>
      </w:r>
      <w:r w:rsidR="00F3573A">
        <w:rPr>
          <w:rFonts w:ascii="Arial" w:hAnsi="Arial" w:cs="Arial"/>
          <w:b/>
          <w:bCs/>
          <w:sz w:val="24"/>
          <w:szCs w:val="24"/>
        </w:rPr>
        <w:t>:</w:t>
      </w:r>
    </w:p>
    <w:p w14:paraId="58B0EE05" w14:textId="77777777" w:rsidR="00D87E88" w:rsidRPr="00AB556B" w:rsidRDefault="00D87E88" w:rsidP="00AB556B">
      <w:pPr>
        <w:numPr>
          <w:ilvl w:val="0"/>
          <w:numId w:val="15"/>
        </w:numPr>
        <w:spacing w:line="360" w:lineRule="auto"/>
        <w:jc w:val="both"/>
        <w:rPr>
          <w:rFonts w:ascii="Arial" w:hAnsi="Arial" w:cs="Arial"/>
          <w:sz w:val="24"/>
          <w:szCs w:val="24"/>
        </w:rPr>
      </w:pPr>
      <w:r w:rsidRPr="00AB556B">
        <w:rPr>
          <w:rFonts w:ascii="Arial" w:hAnsi="Arial" w:cs="Arial"/>
          <w:sz w:val="24"/>
          <w:szCs w:val="24"/>
        </w:rPr>
        <w:t>Offer fuel-efficient petrol and mild-hybrid variants initially, and plan electrified derivatives where platform economics allow.</w:t>
      </w:r>
    </w:p>
    <w:p w14:paraId="16A814C1" w14:textId="77777777" w:rsidR="00D87E88" w:rsidRPr="00AB556B" w:rsidRDefault="00D87E88" w:rsidP="00AB556B">
      <w:pPr>
        <w:numPr>
          <w:ilvl w:val="0"/>
          <w:numId w:val="15"/>
        </w:numPr>
        <w:spacing w:line="360" w:lineRule="auto"/>
        <w:jc w:val="both"/>
        <w:rPr>
          <w:rFonts w:ascii="Arial" w:hAnsi="Arial" w:cs="Arial"/>
          <w:sz w:val="24"/>
          <w:szCs w:val="24"/>
        </w:rPr>
      </w:pPr>
      <w:r w:rsidRPr="00AB556B">
        <w:rPr>
          <w:rFonts w:ascii="Arial" w:hAnsi="Arial" w:cs="Arial"/>
          <w:sz w:val="24"/>
          <w:szCs w:val="24"/>
        </w:rPr>
        <w:t>Emphasize German-engineered feel: driving dynamics, interior ergonomics, safety tech.</w:t>
      </w:r>
    </w:p>
    <w:p w14:paraId="4930E8E9" w14:textId="77777777" w:rsidR="00D87E88" w:rsidRPr="00AB556B" w:rsidRDefault="00D87E88" w:rsidP="00AB556B">
      <w:pPr>
        <w:numPr>
          <w:ilvl w:val="0"/>
          <w:numId w:val="15"/>
        </w:numPr>
        <w:spacing w:line="360" w:lineRule="auto"/>
        <w:jc w:val="both"/>
        <w:rPr>
          <w:rFonts w:ascii="Arial" w:hAnsi="Arial" w:cs="Arial"/>
          <w:sz w:val="24"/>
          <w:szCs w:val="24"/>
        </w:rPr>
      </w:pPr>
      <w:r w:rsidRPr="00AB556B">
        <w:rPr>
          <w:rFonts w:ascii="Arial" w:hAnsi="Arial" w:cs="Arial"/>
          <w:sz w:val="24"/>
          <w:szCs w:val="24"/>
        </w:rPr>
        <w:t>Modular platform approach to add features without major retooling—keeps product fresh with lower capex.</w:t>
      </w:r>
    </w:p>
    <w:p w14:paraId="74640058" w14:textId="303D8B56"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Price</w:t>
      </w:r>
      <w:r w:rsidR="00F3573A">
        <w:rPr>
          <w:rFonts w:ascii="Arial" w:hAnsi="Arial" w:cs="Arial"/>
          <w:b/>
          <w:bCs/>
          <w:sz w:val="24"/>
          <w:szCs w:val="24"/>
        </w:rPr>
        <w:t>:</w:t>
      </w:r>
    </w:p>
    <w:p w14:paraId="3B6E17AC" w14:textId="77777777" w:rsidR="00D87E88" w:rsidRPr="00AB556B" w:rsidRDefault="00D87E88" w:rsidP="00AB556B">
      <w:pPr>
        <w:numPr>
          <w:ilvl w:val="0"/>
          <w:numId w:val="16"/>
        </w:numPr>
        <w:spacing w:line="360" w:lineRule="auto"/>
        <w:jc w:val="both"/>
        <w:rPr>
          <w:rFonts w:ascii="Arial" w:hAnsi="Arial" w:cs="Arial"/>
          <w:sz w:val="24"/>
          <w:szCs w:val="24"/>
        </w:rPr>
      </w:pPr>
      <w:r w:rsidRPr="00AB556B">
        <w:rPr>
          <w:rFonts w:ascii="Arial" w:hAnsi="Arial" w:cs="Arial"/>
          <w:sz w:val="24"/>
          <w:szCs w:val="24"/>
        </w:rPr>
        <w:t>Use penetration and promotional pricing to attract price-sensitive buyers, including limited-time incentives, dealer cash, or low-rate finance.</w:t>
      </w:r>
    </w:p>
    <w:p w14:paraId="098EE3F3" w14:textId="77777777" w:rsidR="00D87E88" w:rsidRPr="00AB556B" w:rsidRDefault="00D87E88" w:rsidP="00AB556B">
      <w:pPr>
        <w:numPr>
          <w:ilvl w:val="0"/>
          <w:numId w:val="16"/>
        </w:numPr>
        <w:spacing w:line="360" w:lineRule="auto"/>
        <w:jc w:val="both"/>
        <w:rPr>
          <w:rFonts w:ascii="Arial" w:hAnsi="Arial" w:cs="Arial"/>
          <w:sz w:val="24"/>
          <w:szCs w:val="24"/>
        </w:rPr>
      </w:pPr>
      <w:r w:rsidRPr="00AB556B">
        <w:rPr>
          <w:rFonts w:ascii="Arial" w:hAnsi="Arial" w:cs="Arial"/>
          <w:sz w:val="24"/>
          <w:szCs w:val="24"/>
        </w:rPr>
        <w:t>For premium technology packages, price competitively against Toyota while highlighting perceived “European” value.</w:t>
      </w:r>
    </w:p>
    <w:p w14:paraId="49CB992C" w14:textId="44173CAE"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Place / distribution</w:t>
      </w:r>
      <w:r w:rsidR="00F3573A">
        <w:rPr>
          <w:rFonts w:ascii="Arial" w:hAnsi="Arial" w:cs="Arial"/>
          <w:b/>
          <w:bCs/>
          <w:sz w:val="24"/>
          <w:szCs w:val="24"/>
        </w:rPr>
        <w:t>:</w:t>
      </w:r>
    </w:p>
    <w:p w14:paraId="22C01A28" w14:textId="77777777" w:rsidR="00D87E88" w:rsidRPr="00AB556B" w:rsidRDefault="00D87E88" w:rsidP="00AB556B">
      <w:pPr>
        <w:numPr>
          <w:ilvl w:val="0"/>
          <w:numId w:val="17"/>
        </w:numPr>
        <w:spacing w:line="360" w:lineRule="auto"/>
        <w:jc w:val="both"/>
        <w:rPr>
          <w:rFonts w:ascii="Arial" w:hAnsi="Arial" w:cs="Arial"/>
          <w:sz w:val="24"/>
          <w:szCs w:val="24"/>
        </w:rPr>
      </w:pPr>
      <w:r w:rsidRPr="00AB556B">
        <w:rPr>
          <w:rFonts w:ascii="Arial" w:hAnsi="Arial" w:cs="Arial"/>
          <w:sz w:val="24"/>
          <w:szCs w:val="24"/>
        </w:rPr>
        <w:t>Strengthen digital sales and partner with mobility platforms for subscription or short-term leases—attractive to urban buyers and those facing credit constraints.</w:t>
      </w:r>
    </w:p>
    <w:p w14:paraId="3EB83CF5" w14:textId="77777777" w:rsidR="00D87E88" w:rsidRPr="00AB556B" w:rsidRDefault="00D87E88" w:rsidP="00AB556B">
      <w:pPr>
        <w:numPr>
          <w:ilvl w:val="0"/>
          <w:numId w:val="17"/>
        </w:numPr>
        <w:spacing w:line="360" w:lineRule="auto"/>
        <w:jc w:val="both"/>
        <w:rPr>
          <w:rFonts w:ascii="Arial" w:hAnsi="Arial" w:cs="Arial"/>
          <w:sz w:val="24"/>
          <w:szCs w:val="24"/>
        </w:rPr>
      </w:pPr>
      <w:r w:rsidRPr="00AB556B">
        <w:rPr>
          <w:rFonts w:ascii="Arial" w:hAnsi="Arial" w:cs="Arial"/>
          <w:sz w:val="24"/>
          <w:szCs w:val="24"/>
        </w:rPr>
        <w:lastRenderedPageBreak/>
        <w:t>Use Volkswagen’s global production footprint to optimize local sourcing and mitigate currency risks.</w:t>
      </w:r>
    </w:p>
    <w:p w14:paraId="3D076755" w14:textId="4A7FC244"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Promotion</w:t>
      </w:r>
      <w:r w:rsidR="00F3573A">
        <w:rPr>
          <w:rFonts w:ascii="Arial" w:hAnsi="Arial" w:cs="Arial"/>
          <w:b/>
          <w:bCs/>
          <w:sz w:val="24"/>
          <w:szCs w:val="24"/>
        </w:rPr>
        <w:t>:</w:t>
      </w:r>
    </w:p>
    <w:p w14:paraId="60140A09" w14:textId="77777777" w:rsidR="00D87E88" w:rsidRPr="00AB556B" w:rsidRDefault="00D87E88" w:rsidP="00AB556B">
      <w:pPr>
        <w:numPr>
          <w:ilvl w:val="0"/>
          <w:numId w:val="18"/>
        </w:numPr>
        <w:spacing w:line="360" w:lineRule="auto"/>
        <w:jc w:val="both"/>
        <w:rPr>
          <w:rFonts w:ascii="Arial" w:hAnsi="Arial" w:cs="Arial"/>
          <w:sz w:val="24"/>
          <w:szCs w:val="24"/>
        </w:rPr>
      </w:pPr>
      <w:r w:rsidRPr="00AB556B">
        <w:rPr>
          <w:rFonts w:ascii="Arial" w:hAnsi="Arial" w:cs="Arial"/>
          <w:sz w:val="24"/>
          <w:szCs w:val="24"/>
        </w:rPr>
        <w:t>Focus campaign messaging on style, driving experience, and tech (e.g., infotainment, ADAS) rather than just fuel economy.</w:t>
      </w:r>
    </w:p>
    <w:p w14:paraId="7BD1D328" w14:textId="77777777" w:rsidR="00D87E88" w:rsidRPr="00AB556B" w:rsidRDefault="00D87E88" w:rsidP="00AB556B">
      <w:pPr>
        <w:numPr>
          <w:ilvl w:val="0"/>
          <w:numId w:val="18"/>
        </w:numPr>
        <w:spacing w:line="360" w:lineRule="auto"/>
        <w:jc w:val="both"/>
        <w:rPr>
          <w:rFonts w:ascii="Arial" w:hAnsi="Arial" w:cs="Arial"/>
          <w:sz w:val="24"/>
          <w:szCs w:val="24"/>
        </w:rPr>
      </w:pPr>
      <w:r w:rsidRPr="00AB556B">
        <w:rPr>
          <w:rFonts w:ascii="Arial" w:hAnsi="Arial" w:cs="Arial"/>
          <w:sz w:val="24"/>
          <w:szCs w:val="24"/>
        </w:rPr>
        <w:t>Use targeted promotions: student/young-professional discounts, referral bonuses, and social media influencer reviews to reach younger demographics.</w:t>
      </w:r>
    </w:p>
    <w:p w14:paraId="3B9EA835" w14:textId="77777777" w:rsidR="00D87E88" w:rsidRPr="00AB556B" w:rsidRDefault="00D87E88" w:rsidP="00AB556B">
      <w:pPr>
        <w:numPr>
          <w:ilvl w:val="0"/>
          <w:numId w:val="18"/>
        </w:numPr>
        <w:spacing w:line="360" w:lineRule="auto"/>
        <w:jc w:val="both"/>
        <w:rPr>
          <w:rFonts w:ascii="Arial" w:hAnsi="Arial" w:cs="Arial"/>
          <w:sz w:val="24"/>
          <w:szCs w:val="24"/>
        </w:rPr>
      </w:pPr>
      <w:r w:rsidRPr="00AB556B">
        <w:rPr>
          <w:rFonts w:ascii="Arial" w:hAnsi="Arial" w:cs="Arial"/>
          <w:sz w:val="24"/>
          <w:szCs w:val="24"/>
        </w:rPr>
        <w:t>Emphasize total ownership benefits such as warranty, scheduled maintenance deals, and trade-in valuations.</w:t>
      </w:r>
    </w:p>
    <w:p w14:paraId="50A7CAB3" w14:textId="224C897D"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Service &amp; retention</w:t>
      </w:r>
      <w:r w:rsidR="00F3573A">
        <w:rPr>
          <w:rFonts w:ascii="Arial" w:hAnsi="Arial" w:cs="Arial"/>
          <w:b/>
          <w:bCs/>
          <w:sz w:val="24"/>
          <w:szCs w:val="24"/>
        </w:rPr>
        <w:t>:</w:t>
      </w:r>
    </w:p>
    <w:p w14:paraId="50181FE0" w14:textId="77777777" w:rsidR="00D87E88" w:rsidRPr="00AB556B" w:rsidRDefault="00D87E88" w:rsidP="00AB556B">
      <w:pPr>
        <w:numPr>
          <w:ilvl w:val="0"/>
          <w:numId w:val="19"/>
        </w:numPr>
        <w:spacing w:line="360" w:lineRule="auto"/>
        <w:jc w:val="both"/>
        <w:rPr>
          <w:rFonts w:ascii="Arial" w:hAnsi="Arial" w:cs="Arial"/>
          <w:sz w:val="24"/>
          <w:szCs w:val="24"/>
        </w:rPr>
      </w:pPr>
      <w:r w:rsidRPr="00AB556B">
        <w:rPr>
          <w:rFonts w:ascii="Arial" w:hAnsi="Arial" w:cs="Arial"/>
          <w:sz w:val="24"/>
          <w:szCs w:val="24"/>
        </w:rPr>
        <w:t>Create service bundles and trade-in guarantees to reduce purchase hesitation in downturns.</w:t>
      </w:r>
    </w:p>
    <w:p w14:paraId="488BAEF7" w14:textId="77777777" w:rsidR="00D87E88" w:rsidRPr="00AB556B" w:rsidRDefault="00D87E88" w:rsidP="00AB556B">
      <w:pPr>
        <w:numPr>
          <w:ilvl w:val="0"/>
          <w:numId w:val="19"/>
        </w:numPr>
        <w:spacing w:line="360" w:lineRule="auto"/>
        <w:jc w:val="both"/>
        <w:rPr>
          <w:rFonts w:ascii="Arial" w:hAnsi="Arial" w:cs="Arial"/>
          <w:sz w:val="24"/>
          <w:szCs w:val="24"/>
        </w:rPr>
      </w:pPr>
      <w:r w:rsidRPr="00AB556B">
        <w:rPr>
          <w:rFonts w:ascii="Arial" w:hAnsi="Arial" w:cs="Arial"/>
          <w:sz w:val="24"/>
          <w:szCs w:val="24"/>
        </w:rPr>
        <w:t>Offer software/feature bundles as optional paid upgrades (connectivity subscriptions) to build recurring revenue.</w:t>
      </w:r>
    </w:p>
    <w:p w14:paraId="5F0C0F76" w14:textId="6D4351A1" w:rsidR="00095E9E" w:rsidRPr="004E4D96" w:rsidRDefault="00D87E88" w:rsidP="004E4D96">
      <w:pPr>
        <w:spacing w:line="360" w:lineRule="auto"/>
        <w:jc w:val="both"/>
        <w:rPr>
          <w:rFonts w:ascii="Arial" w:hAnsi="Arial" w:cs="Arial"/>
          <w:b/>
          <w:bCs/>
          <w:sz w:val="24"/>
          <w:szCs w:val="24"/>
        </w:rPr>
      </w:pPr>
      <w:r w:rsidRPr="00095E9E">
        <w:rPr>
          <w:rFonts w:ascii="Arial" w:hAnsi="Arial" w:cs="Arial"/>
          <w:b/>
          <w:bCs/>
          <w:sz w:val="24"/>
          <w:szCs w:val="24"/>
        </w:rPr>
        <w:t>Risk mitigation &amp; contingency</w:t>
      </w:r>
      <w:r w:rsidR="00F3573A">
        <w:rPr>
          <w:rFonts w:ascii="Arial" w:hAnsi="Arial" w:cs="Arial"/>
          <w:b/>
          <w:bCs/>
          <w:sz w:val="24"/>
          <w:szCs w:val="24"/>
        </w:rPr>
        <w:t>:</w:t>
      </w:r>
    </w:p>
    <w:p w14:paraId="2D52BCB4" w14:textId="18398D26" w:rsidR="00D87E88" w:rsidRDefault="00D87E88" w:rsidP="00AB556B">
      <w:pPr>
        <w:numPr>
          <w:ilvl w:val="0"/>
          <w:numId w:val="20"/>
        </w:numPr>
        <w:spacing w:line="360" w:lineRule="auto"/>
        <w:jc w:val="both"/>
        <w:rPr>
          <w:rFonts w:ascii="Arial" w:hAnsi="Arial" w:cs="Arial"/>
          <w:sz w:val="24"/>
          <w:szCs w:val="24"/>
        </w:rPr>
      </w:pPr>
      <w:r w:rsidRPr="00AB556B">
        <w:rPr>
          <w:rFonts w:ascii="Arial" w:hAnsi="Arial" w:cs="Arial"/>
          <w:sz w:val="24"/>
          <w:szCs w:val="24"/>
        </w:rPr>
        <w:t>If battery/raw material pricing spikes make EV rollouts costly, focus on cost-efficient internal combustion and mild-hybrid improvements while securing battery and component partnerships for future EV scaling.</w:t>
      </w:r>
    </w:p>
    <w:p w14:paraId="1EC34FEA" w14:textId="77777777" w:rsidR="00F50796" w:rsidRPr="00F50796" w:rsidRDefault="00F50796" w:rsidP="00F50796">
      <w:pPr>
        <w:spacing w:line="360" w:lineRule="auto"/>
        <w:ind w:left="720"/>
        <w:jc w:val="both"/>
        <w:rPr>
          <w:rFonts w:ascii="Arial" w:hAnsi="Arial" w:cs="Arial"/>
          <w:sz w:val="24"/>
          <w:szCs w:val="24"/>
        </w:rPr>
      </w:pPr>
    </w:p>
    <w:p w14:paraId="285A9345" w14:textId="35D083DD" w:rsidR="00B42B1A" w:rsidRDefault="00D87E88" w:rsidP="00B42B1A">
      <w:pPr>
        <w:spacing w:line="360" w:lineRule="auto"/>
        <w:jc w:val="center"/>
        <w:rPr>
          <w:rFonts w:ascii="Arial" w:hAnsi="Arial" w:cs="Arial"/>
          <w:b/>
          <w:bCs/>
          <w:sz w:val="24"/>
          <w:szCs w:val="24"/>
        </w:rPr>
      </w:pPr>
      <w:r w:rsidRPr="00095E9E">
        <w:rPr>
          <w:rFonts w:ascii="Arial" w:hAnsi="Arial" w:cs="Arial"/>
          <w:b/>
          <w:bCs/>
          <w:sz w:val="24"/>
          <w:szCs w:val="24"/>
        </w:rPr>
        <w:t>Comparative evaluation</w:t>
      </w:r>
    </w:p>
    <w:p w14:paraId="5A1E144A" w14:textId="508762FF" w:rsidR="00D87E88" w:rsidRPr="00095E9E" w:rsidRDefault="000A2687" w:rsidP="000A2687">
      <w:pPr>
        <w:spacing w:line="360" w:lineRule="auto"/>
        <w:jc w:val="both"/>
        <w:rPr>
          <w:rFonts w:ascii="Arial" w:hAnsi="Arial" w:cs="Arial"/>
          <w:b/>
          <w:bCs/>
          <w:sz w:val="24"/>
          <w:szCs w:val="24"/>
        </w:rPr>
      </w:pPr>
      <w:r>
        <w:rPr>
          <w:rFonts w:ascii="Arial" w:hAnsi="Arial" w:cs="Arial"/>
          <w:b/>
          <w:bCs/>
          <w:sz w:val="24"/>
          <w:szCs w:val="24"/>
        </w:rPr>
        <w:t>H</w:t>
      </w:r>
      <w:r w:rsidR="00D87E88" w:rsidRPr="00095E9E">
        <w:rPr>
          <w:rFonts w:ascii="Arial" w:hAnsi="Arial" w:cs="Arial"/>
          <w:b/>
          <w:bCs/>
          <w:sz w:val="24"/>
          <w:szCs w:val="24"/>
        </w:rPr>
        <w:t>ow each model leverages strengths vs threats</w:t>
      </w:r>
    </w:p>
    <w:p w14:paraId="4EFD3EFD" w14:textId="77777777" w:rsidR="00D87E88" w:rsidRPr="00AB556B" w:rsidRDefault="00D87E88" w:rsidP="00AB556B">
      <w:pPr>
        <w:numPr>
          <w:ilvl w:val="0"/>
          <w:numId w:val="21"/>
        </w:numPr>
        <w:spacing w:line="360" w:lineRule="auto"/>
        <w:jc w:val="both"/>
        <w:rPr>
          <w:rFonts w:ascii="Arial" w:hAnsi="Arial" w:cs="Arial"/>
          <w:sz w:val="24"/>
          <w:szCs w:val="24"/>
        </w:rPr>
      </w:pPr>
      <w:r w:rsidRPr="00095E9E">
        <w:rPr>
          <w:rFonts w:ascii="Arial" w:hAnsi="Arial" w:cs="Arial"/>
          <w:b/>
          <w:bCs/>
          <w:sz w:val="24"/>
          <w:szCs w:val="24"/>
        </w:rPr>
        <w:t>Technology adoption:</w:t>
      </w:r>
      <w:r w:rsidRPr="00AB556B">
        <w:rPr>
          <w:rFonts w:ascii="Arial" w:hAnsi="Arial" w:cs="Arial"/>
          <w:sz w:val="24"/>
          <w:szCs w:val="24"/>
        </w:rPr>
        <w:t> Toyota (Camry) leverages hybrid leadership to convert economic threats (fuel price spikes) into marketing opportunities. Volkswagen (Jetta) should leverage modular platforms and scale to offer electrified options when cost parity is closer.</w:t>
      </w:r>
    </w:p>
    <w:p w14:paraId="64663D29" w14:textId="77777777" w:rsidR="00D87E88" w:rsidRPr="00AB556B" w:rsidRDefault="00D87E88" w:rsidP="00AB556B">
      <w:pPr>
        <w:numPr>
          <w:ilvl w:val="0"/>
          <w:numId w:val="21"/>
        </w:numPr>
        <w:spacing w:line="360" w:lineRule="auto"/>
        <w:jc w:val="both"/>
        <w:rPr>
          <w:rFonts w:ascii="Arial" w:hAnsi="Arial" w:cs="Arial"/>
          <w:sz w:val="24"/>
          <w:szCs w:val="24"/>
        </w:rPr>
      </w:pPr>
      <w:r w:rsidRPr="00095E9E">
        <w:rPr>
          <w:rFonts w:ascii="Arial" w:hAnsi="Arial" w:cs="Arial"/>
          <w:b/>
          <w:bCs/>
          <w:sz w:val="24"/>
          <w:szCs w:val="24"/>
        </w:rPr>
        <w:lastRenderedPageBreak/>
        <w:t>Economic sensitivity:</w:t>
      </w:r>
      <w:r w:rsidRPr="00AB556B">
        <w:rPr>
          <w:rFonts w:ascii="Arial" w:hAnsi="Arial" w:cs="Arial"/>
          <w:sz w:val="24"/>
          <w:szCs w:val="24"/>
        </w:rPr>
        <w:t> Camry’s hybrid TCO messaging makes it more resilient to fuel volatility. Jetta’s competitive pricing and perceived value can perform better in price-sensitive downturns if Volkswagen offers aggressive finance and incentives.</w:t>
      </w:r>
    </w:p>
    <w:p w14:paraId="41453226" w14:textId="77777777" w:rsidR="00D87E88" w:rsidRPr="00AB556B" w:rsidRDefault="00D87E88" w:rsidP="00AB556B">
      <w:pPr>
        <w:numPr>
          <w:ilvl w:val="0"/>
          <w:numId w:val="21"/>
        </w:numPr>
        <w:spacing w:line="360" w:lineRule="auto"/>
        <w:jc w:val="both"/>
        <w:rPr>
          <w:rFonts w:ascii="Arial" w:hAnsi="Arial" w:cs="Arial"/>
          <w:sz w:val="24"/>
          <w:szCs w:val="24"/>
        </w:rPr>
      </w:pPr>
      <w:r w:rsidRPr="00095E9E">
        <w:rPr>
          <w:rFonts w:ascii="Arial" w:hAnsi="Arial" w:cs="Arial"/>
          <w:b/>
          <w:bCs/>
          <w:sz w:val="24"/>
          <w:szCs w:val="24"/>
        </w:rPr>
        <w:t>Brand narratives:</w:t>
      </w:r>
      <w:r w:rsidRPr="00AB556B">
        <w:rPr>
          <w:rFonts w:ascii="Arial" w:hAnsi="Arial" w:cs="Arial"/>
          <w:sz w:val="24"/>
          <w:szCs w:val="24"/>
        </w:rPr>
        <w:t> Toyota emphasizes reliability, durability, and low TCO (helps in recessions). Volkswagen emphasizes driving dynamics and design (helps in recovery with consumers trading up for perceived quality).</w:t>
      </w:r>
    </w:p>
    <w:p w14:paraId="54F60A49" w14:textId="3C25DD8F" w:rsidR="00D87E88" w:rsidRPr="00F3573A" w:rsidRDefault="00D87E88" w:rsidP="00AB556B">
      <w:pPr>
        <w:numPr>
          <w:ilvl w:val="0"/>
          <w:numId w:val="21"/>
        </w:numPr>
        <w:spacing w:line="360" w:lineRule="auto"/>
        <w:jc w:val="both"/>
        <w:rPr>
          <w:rFonts w:ascii="Arial" w:hAnsi="Arial" w:cs="Arial"/>
          <w:sz w:val="24"/>
          <w:szCs w:val="24"/>
        </w:rPr>
      </w:pPr>
      <w:r w:rsidRPr="00095E9E">
        <w:rPr>
          <w:rFonts w:ascii="Arial" w:hAnsi="Arial" w:cs="Arial"/>
          <w:b/>
          <w:bCs/>
          <w:sz w:val="24"/>
          <w:szCs w:val="24"/>
        </w:rPr>
        <w:t>Distribution &amp; digitalisation:</w:t>
      </w:r>
      <w:r w:rsidRPr="00AB556B">
        <w:rPr>
          <w:rFonts w:ascii="Arial" w:hAnsi="Arial" w:cs="Arial"/>
          <w:sz w:val="24"/>
          <w:szCs w:val="24"/>
        </w:rPr>
        <w:t> Both must accelerate omnichannel sales and subscription services—Camry to sell the hybrid value proposition online via TCO calculators; Jetta to market subscription and short-term ownership options to younger buyers.</w:t>
      </w:r>
    </w:p>
    <w:p w14:paraId="7DF56E74" w14:textId="77777777" w:rsidR="00D87E88" w:rsidRPr="00095E9E" w:rsidRDefault="00D87E88" w:rsidP="00AB556B">
      <w:pPr>
        <w:spacing w:line="360" w:lineRule="auto"/>
        <w:jc w:val="both"/>
        <w:rPr>
          <w:rFonts w:ascii="Arial" w:hAnsi="Arial" w:cs="Arial"/>
          <w:b/>
          <w:bCs/>
          <w:sz w:val="24"/>
          <w:szCs w:val="24"/>
        </w:rPr>
      </w:pPr>
      <w:r w:rsidRPr="00095E9E">
        <w:rPr>
          <w:rFonts w:ascii="Arial" w:hAnsi="Arial" w:cs="Arial"/>
          <w:b/>
          <w:bCs/>
          <w:sz w:val="24"/>
          <w:szCs w:val="24"/>
        </w:rPr>
        <w:t>Strategic recommendations (concise)</w:t>
      </w:r>
    </w:p>
    <w:p w14:paraId="0BD5D9BC" w14:textId="3BA5ED2B" w:rsidR="00F3573A" w:rsidRPr="000A2687" w:rsidRDefault="00F3573A" w:rsidP="000A2687">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Camry hybrid-first messaging:</w:t>
      </w:r>
      <w:r w:rsidRPr="000A2687">
        <w:rPr>
          <w:rFonts w:ascii="Arial" w:hAnsi="Arial" w:cs="Arial"/>
          <w:sz w:val="24"/>
          <w:szCs w:val="24"/>
        </w:rPr>
        <w:t xml:space="preserve"> To demonstrate TCO benefits in advertising and at dealership touchpoints, use calculators and actual case studies.</w:t>
      </w:r>
    </w:p>
    <w:p w14:paraId="260EC183" w14:textId="0D6B290F" w:rsidR="00F3573A" w:rsidRPr="000A2687" w:rsidRDefault="00F3573A" w:rsidP="000A2687">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Value and experience bundles for Jetta:</w:t>
      </w:r>
      <w:r w:rsidRPr="000A2687">
        <w:rPr>
          <w:rFonts w:ascii="Arial" w:hAnsi="Arial" w:cs="Arial"/>
          <w:sz w:val="24"/>
          <w:szCs w:val="24"/>
        </w:rPr>
        <w:t xml:space="preserve"> In spite of economic challenges, attract younger buyers by combining competitive financing with driver-experience events and digital engagement.</w:t>
      </w:r>
    </w:p>
    <w:p w14:paraId="1F228B9E" w14:textId="25155C3A" w:rsidR="00F3573A" w:rsidRPr="000A2687" w:rsidRDefault="00F3573A" w:rsidP="000A2687">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Adaptable pricing structure:</w:t>
      </w:r>
      <w:r w:rsidRPr="000A2687">
        <w:rPr>
          <w:rFonts w:ascii="Arial" w:hAnsi="Arial" w:cs="Arial"/>
          <w:sz w:val="24"/>
          <w:szCs w:val="24"/>
        </w:rPr>
        <w:t xml:space="preserve"> Instead of raising base prices, move price increases into optional tech packages; employ incentives that are specific to a given region and linked to macro indicators (like interest rates).</w:t>
      </w:r>
    </w:p>
    <w:p w14:paraId="0B52FBC0" w14:textId="79F40133" w:rsidR="00F3573A" w:rsidRPr="000A2687" w:rsidRDefault="00F3573A" w:rsidP="000A2687">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Create recurring revenue:</w:t>
      </w:r>
      <w:r w:rsidRPr="000A2687">
        <w:rPr>
          <w:rFonts w:ascii="Arial" w:hAnsi="Arial" w:cs="Arial"/>
          <w:sz w:val="24"/>
          <w:szCs w:val="24"/>
        </w:rPr>
        <w:t xml:space="preserve"> To lessen their reliance on cyclical sales, both should implement paid connectivity, maintenance subscriptions, and software feature monetization.</w:t>
      </w:r>
    </w:p>
    <w:p w14:paraId="0028104C" w14:textId="2A8DD8ED" w:rsidR="00D87E88" w:rsidRPr="000A2687" w:rsidRDefault="00F3573A" w:rsidP="000A2687">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Supply-chain and currency hedging:</w:t>
      </w:r>
      <w:r w:rsidRPr="000A2687">
        <w:rPr>
          <w:rFonts w:ascii="Arial" w:hAnsi="Arial" w:cs="Arial"/>
          <w:sz w:val="24"/>
          <w:szCs w:val="24"/>
        </w:rPr>
        <w:t xml:space="preserve"> Communicate consistent availability to buyers to ease their anxiety; operationally hedge important inputs.</w:t>
      </w:r>
      <w:r w:rsidR="00D87E88" w:rsidRPr="000A2687">
        <w:rPr>
          <w:rFonts w:ascii="Arial" w:hAnsi="Arial" w:cs="Arial"/>
          <w:sz w:val="24"/>
          <w:szCs w:val="24"/>
        </w:rPr>
        <w:t>Data-driven personalization: Use telematics and CRM to create targeted retention and upsell campaigns (service reminders, upgrades, trade-in offers).</w:t>
      </w:r>
    </w:p>
    <w:p w14:paraId="7C56CC0A" w14:textId="499684F6" w:rsidR="000A2687" w:rsidRPr="00F50796" w:rsidRDefault="00F3573A" w:rsidP="00F50796">
      <w:pPr>
        <w:pStyle w:val="ListParagraph"/>
        <w:numPr>
          <w:ilvl w:val="0"/>
          <w:numId w:val="30"/>
        </w:numPr>
        <w:spacing w:line="360" w:lineRule="auto"/>
        <w:jc w:val="both"/>
        <w:rPr>
          <w:rFonts w:ascii="Arial" w:hAnsi="Arial" w:cs="Arial"/>
          <w:sz w:val="24"/>
          <w:szCs w:val="24"/>
        </w:rPr>
      </w:pPr>
      <w:r w:rsidRPr="000A2687">
        <w:rPr>
          <w:rFonts w:ascii="Arial" w:hAnsi="Arial" w:cs="Arial"/>
          <w:b/>
          <w:bCs/>
          <w:sz w:val="24"/>
          <w:szCs w:val="24"/>
        </w:rPr>
        <w:t xml:space="preserve">Sustainability and regulatory alignment: </w:t>
      </w:r>
      <w:r w:rsidRPr="000A2687">
        <w:rPr>
          <w:rFonts w:ascii="Arial" w:hAnsi="Arial" w:cs="Arial"/>
          <w:sz w:val="24"/>
          <w:szCs w:val="24"/>
        </w:rPr>
        <w:t>Make investments in recycling initiatives and battery partnerships; openly convey environmental credentials, which are crucial in many markets and are becoming a more significant deciding factor when making a purchase.</w:t>
      </w:r>
    </w:p>
    <w:p w14:paraId="71AFB529" w14:textId="177045A5" w:rsidR="000A2687" w:rsidRPr="00D46895" w:rsidRDefault="00F50796" w:rsidP="00D46895">
      <w:pPr>
        <w:spacing w:line="360" w:lineRule="auto"/>
        <w:jc w:val="center"/>
        <w:rPr>
          <w:rFonts w:ascii="Arial" w:hAnsi="Arial" w:cs="Arial"/>
          <w:b/>
          <w:bCs/>
          <w:sz w:val="28"/>
          <w:szCs w:val="28"/>
        </w:rPr>
      </w:pPr>
      <w:r w:rsidRPr="00D46895">
        <w:rPr>
          <w:rFonts w:ascii="Arial" w:hAnsi="Arial" w:cs="Arial"/>
          <w:b/>
          <w:bCs/>
          <w:sz w:val="28"/>
          <w:szCs w:val="28"/>
        </w:rPr>
        <w:lastRenderedPageBreak/>
        <w:t>Conclusion</w:t>
      </w:r>
    </w:p>
    <w:p w14:paraId="1F9E8B09" w14:textId="77777777" w:rsidR="000A2687" w:rsidRDefault="000A2687" w:rsidP="00AB556B">
      <w:pPr>
        <w:spacing w:line="360" w:lineRule="auto"/>
        <w:jc w:val="both"/>
        <w:rPr>
          <w:rFonts w:ascii="Arial" w:hAnsi="Arial" w:cs="Arial"/>
          <w:sz w:val="24"/>
          <w:szCs w:val="24"/>
        </w:rPr>
      </w:pPr>
    </w:p>
    <w:p w14:paraId="388C613C" w14:textId="6BC92BB4" w:rsidR="00912F7D" w:rsidRPr="00AB556B" w:rsidRDefault="000A2687" w:rsidP="00AB556B">
      <w:pPr>
        <w:spacing w:line="360" w:lineRule="auto"/>
        <w:jc w:val="both"/>
        <w:rPr>
          <w:rFonts w:ascii="Arial" w:hAnsi="Arial" w:cs="Arial"/>
          <w:sz w:val="24"/>
          <w:szCs w:val="24"/>
        </w:rPr>
      </w:pPr>
      <w:r w:rsidRPr="000A2687">
        <w:rPr>
          <w:rFonts w:ascii="Arial" w:hAnsi="Arial" w:cs="Arial"/>
          <w:sz w:val="24"/>
          <w:szCs w:val="24"/>
        </w:rPr>
        <w:t>In conclusion, the analysis shows that in the global automotive industry, Toyota and Volkswagen's strategic marketing decisions are significantly influenced by both the technological and economic environments. Economic variables that affect consumer purchasing power, cost structures, and market positioning include GDP growth, changes in interest rates, fuel price volatility, and currency fluctuations. These factors also present opportunities and risks. While Volkswagen, as a follower, uses economies of scale, competitive pricing, and modular platform flexibility to capture value during price-sensitive conditions, Toyota, as a pioneer in hybrid technology, benefits from fuel-efficient demand during periods of high fuel prices.</w:t>
      </w:r>
    </w:p>
    <w:p w14:paraId="3B8FC051" w14:textId="77777777" w:rsidR="000A2687" w:rsidRPr="000A2687" w:rsidRDefault="000A2687" w:rsidP="000A2687">
      <w:pPr>
        <w:spacing w:line="360" w:lineRule="auto"/>
        <w:rPr>
          <w:rFonts w:ascii="Arial" w:hAnsi="Arial" w:cs="Arial"/>
          <w:sz w:val="24"/>
          <w:szCs w:val="24"/>
        </w:rPr>
      </w:pPr>
      <w:r w:rsidRPr="000A2687">
        <w:rPr>
          <w:rFonts w:ascii="Arial" w:hAnsi="Arial" w:cs="Arial"/>
          <w:sz w:val="24"/>
          <w:szCs w:val="24"/>
        </w:rPr>
        <w:t>Technological developments offer revolutionary chances for creativity and distinction, especially in the areas of automation, connectivity, and electrification. They do, however, come with drawbacks, such as high R&amp;D expenses, cybersecurity threats, and quick technological obsolescence. Volkswagen's large-scale production and flexible strategies allow for quick reaction to new trends, while Toyota's hybrid leadership and reputation for dependability put it in a strong position to maintain long-term competitiveness.</w:t>
      </w:r>
    </w:p>
    <w:p w14:paraId="0ED1A2CD" w14:textId="4DD525AF" w:rsidR="00B05B32" w:rsidRPr="000A2687" w:rsidRDefault="000A2687" w:rsidP="000A2687">
      <w:pPr>
        <w:spacing w:line="360" w:lineRule="auto"/>
        <w:rPr>
          <w:rFonts w:ascii="Arial" w:hAnsi="Arial" w:cs="Arial"/>
          <w:sz w:val="24"/>
          <w:szCs w:val="24"/>
        </w:rPr>
      </w:pPr>
      <w:r w:rsidRPr="000A2687">
        <w:rPr>
          <w:rFonts w:ascii="Arial" w:hAnsi="Arial" w:cs="Arial"/>
          <w:sz w:val="24"/>
          <w:szCs w:val="24"/>
        </w:rPr>
        <w:t>In the end, both automakers need to focus on customer-focused, technology-driven, and flexible marketing strategies. They can handle changing consumer expectations and economic uncertainty by utilizing data analytics, flexible pricing, and digital retail channels. Sustainable operations, ongoing innovation, and the capacity to match product portfolios with changing market and regulatory conditions are all necessary for long-term resilience.</w:t>
      </w:r>
    </w:p>
    <w:p w14:paraId="369DF90E" w14:textId="77777777" w:rsidR="00095E9E" w:rsidRDefault="00095E9E" w:rsidP="00095E9E">
      <w:pPr>
        <w:spacing w:line="360" w:lineRule="auto"/>
        <w:jc w:val="center"/>
        <w:rPr>
          <w:rFonts w:ascii="Arial" w:hAnsi="Arial" w:cs="Arial"/>
          <w:b/>
          <w:bCs/>
          <w:sz w:val="24"/>
          <w:szCs w:val="24"/>
        </w:rPr>
      </w:pPr>
    </w:p>
    <w:p w14:paraId="70A44990" w14:textId="77777777" w:rsidR="00095E9E" w:rsidRDefault="00095E9E" w:rsidP="00095E9E">
      <w:pPr>
        <w:spacing w:line="360" w:lineRule="auto"/>
        <w:jc w:val="center"/>
        <w:rPr>
          <w:rFonts w:ascii="Arial" w:hAnsi="Arial" w:cs="Arial"/>
          <w:b/>
          <w:bCs/>
          <w:sz w:val="24"/>
          <w:szCs w:val="24"/>
        </w:rPr>
      </w:pPr>
    </w:p>
    <w:p w14:paraId="467A1D84" w14:textId="77777777" w:rsidR="00095E9E" w:rsidRDefault="00095E9E" w:rsidP="00095E9E">
      <w:pPr>
        <w:spacing w:line="360" w:lineRule="auto"/>
        <w:jc w:val="center"/>
        <w:rPr>
          <w:rFonts w:ascii="Arial" w:hAnsi="Arial" w:cs="Arial"/>
          <w:b/>
          <w:bCs/>
          <w:sz w:val="24"/>
          <w:szCs w:val="24"/>
        </w:rPr>
      </w:pPr>
    </w:p>
    <w:p w14:paraId="6589BF98" w14:textId="77777777" w:rsidR="00095E9E" w:rsidRDefault="00095E9E" w:rsidP="00D46895">
      <w:pPr>
        <w:spacing w:line="360" w:lineRule="auto"/>
        <w:rPr>
          <w:rFonts w:ascii="Arial" w:hAnsi="Arial" w:cs="Arial"/>
          <w:b/>
          <w:bCs/>
          <w:sz w:val="24"/>
          <w:szCs w:val="24"/>
        </w:rPr>
      </w:pPr>
    </w:p>
    <w:p w14:paraId="322AC005" w14:textId="7B8A2B83" w:rsidR="00B05B32" w:rsidRDefault="00F50796" w:rsidP="000A2687">
      <w:pPr>
        <w:tabs>
          <w:tab w:val="left" w:pos="3065"/>
          <w:tab w:val="center" w:pos="4680"/>
        </w:tabs>
        <w:spacing w:line="360" w:lineRule="auto"/>
        <w:rPr>
          <w:rFonts w:ascii="Arial" w:hAnsi="Arial" w:cs="Arial"/>
          <w:b/>
          <w:bCs/>
          <w:sz w:val="28"/>
          <w:szCs w:val="28"/>
        </w:rPr>
      </w:pPr>
      <w:r>
        <w:rPr>
          <w:rFonts w:ascii="Arial" w:hAnsi="Arial" w:cs="Arial"/>
          <w:b/>
          <w:bCs/>
          <w:sz w:val="24"/>
          <w:szCs w:val="24"/>
        </w:rPr>
        <w:lastRenderedPageBreak/>
        <w:tab/>
      </w:r>
      <w:r>
        <w:rPr>
          <w:rFonts w:ascii="Arial" w:hAnsi="Arial" w:cs="Arial"/>
          <w:b/>
          <w:bCs/>
          <w:sz w:val="24"/>
          <w:szCs w:val="24"/>
        </w:rPr>
        <w:tab/>
      </w:r>
      <w:r w:rsidR="00B05B32" w:rsidRPr="00D46895">
        <w:rPr>
          <w:rFonts w:ascii="Arial" w:hAnsi="Arial" w:cs="Arial"/>
          <w:b/>
          <w:bCs/>
          <w:sz w:val="28"/>
          <w:szCs w:val="28"/>
        </w:rPr>
        <w:t>Reference</w:t>
      </w:r>
      <w:r w:rsidRPr="00D46895">
        <w:rPr>
          <w:rFonts w:ascii="Arial" w:hAnsi="Arial" w:cs="Arial"/>
          <w:b/>
          <w:bCs/>
          <w:sz w:val="28"/>
          <w:szCs w:val="28"/>
        </w:rPr>
        <w:t>s</w:t>
      </w:r>
    </w:p>
    <w:p w14:paraId="6B72B3C6" w14:textId="77777777" w:rsidR="00D46895" w:rsidRDefault="00D46895" w:rsidP="000A2687">
      <w:pPr>
        <w:tabs>
          <w:tab w:val="left" w:pos="3065"/>
          <w:tab w:val="center" w:pos="4680"/>
        </w:tabs>
        <w:spacing w:line="360" w:lineRule="auto"/>
        <w:rPr>
          <w:rFonts w:ascii="Arial" w:hAnsi="Arial" w:cs="Arial"/>
          <w:b/>
          <w:bCs/>
          <w:sz w:val="24"/>
          <w:szCs w:val="24"/>
        </w:rPr>
      </w:pPr>
    </w:p>
    <w:p w14:paraId="5B8717CB" w14:textId="77777777" w:rsidR="000A2687" w:rsidRPr="00F3573A" w:rsidRDefault="000A2687" w:rsidP="000A2687">
      <w:pPr>
        <w:pStyle w:val="NormalWeb"/>
        <w:spacing w:line="360" w:lineRule="auto"/>
        <w:jc w:val="both"/>
        <w:rPr>
          <w:rFonts w:ascii="Arial" w:hAnsi="Arial" w:cs="Arial"/>
          <w:color w:val="000000"/>
        </w:rPr>
      </w:pPr>
      <w:r w:rsidRPr="00F3573A">
        <w:rPr>
          <w:rFonts w:ascii="Arial" w:hAnsi="Arial" w:cs="Arial"/>
          <w:color w:val="000000"/>
        </w:rPr>
        <w:t>Covin, J.G., Slevin, D.P. and Heeley, M.B. (2000). Pioneers and followers. </w:t>
      </w:r>
      <w:r w:rsidRPr="00F3573A">
        <w:rPr>
          <w:rFonts w:ascii="Arial" w:hAnsi="Arial" w:cs="Arial"/>
          <w:i/>
          <w:iCs/>
          <w:color w:val="000000"/>
        </w:rPr>
        <w:t>Journal of Business Venturing</w:t>
      </w:r>
      <w:r w:rsidRPr="00F3573A">
        <w:rPr>
          <w:rFonts w:ascii="Arial" w:hAnsi="Arial" w:cs="Arial"/>
          <w:color w:val="000000"/>
        </w:rPr>
        <w:t>, 15(2), pp.175–210. doi:https://doi.org/10.1016/s0883-9026(98)00015-9.</w:t>
      </w:r>
    </w:p>
    <w:p w14:paraId="6C108572" w14:textId="77777777" w:rsidR="00B05B32" w:rsidRPr="004E4D96" w:rsidRDefault="00B05B32" w:rsidP="00AB556B">
      <w:pPr>
        <w:pStyle w:val="NormalWeb"/>
        <w:spacing w:before="0" w:beforeAutospacing="0" w:after="0" w:afterAutospacing="0" w:line="360" w:lineRule="auto"/>
        <w:jc w:val="both"/>
        <w:rPr>
          <w:rFonts w:ascii="Arial" w:hAnsi="Arial" w:cs="Arial"/>
          <w:color w:val="000000"/>
        </w:rPr>
      </w:pPr>
      <w:r w:rsidRPr="004E4D96">
        <w:rPr>
          <w:rFonts w:ascii="Arial" w:hAnsi="Arial" w:cs="Arial"/>
          <w:color w:val="000000"/>
        </w:rPr>
        <w:t>O’Brien, J. (2018). Establishing a retro-marketing rental company. </w:t>
      </w:r>
      <w:r w:rsidRPr="004E4D96">
        <w:rPr>
          <w:rFonts w:ascii="Arial" w:hAnsi="Arial" w:cs="Arial"/>
          <w:i/>
          <w:iCs/>
          <w:color w:val="000000"/>
        </w:rPr>
        <w:t>The International Journal of Entrepreneurship and Innovation</w:t>
      </w:r>
      <w:r w:rsidRPr="004E4D96">
        <w:rPr>
          <w:rFonts w:ascii="Arial" w:hAnsi="Arial" w:cs="Arial"/>
          <w:color w:val="000000"/>
        </w:rPr>
        <w:t>, 19(2), pp.125–133. doi:https://doi.org/10.1177/1465750318761647.</w:t>
      </w:r>
    </w:p>
    <w:p w14:paraId="463E4055" w14:textId="3AEE98A2" w:rsidR="00436192" w:rsidRPr="004E4D96" w:rsidRDefault="00B05B32" w:rsidP="00095E9E">
      <w:pPr>
        <w:pStyle w:val="NormalWeb"/>
        <w:spacing w:line="360" w:lineRule="auto"/>
        <w:jc w:val="both"/>
        <w:rPr>
          <w:rFonts w:ascii="Arial" w:hAnsi="Arial" w:cs="Arial"/>
          <w:color w:val="000000"/>
        </w:rPr>
      </w:pPr>
      <w:r w:rsidRPr="004E4D96">
        <w:rPr>
          <w:rFonts w:ascii="Arial" w:hAnsi="Arial" w:cs="Arial"/>
          <w:color w:val="000000"/>
        </w:rPr>
        <w:t>‌</w:t>
      </w:r>
      <w:r w:rsidR="00436192" w:rsidRPr="004E4D96">
        <w:rPr>
          <w:rFonts w:ascii="Arial" w:hAnsi="Arial" w:cs="Arial"/>
          <w:color w:val="000000"/>
        </w:rPr>
        <w:t>Bernanke, B.S. (1981). Bankruptcy, Liquidity, and Recession. </w:t>
      </w:r>
      <w:r w:rsidR="00436192" w:rsidRPr="004E4D96">
        <w:rPr>
          <w:rFonts w:ascii="Arial" w:hAnsi="Arial" w:cs="Arial"/>
          <w:i/>
          <w:iCs/>
          <w:color w:val="000000"/>
        </w:rPr>
        <w:t>The American Economic Review</w:t>
      </w:r>
      <w:r w:rsidR="00436192" w:rsidRPr="004E4D96">
        <w:rPr>
          <w:rFonts w:ascii="Arial" w:hAnsi="Arial" w:cs="Arial"/>
          <w:color w:val="000000"/>
        </w:rPr>
        <w:t xml:space="preserve">, [online] 71(2), pp.155–159. Available at: </w:t>
      </w:r>
      <w:hyperlink r:id="rId11" w:history="1">
        <w:r w:rsidR="00436192" w:rsidRPr="004E4D96">
          <w:rPr>
            <w:rStyle w:val="Hyperlink"/>
            <w:rFonts w:ascii="Arial" w:hAnsi="Arial" w:cs="Arial"/>
          </w:rPr>
          <w:t>https://www.jstor.org/stable/1815710</w:t>
        </w:r>
      </w:hyperlink>
      <w:r w:rsidR="00436192" w:rsidRPr="004E4D96">
        <w:rPr>
          <w:rFonts w:ascii="Arial" w:hAnsi="Arial" w:cs="Arial"/>
          <w:color w:val="000000"/>
        </w:rPr>
        <w:t>.</w:t>
      </w:r>
    </w:p>
    <w:p w14:paraId="4C4BFD6E" w14:textId="1B71A022" w:rsidR="00436192" w:rsidRPr="004E4D96" w:rsidRDefault="00436192" w:rsidP="00AB556B">
      <w:pPr>
        <w:pStyle w:val="NormalWeb"/>
        <w:spacing w:before="0" w:beforeAutospacing="0" w:after="0" w:afterAutospacing="0" w:line="360" w:lineRule="auto"/>
        <w:jc w:val="both"/>
        <w:rPr>
          <w:rFonts w:ascii="Arial" w:hAnsi="Arial" w:cs="Arial"/>
          <w:color w:val="000000"/>
        </w:rPr>
      </w:pPr>
      <w:r w:rsidRPr="004E4D96">
        <w:rPr>
          <w:rFonts w:ascii="Arial" w:hAnsi="Arial" w:cs="Arial"/>
          <w:color w:val="000000"/>
        </w:rPr>
        <w:t>Kaufman, P. (2012). Pairs Trading Using Futures. pp.93–154. doi:https://doi.org/10.1002/9781119198727.ch4.</w:t>
      </w:r>
    </w:p>
    <w:p w14:paraId="221F887E" w14:textId="77777777" w:rsidR="00095E9E" w:rsidRPr="004E4D96" w:rsidRDefault="00095E9E" w:rsidP="00AB556B">
      <w:pPr>
        <w:pStyle w:val="NormalWeb"/>
        <w:spacing w:before="0" w:beforeAutospacing="0" w:after="0" w:afterAutospacing="0" w:line="360" w:lineRule="auto"/>
        <w:jc w:val="both"/>
        <w:rPr>
          <w:rFonts w:ascii="Arial" w:hAnsi="Arial" w:cs="Arial"/>
          <w:color w:val="000000"/>
        </w:rPr>
      </w:pPr>
    </w:p>
    <w:p w14:paraId="58E0C53D" w14:textId="50673315" w:rsidR="005D03AE" w:rsidRPr="004E4D96" w:rsidRDefault="005D03AE" w:rsidP="00AB556B">
      <w:pPr>
        <w:pStyle w:val="NormalWeb"/>
        <w:spacing w:before="0" w:beforeAutospacing="0" w:after="0" w:afterAutospacing="0" w:line="360" w:lineRule="auto"/>
        <w:jc w:val="both"/>
        <w:rPr>
          <w:rFonts w:ascii="Arial" w:hAnsi="Arial" w:cs="Arial"/>
          <w:color w:val="000000"/>
        </w:rPr>
      </w:pPr>
      <w:r w:rsidRPr="004E4D96">
        <w:rPr>
          <w:rFonts w:ascii="Arial" w:hAnsi="Arial" w:cs="Arial"/>
          <w:color w:val="000000"/>
        </w:rPr>
        <w:t>Muratcehajic, D. and Loureiro, S.M.C. (2024). Subscriber retention management: SRM framework and future research agenda. </w:t>
      </w:r>
      <w:r w:rsidRPr="004E4D96">
        <w:rPr>
          <w:rFonts w:ascii="Arial" w:hAnsi="Arial" w:cs="Arial"/>
          <w:i/>
          <w:iCs/>
          <w:color w:val="000000"/>
        </w:rPr>
        <w:t>Journal of Services Marketing</w:t>
      </w:r>
      <w:r w:rsidRPr="004E4D96">
        <w:rPr>
          <w:rFonts w:ascii="Arial" w:hAnsi="Arial" w:cs="Arial"/>
          <w:color w:val="000000"/>
        </w:rPr>
        <w:t>, 38(8). doi:https://doi.org/10.1108/jsm-02-2024-0062.</w:t>
      </w:r>
    </w:p>
    <w:p w14:paraId="3A00C866" w14:textId="6FCD116A" w:rsidR="005D03AE" w:rsidRPr="004E4D96" w:rsidRDefault="005D03AE" w:rsidP="00095E9E">
      <w:pPr>
        <w:pStyle w:val="NormalWeb"/>
        <w:spacing w:line="360" w:lineRule="auto"/>
        <w:jc w:val="both"/>
        <w:rPr>
          <w:rFonts w:ascii="Arial" w:hAnsi="Arial" w:cs="Arial"/>
          <w:color w:val="000000"/>
        </w:rPr>
      </w:pPr>
      <w:r w:rsidRPr="004E4D96">
        <w:rPr>
          <w:rFonts w:ascii="Arial" w:hAnsi="Arial" w:cs="Arial"/>
          <w:color w:val="000000"/>
        </w:rPr>
        <w:t>‌Greenstein, S., Mcmaster, S. and Spiller, P.T. (1995). The Effect of Incentive regulation on Infrastructure Modernization: Local Exchange Companies’ Deployment of Digital Technology. </w:t>
      </w:r>
      <w:r w:rsidRPr="004E4D96">
        <w:rPr>
          <w:rFonts w:ascii="Arial" w:hAnsi="Arial" w:cs="Arial"/>
          <w:i/>
          <w:iCs/>
          <w:color w:val="000000"/>
        </w:rPr>
        <w:t>Journal of Economics Management Strategy</w:t>
      </w:r>
      <w:r w:rsidRPr="004E4D96">
        <w:rPr>
          <w:rFonts w:ascii="Arial" w:hAnsi="Arial" w:cs="Arial"/>
          <w:color w:val="000000"/>
        </w:rPr>
        <w:t>, 4(2), pp.187–236. doi:https://doi.org/10.1111/j.1430-9134.1995.00187.x.</w:t>
      </w:r>
    </w:p>
    <w:p w14:paraId="76B22B76" w14:textId="1BA4A0BA" w:rsidR="005D03AE" w:rsidRPr="004E4D96" w:rsidRDefault="005D03AE" w:rsidP="00095E9E">
      <w:pPr>
        <w:pStyle w:val="NormalWeb"/>
        <w:spacing w:line="360" w:lineRule="auto"/>
        <w:jc w:val="both"/>
        <w:rPr>
          <w:rFonts w:ascii="Arial" w:hAnsi="Arial" w:cs="Arial"/>
          <w:color w:val="000000"/>
        </w:rPr>
      </w:pPr>
      <w:r w:rsidRPr="004E4D96">
        <w:rPr>
          <w:rFonts w:ascii="Arial" w:hAnsi="Arial" w:cs="Arial"/>
          <w:color w:val="000000"/>
        </w:rPr>
        <w:t>Clemons, E.K. and Weber, B.W. (1994). Segmentation, Differentiation, and Flexible Pricing: Experiences with Information Technology and Segment-Tailored Strategies. </w:t>
      </w:r>
      <w:r w:rsidRPr="004E4D96">
        <w:rPr>
          <w:rFonts w:ascii="Arial" w:hAnsi="Arial" w:cs="Arial"/>
          <w:i/>
          <w:iCs/>
          <w:color w:val="000000"/>
        </w:rPr>
        <w:t>Journal of Management Information Systems</w:t>
      </w:r>
      <w:r w:rsidRPr="004E4D96">
        <w:rPr>
          <w:rFonts w:ascii="Arial" w:hAnsi="Arial" w:cs="Arial"/>
          <w:color w:val="000000"/>
        </w:rPr>
        <w:t>, 11(2), pp.9–36. doi:https://doi.org/10.1080/07421222.1994.11518038.</w:t>
      </w:r>
    </w:p>
    <w:p w14:paraId="2E6EA4AD" w14:textId="15B6ADE1" w:rsidR="00784321" w:rsidRPr="004E4D96" w:rsidRDefault="005D03AE" w:rsidP="00095E9E">
      <w:pPr>
        <w:pStyle w:val="NormalWeb"/>
        <w:spacing w:line="360" w:lineRule="auto"/>
        <w:jc w:val="both"/>
        <w:rPr>
          <w:rFonts w:ascii="Arial" w:hAnsi="Arial" w:cs="Arial"/>
          <w:color w:val="000000"/>
        </w:rPr>
      </w:pPr>
      <w:r w:rsidRPr="004E4D96">
        <w:rPr>
          <w:rFonts w:ascii="Arial" w:hAnsi="Arial" w:cs="Arial"/>
          <w:color w:val="000000"/>
        </w:rPr>
        <w:lastRenderedPageBreak/>
        <w:t>‌</w:t>
      </w:r>
      <w:r w:rsidR="00784321" w:rsidRPr="004E4D96">
        <w:rPr>
          <w:rFonts w:ascii="Arial" w:hAnsi="Arial" w:cs="Arial"/>
          <w:color w:val="000000"/>
        </w:rPr>
        <w:t>Su, D., Mei, Y., Liu, T. and Amine, K. (2025). Global Regulations for Sustainable Battery Recycling: Challenges and Opportunities. </w:t>
      </w:r>
      <w:r w:rsidR="00784321" w:rsidRPr="004E4D96">
        <w:rPr>
          <w:rFonts w:ascii="Arial" w:hAnsi="Arial" w:cs="Arial"/>
          <w:i/>
          <w:iCs/>
          <w:color w:val="000000"/>
        </w:rPr>
        <w:t>Sustainability</w:t>
      </w:r>
      <w:r w:rsidR="00784321" w:rsidRPr="004E4D96">
        <w:rPr>
          <w:rFonts w:ascii="Arial" w:hAnsi="Arial" w:cs="Arial"/>
          <w:color w:val="000000"/>
        </w:rPr>
        <w:t>, [online] 17(7), pp.3045–3045. doi:https://doi.org/10.3390/su17073045.</w:t>
      </w:r>
    </w:p>
    <w:p w14:paraId="7D9E7337" w14:textId="61DA9F58" w:rsidR="00784321" w:rsidRDefault="00784321" w:rsidP="00AB556B">
      <w:pPr>
        <w:pStyle w:val="NormalWeb"/>
        <w:spacing w:line="360" w:lineRule="auto"/>
        <w:jc w:val="both"/>
        <w:rPr>
          <w:rFonts w:ascii="Arial" w:hAnsi="Arial" w:cs="Arial"/>
          <w:color w:val="000000"/>
        </w:rPr>
      </w:pPr>
      <w:r w:rsidRPr="004E4D96">
        <w:rPr>
          <w:rFonts w:ascii="Arial" w:hAnsi="Arial" w:cs="Arial"/>
          <w:color w:val="000000"/>
        </w:rPr>
        <w:t>‌Impact of Financial Technology on Financial Inclusion, the Effect of Rules and Regulations: The Case of Ghana | African Finance Journal. (2025). African Finance</w:t>
      </w:r>
      <w:r w:rsidR="00095E9E" w:rsidRPr="004E4D96">
        <w:rPr>
          <w:rFonts w:ascii="Arial" w:hAnsi="Arial" w:cs="Arial"/>
          <w:color w:val="000000"/>
        </w:rPr>
        <w:t xml:space="preserve"> Journal.[online]  </w:t>
      </w:r>
      <w:r w:rsidRPr="004E4D96">
        <w:rPr>
          <w:rFonts w:ascii="Arial" w:hAnsi="Arial" w:cs="Arial"/>
          <w:color w:val="000000"/>
        </w:rPr>
        <w:t>doi:https://doi.org/10.10520/finj.v27.n1;pageGroup:string:Publication.</w:t>
      </w:r>
    </w:p>
    <w:p w14:paraId="36B221E2" w14:textId="0E722FEB" w:rsidR="007A22FE" w:rsidRPr="007A22FE" w:rsidRDefault="00F3573A" w:rsidP="007A22FE">
      <w:pPr>
        <w:pStyle w:val="NormalWeb"/>
        <w:spacing w:line="360" w:lineRule="auto"/>
        <w:jc w:val="both"/>
        <w:rPr>
          <w:rFonts w:ascii="Arial" w:hAnsi="Arial" w:cs="Arial"/>
          <w:color w:val="000000"/>
        </w:rPr>
      </w:pPr>
      <w:r w:rsidRPr="00F3573A">
        <w:rPr>
          <w:rFonts w:ascii="Arial" w:hAnsi="Arial" w:cs="Arial"/>
          <w:color w:val="000000"/>
        </w:rPr>
        <w:t>‌</w:t>
      </w:r>
      <w:r w:rsidR="007A22FE" w:rsidRPr="007A22FE">
        <w:rPr>
          <w:rFonts w:ascii="Arial" w:hAnsi="Arial" w:cs="Arial"/>
          <w:color w:val="000000"/>
        </w:rPr>
        <w:t>Vijay Kumar Tiwari Brij (2025). The Monetization Playbook: Digital Transformation Success in the Digital Economy. </w:t>
      </w:r>
      <w:r w:rsidR="007A22FE" w:rsidRPr="007A22FE">
        <w:rPr>
          <w:rFonts w:ascii="Arial" w:hAnsi="Arial" w:cs="Arial"/>
          <w:i/>
          <w:iCs/>
          <w:color w:val="000000"/>
        </w:rPr>
        <w:t>Journal of Computer Science and Technology Studies</w:t>
      </w:r>
      <w:r w:rsidR="007A22FE" w:rsidRPr="007A22FE">
        <w:rPr>
          <w:rFonts w:ascii="Arial" w:hAnsi="Arial" w:cs="Arial"/>
          <w:color w:val="000000"/>
        </w:rPr>
        <w:t>, 7(4), pp.116–124. doi:https://doi.org/10.32996/jcsts.2025.7.4.13.</w:t>
      </w:r>
    </w:p>
    <w:p w14:paraId="64F75A8F" w14:textId="70CC1EB5" w:rsidR="007A22FE" w:rsidRPr="007A22FE" w:rsidRDefault="007A22FE" w:rsidP="007A22FE">
      <w:pPr>
        <w:pStyle w:val="NormalWeb"/>
        <w:spacing w:line="360" w:lineRule="auto"/>
        <w:jc w:val="both"/>
        <w:rPr>
          <w:rFonts w:ascii="Arial" w:hAnsi="Arial" w:cs="Arial"/>
          <w:color w:val="000000"/>
        </w:rPr>
      </w:pPr>
      <w:r w:rsidRPr="007A22FE">
        <w:rPr>
          <w:rFonts w:ascii="Arial" w:hAnsi="Arial" w:cs="Arial"/>
          <w:color w:val="000000"/>
        </w:rPr>
        <w:t>‌Nemet, G.F. (2009). Demand-pull, technology-push, and government-led incentives for non-incremental technical change. </w:t>
      </w:r>
      <w:r w:rsidRPr="007A22FE">
        <w:rPr>
          <w:rFonts w:ascii="Arial" w:hAnsi="Arial" w:cs="Arial"/>
          <w:i/>
          <w:iCs/>
          <w:color w:val="000000"/>
        </w:rPr>
        <w:t>Research Policy</w:t>
      </w:r>
      <w:r w:rsidRPr="007A22FE">
        <w:rPr>
          <w:rFonts w:ascii="Arial" w:hAnsi="Arial" w:cs="Arial"/>
          <w:color w:val="000000"/>
        </w:rPr>
        <w:t>, 38(5), pp.700–709. doi:https://doi.org/10.1016/j.respol.2009.01.004.</w:t>
      </w:r>
    </w:p>
    <w:p w14:paraId="005A0ACD" w14:textId="789A6B99" w:rsidR="007A22FE" w:rsidRPr="007A22FE" w:rsidRDefault="007A22FE" w:rsidP="007A22FE">
      <w:pPr>
        <w:pStyle w:val="NormalWeb"/>
        <w:spacing w:line="360" w:lineRule="auto"/>
        <w:jc w:val="both"/>
        <w:rPr>
          <w:rFonts w:ascii="Arial" w:hAnsi="Arial" w:cs="Arial"/>
          <w:color w:val="000000"/>
        </w:rPr>
      </w:pPr>
      <w:r w:rsidRPr="007A22FE">
        <w:rPr>
          <w:rFonts w:ascii="Arial" w:hAnsi="Arial" w:cs="Arial"/>
          <w:color w:val="000000"/>
        </w:rPr>
        <w:t xml:space="preserve">‌Singh, A., 2023. </w:t>
      </w:r>
      <w:r w:rsidRPr="007A22FE">
        <w:rPr>
          <w:rFonts w:ascii="Arial" w:hAnsi="Arial" w:cs="Arial"/>
          <w:i/>
          <w:iCs/>
          <w:color w:val="000000"/>
        </w:rPr>
        <w:t>Evaluating user friendly dashboards for driverless vehicles: Evaluation of in-car infotainment in transition</w:t>
      </w:r>
      <w:r w:rsidRPr="007A22FE">
        <w:rPr>
          <w:rFonts w:ascii="Arial" w:hAnsi="Arial" w:cs="Arial"/>
          <w:color w:val="000000"/>
        </w:rPr>
        <w:t>. Master's thesis, Purdue University, Department of Computer Science, Fort Wayne, Indiana.</w:t>
      </w:r>
    </w:p>
    <w:p w14:paraId="6ACA9EAF" w14:textId="195D0EB3" w:rsidR="007A22FE" w:rsidRPr="007A22FE" w:rsidRDefault="007A22FE" w:rsidP="007A22FE">
      <w:pPr>
        <w:pStyle w:val="NormalWeb"/>
        <w:spacing w:line="360" w:lineRule="auto"/>
        <w:jc w:val="both"/>
        <w:rPr>
          <w:rFonts w:ascii="Arial" w:hAnsi="Arial" w:cs="Arial"/>
          <w:color w:val="000000"/>
        </w:rPr>
      </w:pPr>
    </w:p>
    <w:p w14:paraId="3916F26E" w14:textId="7A3699A1" w:rsidR="00F3573A" w:rsidRPr="00F3573A" w:rsidRDefault="00F3573A" w:rsidP="00F3573A">
      <w:pPr>
        <w:pStyle w:val="NormalWeb"/>
        <w:spacing w:line="360" w:lineRule="auto"/>
        <w:jc w:val="both"/>
        <w:rPr>
          <w:rFonts w:ascii="Arial" w:hAnsi="Arial" w:cs="Arial"/>
          <w:color w:val="000000"/>
        </w:rPr>
      </w:pPr>
    </w:p>
    <w:p w14:paraId="213DE756" w14:textId="77777777" w:rsidR="00F3573A" w:rsidRPr="004E4D96" w:rsidRDefault="00F3573A" w:rsidP="00AB556B">
      <w:pPr>
        <w:pStyle w:val="NormalWeb"/>
        <w:spacing w:line="360" w:lineRule="auto"/>
        <w:jc w:val="both"/>
        <w:rPr>
          <w:rFonts w:ascii="Arial" w:hAnsi="Arial" w:cs="Arial"/>
          <w:color w:val="000000"/>
        </w:rPr>
      </w:pPr>
    </w:p>
    <w:sectPr w:rsidR="00F3573A" w:rsidRPr="004E4D96" w:rsidSect="00F50796">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57C71" w14:textId="77777777" w:rsidR="00416EEE" w:rsidRDefault="00416EEE" w:rsidP="00416EEE">
      <w:pPr>
        <w:spacing w:after="0" w:line="240" w:lineRule="auto"/>
      </w:pPr>
      <w:r>
        <w:separator/>
      </w:r>
    </w:p>
  </w:endnote>
  <w:endnote w:type="continuationSeparator" w:id="0">
    <w:p w14:paraId="66512B05" w14:textId="77777777" w:rsidR="00416EEE" w:rsidRDefault="00416EEE" w:rsidP="00416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4906546"/>
      <w:docPartObj>
        <w:docPartGallery w:val="Page Numbers (Bottom of Page)"/>
        <w:docPartUnique/>
      </w:docPartObj>
    </w:sdtPr>
    <w:sdtEndPr>
      <w:rPr>
        <w:noProof/>
      </w:rPr>
    </w:sdtEndPr>
    <w:sdtContent>
      <w:p w14:paraId="56F00133" w14:textId="48E61EEB" w:rsidR="00416EEE" w:rsidRDefault="00416E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BE64E" w14:textId="77777777" w:rsidR="00416EEE" w:rsidRDefault="00416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8DFC7" w14:textId="77777777" w:rsidR="00416EEE" w:rsidRDefault="00416EEE" w:rsidP="00416EEE">
      <w:pPr>
        <w:spacing w:after="0" w:line="240" w:lineRule="auto"/>
      </w:pPr>
      <w:r>
        <w:separator/>
      </w:r>
    </w:p>
  </w:footnote>
  <w:footnote w:type="continuationSeparator" w:id="0">
    <w:p w14:paraId="03FA6F2D" w14:textId="77777777" w:rsidR="00416EEE" w:rsidRDefault="00416EEE" w:rsidP="00416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6" style="width:0;height:0" o:hralign="center" o:bullet="t" o:hrstd="t" o:hr="t" fillcolor="#a0a0a0" stroked="f"/>
    </w:pict>
  </w:numPicBullet>
  <w:abstractNum w:abstractNumId="0" w15:restartNumberingAfterBreak="0">
    <w:nsid w:val="01E8568C"/>
    <w:multiLevelType w:val="multilevel"/>
    <w:tmpl w:val="1D2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42470"/>
    <w:multiLevelType w:val="hybridMultilevel"/>
    <w:tmpl w:val="6C9E6048"/>
    <w:lvl w:ilvl="0" w:tplc="D7266E5E">
      <w:start w:val="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4542EF"/>
    <w:multiLevelType w:val="multilevel"/>
    <w:tmpl w:val="1D2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A06A90"/>
    <w:multiLevelType w:val="multilevel"/>
    <w:tmpl w:val="1D2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85346F"/>
    <w:multiLevelType w:val="multilevel"/>
    <w:tmpl w:val="88FE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D06141"/>
    <w:multiLevelType w:val="multilevel"/>
    <w:tmpl w:val="8010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5C684E"/>
    <w:multiLevelType w:val="multilevel"/>
    <w:tmpl w:val="86283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E55A4F"/>
    <w:multiLevelType w:val="multilevel"/>
    <w:tmpl w:val="86283B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1204E2"/>
    <w:multiLevelType w:val="multilevel"/>
    <w:tmpl w:val="523427F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176FC4"/>
    <w:multiLevelType w:val="hybridMultilevel"/>
    <w:tmpl w:val="3D1A8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5A80EB3"/>
    <w:multiLevelType w:val="hybridMultilevel"/>
    <w:tmpl w:val="60BEB4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AA15654"/>
    <w:multiLevelType w:val="multilevel"/>
    <w:tmpl w:val="506C8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EC5770"/>
    <w:multiLevelType w:val="multilevel"/>
    <w:tmpl w:val="1D2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9D651F"/>
    <w:multiLevelType w:val="multilevel"/>
    <w:tmpl w:val="5E4AD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A72BF2"/>
    <w:multiLevelType w:val="multilevel"/>
    <w:tmpl w:val="23EA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CD6D56"/>
    <w:multiLevelType w:val="multilevel"/>
    <w:tmpl w:val="1D2A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582307"/>
    <w:multiLevelType w:val="multilevel"/>
    <w:tmpl w:val="F30A64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2B9653A0"/>
    <w:multiLevelType w:val="multilevel"/>
    <w:tmpl w:val="AE08E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6B319F"/>
    <w:multiLevelType w:val="multilevel"/>
    <w:tmpl w:val="9774C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833280"/>
    <w:multiLevelType w:val="multilevel"/>
    <w:tmpl w:val="125C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C107FD4"/>
    <w:multiLevelType w:val="multilevel"/>
    <w:tmpl w:val="3AFE9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914902"/>
    <w:multiLevelType w:val="hybridMultilevel"/>
    <w:tmpl w:val="0622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A4861B5"/>
    <w:multiLevelType w:val="multilevel"/>
    <w:tmpl w:val="73CE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BD319AA"/>
    <w:multiLevelType w:val="multilevel"/>
    <w:tmpl w:val="77AC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03E20D9"/>
    <w:multiLevelType w:val="multilevel"/>
    <w:tmpl w:val="86283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02071E"/>
    <w:multiLevelType w:val="multilevel"/>
    <w:tmpl w:val="5A165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C70E1A"/>
    <w:multiLevelType w:val="multilevel"/>
    <w:tmpl w:val="7C76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222B0A"/>
    <w:multiLevelType w:val="multilevel"/>
    <w:tmpl w:val="A044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1B11F7"/>
    <w:multiLevelType w:val="multilevel"/>
    <w:tmpl w:val="A8AA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9471CA"/>
    <w:multiLevelType w:val="multilevel"/>
    <w:tmpl w:val="3AFE9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822204E"/>
    <w:multiLevelType w:val="hybridMultilevel"/>
    <w:tmpl w:val="27D20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2AF057C"/>
    <w:multiLevelType w:val="multilevel"/>
    <w:tmpl w:val="47D0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397768"/>
    <w:multiLevelType w:val="multilevel"/>
    <w:tmpl w:val="3460C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97C5554"/>
    <w:multiLevelType w:val="multilevel"/>
    <w:tmpl w:val="83E68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6C5EC6"/>
    <w:multiLevelType w:val="hybridMultilevel"/>
    <w:tmpl w:val="564C290C"/>
    <w:lvl w:ilvl="0" w:tplc="26306E44">
      <w:start w:val="1"/>
      <w:numFmt w:val="bullet"/>
      <w:lvlText w:val=""/>
      <w:lvlPicBulletId w:val="0"/>
      <w:lvlJc w:val="left"/>
      <w:pPr>
        <w:tabs>
          <w:tab w:val="num" w:pos="720"/>
        </w:tabs>
        <w:ind w:left="720" w:hanging="360"/>
      </w:pPr>
      <w:rPr>
        <w:rFonts w:ascii="Symbol" w:hAnsi="Symbol" w:hint="default"/>
      </w:rPr>
    </w:lvl>
    <w:lvl w:ilvl="1" w:tplc="C2166FBC" w:tentative="1">
      <w:start w:val="1"/>
      <w:numFmt w:val="bullet"/>
      <w:lvlText w:val=""/>
      <w:lvlJc w:val="left"/>
      <w:pPr>
        <w:tabs>
          <w:tab w:val="num" w:pos="1440"/>
        </w:tabs>
        <w:ind w:left="1440" w:hanging="360"/>
      </w:pPr>
      <w:rPr>
        <w:rFonts w:ascii="Symbol" w:hAnsi="Symbol" w:hint="default"/>
      </w:rPr>
    </w:lvl>
    <w:lvl w:ilvl="2" w:tplc="FEE64C02" w:tentative="1">
      <w:start w:val="1"/>
      <w:numFmt w:val="bullet"/>
      <w:lvlText w:val=""/>
      <w:lvlJc w:val="left"/>
      <w:pPr>
        <w:tabs>
          <w:tab w:val="num" w:pos="2160"/>
        </w:tabs>
        <w:ind w:left="2160" w:hanging="360"/>
      </w:pPr>
      <w:rPr>
        <w:rFonts w:ascii="Symbol" w:hAnsi="Symbol" w:hint="default"/>
      </w:rPr>
    </w:lvl>
    <w:lvl w:ilvl="3" w:tplc="6894691C" w:tentative="1">
      <w:start w:val="1"/>
      <w:numFmt w:val="bullet"/>
      <w:lvlText w:val=""/>
      <w:lvlJc w:val="left"/>
      <w:pPr>
        <w:tabs>
          <w:tab w:val="num" w:pos="2880"/>
        </w:tabs>
        <w:ind w:left="2880" w:hanging="360"/>
      </w:pPr>
      <w:rPr>
        <w:rFonts w:ascii="Symbol" w:hAnsi="Symbol" w:hint="default"/>
      </w:rPr>
    </w:lvl>
    <w:lvl w:ilvl="4" w:tplc="CDA85F7C" w:tentative="1">
      <w:start w:val="1"/>
      <w:numFmt w:val="bullet"/>
      <w:lvlText w:val=""/>
      <w:lvlJc w:val="left"/>
      <w:pPr>
        <w:tabs>
          <w:tab w:val="num" w:pos="3600"/>
        </w:tabs>
        <w:ind w:left="3600" w:hanging="360"/>
      </w:pPr>
      <w:rPr>
        <w:rFonts w:ascii="Symbol" w:hAnsi="Symbol" w:hint="default"/>
      </w:rPr>
    </w:lvl>
    <w:lvl w:ilvl="5" w:tplc="7304E334" w:tentative="1">
      <w:start w:val="1"/>
      <w:numFmt w:val="bullet"/>
      <w:lvlText w:val=""/>
      <w:lvlJc w:val="left"/>
      <w:pPr>
        <w:tabs>
          <w:tab w:val="num" w:pos="4320"/>
        </w:tabs>
        <w:ind w:left="4320" w:hanging="360"/>
      </w:pPr>
      <w:rPr>
        <w:rFonts w:ascii="Symbol" w:hAnsi="Symbol" w:hint="default"/>
      </w:rPr>
    </w:lvl>
    <w:lvl w:ilvl="6" w:tplc="E4AAFB00" w:tentative="1">
      <w:start w:val="1"/>
      <w:numFmt w:val="bullet"/>
      <w:lvlText w:val=""/>
      <w:lvlJc w:val="left"/>
      <w:pPr>
        <w:tabs>
          <w:tab w:val="num" w:pos="5040"/>
        </w:tabs>
        <w:ind w:left="5040" w:hanging="360"/>
      </w:pPr>
      <w:rPr>
        <w:rFonts w:ascii="Symbol" w:hAnsi="Symbol" w:hint="default"/>
      </w:rPr>
    </w:lvl>
    <w:lvl w:ilvl="7" w:tplc="DEEEE226" w:tentative="1">
      <w:start w:val="1"/>
      <w:numFmt w:val="bullet"/>
      <w:lvlText w:val=""/>
      <w:lvlJc w:val="left"/>
      <w:pPr>
        <w:tabs>
          <w:tab w:val="num" w:pos="5760"/>
        </w:tabs>
        <w:ind w:left="5760" w:hanging="360"/>
      </w:pPr>
      <w:rPr>
        <w:rFonts w:ascii="Symbol" w:hAnsi="Symbol" w:hint="default"/>
      </w:rPr>
    </w:lvl>
    <w:lvl w:ilvl="8" w:tplc="7F1827D2" w:tentative="1">
      <w:start w:val="1"/>
      <w:numFmt w:val="bullet"/>
      <w:lvlText w:val=""/>
      <w:lvlJc w:val="left"/>
      <w:pPr>
        <w:tabs>
          <w:tab w:val="num" w:pos="6480"/>
        </w:tabs>
        <w:ind w:left="6480" w:hanging="360"/>
      </w:pPr>
      <w:rPr>
        <w:rFonts w:ascii="Symbol" w:hAnsi="Symbol" w:hint="default"/>
      </w:rPr>
    </w:lvl>
  </w:abstractNum>
  <w:abstractNum w:abstractNumId="35" w15:restartNumberingAfterBreak="0">
    <w:nsid w:val="7F7A4739"/>
    <w:multiLevelType w:val="multilevel"/>
    <w:tmpl w:val="516E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6243131">
    <w:abstractNumId w:val="29"/>
  </w:num>
  <w:num w:numId="2" w16cid:durableId="2104183278">
    <w:abstractNumId w:val="6"/>
  </w:num>
  <w:num w:numId="3" w16cid:durableId="516118954">
    <w:abstractNumId w:val="11"/>
  </w:num>
  <w:num w:numId="4" w16cid:durableId="1304772199">
    <w:abstractNumId w:val="22"/>
  </w:num>
  <w:num w:numId="5" w16cid:durableId="1573080964">
    <w:abstractNumId w:val="8"/>
  </w:num>
  <w:num w:numId="6" w16cid:durableId="1122461837">
    <w:abstractNumId w:val="13"/>
  </w:num>
  <w:num w:numId="7" w16cid:durableId="2069959371">
    <w:abstractNumId w:val="2"/>
  </w:num>
  <w:num w:numId="8" w16cid:durableId="372390931">
    <w:abstractNumId w:val="23"/>
  </w:num>
  <w:num w:numId="9" w16cid:durableId="399406900">
    <w:abstractNumId w:val="5"/>
  </w:num>
  <w:num w:numId="10" w16cid:durableId="1445080942">
    <w:abstractNumId w:val="26"/>
  </w:num>
  <w:num w:numId="11" w16cid:durableId="5636938">
    <w:abstractNumId w:val="28"/>
  </w:num>
  <w:num w:numId="12" w16cid:durableId="1365835952">
    <w:abstractNumId w:val="27"/>
  </w:num>
  <w:num w:numId="13" w16cid:durableId="1971670830">
    <w:abstractNumId w:val="17"/>
  </w:num>
  <w:num w:numId="14" w16cid:durableId="942221734">
    <w:abstractNumId w:val="35"/>
  </w:num>
  <w:num w:numId="15" w16cid:durableId="231358011">
    <w:abstractNumId w:val="4"/>
  </w:num>
  <w:num w:numId="16" w16cid:durableId="446238012">
    <w:abstractNumId w:val="18"/>
  </w:num>
  <w:num w:numId="17" w16cid:durableId="432359829">
    <w:abstractNumId w:val="32"/>
  </w:num>
  <w:num w:numId="18" w16cid:durableId="478497320">
    <w:abstractNumId w:val="14"/>
  </w:num>
  <w:num w:numId="19" w16cid:durableId="697438494">
    <w:abstractNumId w:val="31"/>
  </w:num>
  <w:num w:numId="20" w16cid:durableId="1479306126">
    <w:abstractNumId w:val="25"/>
  </w:num>
  <w:num w:numId="21" w16cid:durableId="1967658958">
    <w:abstractNumId w:val="33"/>
  </w:num>
  <w:num w:numId="22" w16cid:durableId="1452940060">
    <w:abstractNumId w:val="16"/>
  </w:num>
  <w:num w:numId="23" w16cid:durableId="770511761">
    <w:abstractNumId w:val="19"/>
  </w:num>
  <w:num w:numId="24" w16cid:durableId="2016228649">
    <w:abstractNumId w:val="34"/>
  </w:num>
  <w:num w:numId="25" w16cid:durableId="491796957">
    <w:abstractNumId w:val="10"/>
  </w:num>
  <w:num w:numId="26" w16cid:durableId="1087120666">
    <w:abstractNumId w:val="7"/>
  </w:num>
  <w:num w:numId="27" w16cid:durableId="1382940870">
    <w:abstractNumId w:val="24"/>
  </w:num>
  <w:num w:numId="28" w16cid:durableId="920216015">
    <w:abstractNumId w:val="9"/>
  </w:num>
  <w:num w:numId="29" w16cid:durableId="295650581">
    <w:abstractNumId w:val="30"/>
  </w:num>
  <w:num w:numId="30" w16cid:durableId="110707534">
    <w:abstractNumId w:val="20"/>
  </w:num>
  <w:num w:numId="31" w16cid:durableId="925310233">
    <w:abstractNumId w:val="0"/>
  </w:num>
  <w:num w:numId="32" w16cid:durableId="2097362280">
    <w:abstractNumId w:val="3"/>
  </w:num>
  <w:num w:numId="33" w16cid:durableId="1389916318">
    <w:abstractNumId w:val="12"/>
  </w:num>
  <w:num w:numId="34" w16cid:durableId="209466231">
    <w:abstractNumId w:val="15"/>
  </w:num>
  <w:num w:numId="35" w16cid:durableId="1039355991">
    <w:abstractNumId w:val="1"/>
  </w:num>
  <w:num w:numId="36" w16cid:durableId="4843926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C91"/>
    <w:rsid w:val="00095E9E"/>
    <w:rsid w:val="000A2687"/>
    <w:rsid w:val="000D2FB2"/>
    <w:rsid w:val="001A3C91"/>
    <w:rsid w:val="001E4164"/>
    <w:rsid w:val="00261204"/>
    <w:rsid w:val="00300D54"/>
    <w:rsid w:val="003662AB"/>
    <w:rsid w:val="00416EEE"/>
    <w:rsid w:val="00436192"/>
    <w:rsid w:val="004E4D96"/>
    <w:rsid w:val="005D03AE"/>
    <w:rsid w:val="00640144"/>
    <w:rsid w:val="0069601B"/>
    <w:rsid w:val="006C259A"/>
    <w:rsid w:val="006C31D7"/>
    <w:rsid w:val="00784321"/>
    <w:rsid w:val="007A22FE"/>
    <w:rsid w:val="00912F7D"/>
    <w:rsid w:val="00AB556B"/>
    <w:rsid w:val="00AC1A83"/>
    <w:rsid w:val="00AC41D9"/>
    <w:rsid w:val="00B05B32"/>
    <w:rsid w:val="00B42B1A"/>
    <w:rsid w:val="00B71D93"/>
    <w:rsid w:val="00B71DC7"/>
    <w:rsid w:val="00C87550"/>
    <w:rsid w:val="00CF7FC4"/>
    <w:rsid w:val="00D46895"/>
    <w:rsid w:val="00D87E88"/>
    <w:rsid w:val="00D91C70"/>
    <w:rsid w:val="00E32840"/>
    <w:rsid w:val="00E4334B"/>
    <w:rsid w:val="00E93755"/>
    <w:rsid w:val="00F17ABD"/>
    <w:rsid w:val="00F3573A"/>
    <w:rsid w:val="00F50796"/>
    <w:rsid w:val="00F86DF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31B4C4C"/>
  <w15:chartTrackingRefBased/>
  <w15:docId w15:val="{648BECEA-FA7A-4344-8D7F-AF030D49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1A3C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3C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3C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3C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3C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3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C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3C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3C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3C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3C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3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C91"/>
    <w:rPr>
      <w:rFonts w:eastAsiaTheme="majorEastAsia" w:cstheme="majorBidi"/>
      <w:color w:val="272727" w:themeColor="text1" w:themeTint="D8"/>
    </w:rPr>
  </w:style>
  <w:style w:type="paragraph" w:styleId="Title">
    <w:name w:val="Title"/>
    <w:basedOn w:val="Normal"/>
    <w:next w:val="Normal"/>
    <w:link w:val="TitleChar"/>
    <w:uiPriority w:val="10"/>
    <w:qFormat/>
    <w:rsid w:val="001A3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C91"/>
    <w:pPr>
      <w:spacing w:before="160"/>
      <w:jc w:val="center"/>
    </w:pPr>
    <w:rPr>
      <w:i/>
      <w:iCs/>
      <w:color w:val="404040" w:themeColor="text1" w:themeTint="BF"/>
    </w:rPr>
  </w:style>
  <w:style w:type="character" w:customStyle="1" w:styleId="QuoteChar">
    <w:name w:val="Quote Char"/>
    <w:basedOn w:val="DefaultParagraphFont"/>
    <w:link w:val="Quote"/>
    <w:uiPriority w:val="29"/>
    <w:rsid w:val="001A3C91"/>
    <w:rPr>
      <w:rFonts w:cs="Latha"/>
      <w:i/>
      <w:iCs/>
      <w:color w:val="404040" w:themeColor="text1" w:themeTint="BF"/>
    </w:rPr>
  </w:style>
  <w:style w:type="paragraph" w:styleId="ListParagraph">
    <w:name w:val="List Paragraph"/>
    <w:basedOn w:val="Normal"/>
    <w:uiPriority w:val="34"/>
    <w:qFormat/>
    <w:rsid w:val="001A3C91"/>
    <w:pPr>
      <w:ind w:left="720"/>
      <w:contextualSpacing/>
    </w:pPr>
  </w:style>
  <w:style w:type="character" w:styleId="IntenseEmphasis">
    <w:name w:val="Intense Emphasis"/>
    <w:basedOn w:val="DefaultParagraphFont"/>
    <w:uiPriority w:val="21"/>
    <w:qFormat/>
    <w:rsid w:val="001A3C91"/>
    <w:rPr>
      <w:i/>
      <w:iCs/>
      <w:color w:val="2F5496" w:themeColor="accent1" w:themeShade="BF"/>
    </w:rPr>
  </w:style>
  <w:style w:type="paragraph" w:styleId="IntenseQuote">
    <w:name w:val="Intense Quote"/>
    <w:basedOn w:val="Normal"/>
    <w:next w:val="Normal"/>
    <w:link w:val="IntenseQuoteChar"/>
    <w:uiPriority w:val="30"/>
    <w:qFormat/>
    <w:rsid w:val="001A3C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C91"/>
    <w:rPr>
      <w:rFonts w:cs="Latha"/>
      <w:i/>
      <w:iCs/>
      <w:color w:val="2F5496" w:themeColor="accent1" w:themeShade="BF"/>
    </w:rPr>
  </w:style>
  <w:style w:type="character" w:styleId="IntenseReference">
    <w:name w:val="Intense Reference"/>
    <w:basedOn w:val="DefaultParagraphFont"/>
    <w:uiPriority w:val="32"/>
    <w:qFormat/>
    <w:rsid w:val="001A3C91"/>
    <w:rPr>
      <w:b/>
      <w:bCs/>
      <w:smallCaps/>
      <w:color w:val="2F5496" w:themeColor="accent1" w:themeShade="BF"/>
      <w:spacing w:val="5"/>
    </w:rPr>
  </w:style>
  <w:style w:type="character" w:styleId="Hyperlink">
    <w:name w:val="Hyperlink"/>
    <w:basedOn w:val="DefaultParagraphFont"/>
    <w:uiPriority w:val="99"/>
    <w:unhideWhenUsed/>
    <w:rsid w:val="00D87E88"/>
    <w:rPr>
      <w:color w:val="0563C1" w:themeColor="hyperlink"/>
      <w:u w:val="single"/>
    </w:rPr>
  </w:style>
  <w:style w:type="character" w:styleId="UnresolvedMention">
    <w:name w:val="Unresolved Mention"/>
    <w:basedOn w:val="DefaultParagraphFont"/>
    <w:uiPriority w:val="99"/>
    <w:semiHidden/>
    <w:unhideWhenUsed/>
    <w:rsid w:val="00D87E88"/>
    <w:rPr>
      <w:color w:val="605E5C"/>
      <w:shd w:val="clear" w:color="auto" w:fill="E1DFDD"/>
    </w:rPr>
  </w:style>
  <w:style w:type="paragraph" w:styleId="NormalWeb">
    <w:name w:val="Normal (Web)"/>
    <w:basedOn w:val="Normal"/>
    <w:uiPriority w:val="99"/>
    <w:unhideWhenUsed/>
    <w:rsid w:val="00B05B32"/>
    <w:pPr>
      <w:spacing w:before="100" w:beforeAutospacing="1" w:after="100" w:afterAutospacing="1" w:line="240" w:lineRule="auto"/>
    </w:pPr>
    <w:rPr>
      <w:rFonts w:ascii="Times New Roman" w:eastAsia="Times New Roman" w:hAnsi="Times New Roman" w:cs="Times New Roman"/>
      <w:kern w:val="0"/>
      <w:sz w:val="24"/>
      <w:szCs w:val="24"/>
      <w:lang w:bidi="ar-SA"/>
      <w14:ligatures w14:val="none"/>
    </w:rPr>
  </w:style>
  <w:style w:type="table" w:styleId="TableGrid">
    <w:name w:val="Table Grid"/>
    <w:basedOn w:val="TableNormal"/>
    <w:uiPriority w:val="39"/>
    <w:rsid w:val="00AB55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6E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EEE"/>
    <w:rPr>
      <w:rFonts w:cs="Latha"/>
    </w:rPr>
  </w:style>
  <w:style w:type="paragraph" w:styleId="Footer">
    <w:name w:val="footer"/>
    <w:basedOn w:val="Normal"/>
    <w:link w:val="FooterChar"/>
    <w:uiPriority w:val="99"/>
    <w:unhideWhenUsed/>
    <w:rsid w:val="00416E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EEE"/>
    <w:rPr>
      <w:rFonts w:cs="Lath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615950">
      <w:bodyDiv w:val="1"/>
      <w:marLeft w:val="0"/>
      <w:marRight w:val="0"/>
      <w:marTop w:val="0"/>
      <w:marBottom w:val="0"/>
      <w:divBdr>
        <w:top w:val="none" w:sz="0" w:space="0" w:color="auto"/>
        <w:left w:val="none" w:sz="0" w:space="0" w:color="auto"/>
        <w:bottom w:val="none" w:sz="0" w:space="0" w:color="auto"/>
        <w:right w:val="none" w:sz="0" w:space="0" w:color="auto"/>
      </w:divBdr>
    </w:div>
    <w:div w:id="445345389">
      <w:bodyDiv w:val="1"/>
      <w:marLeft w:val="0"/>
      <w:marRight w:val="0"/>
      <w:marTop w:val="0"/>
      <w:marBottom w:val="0"/>
      <w:divBdr>
        <w:top w:val="none" w:sz="0" w:space="0" w:color="auto"/>
        <w:left w:val="none" w:sz="0" w:space="0" w:color="auto"/>
        <w:bottom w:val="none" w:sz="0" w:space="0" w:color="auto"/>
        <w:right w:val="none" w:sz="0" w:space="0" w:color="auto"/>
      </w:divBdr>
    </w:div>
    <w:div w:id="843134966">
      <w:bodyDiv w:val="1"/>
      <w:marLeft w:val="0"/>
      <w:marRight w:val="0"/>
      <w:marTop w:val="0"/>
      <w:marBottom w:val="0"/>
      <w:divBdr>
        <w:top w:val="none" w:sz="0" w:space="0" w:color="auto"/>
        <w:left w:val="none" w:sz="0" w:space="0" w:color="auto"/>
        <w:bottom w:val="none" w:sz="0" w:space="0" w:color="auto"/>
        <w:right w:val="none" w:sz="0" w:space="0" w:color="auto"/>
      </w:divBdr>
    </w:div>
    <w:div w:id="1081365266">
      <w:bodyDiv w:val="1"/>
      <w:marLeft w:val="0"/>
      <w:marRight w:val="0"/>
      <w:marTop w:val="0"/>
      <w:marBottom w:val="0"/>
      <w:divBdr>
        <w:top w:val="none" w:sz="0" w:space="0" w:color="auto"/>
        <w:left w:val="none" w:sz="0" w:space="0" w:color="auto"/>
        <w:bottom w:val="none" w:sz="0" w:space="0" w:color="auto"/>
        <w:right w:val="none" w:sz="0" w:space="0" w:color="auto"/>
      </w:divBdr>
    </w:div>
    <w:div w:id="1252933490">
      <w:bodyDiv w:val="1"/>
      <w:marLeft w:val="0"/>
      <w:marRight w:val="0"/>
      <w:marTop w:val="0"/>
      <w:marBottom w:val="0"/>
      <w:divBdr>
        <w:top w:val="none" w:sz="0" w:space="0" w:color="auto"/>
        <w:left w:val="none" w:sz="0" w:space="0" w:color="auto"/>
        <w:bottom w:val="none" w:sz="0" w:space="0" w:color="auto"/>
        <w:right w:val="none" w:sz="0" w:space="0" w:color="auto"/>
      </w:divBdr>
    </w:div>
    <w:div w:id="1362821679">
      <w:bodyDiv w:val="1"/>
      <w:marLeft w:val="0"/>
      <w:marRight w:val="0"/>
      <w:marTop w:val="0"/>
      <w:marBottom w:val="0"/>
      <w:divBdr>
        <w:top w:val="none" w:sz="0" w:space="0" w:color="auto"/>
        <w:left w:val="none" w:sz="0" w:space="0" w:color="auto"/>
        <w:bottom w:val="none" w:sz="0" w:space="0" w:color="auto"/>
        <w:right w:val="none" w:sz="0" w:space="0" w:color="auto"/>
      </w:divBdr>
    </w:div>
    <w:div w:id="1720864222">
      <w:bodyDiv w:val="1"/>
      <w:marLeft w:val="0"/>
      <w:marRight w:val="0"/>
      <w:marTop w:val="0"/>
      <w:marBottom w:val="0"/>
      <w:divBdr>
        <w:top w:val="none" w:sz="0" w:space="0" w:color="auto"/>
        <w:left w:val="none" w:sz="0" w:space="0" w:color="auto"/>
        <w:bottom w:val="none" w:sz="0" w:space="0" w:color="auto"/>
        <w:right w:val="none" w:sz="0" w:space="0" w:color="auto"/>
      </w:divBdr>
    </w:div>
    <w:div w:id="212279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1815710"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5E12D8-6793-4460-9A75-D6410BA60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3176</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DARVIN SABHAYA</dc:creator>
  <cp:keywords/>
  <dc:description/>
  <cp:lastModifiedBy>DARVIN SABHAYA</cp:lastModifiedBy>
  <cp:revision>8</cp:revision>
  <dcterms:created xsi:type="dcterms:W3CDTF">2025-10-23T22:47:00Z</dcterms:created>
  <dcterms:modified xsi:type="dcterms:W3CDTF">2025-10-23T23:00:00Z</dcterms:modified>
</cp:coreProperties>
</file>