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2A5B7C8C"/>
    <w:p w:rsidR="311DC879" w:rsidP="3FED4066" w:rsidRDefault="311DC879" w14:paraId="76872555" w14:textId="08898AF2">
      <w:pPr>
        <w:jc w:val="center"/>
      </w:pPr>
      <w:r w:rsidR="311DC879">
        <w:drawing>
          <wp:inline wp14:editId="2ED32CEC" wp14:anchorId="59B2AEE2">
            <wp:extent cx="5724525" cy="2552700"/>
            <wp:effectExtent l="0" t="0" r="0" b="0"/>
            <wp:docPr id="936628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6628491" name="Picture 936628491"/>
                    <pic:cNvPicPr/>
                  </pic:nvPicPr>
                  <pic:blipFill>
                    <a:blip xmlns:r="http://schemas.openxmlformats.org/officeDocument/2006/relationships" r:embed="rId752259001">
                      <a:extLst>
                        <a:ext uri="{28A0092B-C50C-407E-A947-70E740481C1C}">
                          <a14:useLocalDpi xmlns:a14="http://schemas.microsoft.com/office/drawing/2010/main"/>
                        </a:ext>
                      </a:extLst>
                    </a:blip>
                    <a:stretch>
                      <a:fillRect/>
                    </a:stretch>
                  </pic:blipFill>
                  <pic:spPr>
                    <a:xfrm>
                      <a:off x="0" y="0"/>
                      <a:ext cx="5724525" cy="2552700"/>
                    </a:xfrm>
                    <a:prstGeom prst="rect">
                      <a:avLst/>
                    </a:prstGeom>
                  </pic:spPr>
                </pic:pic>
              </a:graphicData>
            </a:graphic>
          </wp:inline>
        </w:drawing>
      </w:r>
    </w:p>
    <w:p w:rsidR="3FED4066" w:rsidP="3FED4066" w:rsidRDefault="3FED4066" w14:paraId="60001FDD" w14:textId="372A3D57">
      <w:pPr>
        <w:jc w:val="center"/>
      </w:pPr>
    </w:p>
    <w:p w:rsidR="3FED4066" w:rsidP="3FED4066" w:rsidRDefault="3FED4066" w14:paraId="35E93728" w14:textId="57A6301C">
      <w:pPr>
        <w:jc w:val="center"/>
      </w:pPr>
    </w:p>
    <w:p w:rsidR="311DC879" w:rsidP="3FED4066" w:rsidRDefault="311DC879" w14:paraId="4B9BF119" w14:textId="50D3626D">
      <w:pPr>
        <w:jc w:val="center"/>
        <w:rPr>
          <w:b w:val="1"/>
          <w:bCs w:val="1"/>
        </w:rPr>
      </w:pPr>
      <w:r w:rsidRPr="3FED4066" w:rsidR="311DC879">
        <w:rPr>
          <w:b w:val="1"/>
          <w:bCs w:val="1"/>
        </w:rPr>
        <w:t>Student Name</w:t>
      </w:r>
    </w:p>
    <w:p w:rsidR="311DC879" w:rsidP="3FED4066" w:rsidRDefault="311DC879" w14:paraId="13E17975" w14:textId="0A7554DD">
      <w:pPr>
        <w:jc w:val="center"/>
      </w:pPr>
      <w:r w:rsidR="311DC879">
        <w:rPr/>
        <w:t>Armands Putersevics</w:t>
      </w:r>
    </w:p>
    <w:p w:rsidR="3FED4066" w:rsidP="3FED4066" w:rsidRDefault="3FED4066" w14:paraId="153010C4" w14:textId="01CDF9BF">
      <w:pPr>
        <w:jc w:val="center"/>
      </w:pPr>
    </w:p>
    <w:p w:rsidR="311DC879" w:rsidP="3FED4066" w:rsidRDefault="311DC879" w14:paraId="43775F35" w14:textId="4A4FAF30">
      <w:pPr>
        <w:pStyle w:val="Normal"/>
        <w:jc w:val="center"/>
        <w:rPr>
          <w:b w:val="1"/>
          <w:bCs w:val="1"/>
        </w:rPr>
      </w:pPr>
      <w:r w:rsidRPr="3FED4066" w:rsidR="311DC879">
        <w:rPr>
          <w:b w:val="1"/>
          <w:bCs w:val="1"/>
        </w:rPr>
        <w:t>Student ID</w:t>
      </w:r>
    </w:p>
    <w:p w:rsidR="311DC879" w:rsidP="3FED4066" w:rsidRDefault="311DC879" w14:paraId="45502F1C" w14:textId="6D931C7D">
      <w:pPr>
        <w:pStyle w:val="Normal"/>
        <w:jc w:val="center"/>
      </w:pPr>
      <w:r w:rsidR="311DC879">
        <w:rPr/>
        <w:t>2242532</w:t>
      </w:r>
    </w:p>
    <w:p w:rsidR="3FED4066" w:rsidP="3FED4066" w:rsidRDefault="3FED4066" w14:paraId="620DF10E" w14:textId="6F74CE4B">
      <w:pPr>
        <w:pStyle w:val="Normal"/>
        <w:jc w:val="center"/>
      </w:pPr>
    </w:p>
    <w:p w:rsidR="311DC879" w:rsidP="3FED4066" w:rsidRDefault="311DC879" w14:paraId="10A6836B" w14:textId="0AC111F2">
      <w:pPr>
        <w:pStyle w:val="Normal"/>
        <w:jc w:val="center"/>
        <w:rPr>
          <w:b w:val="1"/>
          <w:bCs w:val="1"/>
        </w:rPr>
      </w:pPr>
      <w:r w:rsidRPr="3FED4066" w:rsidR="311DC879">
        <w:rPr>
          <w:b w:val="1"/>
          <w:bCs w:val="1"/>
        </w:rPr>
        <w:t>Lecturer</w:t>
      </w:r>
    </w:p>
    <w:p w:rsidR="311DC879" w:rsidP="3FED4066" w:rsidRDefault="311DC879" w14:paraId="05B08501" w14:textId="4F201723">
      <w:pPr>
        <w:pStyle w:val="Normal"/>
        <w:jc w:val="center"/>
      </w:pPr>
      <w:r w:rsidR="311DC879">
        <w:rPr/>
        <w:t>Dr Haoran Liu</w:t>
      </w:r>
    </w:p>
    <w:p w:rsidR="3FED4066" w:rsidP="3FED4066" w:rsidRDefault="3FED4066" w14:paraId="6FB257E9" w14:textId="797EC50B">
      <w:pPr>
        <w:pStyle w:val="Normal"/>
        <w:jc w:val="center"/>
      </w:pPr>
    </w:p>
    <w:p w:rsidR="3FED4066" w:rsidP="3FED4066" w:rsidRDefault="3FED4066" w14:paraId="49D2883B" w14:textId="6FC644E1">
      <w:pPr>
        <w:pStyle w:val="Normal"/>
        <w:jc w:val="center"/>
      </w:pPr>
    </w:p>
    <w:p w:rsidR="3FED4066" w:rsidP="3FED4066" w:rsidRDefault="3FED4066" w14:paraId="6AC5F217" w14:textId="148B1D7A">
      <w:pPr>
        <w:pStyle w:val="Normal"/>
        <w:jc w:val="center"/>
      </w:pPr>
    </w:p>
    <w:p w:rsidR="6AC51C9F" w:rsidP="3FED4066" w:rsidRDefault="6AC51C9F" w14:paraId="0DD7C10B" w14:textId="2CBE2A80">
      <w:pPr>
        <w:pStyle w:val="Normal"/>
        <w:jc w:val="center"/>
        <w:rPr>
          <w:rFonts w:ascii="Times New Roman" w:hAnsi="Times New Roman" w:eastAsia="Times New Roman" w:cs="Times New Roman"/>
          <w:b w:val="1"/>
          <w:bCs w:val="1"/>
          <w:noProof w:val="0"/>
          <w:sz w:val="40"/>
          <w:szCs w:val="40"/>
          <w:lang w:val="en-GB"/>
        </w:rPr>
      </w:pPr>
      <w:r w:rsidRPr="3FED4066" w:rsidR="6AC51C9F">
        <w:rPr>
          <w:rFonts w:ascii="Times New Roman" w:hAnsi="Times New Roman" w:eastAsia="Times New Roman" w:cs="Times New Roman"/>
          <w:b w:val="1"/>
          <w:bCs w:val="1"/>
          <w:noProof w:val="0"/>
          <w:sz w:val="40"/>
          <w:szCs w:val="40"/>
          <w:lang w:val="en-GB"/>
        </w:rPr>
        <w:t>Marketing Management (LCMB7024_LON)</w:t>
      </w:r>
    </w:p>
    <w:p w:rsidR="3FED4066" w:rsidP="3FED4066" w:rsidRDefault="3FED4066" w14:paraId="4F2A00B0" w14:textId="72EBB29F">
      <w:pPr>
        <w:pStyle w:val="Normal"/>
        <w:jc w:val="center"/>
        <w:rPr>
          <w:rFonts w:ascii="Times New Roman" w:hAnsi="Times New Roman" w:eastAsia="Times New Roman" w:cs="Times New Roman"/>
          <w:b w:val="1"/>
          <w:bCs w:val="1"/>
          <w:sz w:val="40"/>
          <w:szCs w:val="40"/>
        </w:rPr>
      </w:pPr>
    </w:p>
    <w:p w:rsidR="3FED4066" w:rsidP="3FED4066" w:rsidRDefault="3FED4066" w14:paraId="34BEECE4" w14:textId="20EDDC83">
      <w:pPr>
        <w:pStyle w:val="Normal"/>
        <w:jc w:val="center"/>
        <w:rPr>
          <w:rFonts w:ascii="Times New Roman" w:hAnsi="Times New Roman" w:eastAsia="Times New Roman" w:cs="Times New Roman"/>
          <w:b w:val="1"/>
          <w:bCs w:val="1"/>
          <w:sz w:val="40"/>
          <w:szCs w:val="40"/>
        </w:rPr>
      </w:pPr>
    </w:p>
    <w:p w:rsidR="48DFF039" w:rsidRDefault="48DFF039" w14:paraId="39FD2525" w14:textId="68A496F2">
      <w:r>
        <w:br w:type="page"/>
      </w:r>
    </w:p>
    <w:sdt>
      <w:sdtPr>
        <w:id w:val="756933819"/>
        <w:docPartObj>
          <w:docPartGallery w:val="Table of Contents"/>
          <w:docPartUnique/>
        </w:docPartObj>
      </w:sdtPr>
      <w:sdtContent>
        <w:p w:rsidR="48DFF039" w:rsidP="3FED4066" w:rsidRDefault="48DFF039" w14:paraId="0AB68901" w14:textId="23441C19">
          <w:pPr>
            <w:pStyle w:val="TOC1"/>
            <w:tabs>
              <w:tab w:val="right" w:leader="dot" w:pos="9015"/>
            </w:tabs>
          </w:pPr>
          <w:r>
            <w:fldChar w:fldCharType="begin"/>
          </w:r>
          <w:r>
            <w:instrText xml:space="preserve">TOC \o "1-9" \z \u \h</w:instrText>
          </w:r>
          <w:r>
            <w:fldChar w:fldCharType="separate"/>
          </w:r>
          <w:hyperlink w:anchor="_Toc1724319820">
            <w:r w:rsidRPr="3FED4066" w:rsidR="3FED4066">
              <w:rPr>
                <w:rStyle w:val="Hyperlink"/>
              </w:rPr>
              <w:t>Introduction</w:t>
            </w:r>
            <w:r>
              <w:tab/>
            </w:r>
            <w:r>
              <w:fldChar w:fldCharType="begin"/>
            </w:r>
            <w:r>
              <w:instrText xml:space="preserve">PAGEREF _Toc1724319820 \h</w:instrText>
            </w:r>
            <w:r>
              <w:fldChar w:fldCharType="separate"/>
            </w:r>
            <w:r w:rsidRPr="3FED4066" w:rsidR="3FED4066">
              <w:rPr>
                <w:rStyle w:val="Hyperlink"/>
              </w:rPr>
              <w:t>2</w:t>
            </w:r>
            <w:r>
              <w:fldChar w:fldCharType="end"/>
            </w:r>
          </w:hyperlink>
        </w:p>
        <w:p w:rsidR="3FED4066" w:rsidP="3FED4066" w:rsidRDefault="3FED4066" w14:paraId="4B0D367D" w14:textId="6DEDE1F0">
          <w:pPr>
            <w:pStyle w:val="TOC3"/>
            <w:tabs>
              <w:tab w:val="right" w:leader="dot" w:pos="9015"/>
            </w:tabs>
            <w:bidi w:val="0"/>
          </w:pPr>
          <w:hyperlink w:anchor="_Toc496315846">
            <w:r w:rsidRPr="3FED4066" w:rsidR="3FED4066">
              <w:rPr>
                <w:rStyle w:val="Hyperlink"/>
              </w:rPr>
              <w:t>Figure 2 PESTEL Analysis of the External Marketing Environment Affecting BHP</w:t>
            </w:r>
            <w:r>
              <w:tab/>
            </w:r>
            <w:r>
              <w:fldChar w:fldCharType="begin"/>
            </w:r>
            <w:r>
              <w:instrText xml:space="preserve">PAGEREF _Toc496315846 \h</w:instrText>
            </w:r>
            <w:r>
              <w:fldChar w:fldCharType="separate"/>
            </w:r>
            <w:r w:rsidRPr="3FED4066" w:rsidR="3FED4066">
              <w:rPr>
                <w:rStyle w:val="Hyperlink"/>
              </w:rPr>
              <w:t>3</w:t>
            </w:r>
            <w:r>
              <w:fldChar w:fldCharType="end"/>
            </w:r>
          </w:hyperlink>
        </w:p>
        <w:p w:rsidR="3FED4066" w:rsidP="3FED4066" w:rsidRDefault="3FED4066" w14:paraId="422B6BDC" w14:textId="7A435E31">
          <w:pPr>
            <w:pStyle w:val="TOC3"/>
            <w:tabs>
              <w:tab w:val="right" w:leader="dot" w:pos="9015"/>
            </w:tabs>
            <w:bidi w:val="0"/>
          </w:pPr>
          <w:hyperlink w:anchor="_Toc1289850672">
            <w:r w:rsidRPr="3FED4066" w:rsidR="3FED4066">
              <w:rPr>
                <w:rStyle w:val="Hyperlink"/>
              </w:rPr>
              <w:t>Natural Environment</w:t>
            </w:r>
            <w:r>
              <w:tab/>
            </w:r>
            <w:r>
              <w:fldChar w:fldCharType="begin"/>
            </w:r>
            <w:r>
              <w:instrText xml:space="preserve">PAGEREF _Toc1289850672 \h</w:instrText>
            </w:r>
            <w:r>
              <w:fldChar w:fldCharType="separate"/>
            </w:r>
            <w:r w:rsidRPr="3FED4066" w:rsidR="3FED4066">
              <w:rPr>
                <w:rStyle w:val="Hyperlink"/>
              </w:rPr>
              <w:t>4</w:t>
            </w:r>
            <w:r>
              <w:fldChar w:fldCharType="end"/>
            </w:r>
          </w:hyperlink>
        </w:p>
        <w:p w:rsidR="3FED4066" w:rsidP="3FED4066" w:rsidRDefault="3FED4066" w14:paraId="699BE2DD" w14:textId="1ACCEE29">
          <w:pPr>
            <w:pStyle w:val="TOC3"/>
            <w:tabs>
              <w:tab w:val="right" w:leader="dot" w:pos="9015"/>
            </w:tabs>
            <w:bidi w:val="0"/>
          </w:pPr>
          <w:hyperlink w:anchor="_Toc1133941584">
            <w:r w:rsidRPr="3FED4066" w:rsidR="3FED4066">
              <w:rPr>
                <w:rStyle w:val="Hyperlink"/>
              </w:rPr>
              <w:t>Summary</w:t>
            </w:r>
            <w:r>
              <w:tab/>
            </w:r>
            <w:r>
              <w:fldChar w:fldCharType="begin"/>
            </w:r>
            <w:r>
              <w:instrText xml:space="preserve">PAGEREF _Toc1133941584 \h</w:instrText>
            </w:r>
            <w:r>
              <w:fldChar w:fldCharType="separate"/>
            </w:r>
            <w:r w:rsidRPr="3FED4066" w:rsidR="3FED4066">
              <w:rPr>
                <w:rStyle w:val="Hyperlink"/>
              </w:rPr>
              <w:t>5</w:t>
            </w:r>
            <w:r>
              <w:fldChar w:fldCharType="end"/>
            </w:r>
          </w:hyperlink>
        </w:p>
        <w:p w:rsidR="3FED4066" w:rsidP="3FED4066" w:rsidRDefault="3FED4066" w14:paraId="56CC8D1A" w14:textId="1C88BA31">
          <w:pPr>
            <w:pStyle w:val="TOC3"/>
            <w:tabs>
              <w:tab w:val="right" w:leader="dot" w:pos="9015"/>
            </w:tabs>
            <w:bidi w:val="0"/>
          </w:pPr>
          <w:hyperlink w:anchor="_Toc894111955">
            <w:r w:rsidRPr="3FED4066" w:rsidR="3FED4066">
              <w:rPr>
                <w:rStyle w:val="Hyperlink"/>
              </w:rPr>
              <w:t>Product Development Strategy Using the Ansoff Matrix</w:t>
            </w:r>
            <w:r>
              <w:tab/>
            </w:r>
            <w:r>
              <w:fldChar w:fldCharType="begin"/>
            </w:r>
            <w:r>
              <w:instrText xml:space="preserve">PAGEREF _Toc894111955 \h</w:instrText>
            </w:r>
            <w:r>
              <w:fldChar w:fldCharType="separate"/>
            </w:r>
            <w:r w:rsidRPr="3FED4066" w:rsidR="3FED4066">
              <w:rPr>
                <w:rStyle w:val="Hyperlink"/>
              </w:rPr>
              <w:t>5</w:t>
            </w:r>
            <w:r>
              <w:fldChar w:fldCharType="end"/>
            </w:r>
          </w:hyperlink>
        </w:p>
        <w:p w:rsidR="3FED4066" w:rsidP="3FED4066" w:rsidRDefault="3FED4066" w14:paraId="50DF5506" w14:textId="733AB57C">
          <w:pPr>
            <w:pStyle w:val="TOC3"/>
            <w:tabs>
              <w:tab w:val="right" w:leader="dot" w:pos="9015"/>
            </w:tabs>
            <w:bidi w:val="0"/>
          </w:pPr>
          <w:hyperlink w:anchor="_Toc1394638828">
            <w:r w:rsidRPr="3FED4066" w:rsidR="3FED4066">
              <w:rPr>
                <w:rStyle w:val="Hyperlink"/>
              </w:rPr>
              <w:t>Achieving Competitive Advantage</w:t>
            </w:r>
            <w:r>
              <w:tab/>
            </w:r>
            <w:r>
              <w:fldChar w:fldCharType="begin"/>
            </w:r>
            <w:r>
              <w:instrText xml:space="preserve">PAGEREF _Toc1394638828 \h</w:instrText>
            </w:r>
            <w:r>
              <w:fldChar w:fldCharType="separate"/>
            </w:r>
            <w:r w:rsidRPr="3FED4066" w:rsidR="3FED4066">
              <w:rPr>
                <w:rStyle w:val="Hyperlink"/>
              </w:rPr>
              <w:t>6</w:t>
            </w:r>
            <w:r>
              <w:fldChar w:fldCharType="end"/>
            </w:r>
          </w:hyperlink>
        </w:p>
        <w:p w:rsidR="3FED4066" w:rsidP="3FED4066" w:rsidRDefault="3FED4066" w14:paraId="7D34C477" w14:textId="49940282">
          <w:pPr>
            <w:pStyle w:val="TOC3"/>
            <w:tabs>
              <w:tab w:val="right" w:leader="dot" w:pos="9015"/>
            </w:tabs>
            <w:bidi w:val="0"/>
          </w:pPr>
          <w:hyperlink w:anchor="_Toc255799062">
            <w:r w:rsidRPr="3FED4066" w:rsidR="3FED4066">
              <w:rPr>
                <w:rStyle w:val="Hyperlink"/>
              </w:rPr>
              <w:t>Competitive Advantage, Recommendations and Conclusion</w:t>
            </w:r>
            <w:r>
              <w:tab/>
            </w:r>
            <w:r>
              <w:fldChar w:fldCharType="begin"/>
            </w:r>
            <w:r>
              <w:instrText xml:space="preserve">PAGEREF _Toc255799062 \h</w:instrText>
            </w:r>
            <w:r>
              <w:fldChar w:fldCharType="separate"/>
            </w:r>
            <w:r w:rsidRPr="3FED4066" w:rsidR="3FED4066">
              <w:rPr>
                <w:rStyle w:val="Hyperlink"/>
              </w:rPr>
              <w:t>7</w:t>
            </w:r>
            <w:r>
              <w:fldChar w:fldCharType="end"/>
            </w:r>
          </w:hyperlink>
        </w:p>
        <w:p w:rsidR="3FED4066" w:rsidP="3FED4066" w:rsidRDefault="3FED4066" w14:paraId="1400B761" w14:textId="0A4B7EF5">
          <w:pPr>
            <w:pStyle w:val="TOC2"/>
            <w:tabs>
              <w:tab w:val="right" w:leader="dot" w:pos="9015"/>
            </w:tabs>
            <w:bidi w:val="0"/>
          </w:pPr>
          <w:hyperlink w:anchor="_Toc1011548951">
            <w:r w:rsidRPr="3FED4066" w:rsidR="3FED4066">
              <w:rPr>
                <w:rStyle w:val="Hyperlink"/>
              </w:rPr>
              <w:t>Critical Reflection on AI Usage</w:t>
            </w:r>
            <w:r>
              <w:tab/>
            </w:r>
            <w:r>
              <w:fldChar w:fldCharType="begin"/>
            </w:r>
            <w:r>
              <w:instrText xml:space="preserve">PAGEREF _Toc1011548951 \h</w:instrText>
            </w:r>
            <w:r>
              <w:fldChar w:fldCharType="separate"/>
            </w:r>
            <w:r w:rsidRPr="3FED4066" w:rsidR="3FED4066">
              <w:rPr>
                <w:rStyle w:val="Hyperlink"/>
              </w:rPr>
              <w:t>8</w:t>
            </w:r>
            <w:r>
              <w:fldChar w:fldCharType="end"/>
            </w:r>
          </w:hyperlink>
        </w:p>
        <w:p w:rsidR="3FED4066" w:rsidP="3FED4066" w:rsidRDefault="3FED4066" w14:paraId="0DF2F3A3" w14:textId="27B8043E">
          <w:pPr>
            <w:pStyle w:val="TOC3"/>
            <w:tabs>
              <w:tab w:val="right" w:leader="dot" w:pos="9015"/>
            </w:tabs>
            <w:bidi w:val="0"/>
          </w:pPr>
          <w:hyperlink w:anchor="_Toc1191329669">
            <w:r w:rsidRPr="3FED4066" w:rsidR="3FED4066">
              <w:rPr>
                <w:rStyle w:val="Hyperlink"/>
              </w:rPr>
              <w:t>Tool Disclosure</w:t>
            </w:r>
            <w:r>
              <w:tab/>
            </w:r>
            <w:r>
              <w:fldChar w:fldCharType="begin"/>
            </w:r>
            <w:r>
              <w:instrText xml:space="preserve">PAGEREF _Toc1191329669 \h</w:instrText>
            </w:r>
            <w:r>
              <w:fldChar w:fldCharType="separate"/>
            </w:r>
            <w:r w:rsidRPr="3FED4066" w:rsidR="3FED4066">
              <w:rPr>
                <w:rStyle w:val="Hyperlink"/>
              </w:rPr>
              <w:t>9</w:t>
            </w:r>
            <w:r>
              <w:fldChar w:fldCharType="end"/>
            </w:r>
          </w:hyperlink>
        </w:p>
        <w:p w:rsidR="3FED4066" w:rsidP="3FED4066" w:rsidRDefault="3FED4066" w14:paraId="5E61F67D" w14:textId="1A2FA025">
          <w:pPr>
            <w:pStyle w:val="TOC3"/>
            <w:tabs>
              <w:tab w:val="right" w:leader="dot" w:pos="9015"/>
            </w:tabs>
            <w:bidi w:val="0"/>
          </w:pPr>
          <w:hyperlink w:anchor="_Toc1372926347">
            <w:r w:rsidRPr="3FED4066" w:rsidR="3FED4066">
              <w:rPr>
                <w:rStyle w:val="Hyperlink"/>
              </w:rPr>
              <w:t>Critical Evaluation of AI Output</w:t>
            </w:r>
            <w:r>
              <w:tab/>
            </w:r>
            <w:r>
              <w:fldChar w:fldCharType="begin"/>
            </w:r>
            <w:r>
              <w:instrText xml:space="preserve">PAGEREF _Toc1372926347 \h</w:instrText>
            </w:r>
            <w:r>
              <w:fldChar w:fldCharType="separate"/>
            </w:r>
            <w:r w:rsidRPr="3FED4066" w:rsidR="3FED4066">
              <w:rPr>
                <w:rStyle w:val="Hyperlink"/>
              </w:rPr>
              <w:t>9</w:t>
            </w:r>
            <w:r>
              <w:fldChar w:fldCharType="end"/>
            </w:r>
          </w:hyperlink>
        </w:p>
        <w:p w:rsidR="3FED4066" w:rsidP="3FED4066" w:rsidRDefault="3FED4066" w14:paraId="3080DB0C" w14:textId="4012E8EB">
          <w:pPr>
            <w:pStyle w:val="TOC3"/>
            <w:tabs>
              <w:tab w:val="right" w:leader="dot" w:pos="9015"/>
            </w:tabs>
            <w:bidi w:val="0"/>
          </w:pPr>
          <w:hyperlink w:anchor="_Toc1684677532">
            <w:r w:rsidRPr="3FED4066" w:rsidR="3FED4066">
              <w:rPr>
                <w:rStyle w:val="Hyperlink"/>
              </w:rPr>
              <w:t>Contribution Analysis</w:t>
            </w:r>
            <w:r>
              <w:tab/>
            </w:r>
            <w:r>
              <w:fldChar w:fldCharType="begin"/>
            </w:r>
            <w:r>
              <w:instrText xml:space="preserve">PAGEREF _Toc1684677532 \h</w:instrText>
            </w:r>
            <w:r>
              <w:fldChar w:fldCharType="separate"/>
            </w:r>
            <w:r w:rsidRPr="3FED4066" w:rsidR="3FED4066">
              <w:rPr>
                <w:rStyle w:val="Hyperlink"/>
              </w:rPr>
              <w:t>9</w:t>
            </w:r>
            <w:r>
              <w:fldChar w:fldCharType="end"/>
            </w:r>
          </w:hyperlink>
        </w:p>
        <w:p w:rsidR="3FED4066" w:rsidP="3FED4066" w:rsidRDefault="3FED4066" w14:paraId="0B48457F" w14:textId="593AC3D9">
          <w:pPr>
            <w:pStyle w:val="TOC3"/>
            <w:tabs>
              <w:tab w:val="right" w:leader="dot" w:pos="9015"/>
            </w:tabs>
            <w:bidi w:val="0"/>
          </w:pPr>
          <w:hyperlink w:anchor="_Toc58644948">
            <w:r w:rsidRPr="3FED4066" w:rsidR="3FED4066">
              <w:rPr>
                <w:rStyle w:val="Hyperlink"/>
              </w:rPr>
              <w:t>Ethical and Professional Reflection</w:t>
            </w:r>
            <w:r>
              <w:tab/>
            </w:r>
            <w:r>
              <w:fldChar w:fldCharType="begin"/>
            </w:r>
            <w:r>
              <w:instrText xml:space="preserve">PAGEREF _Toc58644948 \h</w:instrText>
            </w:r>
            <w:r>
              <w:fldChar w:fldCharType="separate"/>
            </w:r>
            <w:r w:rsidRPr="3FED4066" w:rsidR="3FED4066">
              <w:rPr>
                <w:rStyle w:val="Hyperlink"/>
              </w:rPr>
              <w:t>9</w:t>
            </w:r>
            <w:r>
              <w:fldChar w:fldCharType="end"/>
            </w:r>
          </w:hyperlink>
        </w:p>
        <w:p w:rsidR="3FED4066" w:rsidP="3FED4066" w:rsidRDefault="3FED4066" w14:paraId="448F784C" w14:textId="7C4EC8B2">
          <w:pPr>
            <w:pStyle w:val="TOC1"/>
            <w:tabs>
              <w:tab w:val="right" w:leader="dot" w:pos="9015"/>
            </w:tabs>
            <w:bidi w:val="0"/>
          </w:pPr>
          <w:hyperlink w:anchor="_Toc852202199">
            <w:r w:rsidRPr="3FED4066" w:rsidR="3FED4066">
              <w:rPr>
                <w:rStyle w:val="Hyperlink"/>
              </w:rPr>
              <w:t>References</w:t>
            </w:r>
            <w:r>
              <w:tab/>
            </w:r>
            <w:r>
              <w:fldChar w:fldCharType="begin"/>
            </w:r>
            <w:r>
              <w:instrText xml:space="preserve">PAGEREF _Toc852202199 \h</w:instrText>
            </w:r>
            <w:r>
              <w:fldChar w:fldCharType="separate"/>
            </w:r>
            <w:r w:rsidRPr="3FED4066" w:rsidR="3FED4066">
              <w:rPr>
                <w:rStyle w:val="Hyperlink"/>
              </w:rPr>
              <w:t>10</w:t>
            </w:r>
            <w:r>
              <w:fldChar w:fldCharType="end"/>
            </w:r>
          </w:hyperlink>
        </w:p>
        <w:p w:rsidR="48DFF039" w:rsidP="48DFF039" w:rsidRDefault="48DFF039" w14:paraId="1E5901A8" w14:textId="039DB7E0">
          <w:pPr>
            <w:pStyle w:val="TOC1"/>
            <w:bidi w:val="0"/>
          </w:pPr>
          <w:r>
            <w:fldChar w:fldCharType="end"/>
          </w:r>
        </w:p>
      </w:sdtContent>
    </w:sdt>
    <w:p w:rsidR="48DFF039" w:rsidP="48DFF039" w:rsidRDefault="48DFF039" w14:paraId="3D668CAD" w14:textId="05DA19A4">
      <w:pPr>
        <w:pStyle w:val="Normal"/>
      </w:pPr>
    </w:p>
    <w:p w:rsidR="3FED4066" w:rsidRDefault="3FED4066" w14:paraId="6E651567" w14:textId="11645406">
      <w:r>
        <w:br w:type="page"/>
      </w:r>
    </w:p>
    <w:p w:rsidR="4E8C6D04" w:rsidP="3FED4066" w:rsidRDefault="4E8C6D04" w14:paraId="0F48F454" w14:textId="03611B49">
      <w:pPr>
        <w:pStyle w:val="Heading1"/>
        <w:rPr>
          <w:b w:val="1"/>
          <w:bCs w:val="1"/>
        </w:rPr>
      </w:pPr>
      <w:bookmarkStart w:name="_Toc1724319820" w:id="1266522574"/>
      <w:r w:rsidRPr="3FED4066" w:rsidR="4E8C6D04">
        <w:rPr>
          <w:b w:val="1"/>
          <w:bCs w:val="1"/>
        </w:rPr>
        <w:t>Introduction</w:t>
      </w:r>
      <w:bookmarkEnd w:id="1266522574"/>
    </w:p>
    <w:p w:rsidR="4E8C6D04" w:rsidP="3FED4066" w:rsidRDefault="4E8C6D04" w14:paraId="0D1568F1" w14:textId="22F3C969">
      <w:pPr>
        <w:pStyle w:val="Normal"/>
      </w:pPr>
      <w:r w:rsidRPr="3FED4066" w:rsidR="4E8C6D04">
        <w:rPr>
          <w:rFonts w:ascii="Times New Roman" w:hAnsi="Times New Roman" w:eastAsia="Times New Roman" w:cs="Times New Roman"/>
          <w:b w:val="0"/>
          <w:bCs w:val="0"/>
        </w:rPr>
        <w:t xml:space="preserve">BHP is one of the world's largest mining companies, producing essential commodities including iron ore, copper, </w:t>
      </w:r>
      <w:r w:rsidRPr="3FED4066" w:rsidR="4E8C6D04">
        <w:rPr>
          <w:rFonts w:ascii="Times New Roman" w:hAnsi="Times New Roman" w:eastAsia="Times New Roman" w:cs="Times New Roman"/>
          <w:b w:val="0"/>
          <w:bCs w:val="0"/>
        </w:rPr>
        <w:t>nickel</w:t>
      </w:r>
      <w:r w:rsidRPr="3FED4066" w:rsidR="4E8C6D04">
        <w:rPr>
          <w:rFonts w:ascii="Times New Roman" w:hAnsi="Times New Roman" w:eastAsia="Times New Roman" w:cs="Times New Roman"/>
          <w:b w:val="0"/>
          <w:bCs w:val="0"/>
        </w:rPr>
        <w:t xml:space="preserve"> and potash. These resources are fundamental to global infrastructure, renewable energy </w:t>
      </w:r>
      <w:r w:rsidRPr="3FED4066" w:rsidR="4E8C6D04">
        <w:rPr>
          <w:rFonts w:ascii="Times New Roman" w:hAnsi="Times New Roman" w:eastAsia="Times New Roman" w:cs="Times New Roman"/>
          <w:b w:val="0"/>
          <w:bCs w:val="0"/>
        </w:rPr>
        <w:t>technologies</w:t>
      </w:r>
      <w:r w:rsidRPr="3FED4066" w:rsidR="4E8C6D04">
        <w:rPr>
          <w:rFonts w:ascii="Times New Roman" w:hAnsi="Times New Roman" w:eastAsia="Times New Roman" w:cs="Times New Roman"/>
          <w:b w:val="0"/>
          <w:bCs w:val="0"/>
        </w:rPr>
        <w:t xml:space="preserve"> and the transition towards a low-carbon economy. However, mining activities are also associated with significant greenhouse gas emissions, biodiversity </w:t>
      </w:r>
      <w:r w:rsidRPr="3FED4066" w:rsidR="4E8C6D04">
        <w:rPr>
          <w:rFonts w:ascii="Times New Roman" w:hAnsi="Times New Roman" w:eastAsia="Times New Roman" w:cs="Times New Roman"/>
          <w:b w:val="0"/>
          <w:bCs w:val="0"/>
        </w:rPr>
        <w:t>loss</w:t>
      </w:r>
      <w:r w:rsidRPr="3FED4066" w:rsidR="4E8C6D04">
        <w:rPr>
          <w:rFonts w:ascii="Times New Roman" w:hAnsi="Times New Roman" w:eastAsia="Times New Roman" w:cs="Times New Roman"/>
          <w:b w:val="0"/>
          <w:bCs w:val="0"/>
        </w:rPr>
        <w:t xml:space="preserve"> and high energy consumption. Consequently, BHP </w:t>
      </w:r>
      <w:r w:rsidRPr="3FED4066" w:rsidR="4E8C6D04">
        <w:rPr>
          <w:rFonts w:ascii="Times New Roman" w:hAnsi="Times New Roman" w:eastAsia="Times New Roman" w:cs="Times New Roman"/>
          <w:b w:val="0"/>
          <w:bCs w:val="0"/>
        </w:rPr>
        <w:t>operates</w:t>
      </w:r>
      <w:r w:rsidRPr="3FED4066" w:rsidR="4E8C6D04">
        <w:rPr>
          <w:rFonts w:ascii="Times New Roman" w:hAnsi="Times New Roman" w:eastAsia="Times New Roman" w:cs="Times New Roman"/>
          <w:b w:val="0"/>
          <w:bCs w:val="0"/>
        </w:rPr>
        <w:t xml:space="preserve"> within a complex external marketing environment where environmental sustainability increasingly influences corporate reputation, stakeholder </w:t>
      </w:r>
      <w:r w:rsidRPr="3FED4066" w:rsidR="4E8C6D04">
        <w:rPr>
          <w:rFonts w:ascii="Times New Roman" w:hAnsi="Times New Roman" w:eastAsia="Times New Roman" w:cs="Times New Roman"/>
          <w:b w:val="0"/>
          <w:bCs w:val="0"/>
        </w:rPr>
        <w:t>expectations</w:t>
      </w:r>
      <w:r w:rsidRPr="3FED4066" w:rsidR="4E8C6D04">
        <w:rPr>
          <w:rFonts w:ascii="Times New Roman" w:hAnsi="Times New Roman" w:eastAsia="Times New Roman" w:cs="Times New Roman"/>
          <w:b w:val="0"/>
          <w:bCs w:val="0"/>
        </w:rPr>
        <w:t xml:space="preserve"> and long-term competitiveness. According to Kotler et al. (2024), organisations must continuously </w:t>
      </w:r>
      <w:r w:rsidRPr="3FED4066" w:rsidR="4E8C6D04">
        <w:rPr>
          <w:rFonts w:ascii="Times New Roman" w:hAnsi="Times New Roman" w:eastAsia="Times New Roman" w:cs="Times New Roman"/>
          <w:b w:val="0"/>
          <w:bCs w:val="0"/>
        </w:rPr>
        <w:t>monitor</w:t>
      </w:r>
      <w:r w:rsidRPr="3FED4066" w:rsidR="4E8C6D04">
        <w:rPr>
          <w:rFonts w:ascii="Times New Roman" w:hAnsi="Times New Roman" w:eastAsia="Times New Roman" w:cs="Times New Roman"/>
          <w:b w:val="0"/>
          <w:bCs w:val="0"/>
        </w:rPr>
        <w:t xml:space="preserve"> external environmental forces because they create both opportunities and threats that shape strategic decision-making. This report critically analyses two key external marketing environment actors affecting BHP's transition towards lower-carbon products. The </w:t>
      </w:r>
      <w:r w:rsidRPr="3FED4066" w:rsidR="4E8C6D04">
        <w:rPr>
          <w:rFonts w:ascii="Times New Roman" w:hAnsi="Times New Roman" w:eastAsia="Times New Roman" w:cs="Times New Roman"/>
          <w:noProof w:val="0"/>
          <w:sz w:val="24"/>
          <w:szCs w:val="24"/>
          <w:lang w:val="en-GB"/>
        </w:rPr>
        <w:t>natural environment</w:t>
      </w:r>
      <w:r w:rsidRPr="3FED4066" w:rsidR="4E8C6D04">
        <w:rPr>
          <w:rFonts w:ascii="Times New Roman" w:hAnsi="Times New Roman" w:eastAsia="Times New Roman" w:cs="Times New Roman"/>
          <w:b w:val="0"/>
          <w:bCs w:val="0"/>
        </w:rPr>
        <w:t xml:space="preserve"> is examined as the primary influence, alongside the </w:t>
      </w:r>
      <w:r w:rsidRPr="3FED4066" w:rsidR="4E8C6D04">
        <w:rPr>
          <w:rFonts w:ascii="Times New Roman" w:hAnsi="Times New Roman" w:eastAsia="Times New Roman" w:cs="Times New Roman"/>
          <w:noProof w:val="0"/>
          <w:sz w:val="24"/>
          <w:szCs w:val="24"/>
          <w:lang w:val="en-GB"/>
        </w:rPr>
        <w:t>political</w:t>
      </w:r>
      <w:r w:rsidRPr="3FED4066" w:rsidR="4E8C6D04">
        <w:rPr>
          <w:rFonts w:ascii="Times New Roman" w:hAnsi="Times New Roman" w:eastAsia="Times New Roman" w:cs="Times New Roman"/>
          <w:b w:val="0"/>
          <w:bCs w:val="0"/>
        </w:rPr>
        <w:t xml:space="preserve"> and </w:t>
      </w:r>
      <w:r w:rsidRPr="3FED4066" w:rsidR="4E8C6D04">
        <w:rPr>
          <w:rFonts w:ascii="Times New Roman" w:hAnsi="Times New Roman" w:eastAsia="Times New Roman" w:cs="Times New Roman"/>
          <w:noProof w:val="0"/>
          <w:sz w:val="24"/>
          <w:szCs w:val="24"/>
          <w:lang w:val="en-GB"/>
        </w:rPr>
        <w:t>regulatory environment,</w:t>
      </w:r>
      <w:r w:rsidRPr="3FED4066" w:rsidR="4E8C6D04">
        <w:rPr>
          <w:rFonts w:ascii="Times New Roman" w:hAnsi="Times New Roman" w:eastAsia="Times New Roman" w:cs="Times New Roman"/>
          <w:b w:val="0"/>
          <w:bCs w:val="0"/>
        </w:rPr>
        <w:t xml:space="preserve"> to evaluate how these external factors drive sustainable innovation and strategic marketing decisions.</w:t>
      </w:r>
    </w:p>
    <w:p w:rsidR="5C124918" w:rsidP="3FED4066" w:rsidRDefault="5C124918" w14:paraId="4697C35B" w14:textId="26F2382F">
      <w:pPr>
        <w:pStyle w:val="Heading3"/>
        <w:suppressLineNumbers w:val="0"/>
        <w:bidi w:val="0"/>
        <w:rPr>
          <w:noProof w:val="0"/>
          <w:lang w:val="en-GB"/>
        </w:rPr>
      </w:pPr>
      <w:bookmarkStart w:name="_Toc496315846" w:id="1772694489"/>
      <w:r w:rsidRPr="3FED4066" w:rsidR="5C124918">
        <w:rPr>
          <w:noProof w:val="0"/>
          <w:lang w:val="en-GB"/>
        </w:rPr>
        <w:t xml:space="preserve">Figure 2 </w:t>
      </w:r>
      <w:r w:rsidRPr="3FED4066" w:rsidR="6357A094">
        <w:rPr>
          <w:noProof w:val="0"/>
          <w:lang w:val="en-GB"/>
        </w:rPr>
        <w:t>PESTEL Analysis of the External Marketing Environment Affecting BHP</w:t>
      </w:r>
      <w:bookmarkEnd w:id="1772694489"/>
    </w:p>
    <w:tbl>
      <w:tblPr>
        <w:tblStyle w:val="TableGrid"/>
        <w:tblW w:w="0" w:type="auto"/>
        <w:tblLook w:val="06A0" w:firstRow="1" w:lastRow="0" w:firstColumn="1" w:lastColumn="0" w:noHBand="1" w:noVBand="1"/>
      </w:tblPr>
      <w:tblGrid>
        <w:gridCol w:w="1740"/>
        <w:gridCol w:w="5880"/>
        <w:gridCol w:w="1510"/>
      </w:tblGrid>
      <w:tr w:rsidR="3FED4066" w:rsidTr="3FED4066" w14:paraId="4EF30424">
        <w:trPr>
          <w:trHeight w:val="435"/>
        </w:trPr>
        <w:tc>
          <w:tcPr>
            <w:tcW w:w="1740" w:type="dxa"/>
            <w:shd w:val="clear" w:color="auto" w:fill="45B0E1" w:themeFill="accent1" w:themeFillTint="99"/>
            <w:tcMar/>
          </w:tcPr>
          <w:p w:rsidR="2FF2FFF5" w:rsidP="3FED4066" w:rsidRDefault="2FF2FFF5" w14:paraId="1C902B93" w14:textId="3BD497F2">
            <w:pPr>
              <w:pStyle w:val="Normal"/>
            </w:pPr>
            <w:r w:rsidRPr="3FED4066" w:rsidR="2FF2FFF5">
              <w:rPr>
                <w:noProof w:val="0"/>
                <w:lang w:val="en-GB"/>
              </w:rPr>
              <w:t>PESTEL Factor</w:t>
            </w:r>
          </w:p>
        </w:tc>
        <w:tc>
          <w:tcPr>
            <w:tcW w:w="5880" w:type="dxa"/>
            <w:shd w:val="clear" w:color="auto" w:fill="45B0E1" w:themeFill="accent1" w:themeFillTint="99"/>
            <w:tcMar/>
          </w:tcPr>
          <w:p w:rsidR="2FF2FFF5" w:rsidP="3FED4066" w:rsidRDefault="2FF2FFF5" w14:paraId="12BE63FA" w14:textId="06766AEA">
            <w:pPr>
              <w:pStyle w:val="Normal"/>
            </w:pPr>
            <w:r w:rsidRPr="3FED4066" w:rsidR="2FF2FFF5">
              <w:rPr>
                <w:noProof w:val="0"/>
                <w:lang w:val="en-GB"/>
              </w:rPr>
              <w:t>Relevance to BHP</w:t>
            </w:r>
          </w:p>
        </w:tc>
        <w:tc>
          <w:tcPr>
            <w:tcW w:w="1510" w:type="dxa"/>
            <w:shd w:val="clear" w:color="auto" w:fill="45B0E1" w:themeFill="accent1" w:themeFillTint="99"/>
            <w:tcMar/>
          </w:tcPr>
          <w:p w:rsidR="2FF2FFF5" w:rsidP="3FED4066" w:rsidRDefault="2FF2FFF5" w14:paraId="2398AE99" w14:textId="0883DFF2">
            <w:pPr>
              <w:pStyle w:val="Normal"/>
            </w:pPr>
            <w:r w:rsidRPr="3FED4066" w:rsidR="2FF2FFF5">
              <w:rPr>
                <w:noProof w:val="0"/>
                <w:lang w:val="en-GB"/>
              </w:rPr>
              <w:t>Importance to this Report</w:t>
            </w:r>
          </w:p>
        </w:tc>
      </w:tr>
      <w:tr w:rsidR="3FED4066" w:rsidTr="3FED4066" w14:paraId="1F346975">
        <w:trPr>
          <w:trHeight w:val="300"/>
        </w:trPr>
        <w:tc>
          <w:tcPr>
            <w:tcW w:w="1740" w:type="dxa"/>
            <w:shd w:val="clear" w:color="auto" w:fill="FCEA60"/>
            <w:tcMar/>
          </w:tcPr>
          <w:p w:rsidR="2FF2FFF5" w:rsidP="3FED4066" w:rsidRDefault="2FF2FFF5" w14:paraId="593DC925" w14:textId="6D6ABFE7">
            <w:pPr>
              <w:pStyle w:val="Normal"/>
            </w:pPr>
            <w:r w:rsidRPr="3FED4066" w:rsidR="2FF2FFF5">
              <w:rPr>
                <w:noProof w:val="0"/>
                <w:lang w:val="en-GB"/>
              </w:rPr>
              <w:t>Political</w:t>
            </w:r>
          </w:p>
        </w:tc>
        <w:tc>
          <w:tcPr>
            <w:tcW w:w="5880" w:type="dxa"/>
            <w:tcMar/>
          </w:tcPr>
          <w:p w:rsidR="2FF2FFF5" w:rsidP="3FED4066" w:rsidRDefault="2FF2FFF5" w14:paraId="4352C178" w14:textId="10455F6C">
            <w:pPr>
              <w:pStyle w:val="Normal"/>
            </w:pPr>
            <w:r w:rsidRPr="3FED4066" w:rsidR="2FF2FFF5">
              <w:rPr>
                <w:noProof w:val="0"/>
                <w:lang w:val="en-GB"/>
              </w:rPr>
              <w:t>Government climate policies, mining regulations and support for clean energy influence BHP's sustainability strategy</w:t>
            </w:r>
          </w:p>
        </w:tc>
        <w:tc>
          <w:tcPr>
            <w:tcW w:w="1510" w:type="dxa"/>
            <w:tcMar/>
          </w:tcPr>
          <w:p w:rsidR="2FF2FFF5" w:rsidP="3FED4066" w:rsidRDefault="2FF2FFF5" w14:paraId="4DEACE23" w14:textId="5EF96A80">
            <w:pPr>
              <w:pStyle w:val="Normal"/>
            </w:pPr>
            <w:r w:rsidRPr="3FED4066" w:rsidR="2FF2FFF5">
              <w:rPr>
                <w:noProof w:val="0"/>
                <w:lang w:val="en-GB"/>
              </w:rPr>
              <w:t>High – analysed in Task 1</w:t>
            </w:r>
          </w:p>
        </w:tc>
      </w:tr>
      <w:tr w:rsidR="3FED4066" w:rsidTr="3FED4066" w14:paraId="7E73F84A">
        <w:trPr>
          <w:trHeight w:val="300"/>
        </w:trPr>
        <w:tc>
          <w:tcPr>
            <w:tcW w:w="1740" w:type="dxa"/>
            <w:shd w:val="clear" w:color="auto" w:fill="FCEA60"/>
            <w:tcMar/>
          </w:tcPr>
          <w:p w:rsidR="2FF2FFF5" w:rsidP="3FED4066" w:rsidRDefault="2FF2FFF5" w14:paraId="4E9257A2" w14:textId="4B84987B">
            <w:pPr>
              <w:pStyle w:val="Normal"/>
            </w:pPr>
            <w:r w:rsidRPr="3FED4066" w:rsidR="2FF2FFF5">
              <w:rPr>
                <w:noProof w:val="0"/>
                <w:lang w:val="en-GB"/>
              </w:rPr>
              <w:t>Economic</w:t>
            </w:r>
          </w:p>
        </w:tc>
        <w:tc>
          <w:tcPr>
            <w:tcW w:w="5880" w:type="dxa"/>
            <w:tcMar/>
          </w:tcPr>
          <w:p w:rsidR="2FF2FFF5" w:rsidP="3FED4066" w:rsidRDefault="2FF2FFF5" w14:paraId="0B0840F2" w14:textId="060059FF">
            <w:pPr>
              <w:pStyle w:val="Normal"/>
            </w:pPr>
            <w:r w:rsidRPr="3FED4066" w:rsidR="2FF2FFF5">
              <w:rPr>
                <w:noProof w:val="0"/>
                <w:lang w:val="en-GB"/>
              </w:rPr>
              <w:t>Global demand for critical minerals, commodity price fluctuations and investment in renewable energy affect profitability.</w:t>
            </w:r>
          </w:p>
        </w:tc>
        <w:tc>
          <w:tcPr>
            <w:tcW w:w="1510" w:type="dxa"/>
            <w:tcMar/>
          </w:tcPr>
          <w:p w:rsidR="2FF2FFF5" w:rsidP="3FED4066" w:rsidRDefault="2FF2FFF5" w14:paraId="0F2CD79C" w14:textId="739B24FF">
            <w:pPr>
              <w:pStyle w:val="Normal"/>
            </w:pPr>
            <w:r w:rsidRPr="3FED4066" w:rsidR="2FF2FFF5">
              <w:rPr>
                <w:noProof w:val="0"/>
                <w:lang w:val="en-GB"/>
              </w:rPr>
              <w:t>Moderate</w:t>
            </w:r>
          </w:p>
        </w:tc>
      </w:tr>
      <w:tr w:rsidR="3FED4066" w:rsidTr="3FED4066" w14:paraId="29A5DA16">
        <w:trPr>
          <w:trHeight w:val="300"/>
        </w:trPr>
        <w:tc>
          <w:tcPr>
            <w:tcW w:w="1740" w:type="dxa"/>
            <w:shd w:val="clear" w:color="auto" w:fill="FCEA60"/>
            <w:tcMar/>
          </w:tcPr>
          <w:p w:rsidR="2FF2FFF5" w:rsidP="3FED4066" w:rsidRDefault="2FF2FFF5" w14:paraId="6D8789C1" w14:textId="17C4DA30">
            <w:pPr>
              <w:pStyle w:val="Normal"/>
            </w:pPr>
            <w:r w:rsidRPr="3FED4066" w:rsidR="2FF2FFF5">
              <w:rPr>
                <w:noProof w:val="0"/>
                <w:lang w:val="en-GB"/>
              </w:rPr>
              <w:t>Social</w:t>
            </w:r>
          </w:p>
        </w:tc>
        <w:tc>
          <w:tcPr>
            <w:tcW w:w="5880" w:type="dxa"/>
            <w:tcMar/>
          </w:tcPr>
          <w:p w:rsidR="2FF2FFF5" w:rsidP="3FED4066" w:rsidRDefault="2FF2FFF5" w14:paraId="17EC8FDE" w14:textId="059183EC">
            <w:pPr>
              <w:pStyle w:val="Normal"/>
            </w:pPr>
            <w:r w:rsidRPr="3FED4066" w:rsidR="2FF2FFF5">
              <w:rPr>
                <w:noProof w:val="0"/>
                <w:lang w:val="en-GB"/>
              </w:rPr>
              <w:t>Increasing stakeholder expectations for ethical mining, ESG performance and corporate sustainability.</w:t>
            </w:r>
          </w:p>
        </w:tc>
        <w:tc>
          <w:tcPr>
            <w:tcW w:w="1510" w:type="dxa"/>
            <w:tcMar/>
          </w:tcPr>
          <w:p w:rsidR="2FF2FFF5" w:rsidP="3FED4066" w:rsidRDefault="2FF2FFF5" w14:paraId="09C72167" w14:textId="34F640DA">
            <w:pPr>
              <w:pStyle w:val="Normal"/>
            </w:pPr>
            <w:r w:rsidRPr="3FED4066" w:rsidR="2FF2FFF5">
              <w:rPr>
                <w:noProof w:val="0"/>
                <w:lang w:val="en-GB"/>
              </w:rPr>
              <w:t>Moderate</w:t>
            </w:r>
          </w:p>
        </w:tc>
      </w:tr>
      <w:tr w:rsidR="3FED4066" w:rsidTr="3FED4066" w14:paraId="343591AE">
        <w:trPr>
          <w:trHeight w:val="300"/>
        </w:trPr>
        <w:tc>
          <w:tcPr>
            <w:tcW w:w="1740" w:type="dxa"/>
            <w:shd w:val="clear" w:color="auto" w:fill="FCEA60"/>
            <w:tcMar/>
          </w:tcPr>
          <w:p w:rsidR="2FF2FFF5" w:rsidP="3FED4066" w:rsidRDefault="2FF2FFF5" w14:paraId="631F2476" w14:textId="31CA1325">
            <w:pPr>
              <w:pStyle w:val="Normal"/>
            </w:pPr>
            <w:r w:rsidRPr="3FED4066" w:rsidR="2FF2FFF5">
              <w:rPr>
                <w:noProof w:val="0"/>
                <w:lang w:val="en-GB"/>
              </w:rPr>
              <w:t>Technological</w:t>
            </w:r>
          </w:p>
        </w:tc>
        <w:tc>
          <w:tcPr>
            <w:tcW w:w="5880" w:type="dxa"/>
            <w:tcMar/>
          </w:tcPr>
          <w:p w:rsidR="2FF2FFF5" w:rsidP="3FED4066" w:rsidRDefault="2FF2FFF5" w14:paraId="2C9A1A37" w14:textId="22BF820C">
            <w:pPr>
              <w:pStyle w:val="Normal"/>
            </w:pPr>
            <w:r w:rsidRPr="3FED4066" w:rsidR="2FF2FFF5">
              <w:rPr>
                <w:noProof w:val="0"/>
                <w:lang w:val="en-GB"/>
              </w:rPr>
              <w:t>Investment in low-carbon mining technologies, automation, renewable energy and carbon capture improves operational efficiency.</w:t>
            </w:r>
          </w:p>
        </w:tc>
        <w:tc>
          <w:tcPr>
            <w:tcW w:w="1510" w:type="dxa"/>
            <w:tcMar/>
          </w:tcPr>
          <w:p w:rsidR="2FF2FFF5" w:rsidP="3FED4066" w:rsidRDefault="2FF2FFF5" w14:paraId="05F2E51A" w14:textId="615973AA">
            <w:pPr>
              <w:pStyle w:val="Normal"/>
            </w:pPr>
            <w:r w:rsidRPr="3FED4066" w:rsidR="2FF2FFF5">
              <w:rPr>
                <w:noProof w:val="0"/>
                <w:lang w:val="en-GB"/>
              </w:rPr>
              <w:t>Moderate</w:t>
            </w:r>
          </w:p>
        </w:tc>
      </w:tr>
      <w:tr w:rsidR="3FED4066" w:rsidTr="3FED4066" w14:paraId="17D0D400">
        <w:trPr>
          <w:trHeight w:val="300"/>
        </w:trPr>
        <w:tc>
          <w:tcPr>
            <w:tcW w:w="1740" w:type="dxa"/>
            <w:shd w:val="clear" w:color="auto" w:fill="FCEA60"/>
            <w:tcMar/>
          </w:tcPr>
          <w:p w:rsidR="2FF2FFF5" w:rsidP="3FED4066" w:rsidRDefault="2FF2FFF5" w14:paraId="46043F29" w14:textId="1C78DBCF">
            <w:pPr>
              <w:pStyle w:val="Normal"/>
            </w:pPr>
            <w:r w:rsidRPr="3FED4066" w:rsidR="2FF2FFF5">
              <w:rPr>
                <w:noProof w:val="0"/>
                <w:lang w:val="en-GB"/>
              </w:rPr>
              <w:t>Environmental</w:t>
            </w:r>
          </w:p>
        </w:tc>
        <w:tc>
          <w:tcPr>
            <w:tcW w:w="5880" w:type="dxa"/>
            <w:tcMar/>
          </w:tcPr>
          <w:p w:rsidR="2FF2FFF5" w:rsidP="3FED4066" w:rsidRDefault="2FF2FFF5" w14:paraId="3B37CB4B" w14:textId="37DF6F5E">
            <w:pPr>
              <w:pStyle w:val="Normal"/>
            </w:pPr>
            <w:r w:rsidRPr="3FED4066" w:rsidR="2FF2FFF5">
              <w:rPr>
                <w:noProof w:val="0"/>
                <w:lang w:val="en-GB"/>
              </w:rPr>
              <w:t>Climate change, carbon reduction targets, resource sustainability and emission reduction are key drivers of BHP's transition to lower-carbon products.</w:t>
            </w:r>
          </w:p>
        </w:tc>
        <w:tc>
          <w:tcPr>
            <w:tcW w:w="1510" w:type="dxa"/>
            <w:tcMar/>
          </w:tcPr>
          <w:p w:rsidR="2FF2FFF5" w:rsidP="3FED4066" w:rsidRDefault="2FF2FFF5" w14:paraId="0968A637" w14:textId="05CA302C">
            <w:pPr>
              <w:pStyle w:val="Normal"/>
            </w:pPr>
            <w:r w:rsidRPr="3FED4066" w:rsidR="2FF2FFF5">
              <w:rPr>
                <w:noProof w:val="0"/>
                <w:lang w:val="en-GB"/>
              </w:rPr>
              <w:t>High – analysed in Task 1</w:t>
            </w:r>
          </w:p>
        </w:tc>
      </w:tr>
      <w:tr w:rsidR="3FED4066" w:rsidTr="3FED4066" w14:paraId="4FC25B0C">
        <w:trPr>
          <w:trHeight w:val="300"/>
        </w:trPr>
        <w:tc>
          <w:tcPr>
            <w:tcW w:w="1740" w:type="dxa"/>
            <w:shd w:val="clear" w:color="auto" w:fill="FCEA60"/>
            <w:tcMar/>
          </w:tcPr>
          <w:p w:rsidR="2FF2FFF5" w:rsidP="3FED4066" w:rsidRDefault="2FF2FFF5" w14:paraId="5151F5DE" w14:textId="14F75843">
            <w:pPr>
              <w:pStyle w:val="Normal"/>
            </w:pPr>
            <w:r w:rsidRPr="3FED4066" w:rsidR="2FF2FFF5">
              <w:rPr>
                <w:noProof w:val="0"/>
                <w:lang w:val="en-GB"/>
              </w:rPr>
              <w:t>Legal</w:t>
            </w:r>
          </w:p>
        </w:tc>
        <w:tc>
          <w:tcPr>
            <w:tcW w:w="5880" w:type="dxa"/>
            <w:tcMar/>
          </w:tcPr>
          <w:p w:rsidR="2FF2FFF5" w:rsidP="3FED4066" w:rsidRDefault="2FF2FFF5" w14:paraId="50B14624" w14:textId="05D79F41">
            <w:pPr>
              <w:pStyle w:val="Normal"/>
            </w:pPr>
            <w:r w:rsidRPr="3FED4066" w:rsidR="2FF2FFF5">
              <w:rPr>
                <w:noProof w:val="0"/>
                <w:lang w:val="en-GB"/>
              </w:rPr>
              <w:t>Environmental legislation, emissions reporting and sustainability compliance requirements shape business operations.</w:t>
            </w:r>
          </w:p>
        </w:tc>
        <w:tc>
          <w:tcPr>
            <w:tcW w:w="1510" w:type="dxa"/>
            <w:tcMar/>
          </w:tcPr>
          <w:p w:rsidR="2FF2FFF5" w:rsidP="3FED4066" w:rsidRDefault="2FF2FFF5" w14:paraId="45164668" w14:textId="495AF6B2">
            <w:pPr>
              <w:pStyle w:val="Normal"/>
            </w:pPr>
            <w:r w:rsidRPr="3FED4066" w:rsidR="2FF2FFF5">
              <w:rPr>
                <w:noProof w:val="0"/>
                <w:lang w:val="en-GB"/>
              </w:rPr>
              <w:t>Moderate</w:t>
            </w:r>
          </w:p>
        </w:tc>
      </w:tr>
    </w:tbl>
    <w:p w:rsidR="0585A7C2" w:rsidP="3FED4066" w:rsidRDefault="0585A7C2" w14:paraId="3519FCC0" w14:textId="461E1B52">
      <w:pPr>
        <w:pStyle w:val="Normal"/>
        <w:suppressLineNumbers w:val="0"/>
        <w:bidi w:val="0"/>
        <w:spacing w:before="0" w:beforeAutospacing="off" w:after="160" w:afterAutospacing="off" w:line="279" w:lineRule="auto"/>
        <w:ind w:left="0" w:right="0"/>
        <w:jc w:val="left"/>
      </w:pPr>
      <w:r w:rsidRPr="3FED4066" w:rsidR="0585A7C2">
        <w:rPr>
          <w:noProof w:val="0"/>
          <w:lang w:val="en-GB"/>
        </w:rPr>
        <w:t>(Adapted from Kotler et al., 2024)</w:t>
      </w:r>
    </w:p>
    <w:p w:rsidR="3FED4066" w:rsidP="3FED4066" w:rsidRDefault="3FED4066" w14:paraId="5EBB2A2D" w14:textId="00D43E66">
      <w:pPr>
        <w:pStyle w:val="Normal"/>
        <w:suppressLineNumbers w:val="0"/>
        <w:bidi w:val="0"/>
        <w:spacing w:before="0" w:beforeAutospacing="off" w:after="160" w:afterAutospacing="off" w:line="279" w:lineRule="auto"/>
        <w:ind w:left="0" w:right="0"/>
        <w:jc w:val="left"/>
        <w:rPr>
          <w:noProof w:val="0"/>
          <w:lang w:val="en-GB"/>
        </w:rPr>
      </w:pPr>
    </w:p>
    <w:p w:rsidR="1CA0932D" w:rsidP="3FED4066" w:rsidRDefault="1CA0932D" w14:paraId="3431C477" w14:textId="228A3043">
      <w:pPr>
        <w:pStyle w:val="Normal"/>
        <w:suppressLineNumbers w:val="0"/>
        <w:bidi w:val="0"/>
        <w:spacing w:before="0" w:beforeAutospacing="off" w:after="160" w:afterAutospacing="off" w:line="279" w:lineRule="auto"/>
        <w:ind w:left="0" w:right="0"/>
        <w:jc w:val="left"/>
      </w:pPr>
      <w:r w:rsidRPr="3FED4066" w:rsidR="1CA0932D">
        <w:rPr>
          <w:noProof w:val="0"/>
          <w:lang w:val="en-GB"/>
        </w:rPr>
        <w:t>Figure 2 provides an overview of the external marketing environment affecting BHP using the PESTEL framework. The analysis identifies several external factors influencing the company's operations and strategic decisions. However, consistent with the assignment requirements, this report focuses primarily on the Environmental factor, as it has the greatest influence on BHP's transition towards lower-carbon products, while also examining the Political environment due to its role in shaping climate policy and mining regulations (Kotler et al., 2024)</w:t>
      </w:r>
    </w:p>
    <w:p w:rsidR="56A33E49" w:rsidP="3FED4066" w:rsidRDefault="56A33E49" w14:paraId="026A6D93" w14:textId="4CEE3DD7">
      <w:pPr>
        <w:pStyle w:val="Heading3"/>
        <w:rPr>
          <w:rFonts w:ascii="Times New Roman" w:hAnsi="Times New Roman" w:eastAsia="Times New Roman" w:cs="Times New Roman"/>
          <w:b w:val="1"/>
          <w:bCs w:val="1"/>
          <w:noProof w:val="0"/>
          <w:sz w:val="28"/>
          <w:szCs w:val="28"/>
          <w:lang w:val="en-GB"/>
        </w:rPr>
      </w:pPr>
      <w:bookmarkStart w:name="_Toc1289850672" w:id="1486453772"/>
      <w:r w:rsidRPr="3FED4066" w:rsidR="56A33E49">
        <w:rPr>
          <w:rFonts w:ascii="Times New Roman" w:hAnsi="Times New Roman" w:eastAsia="Times New Roman" w:cs="Times New Roman"/>
          <w:b w:val="1"/>
          <w:bCs w:val="1"/>
          <w:noProof w:val="0"/>
          <w:sz w:val="28"/>
          <w:szCs w:val="28"/>
          <w:lang w:val="en-GB"/>
        </w:rPr>
        <w:t>Natural Environment</w:t>
      </w:r>
      <w:bookmarkEnd w:id="1486453772"/>
    </w:p>
    <w:p w:rsidR="56A33E49" w:rsidP="3FED4066" w:rsidRDefault="56A33E49" w14:paraId="4DCCAEA6" w14:textId="028D96BD">
      <w:pPr>
        <w:spacing w:before="240" w:beforeAutospacing="off" w:after="240" w:afterAutospacing="off"/>
      </w:pPr>
      <w:r w:rsidRPr="3FED4066" w:rsidR="56A33E49">
        <w:rPr>
          <w:rFonts w:ascii="Times New Roman" w:hAnsi="Times New Roman" w:eastAsia="Times New Roman" w:cs="Times New Roman"/>
          <w:noProof w:val="0"/>
          <w:sz w:val="24"/>
          <w:szCs w:val="24"/>
          <w:lang w:val="en-GB"/>
        </w:rPr>
        <w:t>The natural environment is the most significant external marketing environment actor influencing BHP's transition towards lower-carbon products. Kotler et al. (2024) argue that environmental sustainability has become a central business concern as organisations face increasing pressure to reduce carbon emissions, conserve natural resources and demonstrate responsible environmental management. For mining companies such as BHP, these pressures are particularly important because the industry is one of the world's largest contributors to greenhouse gas emissions and environmental degradation.</w:t>
      </w:r>
    </w:p>
    <w:p w:rsidR="56A33E49" w:rsidP="3FED4066" w:rsidRDefault="56A33E49" w14:paraId="329A270D" w14:textId="01F873C4">
      <w:pPr>
        <w:spacing w:before="240" w:beforeAutospacing="off" w:after="240" w:afterAutospacing="off"/>
      </w:pPr>
      <w:r w:rsidRPr="3FED4066" w:rsidR="56A33E49">
        <w:rPr>
          <w:rFonts w:ascii="Times New Roman" w:hAnsi="Times New Roman" w:eastAsia="Times New Roman" w:cs="Times New Roman"/>
          <w:noProof w:val="0"/>
          <w:sz w:val="24"/>
          <w:szCs w:val="24"/>
          <w:lang w:val="en-GB"/>
        </w:rPr>
        <w:t>Climate change has significantly altered stakeholder expectations of mining organisations. Governments, investors, customers and local communities increasingly expect companies to reduce emissions while supporting the transition to renewable energy. As a result, BHP has committed to achieving net zero operational greenhouse gas emissions by 2050 through investments in renewable electricity, electrification of mining equipment and improved operational efficiency (BHP, 2024). These initiatives demonstrate how environmental pressures are encouraging innovation while strengthening the company's long-term market position.</w:t>
      </w:r>
    </w:p>
    <w:p w:rsidR="56A33E49" w:rsidP="3FED4066" w:rsidRDefault="56A33E49" w14:paraId="65DCAA82" w14:textId="5E3E022F">
      <w:pPr>
        <w:spacing w:before="240" w:beforeAutospacing="off" w:after="240" w:afterAutospacing="off"/>
      </w:pPr>
      <w:r w:rsidRPr="3FED4066" w:rsidR="56A33E49">
        <w:rPr>
          <w:rFonts w:ascii="Times New Roman" w:hAnsi="Times New Roman" w:eastAsia="Times New Roman" w:cs="Times New Roman"/>
          <w:noProof w:val="0"/>
          <w:sz w:val="24"/>
          <w:szCs w:val="24"/>
          <w:lang w:val="en-GB"/>
        </w:rPr>
        <w:t>Another major environmental factor is the increasing demand for minerals required to support the global energy transition. Copper and nickel are essential components in electric vehicles, renewable energy infrastructure and battery technologies. This shift presents a significant market opportunity for BHP because global demand for these commodities is expected to increase substantially over the coming decades (International Energy Agency, 2024). Rather than viewing sustainability solely as a compliance issue, BHP can position itself as a supplier of responsibly sourced materials that enable global decarbonisation.</w:t>
      </w:r>
    </w:p>
    <w:p w:rsidR="56A33E49" w:rsidP="3FED4066" w:rsidRDefault="56A33E49" w14:paraId="6C631C3C" w14:textId="367E941D">
      <w:pPr>
        <w:spacing w:before="240" w:beforeAutospacing="off" w:after="240" w:afterAutospacing="off"/>
      </w:pPr>
      <w:r w:rsidRPr="3FED4066" w:rsidR="56A33E49">
        <w:rPr>
          <w:rFonts w:ascii="Times New Roman" w:hAnsi="Times New Roman" w:eastAsia="Times New Roman" w:cs="Times New Roman"/>
          <w:noProof w:val="0"/>
          <w:sz w:val="24"/>
          <w:szCs w:val="24"/>
          <w:lang w:val="en-GB"/>
        </w:rPr>
        <w:t>Environmental concerns also influence customer purchasing decisions within industrial markets. Manufacturing companies increasingly seek suppliers with strong environmental credentials to reduce emissions across their supply chains. Consequently, BHP has introduced partnerships with steel manufacturers to develop lower-carbon steel production through carbon capture technologies, renewable energy and hydrogen-based processes (BHP, 2024). These collaborations enhance BHP's brand reputation while creating additional value for customers pursuing their own sustainability objectives.</w:t>
      </w:r>
    </w:p>
    <w:p w:rsidR="56A33E49" w:rsidP="3FED4066" w:rsidRDefault="56A33E49" w14:paraId="62D4263A" w14:textId="10381226">
      <w:pPr>
        <w:spacing w:before="240" w:beforeAutospacing="off" w:after="240" w:afterAutospacing="off"/>
      </w:pPr>
      <w:r w:rsidRPr="3FED4066" w:rsidR="56A33E49">
        <w:rPr>
          <w:rFonts w:ascii="Times New Roman" w:hAnsi="Times New Roman" w:eastAsia="Times New Roman" w:cs="Times New Roman"/>
          <w:noProof w:val="0"/>
          <w:sz w:val="24"/>
          <w:szCs w:val="24"/>
          <w:lang w:val="en-GB"/>
        </w:rPr>
        <w:t>However, the natural environment also presents considerable challenges. Extreme weather events, water scarcity and biodiversity loss can disrupt mining operations, increase operating costs and delay production. Furthermore, mining companies continue to face criticism regarding land degradation, waste management and ecosystem impacts. Failure to address these environmental risks could damage BHP's corporate reputation, reduce investor confidence and weaken relationships with governments and local communities (Porter and Kramer, 2019).</w:t>
      </w:r>
    </w:p>
    <w:p w:rsidR="56A33E49" w:rsidP="3FED4066" w:rsidRDefault="56A33E49" w14:paraId="7B9323FE" w14:textId="383BA637">
      <w:pPr>
        <w:spacing w:before="240" w:beforeAutospacing="off" w:after="240" w:afterAutospacing="off"/>
      </w:pPr>
      <w:r w:rsidRPr="3FED4066" w:rsidR="56A33E49">
        <w:rPr>
          <w:rFonts w:ascii="Times New Roman" w:hAnsi="Times New Roman" w:eastAsia="Times New Roman" w:cs="Times New Roman"/>
          <w:noProof w:val="0"/>
          <w:sz w:val="24"/>
          <w:szCs w:val="24"/>
          <w:lang w:val="en-GB"/>
        </w:rPr>
        <w:t>Overall, the natural environment represents both an opportunity and a strategic challenge for BHP. The growing global demand for low-carbon materials supports future business growth, while increasing environmental expectations require continuous investment in cleaner technologies, responsible resource management and sustainable marketing practices. Successfully responding to these pressures enables BHP to strengthen its competitive position while contributing to global climate objectives.</w:t>
      </w:r>
    </w:p>
    <w:p w:rsidR="3FED4066" w:rsidP="3FED4066" w:rsidRDefault="3FED4066" w14:paraId="317D38FE" w14:textId="74F2705A">
      <w:pPr>
        <w:pStyle w:val="Normal"/>
        <w:rPr>
          <w:noProof w:val="0"/>
          <w:lang w:val="en-GB"/>
        </w:rPr>
      </w:pPr>
    </w:p>
    <w:p w:rsidR="5C045B5D" w:rsidP="3FED4066" w:rsidRDefault="5C045B5D" w14:paraId="4E8FBB02" w14:textId="598B7BB4">
      <w:pPr>
        <w:pStyle w:val="Heading3"/>
        <w:spacing w:before="281" w:beforeAutospacing="off" w:after="281" w:afterAutospacing="off"/>
        <w:ind w:left="0"/>
        <w:rPr>
          <w:rFonts w:ascii="Times New Roman" w:hAnsi="Times New Roman" w:eastAsia="Times New Roman" w:cs="Times New Roman"/>
          <w:b w:val="1"/>
          <w:bCs w:val="1"/>
          <w:noProof w:val="0"/>
          <w:sz w:val="28"/>
          <w:szCs w:val="28"/>
          <w:lang w:val="en-GB"/>
        </w:rPr>
      </w:pPr>
      <w:bookmarkStart w:name="_Toc1133941584" w:id="1625072574"/>
      <w:r w:rsidRPr="3FED4066" w:rsidR="088F5250">
        <w:rPr>
          <w:rFonts w:ascii="Times New Roman" w:hAnsi="Times New Roman" w:eastAsia="Times New Roman" w:cs="Times New Roman"/>
          <w:b w:val="1"/>
          <w:bCs w:val="1"/>
          <w:noProof w:val="0"/>
          <w:sz w:val="28"/>
          <w:szCs w:val="28"/>
          <w:lang w:val="en-GB"/>
        </w:rPr>
        <w:t>Summary</w:t>
      </w:r>
      <w:bookmarkEnd w:id="1625072574"/>
    </w:p>
    <w:p w:rsidR="5C045B5D" w:rsidP="48DFF039" w:rsidRDefault="5C045B5D" w14:paraId="6A11E631" w14:textId="3F7816A6">
      <w:pPr>
        <w:spacing w:before="240" w:beforeAutospacing="off" w:after="240" w:afterAutospacing="off"/>
      </w:pPr>
      <w:r w:rsidRPr="3FED4066" w:rsidR="088F5250">
        <w:rPr>
          <w:rFonts w:ascii="Times New Roman" w:hAnsi="Times New Roman" w:eastAsia="Times New Roman" w:cs="Times New Roman"/>
          <w:noProof w:val="0"/>
          <w:sz w:val="24"/>
          <w:szCs w:val="24"/>
          <w:lang w:val="en-GB"/>
        </w:rPr>
        <w:t xml:space="preserve">The analysis </w:t>
      </w:r>
      <w:r w:rsidRPr="3FED4066" w:rsidR="088F5250">
        <w:rPr>
          <w:rFonts w:ascii="Times New Roman" w:hAnsi="Times New Roman" w:eastAsia="Times New Roman" w:cs="Times New Roman"/>
          <w:noProof w:val="0"/>
          <w:sz w:val="24"/>
          <w:szCs w:val="24"/>
          <w:lang w:val="en-GB"/>
        </w:rPr>
        <w:t>demonstrates</w:t>
      </w:r>
      <w:r w:rsidRPr="3FED4066" w:rsidR="088F5250">
        <w:rPr>
          <w:rFonts w:ascii="Times New Roman" w:hAnsi="Times New Roman" w:eastAsia="Times New Roman" w:cs="Times New Roman"/>
          <w:noProof w:val="0"/>
          <w:sz w:val="24"/>
          <w:szCs w:val="24"/>
          <w:lang w:val="en-GB"/>
        </w:rPr>
        <w:t xml:space="preserve"> that the Natural Environment and the Political and Regulatory Environment are the two most influential external marketing environment actors shaping BHP's transition towards lower-carbon products. Environmental challenges, including climate change and increasing demand for sustainable materials, create both risks and opportunities for the organisation. At the same time, government regulations and ESG expectations encourage investment in cleaner technologies and responsible business practices. By responding</w:t>
      </w:r>
    </w:p>
    <w:p w:rsidR="5C045B5D" w:rsidP="48DFF039" w:rsidRDefault="5C045B5D" w14:paraId="06CB5BD9" w14:textId="1731FD20">
      <w:pPr>
        <w:spacing w:before="240" w:beforeAutospacing="off" w:after="240" w:afterAutospacing="off"/>
      </w:pPr>
      <w:r w:rsidRPr="3FED4066" w:rsidR="088F5250">
        <w:rPr>
          <w:rFonts w:ascii="Times New Roman" w:hAnsi="Times New Roman" w:eastAsia="Times New Roman" w:cs="Times New Roman"/>
          <w:noProof w:val="0"/>
          <w:sz w:val="24"/>
          <w:szCs w:val="24"/>
          <w:lang w:val="en-GB"/>
        </w:rPr>
        <w:t xml:space="preserve">effectively to these external forces, BHP can strengthen its market position, enhance stakeholder </w:t>
      </w:r>
      <w:r w:rsidRPr="3FED4066" w:rsidR="088F5250">
        <w:rPr>
          <w:rFonts w:ascii="Times New Roman" w:hAnsi="Times New Roman" w:eastAsia="Times New Roman" w:cs="Times New Roman"/>
          <w:noProof w:val="0"/>
          <w:sz w:val="24"/>
          <w:szCs w:val="24"/>
          <w:lang w:val="en-GB"/>
        </w:rPr>
        <w:t>trust</w:t>
      </w:r>
      <w:r w:rsidRPr="3FED4066" w:rsidR="088F5250">
        <w:rPr>
          <w:rFonts w:ascii="Times New Roman" w:hAnsi="Times New Roman" w:eastAsia="Times New Roman" w:cs="Times New Roman"/>
          <w:noProof w:val="0"/>
          <w:sz w:val="24"/>
          <w:szCs w:val="24"/>
          <w:lang w:val="en-GB"/>
        </w:rPr>
        <w:t xml:space="preserve"> and create long-term competitive advantage within the rapidly evolving global mining industry.</w:t>
      </w:r>
    </w:p>
    <w:p w:rsidR="6C66CF5F" w:rsidP="3FED4066" w:rsidRDefault="6C66CF5F" w14:paraId="43493EB9" w14:textId="2FEC7F3B">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894111955" w:id="1967637271"/>
      <w:r w:rsidRPr="3FED4066" w:rsidR="6C66CF5F">
        <w:rPr>
          <w:rFonts w:ascii="Times New Roman" w:hAnsi="Times New Roman" w:eastAsia="Times New Roman" w:cs="Times New Roman"/>
          <w:b w:val="1"/>
          <w:bCs w:val="1"/>
          <w:noProof w:val="0"/>
          <w:sz w:val="28"/>
          <w:szCs w:val="28"/>
          <w:lang w:val="en-GB"/>
        </w:rPr>
        <w:t>Product Development Strategy Using the Ansoff Matrix</w:t>
      </w:r>
      <w:bookmarkEnd w:id="1967637271"/>
    </w:p>
    <w:p w:rsidR="6C66CF5F" w:rsidP="3FED4066" w:rsidRDefault="6C66CF5F" w14:paraId="7362E730" w14:textId="04AB5DBB">
      <w:pPr>
        <w:spacing w:before="240" w:beforeAutospacing="off" w:after="240" w:afterAutospacing="off"/>
      </w:pPr>
      <w:r w:rsidRPr="3FED4066" w:rsidR="6C66CF5F">
        <w:rPr>
          <w:rFonts w:ascii="Times New Roman" w:hAnsi="Times New Roman" w:eastAsia="Times New Roman" w:cs="Times New Roman"/>
          <w:noProof w:val="0"/>
          <w:sz w:val="24"/>
          <w:szCs w:val="24"/>
          <w:lang w:val="en-GB"/>
        </w:rPr>
        <w:t xml:space="preserve">As shown in </w:t>
      </w:r>
      <w:r w:rsidRPr="3FED4066" w:rsidR="6C66CF5F">
        <w:rPr>
          <w:rFonts w:ascii="Times New Roman" w:hAnsi="Times New Roman" w:eastAsia="Times New Roman" w:cs="Times New Roman"/>
          <w:b w:val="1"/>
          <w:bCs w:val="1"/>
          <w:noProof w:val="0"/>
          <w:sz w:val="24"/>
          <w:szCs w:val="24"/>
          <w:lang w:val="en-GB"/>
        </w:rPr>
        <w:t xml:space="preserve">Table, </w:t>
      </w:r>
      <w:r w:rsidRPr="3FED4066" w:rsidR="6C66CF5F">
        <w:rPr>
          <w:rFonts w:ascii="Times New Roman" w:hAnsi="Times New Roman" w:eastAsia="Times New Roman" w:cs="Times New Roman"/>
          <w:noProof w:val="0"/>
          <w:sz w:val="24"/>
          <w:szCs w:val="24"/>
          <w:lang w:val="en-GB"/>
        </w:rPr>
        <w:t xml:space="preserve">the Ansoff Matrix </w:t>
      </w:r>
      <w:r w:rsidRPr="3FED4066" w:rsidR="6C66CF5F">
        <w:rPr>
          <w:rFonts w:ascii="Times New Roman" w:hAnsi="Times New Roman" w:eastAsia="Times New Roman" w:cs="Times New Roman"/>
          <w:noProof w:val="0"/>
          <w:sz w:val="24"/>
          <w:szCs w:val="24"/>
          <w:lang w:val="en-GB"/>
        </w:rPr>
        <w:t>identifies</w:t>
      </w:r>
      <w:r w:rsidRPr="3FED4066" w:rsidR="6C66CF5F">
        <w:rPr>
          <w:rFonts w:ascii="Times New Roman" w:hAnsi="Times New Roman" w:eastAsia="Times New Roman" w:cs="Times New Roman"/>
          <w:noProof w:val="0"/>
          <w:sz w:val="24"/>
          <w:szCs w:val="24"/>
          <w:lang w:val="en-GB"/>
        </w:rPr>
        <w:t xml:space="preserve"> </w:t>
      </w:r>
      <w:r w:rsidRPr="3FED4066" w:rsidR="6C66CF5F">
        <w:rPr>
          <w:rFonts w:ascii="Times New Roman" w:hAnsi="Times New Roman" w:eastAsia="Times New Roman" w:cs="Times New Roman"/>
          <w:b w:val="1"/>
          <w:bCs w:val="1"/>
          <w:noProof w:val="0"/>
          <w:sz w:val="24"/>
          <w:szCs w:val="24"/>
          <w:lang w:val="en-GB"/>
        </w:rPr>
        <w:t>Product Development</w:t>
      </w:r>
      <w:r w:rsidRPr="3FED4066" w:rsidR="6C66CF5F">
        <w:rPr>
          <w:rFonts w:ascii="Times New Roman" w:hAnsi="Times New Roman" w:eastAsia="Times New Roman" w:cs="Times New Roman"/>
          <w:noProof w:val="0"/>
          <w:sz w:val="24"/>
          <w:szCs w:val="24"/>
          <w:lang w:val="en-GB"/>
        </w:rPr>
        <w:t xml:space="preserve"> as the most </w:t>
      </w:r>
      <w:r w:rsidRPr="3FED4066" w:rsidR="6C66CF5F">
        <w:rPr>
          <w:rFonts w:ascii="Times New Roman" w:hAnsi="Times New Roman" w:eastAsia="Times New Roman" w:cs="Times New Roman"/>
          <w:noProof w:val="0"/>
          <w:sz w:val="24"/>
          <w:szCs w:val="24"/>
          <w:lang w:val="en-GB"/>
        </w:rPr>
        <w:t>appropriate growth</w:t>
      </w:r>
      <w:r w:rsidRPr="3FED4066" w:rsidR="6C66CF5F">
        <w:rPr>
          <w:rFonts w:ascii="Times New Roman" w:hAnsi="Times New Roman" w:eastAsia="Times New Roman" w:cs="Times New Roman"/>
          <w:noProof w:val="0"/>
          <w:sz w:val="24"/>
          <w:szCs w:val="24"/>
          <w:lang w:val="en-GB"/>
        </w:rPr>
        <w:t xml:space="preserve"> strategy for BHP because it focuses on developing new or improved products for existing markets (Ansoff, 1957). Rather than expanding into new markets, BHP is investing in lower-carbon minerals and cleaner production technologies to meet the growing sustainability expectations of its current industrial customers.</w:t>
      </w:r>
    </w:p>
    <w:p w:rsidR="6C66CF5F" w:rsidP="3FED4066" w:rsidRDefault="6C66CF5F" w14:paraId="01A4F1F4" w14:textId="7C90F6D5">
      <w:pPr>
        <w:spacing w:before="240" w:beforeAutospacing="off" w:after="240" w:afterAutospacing="off"/>
      </w:pPr>
      <w:r w:rsidRPr="3FED4066" w:rsidR="6C66CF5F">
        <w:rPr>
          <w:rFonts w:ascii="Times New Roman" w:hAnsi="Times New Roman" w:eastAsia="Times New Roman" w:cs="Times New Roman"/>
          <w:noProof w:val="0"/>
          <w:sz w:val="24"/>
          <w:szCs w:val="24"/>
          <w:lang w:val="en-GB"/>
        </w:rPr>
        <w:t xml:space="preserve">BHP's investment in low-carbon steelmaking technologies, renewable energy and critical minerals such as copper and nickel supports the global transition to cleaner energy systems (BHP, 2024). These initiatives enable the company to respond to increasing customer demand for responsibly sourced materials while strengthening its competitive position. In addition, improved Environmental, Social and Governance (ESG) performance enhances BHP's reputation and helps build stronger relationships with customers and investors (Kotler </w:t>
      </w:r>
      <w:r w:rsidRPr="3FED4066" w:rsidR="6C66CF5F">
        <w:rPr>
          <w:rFonts w:ascii="Times New Roman" w:hAnsi="Times New Roman" w:eastAsia="Times New Roman" w:cs="Times New Roman"/>
          <w:i w:val="1"/>
          <w:iCs w:val="1"/>
          <w:noProof w:val="0"/>
          <w:sz w:val="24"/>
          <w:szCs w:val="24"/>
          <w:lang w:val="en-GB"/>
        </w:rPr>
        <w:t>et al</w:t>
      </w:r>
      <w:r w:rsidRPr="3FED4066" w:rsidR="6C66CF5F">
        <w:rPr>
          <w:rFonts w:ascii="Times New Roman" w:hAnsi="Times New Roman" w:eastAsia="Times New Roman" w:cs="Times New Roman"/>
          <w:noProof w:val="0"/>
          <w:sz w:val="24"/>
          <w:szCs w:val="24"/>
          <w:lang w:val="en-GB"/>
        </w:rPr>
        <w:t>., 2024).</w:t>
      </w:r>
      <w:r w:rsidRPr="3FED4066" w:rsidR="10ED7297">
        <w:rPr>
          <w:rFonts w:ascii="Times New Roman" w:hAnsi="Times New Roman" w:eastAsia="Times New Roman" w:cs="Times New Roman"/>
          <w:noProof w:val="0"/>
          <w:sz w:val="24"/>
          <w:szCs w:val="24"/>
          <w:lang w:val="en-GB"/>
        </w:rPr>
        <w:t xml:space="preserve"> </w:t>
      </w:r>
      <w:r w:rsidRPr="3FED4066" w:rsidR="6C66CF5F">
        <w:rPr>
          <w:rFonts w:ascii="Times New Roman" w:hAnsi="Times New Roman" w:eastAsia="Times New Roman" w:cs="Times New Roman"/>
          <w:noProof w:val="0"/>
          <w:sz w:val="24"/>
          <w:szCs w:val="24"/>
          <w:lang w:val="en-GB"/>
        </w:rPr>
        <w:t xml:space="preserve">Although product development requires significant investment and carries technological risks, it </w:t>
      </w:r>
      <w:r w:rsidRPr="3FED4066" w:rsidR="6C66CF5F">
        <w:rPr>
          <w:rFonts w:ascii="Times New Roman" w:hAnsi="Times New Roman" w:eastAsia="Times New Roman" w:cs="Times New Roman"/>
          <w:noProof w:val="0"/>
          <w:sz w:val="24"/>
          <w:szCs w:val="24"/>
          <w:lang w:val="en-GB"/>
        </w:rPr>
        <w:t>provides</w:t>
      </w:r>
      <w:r w:rsidRPr="3FED4066" w:rsidR="6C66CF5F">
        <w:rPr>
          <w:rFonts w:ascii="Times New Roman" w:hAnsi="Times New Roman" w:eastAsia="Times New Roman" w:cs="Times New Roman"/>
          <w:noProof w:val="0"/>
          <w:sz w:val="24"/>
          <w:szCs w:val="24"/>
          <w:lang w:val="en-GB"/>
        </w:rPr>
        <w:t xml:space="preserve"> long-term growth opportunities by aligning innovation with sustainability. Therefore, Product Development is the most suitable strategy for BHP, enabling the company to strengthen its existing market position while supporting the transition towards a lower-carbon business model.</w:t>
      </w:r>
    </w:p>
    <w:tbl>
      <w:tblPr>
        <w:tblStyle w:val="TableGrid"/>
        <w:tblW w:w="0" w:type="auto"/>
        <w:tblLook w:val="06A0" w:firstRow="1" w:lastRow="0" w:firstColumn="1" w:lastColumn="0" w:noHBand="1" w:noVBand="1"/>
      </w:tblPr>
      <w:tblGrid>
        <w:gridCol w:w="1140"/>
        <w:gridCol w:w="4258"/>
        <w:gridCol w:w="3617"/>
      </w:tblGrid>
      <w:tr w:rsidR="3FED4066" w:rsidTr="3FED4066" w14:paraId="389E83F0">
        <w:trPr>
          <w:trHeight w:val="300"/>
        </w:trPr>
        <w:tc>
          <w:tcPr>
            <w:tcW w:w="1140" w:type="dxa"/>
            <w:shd w:val="clear" w:color="auto" w:fill="83CAEB" w:themeFill="accent1" w:themeFillTint="66"/>
            <w:tcMar/>
          </w:tcPr>
          <w:p w:rsidR="5A9881E2" w:rsidP="3FED4066" w:rsidRDefault="5A9881E2" w14:paraId="58A72BDA" w14:textId="4C7B2D57">
            <w:pPr>
              <w:pStyle w:val="Normal"/>
            </w:pPr>
            <w:r w:rsidRPr="3FED4066" w:rsidR="5A9881E2">
              <w:rPr>
                <w:rFonts w:ascii="Times New Roman" w:hAnsi="Times New Roman" w:eastAsia="Times New Roman" w:cs="Times New Roman"/>
                <w:noProof w:val="0"/>
                <w:sz w:val="24"/>
                <w:szCs w:val="24"/>
                <w:lang w:val="en-GB"/>
              </w:rPr>
              <w:t>Markets / Products</w:t>
            </w:r>
          </w:p>
        </w:tc>
        <w:tc>
          <w:tcPr>
            <w:tcW w:w="4258" w:type="dxa"/>
            <w:shd w:val="clear" w:color="auto" w:fill="83CAEB" w:themeFill="accent1" w:themeFillTint="66"/>
            <w:tcMar/>
          </w:tcPr>
          <w:p w:rsidR="5A9881E2" w:rsidP="3FED4066" w:rsidRDefault="5A9881E2" w14:paraId="08BD6FDD" w14:textId="50C67AAC">
            <w:pPr>
              <w:pStyle w:val="Normal"/>
            </w:pPr>
            <w:r w:rsidRPr="3FED4066" w:rsidR="5A9881E2">
              <w:rPr>
                <w:rFonts w:ascii="Times New Roman" w:hAnsi="Times New Roman" w:eastAsia="Times New Roman" w:cs="Times New Roman"/>
                <w:noProof w:val="0"/>
                <w:sz w:val="24"/>
                <w:szCs w:val="24"/>
                <w:lang w:val="en-GB"/>
              </w:rPr>
              <w:t>Existing Products</w:t>
            </w:r>
          </w:p>
        </w:tc>
        <w:tc>
          <w:tcPr>
            <w:tcW w:w="3617" w:type="dxa"/>
            <w:shd w:val="clear" w:color="auto" w:fill="83CAEB" w:themeFill="accent1" w:themeFillTint="66"/>
            <w:tcMar/>
          </w:tcPr>
          <w:p w:rsidR="5A9881E2" w:rsidP="3FED4066" w:rsidRDefault="5A9881E2" w14:paraId="0170CB93" w14:textId="33EC0158">
            <w:pPr>
              <w:pStyle w:val="Normal"/>
            </w:pPr>
            <w:r w:rsidRPr="3FED4066" w:rsidR="5A9881E2">
              <w:rPr>
                <w:rFonts w:ascii="Times New Roman" w:hAnsi="Times New Roman" w:eastAsia="Times New Roman" w:cs="Times New Roman"/>
                <w:noProof w:val="0"/>
                <w:sz w:val="24"/>
                <w:szCs w:val="24"/>
                <w:lang w:val="en-GB"/>
              </w:rPr>
              <w:t>New Products</w:t>
            </w:r>
          </w:p>
        </w:tc>
      </w:tr>
      <w:tr w:rsidR="3FED4066" w:rsidTr="3FED4066" w14:paraId="20D4693C">
        <w:trPr>
          <w:trHeight w:val="300"/>
        </w:trPr>
        <w:tc>
          <w:tcPr>
            <w:tcW w:w="1140" w:type="dxa"/>
            <w:shd w:val="clear" w:color="auto" w:fill="FCEA60"/>
            <w:tcMar/>
          </w:tcPr>
          <w:p w:rsidR="2763E880" w:rsidP="3FED4066" w:rsidRDefault="2763E880" w14:paraId="68767848" w14:textId="462B7BF0">
            <w:pPr>
              <w:pStyle w:val="Normal"/>
            </w:pPr>
            <w:r w:rsidRPr="3FED4066" w:rsidR="2763E880">
              <w:rPr>
                <w:rFonts w:ascii="Times New Roman" w:hAnsi="Times New Roman" w:eastAsia="Times New Roman" w:cs="Times New Roman"/>
                <w:noProof w:val="0"/>
                <w:sz w:val="24"/>
                <w:szCs w:val="24"/>
                <w:lang w:val="en-GB"/>
              </w:rPr>
              <w:t>Existing Markets</w:t>
            </w:r>
            <w:r w:rsidRPr="3FED4066" w:rsidR="53B8A755">
              <w:rPr>
                <w:rFonts w:ascii="Times New Roman" w:hAnsi="Times New Roman" w:eastAsia="Times New Roman" w:cs="Times New Roman"/>
                <w:noProof w:val="0"/>
                <w:sz w:val="24"/>
                <w:szCs w:val="24"/>
                <w:lang w:val="en-GB"/>
              </w:rPr>
              <w:t>.</w:t>
            </w:r>
          </w:p>
          <w:p w:rsidR="3FED4066" w:rsidP="3FED4066" w:rsidRDefault="3FED4066" w14:paraId="10940C5A" w14:textId="0A8C2282">
            <w:pPr>
              <w:pStyle w:val="Normal"/>
              <w:rPr>
                <w:rFonts w:ascii="Times New Roman" w:hAnsi="Times New Roman" w:eastAsia="Times New Roman" w:cs="Times New Roman"/>
                <w:noProof w:val="0"/>
                <w:sz w:val="24"/>
                <w:szCs w:val="24"/>
                <w:lang w:val="en-GB"/>
              </w:rPr>
            </w:pPr>
          </w:p>
        </w:tc>
        <w:tc>
          <w:tcPr>
            <w:tcW w:w="4258" w:type="dxa"/>
            <w:tcMar/>
          </w:tcPr>
          <w:p w:rsidR="1F83CAE2" w:rsidP="3FED4066" w:rsidRDefault="1F83CAE2" w14:paraId="6F6E7310" w14:textId="38A87F42">
            <w:pPr>
              <w:pStyle w:val="Normal"/>
            </w:pPr>
            <w:r w:rsidRPr="3FED4066" w:rsidR="1F83CAE2">
              <w:rPr>
                <w:rFonts w:ascii="Times New Roman" w:hAnsi="Times New Roman" w:eastAsia="Times New Roman" w:cs="Times New Roman"/>
                <w:noProof w:val="0"/>
                <w:sz w:val="24"/>
                <w:szCs w:val="24"/>
                <w:lang w:val="en-GB"/>
              </w:rPr>
              <w:t xml:space="preserve">Market Penetration In crease sales of existing commodities such as iron ore, </w:t>
            </w:r>
            <w:r w:rsidRPr="3FED4066" w:rsidR="1F83CAE2">
              <w:rPr>
                <w:rFonts w:ascii="Times New Roman" w:hAnsi="Times New Roman" w:eastAsia="Times New Roman" w:cs="Times New Roman"/>
                <w:noProof w:val="0"/>
                <w:sz w:val="24"/>
                <w:szCs w:val="24"/>
                <w:lang w:val="en-GB"/>
              </w:rPr>
              <w:t>copper</w:t>
            </w:r>
            <w:r w:rsidRPr="3FED4066" w:rsidR="1F83CAE2">
              <w:rPr>
                <w:rFonts w:ascii="Times New Roman" w:hAnsi="Times New Roman" w:eastAsia="Times New Roman" w:cs="Times New Roman"/>
                <w:noProof w:val="0"/>
                <w:sz w:val="24"/>
                <w:szCs w:val="24"/>
                <w:lang w:val="en-GB"/>
              </w:rPr>
              <w:t xml:space="preserve"> and nickel by improving operational efficiency, strengthening customer </w:t>
            </w:r>
            <w:r w:rsidRPr="3FED4066" w:rsidR="1F83CAE2">
              <w:rPr>
                <w:rFonts w:ascii="Times New Roman" w:hAnsi="Times New Roman" w:eastAsia="Times New Roman" w:cs="Times New Roman"/>
                <w:noProof w:val="0"/>
                <w:sz w:val="24"/>
                <w:szCs w:val="24"/>
                <w:lang w:val="en-GB"/>
              </w:rPr>
              <w:t>relationships</w:t>
            </w:r>
            <w:r w:rsidRPr="3FED4066" w:rsidR="1F83CAE2">
              <w:rPr>
                <w:rFonts w:ascii="Times New Roman" w:hAnsi="Times New Roman" w:eastAsia="Times New Roman" w:cs="Times New Roman"/>
                <w:noProof w:val="0"/>
                <w:sz w:val="24"/>
                <w:szCs w:val="24"/>
                <w:lang w:val="en-GB"/>
              </w:rPr>
              <w:t xml:space="preserve"> and promoting BHP's sustainability initiatives.</w:t>
            </w:r>
          </w:p>
        </w:tc>
        <w:tc>
          <w:tcPr>
            <w:tcW w:w="3617" w:type="dxa"/>
            <w:tcMar/>
          </w:tcPr>
          <w:p w:rsidR="1F83CAE2" w:rsidP="3FED4066" w:rsidRDefault="1F83CAE2" w14:paraId="384F7D91" w14:textId="7D3BA1FB">
            <w:pPr>
              <w:pStyle w:val="Normal"/>
            </w:pPr>
            <w:r w:rsidRPr="3FED4066" w:rsidR="1F83CAE2">
              <w:rPr>
                <w:rFonts w:ascii="Times New Roman" w:hAnsi="Times New Roman" w:eastAsia="Times New Roman" w:cs="Times New Roman"/>
                <w:noProof w:val="0"/>
                <w:sz w:val="24"/>
                <w:szCs w:val="24"/>
                <w:lang w:val="en-GB"/>
              </w:rPr>
              <w:t xml:space="preserve">Product Development (Recommended </w:t>
            </w:r>
            <w:r w:rsidRPr="3FED4066" w:rsidR="1F83CAE2">
              <w:rPr>
                <w:rFonts w:ascii="Times New Roman" w:hAnsi="Times New Roman" w:eastAsia="Times New Roman" w:cs="Times New Roman"/>
                <w:noProof w:val="0"/>
                <w:sz w:val="24"/>
                <w:szCs w:val="24"/>
                <w:lang w:val="en-GB"/>
              </w:rPr>
              <w:t>Strategy)</w:t>
            </w:r>
            <w:r w:rsidRPr="3FED4066" w:rsidR="5FC92706">
              <w:rPr>
                <w:rFonts w:ascii="Times New Roman" w:hAnsi="Times New Roman" w:eastAsia="Times New Roman" w:cs="Times New Roman"/>
                <w:noProof w:val="0"/>
                <w:sz w:val="24"/>
                <w:szCs w:val="24"/>
                <w:lang w:val="en-GB"/>
              </w:rPr>
              <w:t xml:space="preserve"> </w:t>
            </w:r>
            <w:r w:rsidRPr="3FED4066" w:rsidR="1F83CAE2">
              <w:rPr>
                <w:rFonts w:ascii="Times New Roman" w:hAnsi="Times New Roman" w:eastAsia="Times New Roman" w:cs="Times New Roman"/>
                <w:noProof w:val="0"/>
                <w:sz w:val="24"/>
                <w:szCs w:val="24"/>
                <w:lang w:val="en-GB"/>
              </w:rPr>
              <w:t>Develop</w:t>
            </w:r>
            <w:r w:rsidRPr="3FED4066" w:rsidR="1F83CAE2">
              <w:rPr>
                <w:rFonts w:ascii="Times New Roman" w:hAnsi="Times New Roman" w:eastAsia="Times New Roman" w:cs="Times New Roman"/>
                <w:noProof w:val="0"/>
                <w:sz w:val="24"/>
                <w:szCs w:val="24"/>
                <w:lang w:val="en-GB"/>
              </w:rPr>
              <w:t xml:space="preserve"> lower-carbon products, invest in cleaner mining </w:t>
            </w:r>
            <w:r w:rsidRPr="3FED4066" w:rsidR="1F83CAE2">
              <w:rPr>
                <w:rFonts w:ascii="Times New Roman" w:hAnsi="Times New Roman" w:eastAsia="Times New Roman" w:cs="Times New Roman"/>
                <w:noProof w:val="0"/>
                <w:sz w:val="24"/>
                <w:szCs w:val="24"/>
                <w:lang w:val="en-GB"/>
              </w:rPr>
              <w:t>technologies</w:t>
            </w:r>
            <w:r w:rsidRPr="3FED4066" w:rsidR="1F83CAE2">
              <w:rPr>
                <w:rFonts w:ascii="Times New Roman" w:hAnsi="Times New Roman" w:eastAsia="Times New Roman" w:cs="Times New Roman"/>
                <w:noProof w:val="0"/>
                <w:sz w:val="24"/>
                <w:szCs w:val="24"/>
                <w:lang w:val="en-GB"/>
              </w:rPr>
              <w:t xml:space="preserve"> and produce responsibly sourced critical minerals to meet the growing sustainability expectations of existing industrial customers.</w:t>
            </w:r>
          </w:p>
        </w:tc>
      </w:tr>
      <w:tr w:rsidR="3FED4066" w:rsidTr="3FED4066" w14:paraId="35158CC2">
        <w:trPr>
          <w:trHeight w:val="300"/>
        </w:trPr>
        <w:tc>
          <w:tcPr>
            <w:tcW w:w="1140" w:type="dxa"/>
            <w:shd w:val="clear" w:color="auto" w:fill="FCEA60"/>
            <w:tcMar/>
          </w:tcPr>
          <w:p w:rsidR="2763E880" w:rsidP="3FED4066" w:rsidRDefault="2763E880" w14:paraId="27784402" w14:textId="15F8A2A6">
            <w:pPr>
              <w:pStyle w:val="Normal"/>
            </w:pPr>
            <w:r w:rsidRPr="3FED4066" w:rsidR="2763E880">
              <w:rPr>
                <w:rFonts w:ascii="Times New Roman" w:hAnsi="Times New Roman" w:eastAsia="Times New Roman" w:cs="Times New Roman"/>
                <w:noProof w:val="0"/>
                <w:sz w:val="24"/>
                <w:szCs w:val="24"/>
                <w:lang w:val="en-GB"/>
              </w:rPr>
              <w:t>New Markets</w:t>
            </w:r>
            <w:r w:rsidRPr="3FED4066" w:rsidR="17A76B80">
              <w:rPr>
                <w:rFonts w:ascii="Times New Roman" w:hAnsi="Times New Roman" w:eastAsia="Times New Roman" w:cs="Times New Roman"/>
                <w:noProof w:val="0"/>
                <w:sz w:val="24"/>
                <w:szCs w:val="24"/>
                <w:lang w:val="en-GB"/>
              </w:rPr>
              <w:t>.</w:t>
            </w:r>
          </w:p>
          <w:p w:rsidR="3FED4066" w:rsidP="3FED4066" w:rsidRDefault="3FED4066" w14:paraId="09BCB53E" w14:textId="36E43E42">
            <w:pPr>
              <w:pStyle w:val="Normal"/>
              <w:rPr>
                <w:rFonts w:ascii="Times New Roman" w:hAnsi="Times New Roman" w:eastAsia="Times New Roman" w:cs="Times New Roman"/>
                <w:noProof w:val="0"/>
                <w:sz w:val="24"/>
                <w:szCs w:val="24"/>
                <w:lang w:val="en-GB"/>
              </w:rPr>
            </w:pPr>
          </w:p>
        </w:tc>
        <w:tc>
          <w:tcPr>
            <w:tcW w:w="4258" w:type="dxa"/>
            <w:tcMar/>
          </w:tcPr>
          <w:p w:rsidR="55D6CC17" w:rsidP="3FED4066" w:rsidRDefault="55D6CC17" w14:paraId="57C4CF68" w14:textId="6D80FEEE">
            <w:pPr>
              <w:pStyle w:val="Normal"/>
            </w:pPr>
            <w:r w:rsidRPr="3FED4066" w:rsidR="55D6CC17">
              <w:rPr>
                <w:rFonts w:ascii="Times New Roman" w:hAnsi="Times New Roman" w:eastAsia="Times New Roman" w:cs="Times New Roman"/>
                <w:noProof w:val="0"/>
                <w:sz w:val="24"/>
                <w:szCs w:val="24"/>
                <w:lang w:val="en-GB"/>
              </w:rPr>
              <w:t xml:space="preserve">Market </w:t>
            </w:r>
            <w:r w:rsidRPr="3FED4066" w:rsidR="55D6CC17">
              <w:rPr>
                <w:rFonts w:ascii="Times New Roman" w:hAnsi="Times New Roman" w:eastAsia="Times New Roman" w:cs="Times New Roman"/>
                <w:noProof w:val="0"/>
                <w:sz w:val="24"/>
                <w:szCs w:val="24"/>
                <w:lang w:val="en-GB"/>
              </w:rPr>
              <w:t>Development Expand</w:t>
            </w:r>
            <w:r w:rsidRPr="3FED4066" w:rsidR="55D6CC17">
              <w:rPr>
                <w:rFonts w:ascii="Times New Roman" w:hAnsi="Times New Roman" w:eastAsia="Times New Roman" w:cs="Times New Roman"/>
                <w:noProof w:val="0"/>
                <w:sz w:val="24"/>
                <w:szCs w:val="24"/>
                <w:lang w:val="en-GB"/>
              </w:rPr>
              <w:t xml:space="preserve"> the supply of existing products into new geographical markets and industries, particularly those supporting renewable energy infrastructure and electric vehicle manufacturing.</w:t>
            </w:r>
          </w:p>
        </w:tc>
        <w:tc>
          <w:tcPr>
            <w:tcW w:w="3617" w:type="dxa"/>
            <w:tcMar/>
          </w:tcPr>
          <w:p w:rsidR="773E9122" w:rsidP="3FED4066" w:rsidRDefault="773E9122" w14:paraId="7A7FAF9D" w14:textId="058EBA45">
            <w:pPr>
              <w:pStyle w:val="Normal"/>
            </w:pPr>
            <w:r w:rsidRPr="3FED4066" w:rsidR="773E9122">
              <w:rPr>
                <w:rFonts w:ascii="Times New Roman" w:hAnsi="Times New Roman" w:eastAsia="Times New Roman" w:cs="Times New Roman"/>
                <w:noProof w:val="0"/>
                <w:sz w:val="24"/>
                <w:szCs w:val="24"/>
                <w:lang w:val="en-GB"/>
              </w:rPr>
              <w:t>Diversification: Invest</w:t>
            </w:r>
            <w:r w:rsidRPr="3FED4066" w:rsidR="192D59BE">
              <w:rPr>
                <w:rFonts w:ascii="Times New Roman" w:hAnsi="Times New Roman" w:eastAsia="Times New Roman" w:cs="Times New Roman"/>
                <w:noProof w:val="0"/>
                <w:sz w:val="24"/>
                <w:szCs w:val="24"/>
                <w:lang w:val="en-GB"/>
              </w:rPr>
              <w:t xml:space="preserve"> in new sustainable business opportunities such as green hydrogen, carbon capture and storage (CCS), renewable energy </w:t>
            </w:r>
            <w:r w:rsidRPr="3FED4066" w:rsidR="192D59BE">
              <w:rPr>
                <w:rFonts w:ascii="Times New Roman" w:hAnsi="Times New Roman" w:eastAsia="Times New Roman" w:cs="Times New Roman"/>
                <w:noProof w:val="0"/>
                <w:sz w:val="24"/>
                <w:szCs w:val="24"/>
                <w:lang w:val="en-GB"/>
              </w:rPr>
              <w:t>projects</w:t>
            </w:r>
            <w:r w:rsidRPr="3FED4066" w:rsidR="192D59BE">
              <w:rPr>
                <w:rFonts w:ascii="Times New Roman" w:hAnsi="Times New Roman" w:eastAsia="Times New Roman" w:cs="Times New Roman"/>
                <w:noProof w:val="0"/>
                <w:sz w:val="24"/>
                <w:szCs w:val="24"/>
                <w:lang w:val="en-GB"/>
              </w:rPr>
              <w:t xml:space="preserve"> and circular economy initiatives beyond traditional mining operations.</w:t>
            </w:r>
          </w:p>
        </w:tc>
      </w:tr>
    </w:tbl>
    <w:p w:rsidR="48DFF039" w:rsidP="48DFF039" w:rsidRDefault="48DFF039" w14:paraId="08F4C9CB" w14:textId="1BE795C3">
      <w:pPr>
        <w:pStyle w:val="Normal"/>
      </w:pPr>
      <w:r w:rsidRPr="3FED4066" w:rsidR="192D59BE">
        <w:rPr>
          <w:rFonts w:ascii="Times New Roman" w:hAnsi="Times New Roman" w:eastAsia="Times New Roman" w:cs="Times New Roman"/>
          <w:b w:val="0"/>
          <w:bCs w:val="0"/>
        </w:rPr>
        <w:t>Table: Ansoff Matrix applied to BHP (Adapted from Ansoff, 1957)</w:t>
      </w:r>
    </w:p>
    <w:p w:rsidR="3FED4066" w:rsidP="3FED4066" w:rsidRDefault="3FED4066" w14:paraId="2B92E54A" w14:textId="47C5F976">
      <w:pPr>
        <w:pStyle w:val="Normal"/>
        <w:rPr>
          <w:rFonts w:ascii="Times New Roman" w:hAnsi="Times New Roman" w:eastAsia="Times New Roman" w:cs="Times New Roman"/>
          <w:b w:val="0"/>
          <w:bCs w:val="0"/>
        </w:rPr>
      </w:pPr>
    </w:p>
    <w:p w:rsidR="1268F605" w:rsidP="3FED4066" w:rsidRDefault="1268F605" w14:paraId="6D33E32D" w14:textId="777F28E6">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1394638828" w:id="1749782509"/>
      <w:r w:rsidRPr="3FED4066" w:rsidR="1268F605">
        <w:rPr>
          <w:rFonts w:ascii="Times New Roman" w:hAnsi="Times New Roman" w:eastAsia="Times New Roman" w:cs="Times New Roman"/>
          <w:b w:val="1"/>
          <w:bCs w:val="1"/>
          <w:noProof w:val="0"/>
          <w:sz w:val="28"/>
          <w:szCs w:val="28"/>
          <w:lang w:val="en-GB"/>
        </w:rPr>
        <w:t>Achieving Competitive Advantage</w:t>
      </w:r>
      <w:bookmarkEnd w:id="1749782509"/>
    </w:p>
    <w:p w:rsidR="1268F605" w:rsidP="3FED4066" w:rsidRDefault="1268F605" w14:paraId="795F0E5F" w14:textId="0B4F3DBC">
      <w:pPr>
        <w:spacing w:before="240" w:beforeAutospacing="off" w:after="240" w:afterAutospacing="off"/>
      </w:pPr>
      <w:r w:rsidRPr="3FED4066" w:rsidR="1268F605">
        <w:rPr>
          <w:rFonts w:ascii="Times New Roman" w:hAnsi="Times New Roman" w:eastAsia="Times New Roman" w:cs="Times New Roman"/>
          <w:noProof w:val="0"/>
          <w:sz w:val="24"/>
          <w:szCs w:val="24"/>
          <w:lang w:val="en-GB"/>
        </w:rPr>
        <w:t xml:space="preserve">To successfully implement a product development strategy, BHP must establish a sustainable competitive advantage that differentiates it from other global mining companies. According to Porter (1985), organisations can achieve competitive advantage through cost leadership, differentiation or a focused strategy. For BHP, a </w:t>
      </w:r>
      <w:r w:rsidRPr="3FED4066" w:rsidR="1268F605">
        <w:rPr>
          <w:rFonts w:ascii="Times New Roman" w:hAnsi="Times New Roman" w:eastAsia="Times New Roman" w:cs="Times New Roman"/>
          <w:b w:val="1"/>
          <w:bCs w:val="1"/>
          <w:noProof w:val="0"/>
          <w:sz w:val="24"/>
          <w:szCs w:val="24"/>
          <w:lang w:val="en-GB"/>
        </w:rPr>
        <w:t>differentiation strategy</w:t>
      </w:r>
      <w:r w:rsidRPr="3FED4066" w:rsidR="1268F605">
        <w:rPr>
          <w:rFonts w:ascii="Times New Roman" w:hAnsi="Times New Roman" w:eastAsia="Times New Roman" w:cs="Times New Roman"/>
          <w:noProof w:val="0"/>
          <w:sz w:val="24"/>
          <w:szCs w:val="24"/>
          <w:lang w:val="en-GB"/>
        </w:rPr>
        <w:t xml:space="preserve"> is the most appropriate because it enables the company to compete on sustainability, innovation and environmental performance rather than price alone.</w:t>
      </w:r>
    </w:p>
    <w:p w:rsidR="1268F605" w:rsidP="3FED4066" w:rsidRDefault="1268F605" w14:paraId="579C93B7" w14:textId="6D857DFE">
      <w:pPr>
        <w:spacing w:before="240" w:beforeAutospacing="off" w:after="240" w:afterAutospacing="off"/>
      </w:pPr>
      <w:r w:rsidRPr="3FED4066" w:rsidR="1268F605">
        <w:rPr>
          <w:rFonts w:ascii="Times New Roman" w:hAnsi="Times New Roman" w:eastAsia="Times New Roman" w:cs="Times New Roman"/>
          <w:noProof w:val="0"/>
          <w:sz w:val="24"/>
          <w:szCs w:val="24"/>
          <w:lang w:val="en-GB"/>
        </w:rPr>
        <w:t>BHP can differentiate itself by producing lower-carbon minerals through cleaner extraction methods, renewable energy integration and investment in advanced mining technologies. As customers increasingly seek suppliers that support their own environmental goals, the demand for responsibly sourced raw materials continues to grow. By reducing greenhouse gas emissions throughout its operations and demonstrating transparent environmental reporting, BHP can strengthen its reputation as a responsible mining company while creating additional value for customers.</w:t>
      </w:r>
    </w:p>
    <w:p w:rsidR="1268F605" w:rsidP="3FED4066" w:rsidRDefault="1268F605" w14:paraId="4A5AAD5F" w14:textId="1AE3056C">
      <w:pPr>
        <w:spacing w:before="240" w:beforeAutospacing="off" w:after="240" w:afterAutospacing="off"/>
      </w:pPr>
      <w:r w:rsidRPr="3FED4066" w:rsidR="1268F605">
        <w:rPr>
          <w:rFonts w:ascii="Times New Roman" w:hAnsi="Times New Roman" w:eastAsia="Times New Roman" w:cs="Times New Roman"/>
          <w:noProof w:val="0"/>
          <w:sz w:val="24"/>
          <w:szCs w:val="24"/>
          <w:lang w:val="en-GB"/>
        </w:rPr>
        <w:t>Innovation is another important source of competitive advantage. The company has invested heavily in technologies that improve operational efficiency and reduce environmental impacts, including electrified mining equipment, renewable electricity and partnerships to develop low-carbon steelmaking processes. These innovations not only reduce operational emissions but also improve productivity and lower long-term operating costs. Consequently, sustainability becomes a strategic asset rather than simply a regulatory requirement.</w:t>
      </w:r>
    </w:p>
    <w:p w:rsidR="1268F605" w:rsidP="3FED4066" w:rsidRDefault="1268F605" w14:paraId="7BBBB6FC" w14:textId="32B3AE0C">
      <w:pPr>
        <w:spacing w:before="240" w:beforeAutospacing="off" w:after="240" w:afterAutospacing="off"/>
      </w:pPr>
      <w:r w:rsidRPr="3FED4066" w:rsidR="1268F605">
        <w:rPr>
          <w:rFonts w:ascii="Times New Roman" w:hAnsi="Times New Roman" w:eastAsia="Times New Roman" w:cs="Times New Roman"/>
          <w:noProof w:val="0"/>
          <w:sz w:val="24"/>
          <w:szCs w:val="24"/>
          <w:lang w:val="en-GB"/>
        </w:rPr>
        <w:t>Strong stakeholder relationships also contribute to BHP's competitive position. Investors, governments, local communities and industrial customers increasingly evaluate organisations using Environmental, Social and Governance (ESG) criteria. Maintaining transparent sustainability reporting and engaging with stakeholders helps build trust, reduce reputational risk and improve access to investment. A positive corporate reputation may also create barriers for competitors that have been slower to adopt sustainable business practices.</w:t>
      </w:r>
    </w:p>
    <w:p w:rsidR="1268F605" w:rsidP="3FED4066" w:rsidRDefault="1268F605" w14:paraId="1B837430" w14:textId="3FBB3F5B">
      <w:pPr>
        <w:spacing w:before="240" w:beforeAutospacing="off" w:after="240" w:afterAutospacing="off"/>
      </w:pPr>
      <w:r w:rsidRPr="3FED4066" w:rsidR="1268F605">
        <w:rPr>
          <w:rFonts w:ascii="Times New Roman" w:hAnsi="Times New Roman" w:eastAsia="Times New Roman" w:cs="Times New Roman"/>
          <w:noProof w:val="0"/>
          <w:sz w:val="24"/>
          <w:szCs w:val="24"/>
          <w:lang w:val="en-GB"/>
        </w:rPr>
        <w:t>Furthermore, BHP benefits from its extensive global operations, financial resources and established customer network. These strengths enable the company to invest in research and development, adopt emerging technologies and respond more effectively to changing environmental regulations than many smaller competitors. The combination of financial strength and technological capability provides BHP with the flexibility to accelerate its transition towards a lower-carbon business model while maintaining profitability.</w:t>
      </w:r>
    </w:p>
    <w:p w:rsidR="1268F605" w:rsidP="3FED4066" w:rsidRDefault="1268F605" w14:paraId="55AF0F5D" w14:textId="6929A776">
      <w:pPr>
        <w:spacing w:before="240" w:beforeAutospacing="off" w:after="240" w:afterAutospacing="off"/>
      </w:pPr>
      <w:r w:rsidRPr="3FED4066" w:rsidR="1268F605">
        <w:rPr>
          <w:rFonts w:ascii="Times New Roman" w:hAnsi="Times New Roman" w:eastAsia="Times New Roman" w:cs="Times New Roman"/>
          <w:noProof w:val="0"/>
          <w:sz w:val="24"/>
          <w:szCs w:val="24"/>
          <w:lang w:val="en-GB"/>
        </w:rPr>
        <w:t>Despite these advantages, the company faces several challenges. Developing innovative products requires substantial capital investment, and technological uncertainty may delay commercial success. In addition, competitors such as Rio Tinto and Vale are also investing heavily in sustainable mining technologies, increasing competitive pressure within the industry. To maintain its leadership position, BHP should continue investing in innovation, strengthen collaboration with technology partners and communicate its sustainability achievements through effective marketing strategies.</w:t>
      </w:r>
    </w:p>
    <w:p w:rsidR="1268F605" w:rsidP="3FED4066" w:rsidRDefault="1268F605" w14:paraId="31E6A80B" w14:textId="139DA3E4">
      <w:pPr>
        <w:spacing w:before="240" w:beforeAutospacing="off" w:after="240" w:afterAutospacing="off"/>
      </w:pPr>
      <w:r w:rsidRPr="3FED4066" w:rsidR="1268F605">
        <w:rPr>
          <w:rFonts w:ascii="Times New Roman" w:hAnsi="Times New Roman" w:eastAsia="Times New Roman" w:cs="Times New Roman"/>
          <w:noProof w:val="0"/>
          <w:sz w:val="24"/>
          <w:szCs w:val="24"/>
          <w:lang w:val="en-GB"/>
        </w:rPr>
        <w:t>Overall, a differentiation strategy based on sustainability, innovation and responsible resource management provides BHP with the strongest opportunity to achieve long-term competitive advantage. By combining lower-carbon product development with transparent environmental performance, the company can strengthen customer loyalty, enhance its global reputation and create sustainable business growth.</w:t>
      </w:r>
    </w:p>
    <w:p w:rsidR="1453F7F2" w:rsidP="3FED4066" w:rsidRDefault="1453F7F2" w14:paraId="06BB0405" w14:textId="323D7BE5">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255799062" w:id="847121658"/>
      <w:r w:rsidRPr="3FED4066" w:rsidR="1453F7F2">
        <w:rPr>
          <w:rFonts w:ascii="Times New Roman" w:hAnsi="Times New Roman" w:eastAsia="Times New Roman" w:cs="Times New Roman"/>
          <w:b w:val="1"/>
          <w:bCs w:val="1"/>
          <w:noProof w:val="0"/>
          <w:sz w:val="28"/>
          <w:szCs w:val="28"/>
          <w:lang w:val="en-GB"/>
        </w:rPr>
        <w:t>Competitive Advantage, Recommendations and Conclusion</w:t>
      </w:r>
      <w:bookmarkEnd w:id="847121658"/>
    </w:p>
    <w:p w:rsidR="1453F7F2" w:rsidP="3FED4066" w:rsidRDefault="1453F7F2" w14:paraId="20F6DE61" w14:textId="61B63294">
      <w:pPr>
        <w:spacing w:before="240" w:beforeAutospacing="off" w:after="240" w:afterAutospacing="off"/>
      </w:pPr>
      <w:r w:rsidRPr="3FED4066" w:rsidR="1453F7F2">
        <w:rPr>
          <w:rFonts w:ascii="Times New Roman" w:hAnsi="Times New Roman" w:eastAsia="Times New Roman" w:cs="Times New Roman"/>
          <w:noProof w:val="0"/>
          <w:sz w:val="24"/>
          <w:szCs w:val="24"/>
          <w:lang w:val="en-GB"/>
        </w:rPr>
        <w:t xml:space="preserve">To successfully implement its product development strategy, BHP must establish a sustainable competitive advantage that differentiates it from other global mining companies. According to Porter (1985), competitive advantage can be achieved through cost leadership, differentiation or focus. For BHP, a </w:t>
      </w:r>
      <w:r w:rsidRPr="3FED4066" w:rsidR="1453F7F2">
        <w:rPr>
          <w:rFonts w:ascii="Times New Roman" w:hAnsi="Times New Roman" w:eastAsia="Times New Roman" w:cs="Times New Roman"/>
          <w:b w:val="1"/>
          <w:bCs w:val="1"/>
          <w:noProof w:val="0"/>
          <w:sz w:val="24"/>
          <w:szCs w:val="24"/>
          <w:lang w:val="en-GB"/>
        </w:rPr>
        <w:t>differentiation strategy</w:t>
      </w:r>
      <w:r w:rsidRPr="3FED4066" w:rsidR="1453F7F2">
        <w:rPr>
          <w:rFonts w:ascii="Times New Roman" w:hAnsi="Times New Roman" w:eastAsia="Times New Roman" w:cs="Times New Roman"/>
          <w:noProof w:val="0"/>
          <w:sz w:val="24"/>
          <w:szCs w:val="24"/>
          <w:lang w:val="en-GB"/>
        </w:rPr>
        <w:t xml:space="preserve"> is the most suitable because it enables the company to compete through sustainability, innovation and responsible mining practices rather than competing primarily on price.</w:t>
      </w:r>
    </w:p>
    <w:p w:rsidR="1453F7F2" w:rsidP="3FED4066" w:rsidRDefault="1453F7F2" w14:paraId="5C2688D9" w14:textId="31027189">
      <w:pPr>
        <w:spacing w:before="240" w:beforeAutospacing="off" w:after="240" w:afterAutospacing="off"/>
      </w:pPr>
      <w:r w:rsidRPr="3FED4066" w:rsidR="1453F7F2">
        <w:rPr>
          <w:rFonts w:ascii="Times New Roman" w:hAnsi="Times New Roman" w:eastAsia="Times New Roman" w:cs="Times New Roman"/>
          <w:noProof w:val="0"/>
          <w:sz w:val="24"/>
          <w:szCs w:val="24"/>
          <w:lang w:val="en-GB"/>
        </w:rPr>
        <w:t>BHP can strengthen its market position by investing in lower-carbon mining technologies, renewable energy and responsibly sourced critical minerals. As industrial customers increasingly seek suppliers that support their own environmental objectives, sustainability has become an important purchasing criterion. By reducing greenhouse gas emissions across its operations and providing transparent sustainability reporting, BHP can build stronger customer relationships and enhance its corporate reputation.</w:t>
      </w:r>
    </w:p>
    <w:p w:rsidR="1453F7F2" w:rsidP="3FED4066" w:rsidRDefault="1453F7F2" w14:paraId="122EEC61" w14:textId="49D22DA8">
      <w:pPr>
        <w:spacing w:before="240" w:beforeAutospacing="off" w:after="240" w:afterAutospacing="off"/>
      </w:pPr>
      <w:r w:rsidRPr="3FED4066" w:rsidR="1453F7F2">
        <w:rPr>
          <w:rFonts w:ascii="Times New Roman" w:hAnsi="Times New Roman" w:eastAsia="Times New Roman" w:cs="Times New Roman"/>
          <w:noProof w:val="0"/>
          <w:sz w:val="24"/>
          <w:szCs w:val="24"/>
          <w:lang w:val="en-GB"/>
        </w:rPr>
        <w:t>Innovation also supports long-term competitiveness. Investment in technologies such as electrified mining equipment, renewable electricity and low-carbon steelmaking partnerships allows BHP to improve operational efficiency while reducing environmental impacts. These initiatives not only support regulatory compliance but also create additional value for customers seeking to reduce emissions throughout their supply chains.</w:t>
      </w:r>
    </w:p>
    <w:p w:rsidR="1453F7F2" w:rsidP="3FED4066" w:rsidRDefault="1453F7F2" w14:paraId="3D0612B0" w14:textId="66B061C8">
      <w:pPr>
        <w:spacing w:before="240" w:beforeAutospacing="off" w:after="240" w:afterAutospacing="off"/>
      </w:pPr>
      <w:r w:rsidRPr="3FED4066" w:rsidR="1453F7F2">
        <w:rPr>
          <w:rFonts w:ascii="Times New Roman" w:hAnsi="Times New Roman" w:eastAsia="Times New Roman" w:cs="Times New Roman"/>
          <w:noProof w:val="0"/>
          <w:sz w:val="24"/>
          <w:szCs w:val="24"/>
          <w:lang w:val="en-GB"/>
        </w:rPr>
        <w:t>However, maintaining a competitive advantage requires continuous investment. Competitors such as Rio Tinto and Vale are also pursuing decarbonisation strategies, increasing competition within the global mining sector. Furthermore, technological uncertainty, high capital costs and changing government regulations may slow the commercial success of new products. Consequently, BHP should continue investing in research and development, strengthen partnerships with technology providers and collaborate closely with governments and industrial customers to accelerate innovation.</w:t>
      </w:r>
    </w:p>
    <w:p w:rsidR="1453F7F2" w:rsidP="3FED4066" w:rsidRDefault="1453F7F2" w14:paraId="1DDEB52F" w14:textId="0729DF7B">
      <w:pPr>
        <w:spacing w:before="240" w:beforeAutospacing="off" w:after="240" w:afterAutospacing="off"/>
      </w:pPr>
      <w:r w:rsidRPr="3FED4066" w:rsidR="1453F7F2">
        <w:rPr>
          <w:rFonts w:ascii="Times New Roman" w:hAnsi="Times New Roman" w:eastAsia="Times New Roman" w:cs="Times New Roman"/>
          <w:noProof w:val="0"/>
          <w:sz w:val="24"/>
          <w:szCs w:val="24"/>
          <w:lang w:val="en-GB"/>
        </w:rPr>
        <w:t>To support its long-term growth strategy, BHP should prioritise four key actions. First, the company should continue expanding investment in lower-carbon mining technologies and renewable energy to reduce operational emissions. Second, it should strengthen research partnerships that accelerate the development of sustainable steelmaking and critical mineral production. Third, BHP should enhance its sustainability marketing by communicating environmental achievements more effectively through Environmental, Social and Governance (ESG) reporting. Finally, the organisation should continuously monitor regulatory developments and customer expectations to ensure its growth strategy remains aligned with global sustainability trends.</w:t>
      </w:r>
    </w:p>
    <w:p w:rsidR="1453F7F2" w:rsidP="3FED4066" w:rsidRDefault="1453F7F2" w14:paraId="40C793EC" w14:textId="1DB8314C">
      <w:pPr>
        <w:spacing w:before="240" w:beforeAutospacing="off" w:after="240" w:afterAutospacing="off"/>
      </w:pPr>
      <w:r w:rsidRPr="3FED4066" w:rsidR="1453F7F2">
        <w:rPr>
          <w:rFonts w:ascii="Times New Roman" w:hAnsi="Times New Roman" w:eastAsia="Times New Roman" w:cs="Times New Roman"/>
          <w:noProof w:val="0"/>
          <w:sz w:val="24"/>
          <w:szCs w:val="24"/>
          <w:lang w:val="en-GB"/>
        </w:rPr>
        <w:t xml:space="preserve">In conclusion, </w:t>
      </w:r>
      <w:r w:rsidRPr="3FED4066" w:rsidR="1453F7F2">
        <w:rPr>
          <w:rFonts w:ascii="Times New Roman" w:hAnsi="Times New Roman" w:eastAsia="Times New Roman" w:cs="Times New Roman"/>
          <w:b w:val="1"/>
          <w:bCs w:val="1"/>
          <w:noProof w:val="0"/>
          <w:sz w:val="24"/>
          <w:szCs w:val="24"/>
          <w:lang w:val="en-GB"/>
        </w:rPr>
        <w:t>Product Development</w:t>
      </w:r>
      <w:r w:rsidRPr="3FED4066" w:rsidR="1453F7F2">
        <w:rPr>
          <w:rFonts w:ascii="Times New Roman" w:hAnsi="Times New Roman" w:eastAsia="Times New Roman" w:cs="Times New Roman"/>
          <w:noProof w:val="0"/>
          <w:sz w:val="24"/>
          <w:szCs w:val="24"/>
          <w:lang w:val="en-GB"/>
        </w:rPr>
        <w:t xml:space="preserve"> </w:t>
      </w:r>
      <w:r w:rsidRPr="3FED4066" w:rsidR="1453F7F2">
        <w:rPr>
          <w:rFonts w:ascii="Times New Roman" w:hAnsi="Times New Roman" w:eastAsia="Times New Roman" w:cs="Times New Roman"/>
          <w:noProof w:val="0"/>
          <w:sz w:val="24"/>
          <w:szCs w:val="24"/>
          <w:lang w:val="en-GB"/>
        </w:rPr>
        <w:t>represents</w:t>
      </w:r>
      <w:r w:rsidRPr="3FED4066" w:rsidR="1453F7F2">
        <w:rPr>
          <w:rFonts w:ascii="Times New Roman" w:hAnsi="Times New Roman" w:eastAsia="Times New Roman" w:cs="Times New Roman"/>
          <w:noProof w:val="0"/>
          <w:sz w:val="24"/>
          <w:szCs w:val="24"/>
          <w:lang w:val="en-GB"/>
        </w:rPr>
        <w:t xml:space="preserve"> the most </w:t>
      </w:r>
      <w:r w:rsidRPr="3FED4066" w:rsidR="1453F7F2">
        <w:rPr>
          <w:rFonts w:ascii="Times New Roman" w:hAnsi="Times New Roman" w:eastAsia="Times New Roman" w:cs="Times New Roman"/>
          <w:noProof w:val="0"/>
          <w:sz w:val="24"/>
          <w:szCs w:val="24"/>
          <w:lang w:val="en-GB"/>
        </w:rPr>
        <w:t>appropriate growth</w:t>
      </w:r>
      <w:r w:rsidRPr="3FED4066" w:rsidR="1453F7F2">
        <w:rPr>
          <w:rFonts w:ascii="Times New Roman" w:hAnsi="Times New Roman" w:eastAsia="Times New Roman" w:cs="Times New Roman"/>
          <w:noProof w:val="0"/>
          <w:sz w:val="24"/>
          <w:szCs w:val="24"/>
          <w:lang w:val="en-GB"/>
        </w:rPr>
        <w:t xml:space="preserve"> strategy for BHP because it enables the company to develop innovative lower-carbon products while serving its existing industrial customers. Combined with a differentiation strategy based on sustainability and innovation, this approach strengthens BHP's competitive position, enhances stakeholder </w:t>
      </w:r>
      <w:r w:rsidRPr="3FED4066" w:rsidR="1453F7F2">
        <w:rPr>
          <w:rFonts w:ascii="Times New Roman" w:hAnsi="Times New Roman" w:eastAsia="Times New Roman" w:cs="Times New Roman"/>
          <w:noProof w:val="0"/>
          <w:sz w:val="24"/>
          <w:szCs w:val="24"/>
          <w:lang w:val="en-GB"/>
        </w:rPr>
        <w:t>confidence</w:t>
      </w:r>
      <w:r w:rsidRPr="3FED4066" w:rsidR="1453F7F2">
        <w:rPr>
          <w:rFonts w:ascii="Times New Roman" w:hAnsi="Times New Roman" w:eastAsia="Times New Roman" w:cs="Times New Roman"/>
          <w:noProof w:val="0"/>
          <w:sz w:val="24"/>
          <w:szCs w:val="24"/>
          <w:lang w:val="en-GB"/>
        </w:rPr>
        <w:t xml:space="preserve"> and supports long-term business growth. As environmental expectations continue to increase, organisations that integrate sustainability into both their operations and marketing strategies are likely to achieve greater competitive advantage within the global mining industry.</w:t>
      </w:r>
    </w:p>
    <w:p w:rsidR="6DBE686E" w:rsidP="3FED4066" w:rsidRDefault="6DBE686E" w14:paraId="3FDA62AF" w14:textId="068A8D99">
      <w:pPr>
        <w:pStyle w:val="Heading2"/>
        <w:spacing w:before="299" w:beforeAutospacing="off" w:after="299" w:afterAutospacing="off"/>
        <w:rPr>
          <w:rFonts w:ascii="Times New Roman" w:hAnsi="Times New Roman" w:eastAsia="Times New Roman" w:cs="Times New Roman"/>
          <w:b w:val="1"/>
          <w:bCs w:val="1"/>
          <w:noProof w:val="0"/>
          <w:sz w:val="36"/>
          <w:szCs w:val="36"/>
          <w:lang w:val="en-GB"/>
        </w:rPr>
      </w:pPr>
      <w:bookmarkStart w:name="_Toc1011548951" w:id="111107565"/>
      <w:r w:rsidRPr="3FED4066" w:rsidR="6DBE686E">
        <w:rPr>
          <w:rFonts w:ascii="Times New Roman" w:hAnsi="Times New Roman" w:eastAsia="Times New Roman" w:cs="Times New Roman"/>
          <w:b w:val="1"/>
          <w:bCs w:val="1"/>
          <w:noProof w:val="0"/>
          <w:sz w:val="36"/>
          <w:szCs w:val="36"/>
          <w:lang w:val="en-GB"/>
        </w:rPr>
        <w:t>Critical Reflection on AI Usage</w:t>
      </w:r>
      <w:bookmarkEnd w:id="111107565"/>
    </w:p>
    <w:p w:rsidR="6DBE686E" w:rsidP="3FED4066" w:rsidRDefault="6DBE686E" w14:paraId="569CC5D4" w14:textId="0F651739">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1191329669" w:id="1445522174"/>
      <w:r w:rsidRPr="3FED4066" w:rsidR="6DBE686E">
        <w:rPr>
          <w:rFonts w:ascii="Times New Roman" w:hAnsi="Times New Roman" w:eastAsia="Times New Roman" w:cs="Times New Roman"/>
          <w:b w:val="1"/>
          <w:bCs w:val="1"/>
          <w:noProof w:val="0"/>
          <w:sz w:val="28"/>
          <w:szCs w:val="28"/>
          <w:lang w:val="en-GB"/>
        </w:rPr>
        <w:t>Tool Disclosure</w:t>
      </w:r>
      <w:bookmarkEnd w:id="1445522174"/>
    </w:p>
    <w:p w:rsidR="6DBE686E" w:rsidP="3FED4066" w:rsidRDefault="6DBE686E" w14:paraId="495D2980" w14:textId="027ABA9C">
      <w:pPr>
        <w:spacing w:before="240" w:beforeAutospacing="off" w:after="240" w:afterAutospacing="off"/>
      </w:pPr>
      <w:r w:rsidRPr="3FED4066" w:rsidR="6DBE686E">
        <w:rPr>
          <w:rFonts w:ascii="Times New Roman" w:hAnsi="Times New Roman" w:eastAsia="Times New Roman" w:cs="Times New Roman"/>
          <w:noProof w:val="0"/>
          <w:sz w:val="24"/>
          <w:szCs w:val="24"/>
          <w:lang w:val="en-GB"/>
        </w:rPr>
        <w:t>During the preparation of this report, I used ChatGPT as an Artificial Intelligence (AI) tool to support the planning, organisation and development of the assignment. The tool assisted in generating an initial structure, explaining marketing theories such as the Ansoff Matrix and Porter's Generic Strategies, improving the academic style of writing and suggesting relevant literature for further research. AI was also used to refine grammar, improve sentence clarity and organise ideas into a logical sequence. However, all final decisions regarding the content, structure and arguments remained my responsibility, and the use of AI complied with the university's guidance on responsible AI use.</w:t>
      </w:r>
    </w:p>
    <w:p w:rsidR="6DBE686E" w:rsidP="3FED4066" w:rsidRDefault="6DBE686E" w14:paraId="700F7EF2" w14:textId="2290010F">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1372926347" w:id="2091416220"/>
      <w:r w:rsidRPr="3FED4066" w:rsidR="6DBE686E">
        <w:rPr>
          <w:rFonts w:ascii="Times New Roman" w:hAnsi="Times New Roman" w:eastAsia="Times New Roman" w:cs="Times New Roman"/>
          <w:b w:val="1"/>
          <w:bCs w:val="1"/>
          <w:noProof w:val="0"/>
          <w:sz w:val="28"/>
          <w:szCs w:val="28"/>
          <w:lang w:val="en-GB"/>
        </w:rPr>
        <w:t>Critical Evaluation of AI Output</w:t>
      </w:r>
      <w:bookmarkEnd w:id="2091416220"/>
    </w:p>
    <w:p w:rsidR="6DBE686E" w:rsidP="3FED4066" w:rsidRDefault="6DBE686E" w14:paraId="7AD9F8FF" w14:textId="3A352E92">
      <w:pPr>
        <w:spacing w:before="240" w:beforeAutospacing="off" w:after="240" w:afterAutospacing="off"/>
      </w:pPr>
      <w:r w:rsidRPr="3FED4066" w:rsidR="6DBE686E">
        <w:rPr>
          <w:rFonts w:ascii="Times New Roman" w:hAnsi="Times New Roman" w:eastAsia="Times New Roman" w:cs="Times New Roman"/>
          <w:noProof w:val="0"/>
          <w:sz w:val="24"/>
          <w:szCs w:val="24"/>
          <w:lang w:val="en-GB"/>
        </w:rPr>
        <w:t>Although AI provided useful support, I recognised that its responses could contain inaccurate, outdated or unsupported information. To ensure the quality of the report, I verified all factual information using academic books, peer-reviewed journal articles and BHP's official Annual Report and Sustainability Report. Where AI generated unsupported claims or references, I cross-checked them against credible sources before including them in the assignment. In some cases, AI produced overly general statements that lacked critical analysis. These sections were revised by comparing multiple academic sources and ensuring that all arguments were supported with appropriate evidence. This verification process reduced the risk of including AI "hallucinations" and improved the overall reliability of the report.</w:t>
      </w:r>
    </w:p>
    <w:p w:rsidR="6DBE686E" w:rsidP="3FED4066" w:rsidRDefault="6DBE686E" w14:paraId="5A96C688" w14:textId="78105BEA">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1684677532" w:id="970593091"/>
      <w:r w:rsidRPr="3FED4066" w:rsidR="6DBE686E">
        <w:rPr>
          <w:rFonts w:ascii="Times New Roman" w:hAnsi="Times New Roman" w:eastAsia="Times New Roman" w:cs="Times New Roman"/>
          <w:b w:val="1"/>
          <w:bCs w:val="1"/>
          <w:noProof w:val="0"/>
          <w:sz w:val="28"/>
          <w:szCs w:val="28"/>
          <w:lang w:val="en-GB"/>
        </w:rPr>
        <w:t>Contribution Analysis</w:t>
      </w:r>
      <w:bookmarkEnd w:id="970593091"/>
    </w:p>
    <w:p w:rsidR="6DBE686E" w:rsidP="3FED4066" w:rsidRDefault="6DBE686E" w14:paraId="48A70BD1" w14:textId="6E3BA518">
      <w:pPr>
        <w:spacing w:before="240" w:beforeAutospacing="off" w:after="240" w:afterAutospacing="off"/>
      </w:pPr>
      <w:r w:rsidRPr="3FED4066" w:rsidR="6DBE686E">
        <w:rPr>
          <w:rFonts w:ascii="Times New Roman" w:hAnsi="Times New Roman" w:eastAsia="Times New Roman" w:cs="Times New Roman"/>
          <w:noProof w:val="0"/>
          <w:sz w:val="24"/>
          <w:szCs w:val="24"/>
          <w:lang w:val="en-GB"/>
        </w:rPr>
        <w:t>AI mainly supported the early stages of the assignment by helping to organise ideas, improve writing quality and explain theoretical concepts. The selection of BHP as the case study, the analysis of the marketing environment, the application of the Ansoff Matrix and Porter's Generic Strategies, and the evaluation of competitive advantage were based on my own interpretation of the evidence collected from academic and industry sources. I critically evaluated the information, selected the most relevant arguments and ensured that the discussion addressed the assignment requirements. Therefore, while AI acted as a supporting tool, the critical analysis, interpretation and final structure of the report represent my own academic work.</w:t>
      </w:r>
    </w:p>
    <w:p w:rsidR="6DBE686E" w:rsidP="3FED4066" w:rsidRDefault="6DBE686E" w14:paraId="59501980" w14:textId="37727CED">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58644948" w:id="538178980"/>
      <w:r w:rsidRPr="3FED4066" w:rsidR="6DBE686E">
        <w:rPr>
          <w:rFonts w:ascii="Times New Roman" w:hAnsi="Times New Roman" w:eastAsia="Times New Roman" w:cs="Times New Roman"/>
          <w:b w:val="1"/>
          <w:bCs w:val="1"/>
          <w:noProof w:val="0"/>
          <w:sz w:val="28"/>
          <w:szCs w:val="28"/>
          <w:lang w:val="en-GB"/>
        </w:rPr>
        <w:t>Ethical and Professional Reflection</w:t>
      </w:r>
      <w:bookmarkEnd w:id="538178980"/>
    </w:p>
    <w:p w:rsidR="6DBE686E" w:rsidP="3FED4066" w:rsidRDefault="6DBE686E" w14:paraId="2710F101" w14:textId="6A2D30F3">
      <w:pPr>
        <w:spacing w:before="240" w:beforeAutospacing="off" w:after="240" w:afterAutospacing="off"/>
      </w:pPr>
      <w:r w:rsidRPr="3FED4066" w:rsidR="6DBE686E">
        <w:rPr>
          <w:rFonts w:ascii="Times New Roman" w:hAnsi="Times New Roman" w:eastAsia="Times New Roman" w:cs="Times New Roman"/>
          <w:noProof w:val="0"/>
          <w:sz w:val="24"/>
          <w:szCs w:val="24"/>
          <w:lang w:val="en-GB"/>
        </w:rPr>
        <w:t xml:space="preserve">The increasing use of AI within higher education and marketing practice creates both opportunities and ethical challenges. AI can improve efficiency by supporting research, generating </w:t>
      </w:r>
      <w:r w:rsidRPr="3FED4066" w:rsidR="6DBE686E">
        <w:rPr>
          <w:rFonts w:ascii="Times New Roman" w:hAnsi="Times New Roman" w:eastAsia="Times New Roman" w:cs="Times New Roman"/>
          <w:noProof w:val="0"/>
          <w:sz w:val="24"/>
          <w:szCs w:val="24"/>
          <w:lang w:val="en-GB"/>
        </w:rPr>
        <w:t>ideas</w:t>
      </w:r>
      <w:r w:rsidRPr="3FED4066" w:rsidR="6DBE686E">
        <w:rPr>
          <w:rFonts w:ascii="Times New Roman" w:hAnsi="Times New Roman" w:eastAsia="Times New Roman" w:cs="Times New Roman"/>
          <w:noProof w:val="0"/>
          <w:sz w:val="24"/>
          <w:szCs w:val="24"/>
          <w:lang w:val="en-GB"/>
        </w:rPr>
        <w:t xml:space="preserve"> and enhancing written communication. However, excessive reliance on AI may reduce critical thinking, </w:t>
      </w:r>
      <w:r w:rsidRPr="3FED4066" w:rsidR="6DBE686E">
        <w:rPr>
          <w:rFonts w:ascii="Times New Roman" w:hAnsi="Times New Roman" w:eastAsia="Times New Roman" w:cs="Times New Roman"/>
          <w:noProof w:val="0"/>
          <w:sz w:val="24"/>
          <w:szCs w:val="24"/>
          <w:lang w:val="en-GB"/>
        </w:rPr>
        <w:t>originality</w:t>
      </w:r>
      <w:r w:rsidRPr="3FED4066" w:rsidR="6DBE686E">
        <w:rPr>
          <w:rFonts w:ascii="Times New Roman" w:hAnsi="Times New Roman" w:eastAsia="Times New Roman" w:cs="Times New Roman"/>
          <w:noProof w:val="0"/>
          <w:sz w:val="24"/>
          <w:szCs w:val="24"/>
          <w:lang w:val="en-GB"/>
        </w:rPr>
        <w:t xml:space="preserve"> and academic integrity if outputs are accepted without evaluation. Marketing professionals also have an ethical responsibility to ensure that AI-generated information is </w:t>
      </w:r>
      <w:r w:rsidRPr="3FED4066" w:rsidR="6DBE686E">
        <w:rPr>
          <w:rFonts w:ascii="Times New Roman" w:hAnsi="Times New Roman" w:eastAsia="Times New Roman" w:cs="Times New Roman"/>
          <w:noProof w:val="0"/>
          <w:sz w:val="24"/>
          <w:szCs w:val="24"/>
          <w:lang w:val="en-GB"/>
        </w:rPr>
        <w:t>accurate</w:t>
      </w:r>
      <w:r w:rsidRPr="3FED4066" w:rsidR="6DBE686E">
        <w:rPr>
          <w:rFonts w:ascii="Times New Roman" w:hAnsi="Times New Roman" w:eastAsia="Times New Roman" w:cs="Times New Roman"/>
          <w:noProof w:val="0"/>
          <w:sz w:val="24"/>
          <w:szCs w:val="24"/>
          <w:lang w:val="en-GB"/>
        </w:rPr>
        <w:t xml:space="preserve">, </w:t>
      </w:r>
      <w:r w:rsidRPr="3FED4066" w:rsidR="6DBE686E">
        <w:rPr>
          <w:rFonts w:ascii="Times New Roman" w:hAnsi="Times New Roman" w:eastAsia="Times New Roman" w:cs="Times New Roman"/>
          <w:noProof w:val="0"/>
          <w:sz w:val="24"/>
          <w:szCs w:val="24"/>
          <w:lang w:val="en-GB"/>
        </w:rPr>
        <w:t>transparent</w:t>
      </w:r>
      <w:r w:rsidRPr="3FED4066" w:rsidR="6DBE686E">
        <w:rPr>
          <w:rFonts w:ascii="Times New Roman" w:hAnsi="Times New Roman" w:eastAsia="Times New Roman" w:cs="Times New Roman"/>
          <w:noProof w:val="0"/>
          <w:sz w:val="24"/>
          <w:szCs w:val="24"/>
          <w:lang w:val="en-GB"/>
        </w:rPr>
        <w:t xml:space="preserve"> and free from bias. Throughout this assignment, I used AI responsibly by treating it as a learning support tool rather than a replacement for independent research or critical judgement. This experience has </w:t>
      </w:r>
      <w:r w:rsidRPr="3FED4066" w:rsidR="6DBE686E">
        <w:rPr>
          <w:rFonts w:ascii="Times New Roman" w:hAnsi="Times New Roman" w:eastAsia="Times New Roman" w:cs="Times New Roman"/>
          <w:noProof w:val="0"/>
          <w:sz w:val="24"/>
          <w:szCs w:val="24"/>
          <w:lang w:val="en-GB"/>
        </w:rPr>
        <w:t>demonstrated</w:t>
      </w:r>
      <w:r w:rsidRPr="3FED4066" w:rsidR="6DBE686E">
        <w:rPr>
          <w:rFonts w:ascii="Times New Roman" w:hAnsi="Times New Roman" w:eastAsia="Times New Roman" w:cs="Times New Roman"/>
          <w:noProof w:val="0"/>
          <w:sz w:val="24"/>
          <w:szCs w:val="24"/>
          <w:lang w:val="en-GB"/>
        </w:rPr>
        <w:t xml:space="preserve"> that AI can enhance academic work when combined with careful verification, ethical </w:t>
      </w:r>
      <w:r w:rsidRPr="3FED4066" w:rsidR="6DBE686E">
        <w:rPr>
          <w:rFonts w:ascii="Times New Roman" w:hAnsi="Times New Roman" w:eastAsia="Times New Roman" w:cs="Times New Roman"/>
          <w:noProof w:val="0"/>
          <w:sz w:val="24"/>
          <w:szCs w:val="24"/>
          <w:lang w:val="en-GB"/>
        </w:rPr>
        <w:t>decision-making</w:t>
      </w:r>
      <w:r w:rsidRPr="3FED4066" w:rsidR="6DBE686E">
        <w:rPr>
          <w:rFonts w:ascii="Times New Roman" w:hAnsi="Times New Roman" w:eastAsia="Times New Roman" w:cs="Times New Roman"/>
          <w:noProof w:val="0"/>
          <w:sz w:val="24"/>
          <w:szCs w:val="24"/>
          <w:lang w:val="en-GB"/>
        </w:rPr>
        <w:t xml:space="preserve"> and independent analysis. In future studies and professional practice, I will continue to use AI responsibly while </w:t>
      </w:r>
      <w:r w:rsidRPr="3FED4066" w:rsidR="6DBE686E">
        <w:rPr>
          <w:rFonts w:ascii="Times New Roman" w:hAnsi="Times New Roman" w:eastAsia="Times New Roman" w:cs="Times New Roman"/>
          <w:noProof w:val="0"/>
          <w:sz w:val="24"/>
          <w:szCs w:val="24"/>
          <w:lang w:val="en-GB"/>
        </w:rPr>
        <w:t>maintaining</w:t>
      </w:r>
      <w:r w:rsidRPr="3FED4066" w:rsidR="6DBE686E">
        <w:rPr>
          <w:rFonts w:ascii="Times New Roman" w:hAnsi="Times New Roman" w:eastAsia="Times New Roman" w:cs="Times New Roman"/>
          <w:noProof w:val="0"/>
          <w:sz w:val="24"/>
          <w:szCs w:val="24"/>
          <w:lang w:val="en-GB"/>
        </w:rPr>
        <w:t xml:space="preserve"> academic integrity and applying my own critical thinking skills.</w:t>
      </w:r>
    </w:p>
    <w:p w:rsidR="65978434" w:rsidP="3FED4066" w:rsidRDefault="65978434" w14:paraId="74BEC44C" w14:textId="311430A8">
      <w:pPr>
        <w:pStyle w:val="Heading1"/>
        <w:spacing w:before="322" w:beforeAutospacing="off" w:after="322" w:afterAutospacing="off"/>
        <w:rPr>
          <w:rFonts w:ascii="Times New Roman" w:hAnsi="Times New Roman" w:eastAsia="Times New Roman" w:cs="Times New Roman"/>
          <w:b w:val="1"/>
          <w:bCs w:val="1"/>
          <w:noProof w:val="0"/>
          <w:sz w:val="48"/>
          <w:szCs w:val="48"/>
          <w:lang w:val="en-GB"/>
        </w:rPr>
      </w:pPr>
      <w:bookmarkStart w:name="_Toc852202199" w:id="2093421562"/>
      <w:r w:rsidRPr="3FED4066" w:rsidR="65978434">
        <w:rPr>
          <w:rFonts w:ascii="Times New Roman" w:hAnsi="Times New Roman" w:eastAsia="Times New Roman" w:cs="Times New Roman"/>
          <w:b w:val="1"/>
          <w:bCs w:val="1"/>
          <w:noProof w:val="0"/>
          <w:sz w:val="48"/>
          <w:szCs w:val="48"/>
          <w:lang w:val="en-GB"/>
        </w:rPr>
        <w:t>References</w:t>
      </w:r>
      <w:bookmarkEnd w:id="2093421562"/>
    </w:p>
    <w:p w:rsidR="65978434" w:rsidP="3FED4066" w:rsidRDefault="65978434" w14:paraId="393C7D43" w14:textId="1FFFC9C9">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Ansoff, H.I. (1957) ‘Strategies for diversification’, </w:t>
      </w:r>
      <w:r w:rsidRPr="3FED4066" w:rsidR="65978434">
        <w:rPr>
          <w:rFonts w:ascii="Times New Roman" w:hAnsi="Times New Roman" w:eastAsia="Times New Roman" w:cs="Times New Roman"/>
          <w:i w:val="1"/>
          <w:iCs w:val="1"/>
          <w:noProof w:val="0"/>
          <w:sz w:val="24"/>
          <w:szCs w:val="24"/>
          <w:lang w:val="en-GB"/>
        </w:rPr>
        <w:t>Harvard Business Review</w:t>
      </w:r>
      <w:r w:rsidRPr="3FED4066" w:rsidR="65978434">
        <w:rPr>
          <w:rFonts w:ascii="Times New Roman" w:hAnsi="Times New Roman" w:eastAsia="Times New Roman" w:cs="Times New Roman"/>
          <w:noProof w:val="0"/>
          <w:sz w:val="24"/>
          <w:szCs w:val="24"/>
          <w:lang w:val="en-GB"/>
        </w:rPr>
        <w:t>, 35(5), pp. 113–124.</w:t>
      </w:r>
    </w:p>
    <w:p w:rsidR="65978434" w:rsidP="3FED4066" w:rsidRDefault="65978434" w14:paraId="51EF8544" w14:textId="0AF2626C">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BHP (2024a) </w:t>
      </w:r>
      <w:r w:rsidRPr="3FED4066" w:rsidR="65978434">
        <w:rPr>
          <w:rFonts w:ascii="Times New Roman" w:hAnsi="Times New Roman" w:eastAsia="Times New Roman" w:cs="Times New Roman"/>
          <w:i w:val="1"/>
          <w:iCs w:val="1"/>
          <w:noProof w:val="0"/>
          <w:sz w:val="24"/>
          <w:szCs w:val="24"/>
          <w:lang w:val="en-GB"/>
        </w:rPr>
        <w:t>Annual Report 2024</w:t>
      </w:r>
      <w:r w:rsidRPr="3FED4066" w:rsidR="65978434">
        <w:rPr>
          <w:rFonts w:ascii="Times New Roman" w:hAnsi="Times New Roman" w:eastAsia="Times New Roman" w:cs="Times New Roman"/>
          <w:noProof w:val="0"/>
          <w:sz w:val="24"/>
          <w:szCs w:val="24"/>
          <w:lang w:val="en-GB"/>
        </w:rPr>
        <w:t>. Melbourne: BHP.</w:t>
      </w:r>
    </w:p>
    <w:p w:rsidR="65978434" w:rsidP="3FED4066" w:rsidRDefault="65978434" w14:paraId="41F8C2F5" w14:textId="4D80FC80">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BHP (2024b) </w:t>
      </w:r>
      <w:r w:rsidRPr="3FED4066" w:rsidR="65978434">
        <w:rPr>
          <w:rFonts w:ascii="Times New Roman" w:hAnsi="Times New Roman" w:eastAsia="Times New Roman" w:cs="Times New Roman"/>
          <w:i w:val="1"/>
          <w:iCs w:val="1"/>
          <w:noProof w:val="0"/>
          <w:sz w:val="24"/>
          <w:szCs w:val="24"/>
          <w:lang w:val="en-GB"/>
        </w:rPr>
        <w:t>Climate Transition Action Plan</w:t>
      </w:r>
      <w:r w:rsidRPr="3FED4066" w:rsidR="65978434">
        <w:rPr>
          <w:rFonts w:ascii="Times New Roman" w:hAnsi="Times New Roman" w:eastAsia="Times New Roman" w:cs="Times New Roman"/>
          <w:noProof w:val="0"/>
          <w:sz w:val="24"/>
          <w:szCs w:val="24"/>
          <w:lang w:val="en-GB"/>
        </w:rPr>
        <w:t xml:space="preserve">. Available at: </w:t>
      </w:r>
      <w:hyperlink r:id="R75e845591e8b4239">
        <w:r w:rsidRPr="3FED4066" w:rsidR="65978434">
          <w:rPr>
            <w:rStyle w:val="Hyperlink"/>
            <w:noProof w:val="0"/>
            <w:lang w:val="en-GB"/>
          </w:rPr>
          <w:t>https://www.bhp.com/sustainability/climate-change/climate-transition-action-plan</w:t>
        </w:r>
      </w:hyperlink>
      <w:r w:rsidRPr="3FED4066" w:rsidR="65978434">
        <w:rPr>
          <w:rFonts w:ascii="Times New Roman" w:hAnsi="Times New Roman" w:eastAsia="Times New Roman" w:cs="Times New Roman"/>
          <w:noProof w:val="0"/>
          <w:sz w:val="24"/>
          <w:szCs w:val="24"/>
          <w:lang w:val="en-GB"/>
        </w:rPr>
        <w:t xml:space="preserve"> (Accessed: 22 July 2026).</w:t>
      </w:r>
    </w:p>
    <w:p w:rsidR="65978434" w:rsidP="3FED4066" w:rsidRDefault="65978434" w14:paraId="3B45ABDC" w14:textId="762F33DA">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BHP (2024c) </w:t>
      </w:r>
      <w:r w:rsidRPr="3FED4066" w:rsidR="65978434">
        <w:rPr>
          <w:rFonts w:ascii="Times New Roman" w:hAnsi="Times New Roman" w:eastAsia="Times New Roman" w:cs="Times New Roman"/>
          <w:i w:val="1"/>
          <w:iCs w:val="1"/>
          <w:noProof w:val="0"/>
          <w:sz w:val="24"/>
          <w:szCs w:val="24"/>
          <w:lang w:val="en-GB"/>
        </w:rPr>
        <w:t>Our Position on Climate Change</w:t>
      </w:r>
      <w:r w:rsidRPr="3FED4066" w:rsidR="65978434">
        <w:rPr>
          <w:rFonts w:ascii="Times New Roman" w:hAnsi="Times New Roman" w:eastAsia="Times New Roman" w:cs="Times New Roman"/>
          <w:noProof w:val="0"/>
          <w:sz w:val="24"/>
          <w:szCs w:val="24"/>
          <w:lang w:val="en-GB"/>
        </w:rPr>
        <w:t xml:space="preserve">. Available at: </w:t>
      </w:r>
      <w:hyperlink r:id="Rf59ca82e2ea34aef">
        <w:r w:rsidRPr="3FED4066" w:rsidR="65978434">
          <w:rPr>
            <w:rStyle w:val="Hyperlink"/>
            <w:noProof w:val="0"/>
            <w:lang w:val="en-GB"/>
          </w:rPr>
          <w:t>https://www.bhp.com/sustainability/climate-change/our-position</w:t>
        </w:r>
      </w:hyperlink>
      <w:r w:rsidRPr="3FED4066" w:rsidR="65978434">
        <w:rPr>
          <w:rFonts w:ascii="Times New Roman" w:hAnsi="Times New Roman" w:eastAsia="Times New Roman" w:cs="Times New Roman"/>
          <w:noProof w:val="0"/>
          <w:sz w:val="24"/>
          <w:szCs w:val="24"/>
          <w:lang w:val="en-GB"/>
        </w:rPr>
        <w:t xml:space="preserve"> (Accessed: 2</w:t>
      </w:r>
      <w:r w:rsidRPr="3FED4066" w:rsidR="7214DD9B">
        <w:rPr>
          <w:rFonts w:ascii="Times New Roman" w:hAnsi="Times New Roman" w:eastAsia="Times New Roman" w:cs="Times New Roman"/>
          <w:noProof w:val="0"/>
          <w:sz w:val="24"/>
          <w:szCs w:val="24"/>
          <w:lang w:val="en-GB"/>
        </w:rPr>
        <w:t>0</w:t>
      </w:r>
      <w:r w:rsidRPr="3FED4066" w:rsidR="65978434">
        <w:rPr>
          <w:rFonts w:ascii="Times New Roman" w:hAnsi="Times New Roman" w:eastAsia="Times New Roman" w:cs="Times New Roman"/>
          <w:noProof w:val="0"/>
          <w:sz w:val="24"/>
          <w:szCs w:val="24"/>
          <w:lang w:val="en-GB"/>
        </w:rPr>
        <w:t xml:space="preserve"> July 2026).</w:t>
      </w:r>
    </w:p>
    <w:p w:rsidR="65978434" w:rsidP="3FED4066" w:rsidRDefault="65978434" w14:paraId="40D9C4F4" w14:textId="772FA914">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BHP (2024d) </w:t>
      </w:r>
      <w:r w:rsidRPr="3FED4066" w:rsidR="65978434">
        <w:rPr>
          <w:rFonts w:ascii="Times New Roman" w:hAnsi="Times New Roman" w:eastAsia="Times New Roman" w:cs="Times New Roman"/>
          <w:i w:val="1"/>
          <w:iCs w:val="1"/>
          <w:noProof w:val="0"/>
          <w:sz w:val="24"/>
          <w:szCs w:val="24"/>
          <w:lang w:val="en-GB"/>
        </w:rPr>
        <w:t>Sustainability</w:t>
      </w:r>
      <w:r w:rsidRPr="3FED4066" w:rsidR="65978434">
        <w:rPr>
          <w:rFonts w:ascii="Times New Roman" w:hAnsi="Times New Roman" w:eastAsia="Times New Roman" w:cs="Times New Roman"/>
          <w:noProof w:val="0"/>
          <w:sz w:val="24"/>
          <w:szCs w:val="24"/>
          <w:lang w:val="en-GB"/>
        </w:rPr>
        <w:t xml:space="preserve">. Available at: </w:t>
      </w:r>
      <w:hyperlink r:id="R45594043db8543e5">
        <w:r w:rsidRPr="3FED4066" w:rsidR="65978434">
          <w:rPr>
            <w:rStyle w:val="Hyperlink"/>
            <w:noProof w:val="0"/>
            <w:lang w:val="en-GB"/>
          </w:rPr>
          <w:t>https://www.bhp.com/sustainability</w:t>
        </w:r>
      </w:hyperlink>
      <w:r w:rsidRPr="3FED4066" w:rsidR="65978434">
        <w:rPr>
          <w:rFonts w:ascii="Times New Roman" w:hAnsi="Times New Roman" w:eastAsia="Times New Roman" w:cs="Times New Roman"/>
          <w:noProof w:val="0"/>
          <w:sz w:val="24"/>
          <w:szCs w:val="24"/>
          <w:lang w:val="en-GB"/>
        </w:rPr>
        <w:t xml:space="preserve"> (Accessed: 2</w:t>
      </w:r>
      <w:r w:rsidRPr="3FED4066" w:rsidR="0ED3EED1">
        <w:rPr>
          <w:rFonts w:ascii="Times New Roman" w:hAnsi="Times New Roman" w:eastAsia="Times New Roman" w:cs="Times New Roman"/>
          <w:noProof w:val="0"/>
          <w:sz w:val="24"/>
          <w:szCs w:val="24"/>
          <w:lang w:val="en-GB"/>
        </w:rPr>
        <w:t xml:space="preserve">1 </w:t>
      </w:r>
      <w:r w:rsidRPr="3FED4066" w:rsidR="65978434">
        <w:rPr>
          <w:rFonts w:ascii="Times New Roman" w:hAnsi="Times New Roman" w:eastAsia="Times New Roman" w:cs="Times New Roman"/>
          <w:noProof w:val="0"/>
          <w:sz w:val="24"/>
          <w:szCs w:val="24"/>
          <w:lang w:val="en-GB"/>
        </w:rPr>
        <w:t>July 2026).</w:t>
      </w:r>
    </w:p>
    <w:p w:rsidR="65978434" w:rsidP="3FED4066" w:rsidRDefault="65978434" w14:paraId="21F0A2B2" w14:textId="69652D65">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International Energy Agency (2024) </w:t>
      </w:r>
      <w:r w:rsidRPr="3FED4066" w:rsidR="65978434">
        <w:rPr>
          <w:rFonts w:ascii="Times New Roman" w:hAnsi="Times New Roman" w:eastAsia="Times New Roman" w:cs="Times New Roman"/>
          <w:i w:val="1"/>
          <w:iCs w:val="1"/>
          <w:noProof w:val="0"/>
          <w:sz w:val="24"/>
          <w:szCs w:val="24"/>
          <w:lang w:val="en-GB"/>
        </w:rPr>
        <w:t>Global Critical Minerals Outlook 2024</w:t>
      </w:r>
      <w:r w:rsidRPr="3FED4066" w:rsidR="65978434">
        <w:rPr>
          <w:rFonts w:ascii="Times New Roman" w:hAnsi="Times New Roman" w:eastAsia="Times New Roman" w:cs="Times New Roman"/>
          <w:noProof w:val="0"/>
          <w:sz w:val="24"/>
          <w:szCs w:val="24"/>
          <w:lang w:val="en-GB"/>
        </w:rPr>
        <w:t>. Paris: International Energy Agency.</w:t>
      </w:r>
    </w:p>
    <w:p w:rsidR="65978434" w:rsidP="3FED4066" w:rsidRDefault="65978434" w14:paraId="00F85463" w14:textId="7DA78C61">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Kotler, P., Armstrong, G., Harris, L.C. and He, H. (2024) </w:t>
      </w:r>
      <w:r w:rsidRPr="3FED4066" w:rsidR="65978434">
        <w:rPr>
          <w:rFonts w:ascii="Times New Roman" w:hAnsi="Times New Roman" w:eastAsia="Times New Roman" w:cs="Times New Roman"/>
          <w:i w:val="1"/>
          <w:iCs w:val="1"/>
          <w:noProof w:val="0"/>
          <w:sz w:val="24"/>
          <w:szCs w:val="24"/>
          <w:lang w:val="en-GB"/>
        </w:rPr>
        <w:t>Principles of Marketing</w:t>
      </w:r>
      <w:r w:rsidRPr="3FED4066" w:rsidR="65978434">
        <w:rPr>
          <w:rFonts w:ascii="Times New Roman" w:hAnsi="Times New Roman" w:eastAsia="Times New Roman" w:cs="Times New Roman"/>
          <w:noProof w:val="0"/>
          <w:sz w:val="24"/>
          <w:szCs w:val="24"/>
          <w:lang w:val="en-GB"/>
        </w:rPr>
        <w:t>. 19th edn. Harlow: Pearson.</w:t>
      </w:r>
    </w:p>
    <w:p w:rsidR="65978434" w:rsidP="3FED4066" w:rsidRDefault="65978434" w14:paraId="02ABAD58" w14:textId="12729C43">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Porter, M.E. (1985) </w:t>
      </w:r>
      <w:r w:rsidRPr="3FED4066" w:rsidR="65978434">
        <w:rPr>
          <w:rFonts w:ascii="Times New Roman" w:hAnsi="Times New Roman" w:eastAsia="Times New Roman" w:cs="Times New Roman"/>
          <w:i w:val="1"/>
          <w:iCs w:val="1"/>
          <w:noProof w:val="0"/>
          <w:sz w:val="24"/>
          <w:szCs w:val="24"/>
          <w:lang w:val="en-GB"/>
        </w:rPr>
        <w:t>Competitive Advantage: Creating and Sustaining Superior Performance</w:t>
      </w:r>
      <w:r w:rsidRPr="3FED4066" w:rsidR="65978434">
        <w:rPr>
          <w:rFonts w:ascii="Times New Roman" w:hAnsi="Times New Roman" w:eastAsia="Times New Roman" w:cs="Times New Roman"/>
          <w:noProof w:val="0"/>
          <w:sz w:val="24"/>
          <w:szCs w:val="24"/>
          <w:lang w:val="en-GB"/>
        </w:rPr>
        <w:t>. New York: Free Press.</w:t>
      </w:r>
    </w:p>
    <w:p w:rsidR="65978434" w:rsidP="3FED4066" w:rsidRDefault="65978434" w14:paraId="54A08FE1" w14:textId="59BAD3AE">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Porter, M.E. and Kramer, M.R. (2011) ‘Creating shared value’, </w:t>
      </w:r>
      <w:r w:rsidRPr="3FED4066" w:rsidR="65978434">
        <w:rPr>
          <w:rFonts w:ascii="Times New Roman" w:hAnsi="Times New Roman" w:eastAsia="Times New Roman" w:cs="Times New Roman"/>
          <w:i w:val="1"/>
          <w:iCs w:val="1"/>
          <w:noProof w:val="0"/>
          <w:sz w:val="24"/>
          <w:szCs w:val="24"/>
          <w:lang w:val="en-GB"/>
        </w:rPr>
        <w:t>Harvard Business Review</w:t>
      </w:r>
      <w:r w:rsidRPr="3FED4066" w:rsidR="65978434">
        <w:rPr>
          <w:rFonts w:ascii="Times New Roman" w:hAnsi="Times New Roman" w:eastAsia="Times New Roman" w:cs="Times New Roman"/>
          <w:noProof w:val="0"/>
          <w:sz w:val="24"/>
          <w:szCs w:val="24"/>
          <w:lang w:val="en-GB"/>
        </w:rPr>
        <w:t>, 89(1–2), pp. 62–77.</w:t>
      </w:r>
    </w:p>
    <w:p w:rsidR="65978434" w:rsidP="3FED4066" w:rsidRDefault="65978434" w14:paraId="0B19F63F" w14:textId="1B965463">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United Nations (2015) </w:t>
      </w:r>
      <w:r w:rsidRPr="3FED4066" w:rsidR="65978434">
        <w:rPr>
          <w:rFonts w:ascii="Times New Roman" w:hAnsi="Times New Roman" w:eastAsia="Times New Roman" w:cs="Times New Roman"/>
          <w:i w:val="1"/>
          <w:iCs w:val="1"/>
          <w:noProof w:val="0"/>
          <w:sz w:val="24"/>
          <w:szCs w:val="24"/>
          <w:lang w:val="en-GB"/>
        </w:rPr>
        <w:t>Transforming Our World: The 2030 Agenda for Sustainable Development</w:t>
      </w:r>
      <w:r w:rsidRPr="3FED4066" w:rsidR="65978434">
        <w:rPr>
          <w:rFonts w:ascii="Times New Roman" w:hAnsi="Times New Roman" w:eastAsia="Times New Roman" w:cs="Times New Roman"/>
          <w:noProof w:val="0"/>
          <w:sz w:val="24"/>
          <w:szCs w:val="24"/>
          <w:lang w:val="en-GB"/>
        </w:rPr>
        <w:t>. New York: United Nations.</w:t>
      </w:r>
    </w:p>
    <w:p w:rsidR="65978434" w:rsidP="3FED4066" w:rsidRDefault="65978434" w14:paraId="2A5D5623" w14:textId="0274D9A1">
      <w:pPr>
        <w:spacing w:before="240" w:beforeAutospacing="off" w:after="240" w:afterAutospacing="off"/>
      </w:pPr>
      <w:r w:rsidRPr="3FED4066" w:rsidR="65978434">
        <w:rPr>
          <w:rFonts w:ascii="Times New Roman" w:hAnsi="Times New Roman" w:eastAsia="Times New Roman" w:cs="Times New Roman"/>
          <w:noProof w:val="0"/>
          <w:sz w:val="24"/>
          <w:szCs w:val="24"/>
          <w:lang w:val="en-GB"/>
        </w:rPr>
        <w:t xml:space="preserve">World Economic Forum (2024) </w:t>
      </w:r>
      <w:r w:rsidRPr="3FED4066" w:rsidR="65978434">
        <w:rPr>
          <w:rFonts w:ascii="Times New Roman" w:hAnsi="Times New Roman" w:eastAsia="Times New Roman" w:cs="Times New Roman"/>
          <w:i w:val="1"/>
          <w:iCs w:val="1"/>
          <w:noProof w:val="0"/>
          <w:sz w:val="24"/>
          <w:szCs w:val="24"/>
          <w:lang w:val="en-GB"/>
        </w:rPr>
        <w:t>The Global Risks Report 2024</w:t>
      </w:r>
      <w:r w:rsidRPr="3FED4066" w:rsidR="65978434">
        <w:rPr>
          <w:rFonts w:ascii="Times New Roman" w:hAnsi="Times New Roman" w:eastAsia="Times New Roman" w:cs="Times New Roman"/>
          <w:noProof w:val="0"/>
          <w:sz w:val="24"/>
          <w:szCs w:val="24"/>
          <w:lang w:val="en-GB"/>
        </w:rPr>
        <w:t>. 19th edn. Geneva: World Economic Forum.</w:t>
      </w:r>
    </w:p>
    <w:p w:rsidR="3FED4066" w:rsidP="3FED4066" w:rsidRDefault="3FED4066" w14:paraId="03269FBA" w14:textId="24CED66D">
      <w:pPr>
        <w:spacing w:before="240" w:beforeAutospacing="off" w:after="240" w:afterAutospacing="off"/>
        <w:rPr>
          <w:rFonts w:ascii="Times New Roman" w:hAnsi="Times New Roman" w:eastAsia="Times New Roman" w:cs="Times New Roman"/>
          <w:noProof w:val="0"/>
          <w:sz w:val="24"/>
          <w:szCs w:val="24"/>
          <w:lang w:val="en-GB"/>
        </w:rPr>
      </w:pPr>
    </w:p>
    <w:p w:rsidR="3FED4066" w:rsidP="3FED4066" w:rsidRDefault="3FED4066" w14:paraId="6318DEEC" w14:textId="19A2981C">
      <w:pPr>
        <w:spacing w:before="240" w:beforeAutospacing="off" w:after="240" w:afterAutospacing="off"/>
        <w:rPr>
          <w:rFonts w:ascii="Times New Roman" w:hAnsi="Times New Roman" w:eastAsia="Times New Roman" w:cs="Times New Roman"/>
          <w:noProof w:val="0"/>
          <w:sz w:val="24"/>
          <w:szCs w:val="24"/>
          <w:lang w:val="en-GB"/>
        </w:rPr>
      </w:pPr>
    </w:p>
    <w:p w:rsidR="3FED4066" w:rsidP="3FED4066" w:rsidRDefault="3FED4066" w14:paraId="3B560A93" w14:textId="4B86C4E4">
      <w:pPr>
        <w:pStyle w:val="Normal"/>
        <w:rPr>
          <w:rFonts w:ascii="Times New Roman" w:hAnsi="Times New Roman" w:eastAsia="Times New Roman" w:cs="Times New Roman"/>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88E546"/>
    <w:rsid w:val="004D924A"/>
    <w:rsid w:val="04B1746D"/>
    <w:rsid w:val="056B7FC7"/>
    <w:rsid w:val="0585A7C2"/>
    <w:rsid w:val="06046895"/>
    <w:rsid w:val="0815346F"/>
    <w:rsid w:val="088F5250"/>
    <w:rsid w:val="0914B466"/>
    <w:rsid w:val="0A87A828"/>
    <w:rsid w:val="0E0E0D8F"/>
    <w:rsid w:val="0EADBD92"/>
    <w:rsid w:val="0EBFAF10"/>
    <w:rsid w:val="0ED3EED1"/>
    <w:rsid w:val="0FA51EE9"/>
    <w:rsid w:val="10ED7297"/>
    <w:rsid w:val="11B9E832"/>
    <w:rsid w:val="1268F605"/>
    <w:rsid w:val="135E210D"/>
    <w:rsid w:val="1453F7F2"/>
    <w:rsid w:val="1756241F"/>
    <w:rsid w:val="17A76B80"/>
    <w:rsid w:val="192D59BE"/>
    <w:rsid w:val="19BCE431"/>
    <w:rsid w:val="1A4B91AE"/>
    <w:rsid w:val="1BEEEC2B"/>
    <w:rsid w:val="1CA0932D"/>
    <w:rsid w:val="1E9D91EE"/>
    <w:rsid w:val="1EEB9720"/>
    <w:rsid w:val="1F83CAE2"/>
    <w:rsid w:val="208E07EA"/>
    <w:rsid w:val="20EE7803"/>
    <w:rsid w:val="21E02E48"/>
    <w:rsid w:val="24261C58"/>
    <w:rsid w:val="255E5786"/>
    <w:rsid w:val="260FFECE"/>
    <w:rsid w:val="265B2494"/>
    <w:rsid w:val="26929D02"/>
    <w:rsid w:val="27366140"/>
    <w:rsid w:val="2763E880"/>
    <w:rsid w:val="2AB7497C"/>
    <w:rsid w:val="2B8252A6"/>
    <w:rsid w:val="2FF2FFF5"/>
    <w:rsid w:val="311DC879"/>
    <w:rsid w:val="3388E546"/>
    <w:rsid w:val="353777D9"/>
    <w:rsid w:val="37C9420B"/>
    <w:rsid w:val="38C82CA1"/>
    <w:rsid w:val="398AEB92"/>
    <w:rsid w:val="3B81552F"/>
    <w:rsid w:val="3C059D0D"/>
    <w:rsid w:val="3E0F8215"/>
    <w:rsid w:val="3E6F081D"/>
    <w:rsid w:val="3F5D7F34"/>
    <w:rsid w:val="3FED4066"/>
    <w:rsid w:val="40AF0B57"/>
    <w:rsid w:val="40CBDE46"/>
    <w:rsid w:val="42062DCB"/>
    <w:rsid w:val="4216BC9E"/>
    <w:rsid w:val="4332F069"/>
    <w:rsid w:val="434B5F34"/>
    <w:rsid w:val="441634D6"/>
    <w:rsid w:val="44D3B10A"/>
    <w:rsid w:val="44F8DA7F"/>
    <w:rsid w:val="45E133AB"/>
    <w:rsid w:val="476CBE13"/>
    <w:rsid w:val="48DFF039"/>
    <w:rsid w:val="49881A68"/>
    <w:rsid w:val="4A04223D"/>
    <w:rsid w:val="4AD862C8"/>
    <w:rsid w:val="4B33CA69"/>
    <w:rsid w:val="4E407BB0"/>
    <w:rsid w:val="4E8C6D04"/>
    <w:rsid w:val="53535C08"/>
    <w:rsid w:val="53B8A755"/>
    <w:rsid w:val="5445DE4B"/>
    <w:rsid w:val="554531DE"/>
    <w:rsid w:val="55D6CC17"/>
    <w:rsid w:val="56A33E49"/>
    <w:rsid w:val="57FFA8BE"/>
    <w:rsid w:val="5A9881E2"/>
    <w:rsid w:val="5B8096D5"/>
    <w:rsid w:val="5C045B5D"/>
    <w:rsid w:val="5C124918"/>
    <w:rsid w:val="5C81CBD3"/>
    <w:rsid w:val="5D0C6AC7"/>
    <w:rsid w:val="5FC92706"/>
    <w:rsid w:val="5FF4EDD5"/>
    <w:rsid w:val="606C08E1"/>
    <w:rsid w:val="60F538D7"/>
    <w:rsid w:val="618FFF04"/>
    <w:rsid w:val="61DDB157"/>
    <w:rsid w:val="62919B86"/>
    <w:rsid w:val="6357A094"/>
    <w:rsid w:val="640A1AB1"/>
    <w:rsid w:val="641133CD"/>
    <w:rsid w:val="65978434"/>
    <w:rsid w:val="66C16079"/>
    <w:rsid w:val="67F14191"/>
    <w:rsid w:val="67FFB04B"/>
    <w:rsid w:val="681AB912"/>
    <w:rsid w:val="6AC51C9F"/>
    <w:rsid w:val="6BFFDB18"/>
    <w:rsid w:val="6C66CF5F"/>
    <w:rsid w:val="6DBE686E"/>
    <w:rsid w:val="6DBEDE89"/>
    <w:rsid w:val="6E732958"/>
    <w:rsid w:val="6E77EA86"/>
    <w:rsid w:val="6F8EC5C1"/>
    <w:rsid w:val="6FA8BEC1"/>
    <w:rsid w:val="70624126"/>
    <w:rsid w:val="7214DD9B"/>
    <w:rsid w:val="773E9122"/>
    <w:rsid w:val="7996B4DF"/>
    <w:rsid w:val="7CB94E07"/>
    <w:rsid w:val="7D91B343"/>
    <w:rsid w:val="7E6A1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1F19E"/>
  <w15:chartTrackingRefBased/>
  <w15:docId w15:val="{D12CF6C3-B410-433E-8BE8-B60EB802AE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uiPriority w:val="39"/>
    <w:name w:val="toc 1"/>
    <w:basedOn w:val="Normal"/>
    <w:next w:val="Normal"/>
    <w:unhideWhenUsed/>
    <w:rsid w:val="48DFF039"/>
    <w:pPr>
      <w:spacing w:after="100"/>
    </w:pPr>
  </w:style>
  <w:style w:type="paragraph" w:styleId="Heading3">
    <w:uiPriority w:val="9"/>
    <w:name w:val="heading 3"/>
    <w:basedOn w:val="Normal"/>
    <w:next w:val="Normal"/>
    <w:unhideWhenUsed/>
    <w:qFormat/>
    <w:rsid w:val="48DFF03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48DFF03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FED406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FED4066"/>
    <w:rPr>
      <w:color w:val="467886"/>
      <w:u w:val="single"/>
    </w:rPr>
  </w:style>
  <w:style w:type="paragraph" w:styleId="TOC2">
    <w:uiPriority w:val="39"/>
    <w:name w:val="toc 2"/>
    <w:basedOn w:val="Normal"/>
    <w:next w:val="Normal"/>
    <w:unhideWhenUsed/>
    <w:rsid w:val="3FED4066"/>
    <w:pPr>
      <w:spacing w:after="100"/>
      <w:ind w:left="220"/>
    </w:pPr>
  </w:style>
  <w:style w:type="paragraph" w:styleId="TOC3">
    <w:uiPriority w:val="39"/>
    <w:name w:val="toc 3"/>
    <w:basedOn w:val="Normal"/>
    <w:next w:val="Normal"/>
    <w:unhideWhenUsed/>
    <w:rsid w:val="3FED4066"/>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752259001" /><Relationship Type="http://schemas.openxmlformats.org/officeDocument/2006/relationships/hyperlink" Target="https://www.bhp.com/sustainability/climate-change/climate-transition-action-plan" TargetMode="External" Id="R75e845591e8b4239" /><Relationship Type="http://schemas.openxmlformats.org/officeDocument/2006/relationships/hyperlink" Target="https://www.bhp.com/sustainability/climate-change/our-position" TargetMode="External" Id="Rf59ca82e2ea34aef" /><Relationship Type="http://schemas.openxmlformats.org/officeDocument/2006/relationships/hyperlink" Target="https://www.bhp.com/sustainability" TargetMode="External" Id="R45594043db8543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Armands Putersevics (2242532)</dc:creator>
  <keywords/>
  <dc:description/>
  <lastModifiedBy>Armands Putersevics (2242532)</lastModifiedBy>
  <revision>3</revision>
  <dcterms:created xsi:type="dcterms:W3CDTF">2026-07-15T11:56:04.2139869Z</dcterms:created>
  <dcterms:modified xsi:type="dcterms:W3CDTF">2026-07-24T05:31:25.0333719Z</dcterms:modified>
</coreProperties>
</file>