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8454"/>
      </w:tblGrid>
      <w:tr w:rsidR="000E07D3" w:rsidRPr="000E07D3" w14:paraId="33660AD1" w14:textId="77777777" w:rsidTr="000E07D3">
        <w:tc>
          <w:tcPr>
            <w:tcW w:w="9016" w:type="dxa"/>
            <w:gridSpan w:val="2"/>
            <w:shd w:val="clear" w:color="auto" w:fill="F1A983" w:themeFill="accent2" w:themeFillTint="99"/>
          </w:tcPr>
          <w:p w14:paraId="20212A72" w14:textId="103C01BF" w:rsidR="000E07D3" w:rsidRPr="000E07D3" w:rsidRDefault="000E07D3" w:rsidP="000E07D3">
            <w:pPr>
              <w:spacing w:before="120"/>
              <w:jc w:val="center"/>
              <w:rPr>
                <w:rFonts w:ascii="Calibri" w:hAnsi="Calibri" w:cs="Calibri"/>
              </w:rPr>
            </w:pPr>
            <w:r w:rsidRPr="000E07D3">
              <w:rPr>
                <w:rFonts w:ascii="Calibri" w:hAnsi="Calibri" w:cs="Calibri"/>
                <w:b/>
                <w:bCs/>
              </w:rPr>
              <w:t>Commodity Exchange of Pottery</w:t>
            </w:r>
          </w:p>
        </w:tc>
      </w:tr>
      <w:tr w:rsidR="000E07D3" w:rsidRPr="000E07D3" w14:paraId="5585C01B" w14:textId="77777777" w:rsidTr="00DD269C">
        <w:tc>
          <w:tcPr>
            <w:tcW w:w="9016" w:type="dxa"/>
            <w:gridSpan w:val="2"/>
          </w:tcPr>
          <w:p w14:paraId="38990C2C" w14:textId="77777777" w:rsidR="000E07D3" w:rsidRPr="000E07D3" w:rsidRDefault="000E07D3" w:rsidP="000E07D3">
            <w:pPr>
              <w:spacing w:before="40" w:after="40"/>
              <w:rPr>
                <w:rFonts w:ascii="Calibri" w:hAnsi="Calibri" w:cs="Calibri"/>
                <w:b/>
                <w:bCs/>
              </w:rPr>
            </w:pPr>
            <w:r w:rsidRPr="000E07D3">
              <w:rPr>
                <w:rFonts w:ascii="Calibri" w:hAnsi="Calibri" w:cs="Calibri"/>
                <w:b/>
                <w:bCs/>
              </w:rPr>
              <w:t>Defining a commodity?</w:t>
            </w:r>
          </w:p>
          <w:p w14:paraId="3F9E0CF4" w14:textId="77777777" w:rsid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 xml:space="preserve">Objects </w:t>
            </w:r>
            <w:r>
              <w:rPr>
                <w:rFonts w:ascii="Calibri" w:eastAsia="Calibri" w:hAnsi="Calibri" w:cs="Calibri"/>
                <w:szCs w:val="24"/>
              </w:rPr>
              <w:t>with</w:t>
            </w:r>
            <w:r w:rsidRPr="000E07D3">
              <w:rPr>
                <w:rFonts w:ascii="Calibri" w:eastAsia="Calibri" w:hAnsi="Calibri" w:cs="Calibri"/>
                <w:szCs w:val="24"/>
              </w:rPr>
              <w:t xml:space="preserve"> no intrinsic value</w:t>
            </w:r>
            <w:r>
              <w:rPr>
                <w:rFonts w:ascii="Calibri" w:eastAsia="Calibri" w:hAnsi="Calibri" w:cs="Calibri"/>
                <w:szCs w:val="24"/>
              </w:rPr>
              <w:t>.</w:t>
            </w:r>
          </w:p>
          <w:p w14:paraId="2E8C4026" w14:textId="1D80D4DA" w:rsidR="000E07D3" w:rsidRP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>
              <w:rPr>
                <w:rFonts w:ascii="Calibri" w:eastAsia="Calibri" w:hAnsi="Calibri" w:cs="Calibri"/>
                <w:szCs w:val="24"/>
              </w:rPr>
              <w:t xml:space="preserve">Value </w:t>
            </w:r>
            <w:r w:rsidRPr="000E07D3">
              <w:rPr>
                <w:rFonts w:ascii="Calibri" w:eastAsia="Calibri" w:hAnsi="Calibri" w:cs="Calibri"/>
                <w:szCs w:val="24"/>
              </w:rPr>
              <w:t xml:space="preserve">is socially ascribed, especially within context of mobility and exchange. </w:t>
            </w:r>
          </w:p>
        </w:tc>
      </w:tr>
      <w:tr w:rsidR="000E07D3" w:rsidRPr="000E07D3" w14:paraId="21F9DE99" w14:textId="77777777" w:rsidTr="007735AB">
        <w:tc>
          <w:tcPr>
            <w:tcW w:w="9016" w:type="dxa"/>
            <w:gridSpan w:val="2"/>
          </w:tcPr>
          <w:p w14:paraId="158FE192" w14:textId="77777777" w:rsid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>
              <w:rPr>
                <w:rFonts w:ascii="Calibri" w:eastAsia="Calibri" w:hAnsi="Calibri" w:cs="Calibri"/>
                <w:szCs w:val="24"/>
              </w:rPr>
              <w:t>But: o</w:t>
            </w:r>
            <w:r w:rsidRPr="000E07D3">
              <w:rPr>
                <w:rFonts w:ascii="Calibri" w:eastAsia="Calibri" w:hAnsi="Calibri" w:cs="Calibri"/>
                <w:szCs w:val="24"/>
              </w:rPr>
              <w:t>bjects pass through different phases in their existence. While an object might have been intentionally produced as a commodity</w:t>
            </w:r>
            <w:r w:rsidRPr="000E07D3">
              <w:rPr>
                <w:rFonts w:ascii="Calibri" w:eastAsia="Calibri" w:hAnsi="Calibri" w:cs="Calibri"/>
                <w:b/>
                <w:bCs/>
                <w:szCs w:val="24"/>
              </w:rPr>
              <w:t>, specifically for exchange</w:t>
            </w:r>
            <w:r>
              <w:rPr>
                <w:rFonts w:ascii="Calibri" w:eastAsia="Calibri" w:hAnsi="Calibri" w:cs="Calibri"/>
                <w:szCs w:val="24"/>
              </w:rPr>
              <w:t>, o</w:t>
            </w:r>
            <w:r w:rsidRPr="000E07D3">
              <w:rPr>
                <w:rFonts w:ascii="Calibri" w:eastAsia="Calibri" w:hAnsi="Calibri" w:cs="Calibri"/>
                <w:szCs w:val="24"/>
              </w:rPr>
              <w:t>nce it enters a system of circulation it might undergo a number of transformations, from commodity to gift to valued possession.</w:t>
            </w:r>
          </w:p>
          <w:p w14:paraId="15F98F44" w14:textId="4BCD4946" w:rsidR="000E07D3" w:rsidRPr="000E07D3" w:rsidRDefault="000E07D3" w:rsidP="000E07D3">
            <w:pPr>
              <w:spacing w:before="40" w:after="4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How do we assess this with archaeological materials?</w:t>
            </w:r>
          </w:p>
        </w:tc>
      </w:tr>
      <w:tr w:rsidR="000E07D3" w:rsidRPr="000E07D3" w14:paraId="79976392" w14:textId="77777777" w:rsidTr="002E5198">
        <w:tc>
          <w:tcPr>
            <w:tcW w:w="9016" w:type="dxa"/>
            <w:gridSpan w:val="2"/>
          </w:tcPr>
          <w:p w14:paraId="0D68692C" w14:textId="7C23A92E" w:rsidR="000E07D3" w:rsidRP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>Appadurai (1986: 16) divides commodities into four types:</w:t>
            </w:r>
          </w:p>
        </w:tc>
      </w:tr>
      <w:tr w:rsidR="000E07D3" w:rsidRPr="000E07D3" w14:paraId="08007AC6" w14:textId="77777777" w:rsidTr="000E07D3">
        <w:tc>
          <w:tcPr>
            <w:tcW w:w="562" w:type="dxa"/>
          </w:tcPr>
          <w:p w14:paraId="3FD3C6C9" w14:textId="09986864" w:rsidR="000E07D3" w:rsidRPr="000E07D3" w:rsidRDefault="000E07D3" w:rsidP="000E07D3">
            <w:pPr>
              <w:spacing w:before="40" w:after="4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a)</w:t>
            </w:r>
          </w:p>
        </w:tc>
        <w:tc>
          <w:tcPr>
            <w:tcW w:w="8454" w:type="dxa"/>
          </w:tcPr>
          <w:p w14:paraId="3A7DD27B" w14:textId="5AD6AD2C" w:rsidR="000E07D3" w:rsidRP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 xml:space="preserve">commodities by </w:t>
            </w:r>
            <w:r w:rsidRPr="000E07D3">
              <w:rPr>
                <w:rFonts w:ascii="Calibri" w:eastAsia="Calibri" w:hAnsi="Calibri" w:cs="Calibri"/>
                <w:b/>
                <w:bCs/>
                <w:szCs w:val="24"/>
              </w:rPr>
              <w:t>destination</w:t>
            </w:r>
          </w:p>
        </w:tc>
      </w:tr>
      <w:tr w:rsidR="000E07D3" w:rsidRPr="000E07D3" w14:paraId="679B77F0" w14:textId="77777777" w:rsidTr="000E07D3">
        <w:tc>
          <w:tcPr>
            <w:tcW w:w="562" w:type="dxa"/>
          </w:tcPr>
          <w:p w14:paraId="1572B95A" w14:textId="35556F21" w:rsidR="000E07D3" w:rsidRPr="000E07D3" w:rsidRDefault="000E07D3" w:rsidP="000E07D3">
            <w:pPr>
              <w:spacing w:before="40" w:after="4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b)</w:t>
            </w:r>
          </w:p>
        </w:tc>
        <w:tc>
          <w:tcPr>
            <w:tcW w:w="8454" w:type="dxa"/>
          </w:tcPr>
          <w:p w14:paraId="6D3D66BE" w14:textId="76D23D83" w:rsidR="000E07D3" w:rsidRP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 xml:space="preserve">commodities by </w:t>
            </w:r>
            <w:r w:rsidRPr="000E07D3">
              <w:rPr>
                <w:rFonts w:ascii="Calibri" w:eastAsia="Calibri" w:hAnsi="Calibri" w:cs="Calibri"/>
                <w:b/>
                <w:bCs/>
                <w:szCs w:val="24"/>
              </w:rPr>
              <w:t>metamorphosis</w:t>
            </w:r>
          </w:p>
        </w:tc>
      </w:tr>
      <w:tr w:rsidR="000E07D3" w:rsidRPr="000E07D3" w14:paraId="3083C963" w14:textId="77777777" w:rsidTr="000E07D3">
        <w:tc>
          <w:tcPr>
            <w:tcW w:w="562" w:type="dxa"/>
          </w:tcPr>
          <w:p w14:paraId="6394C8B6" w14:textId="58C6BCF2" w:rsidR="000E07D3" w:rsidRPr="000E07D3" w:rsidRDefault="000E07D3" w:rsidP="008D7BFE">
            <w:pPr>
              <w:spacing w:before="40" w:after="4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c)</w:t>
            </w:r>
          </w:p>
        </w:tc>
        <w:tc>
          <w:tcPr>
            <w:tcW w:w="8454" w:type="dxa"/>
          </w:tcPr>
          <w:p w14:paraId="5DE4E075" w14:textId="67C2B0BE" w:rsidR="000E07D3" w:rsidRPr="000E07D3" w:rsidRDefault="000E07D3" w:rsidP="008D7BFE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 xml:space="preserve">commodities by </w:t>
            </w:r>
            <w:r w:rsidRPr="000E07D3">
              <w:rPr>
                <w:rFonts w:ascii="Calibri" w:eastAsia="Calibri" w:hAnsi="Calibri" w:cs="Calibri"/>
                <w:b/>
                <w:bCs/>
                <w:szCs w:val="24"/>
              </w:rPr>
              <w:t>diversion</w:t>
            </w:r>
          </w:p>
        </w:tc>
      </w:tr>
      <w:tr w:rsidR="000E07D3" w:rsidRPr="000E07D3" w14:paraId="3D223A61" w14:textId="77777777" w:rsidTr="000E07D3">
        <w:tc>
          <w:tcPr>
            <w:tcW w:w="562" w:type="dxa"/>
          </w:tcPr>
          <w:p w14:paraId="4AD1AF7C" w14:textId="1658A989" w:rsidR="000E07D3" w:rsidRPr="000E07D3" w:rsidRDefault="000E07D3" w:rsidP="008D7BFE">
            <w:pPr>
              <w:spacing w:before="40" w:after="4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d)</w:t>
            </w:r>
          </w:p>
        </w:tc>
        <w:tc>
          <w:tcPr>
            <w:tcW w:w="8454" w:type="dxa"/>
          </w:tcPr>
          <w:p w14:paraId="6945FDB0" w14:textId="48141A93" w:rsidR="000E07D3" w:rsidRPr="000E07D3" w:rsidRDefault="000E07D3" w:rsidP="008D7BFE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 xml:space="preserve">ex-commodities. </w:t>
            </w:r>
          </w:p>
        </w:tc>
      </w:tr>
      <w:tr w:rsidR="000E07D3" w:rsidRPr="000E07D3" w14:paraId="6D4011F3" w14:textId="77777777" w:rsidTr="00E74910">
        <w:tc>
          <w:tcPr>
            <w:tcW w:w="9016" w:type="dxa"/>
            <w:gridSpan w:val="2"/>
          </w:tcPr>
          <w:p w14:paraId="49AF82F7" w14:textId="4681F7B6" w:rsidR="000E07D3" w:rsidRPr="000E07D3" w:rsidRDefault="000E07D3" w:rsidP="008D7BFE">
            <w:pPr>
              <w:spacing w:before="40" w:after="40"/>
              <w:rPr>
                <w:rFonts w:ascii="Calibri" w:eastAsia="Calibri" w:hAnsi="Calibri" w:cs="Calibri"/>
                <w:b/>
                <w:bCs/>
                <w:szCs w:val="24"/>
              </w:rPr>
            </w:pPr>
            <w:r w:rsidRPr="000E07D3">
              <w:rPr>
                <w:rFonts w:ascii="Calibri" w:eastAsia="Calibri" w:hAnsi="Calibri" w:cs="Calibri"/>
                <w:b/>
                <w:bCs/>
                <w:szCs w:val="24"/>
              </w:rPr>
              <w:t>Characterising commodities:</w:t>
            </w:r>
          </w:p>
        </w:tc>
      </w:tr>
      <w:tr w:rsidR="000E07D3" w:rsidRPr="000E07D3" w14:paraId="0D46C422" w14:textId="77777777" w:rsidTr="000E07D3">
        <w:tc>
          <w:tcPr>
            <w:tcW w:w="562" w:type="dxa"/>
          </w:tcPr>
          <w:p w14:paraId="7793B563" w14:textId="72E4C395" w:rsidR="000E07D3" w:rsidRDefault="000E07D3" w:rsidP="008D7BFE">
            <w:pPr>
              <w:spacing w:before="40" w:after="4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</w:t>
            </w:r>
          </w:p>
        </w:tc>
        <w:tc>
          <w:tcPr>
            <w:tcW w:w="8454" w:type="dxa"/>
          </w:tcPr>
          <w:p w14:paraId="78A28149" w14:textId="290D8A0A" w:rsidR="000E07D3" w:rsidRPr="000E07D3" w:rsidRDefault="000E07D3" w:rsidP="008D7BFE">
            <w:pPr>
              <w:spacing w:before="40" w:after="40"/>
              <w:rPr>
                <w:rFonts w:ascii="Calibri" w:hAnsi="Calibri" w:cs="Calibri"/>
              </w:rPr>
            </w:pPr>
            <w:r w:rsidRPr="000E07D3">
              <w:rPr>
                <w:rFonts w:ascii="Calibri" w:hAnsi="Calibri" w:cs="Calibri"/>
              </w:rPr>
              <w:t>Emphasises the exchange value of objects – things that are produced specifically to be exchanged;</w:t>
            </w:r>
          </w:p>
        </w:tc>
      </w:tr>
      <w:tr w:rsidR="000E07D3" w:rsidRPr="000E07D3" w14:paraId="6CE1184C" w14:textId="77777777" w:rsidTr="000E07D3">
        <w:tc>
          <w:tcPr>
            <w:tcW w:w="562" w:type="dxa"/>
          </w:tcPr>
          <w:p w14:paraId="6EDF1481" w14:textId="4D301946" w:rsidR="000E07D3" w:rsidRDefault="000E07D3" w:rsidP="008D7BFE">
            <w:pPr>
              <w:spacing w:before="40" w:after="4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</w:t>
            </w:r>
          </w:p>
        </w:tc>
        <w:tc>
          <w:tcPr>
            <w:tcW w:w="8454" w:type="dxa"/>
          </w:tcPr>
          <w:p w14:paraId="7F2295FD" w14:textId="07757AE0" w:rsidR="000E07D3" w:rsidRP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hAnsi="Calibri" w:cs="Calibri"/>
              </w:rPr>
              <w:t>“</w:t>
            </w:r>
            <w:proofErr w:type="spellStart"/>
            <w:r w:rsidRPr="000E07D3">
              <w:rPr>
                <w:rFonts w:ascii="Calibri" w:hAnsi="Calibri" w:cs="Calibri"/>
              </w:rPr>
              <w:t>its</w:t>
            </w:r>
            <w:proofErr w:type="spellEnd"/>
            <w:r w:rsidRPr="000E07D3">
              <w:rPr>
                <w:rFonts w:ascii="Calibri" w:hAnsi="Calibri" w:cs="Calibri"/>
              </w:rPr>
              <w:t xml:space="preserve"> exchangeability… for some other thing is its socially relevant feature” (Appadurai 1986, 13)</w:t>
            </w:r>
          </w:p>
        </w:tc>
      </w:tr>
      <w:tr w:rsidR="000E07D3" w:rsidRPr="000E07D3" w14:paraId="7EE8889C" w14:textId="77777777" w:rsidTr="000E07D3">
        <w:tc>
          <w:tcPr>
            <w:tcW w:w="562" w:type="dxa"/>
          </w:tcPr>
          <w:p w14:paraId="126E1286" w14:textId="49466CDE" w:rsidR="000E07D3" w:rsidRDefault="000E07D3" w:rsidP="008D7BFE">
            <w:pPr>
              <w:spacing w:before="40" w:after="4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</w:t>
            </w:r>
          </w:p>
        </w:tc>
        <w:tc>
          <w:tcPr>
            <w:tcW w:w="8454" w:type="dxa"/>
          </w:tcPr>
          <w:p w14:paraId="23C95C59" w14:textId="2DCB63B4" w:rsidR="000E07D3" w:rsidRP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hAnsi="Calibri" w:cs="Calibri"/>
              </w:rPr>
              <w:t>Commodities become alienable at their point of exchange and are totally separate from embedded social relations.</w:t>
            </w:r>
          </w:p>
        </w:tc>
      </w:tr>
      <w:tr w:rsidR="000E07D3" w:rsidRPr="000E07D3" w14:paraId="202AAC39" w14:textId="77777777" w:rsidTr="000E07D3">
        <w:tc>
          <w:tcPr>
            <w:tcW w:w="9016" w:type="dxa"/>
            <w:gridSpan w:val="2"/>
            <w:shd w:val="clear" w:color="auto" w:fill="F1A983" w:themeFill="accent2" w:themeFillTint="99"/>
          </w:tcPr>
          <w:p w14:paraId="4A28F423" w14:textId="027B9EA8" w:rsidR="000E07D3" w:rsidRPr="000E07D3" w:rsidRDefault="000E07D3" w:rsidP="000E07D3">
            <w:pPr>
              <w:spacing w:before="40" w:after="40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Activity</w:t>
            </w:r>
          </w:p>
        </w:tc>
      </w:tr>
      <w:tr w:rsidR="000E07D3" w:rsidRPr="000E07D3" w14:paraId="396B285A" w14:textId="77777777" w:rsidTr="001059C4">
        <w:tc>
          <w:tcPr>
            <w:tcW w:w="9016" w:type="dxa"/>
            <w:gridSpan w:val="2"/>
          </w:tcPr>
          <w:p w14:paraId="79570614" w14:textId="77777777" w:rsid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>Think about the following examples of traded pottery.</w:t>
            </w:r>
          </w:p>
          <w:p w14:paraId="0B989B9D" w14:textId="77777777" w:rsid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>
              <w:rPr>
                <w:rFonts w:ascii="Calibri" w:eastAsia="Calibri" w:hAnsi="Calibri" w:cs="Calibri"/>
                <w:szCs w:val="24"/>
              </w:rPr>
              <w:t xml:space="preserve">For each example assess whether these are </w:t>
            </w:r>
            <w:r w:rsidRPr="000E07D3">
              <w:rPr>
                <w:rFonts w:ascii="Calibri" w:eastAsia="Calibri" w:hAnsi="Calibri" w:cs="Calibri"/>
                <w:szCs w:val="24"/>
              </w:rPr>
              <w:t>being exchanged in their own right, as desirable vessels, or for their contents?</w:t>
            </w:r>
          </w:p>
          <w:p w14:paraId="5393786F" w14:textId="77777777" w:rsid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>How do you situate the value of the vessel?</w:t>
            </w:r>
          </w:p>
          <w:p w14:paraId="233EF547" w14:textId="77777777" w:rsid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 xml:space="preserve">Also think about </w:t>
            </w:r>
            <w:r w:rsidRPr="00771C3A">
              <w:rPr>
                <w:rFonts w:ascii="Calibri" w:eastAsia="Calibri" w:hAnsi="Calibri" w:cs="Calibri"/>
                <w:b/>
                <w:bCs/>
                <w:szCs w:val="24"/>
              </w:rPr>
              <w:t>commodity branding:</w:t>
            </w:r>
            <w:r w:rsidRPr="000E07D3">
              <w:rPr>
                <w:rFonts w:ascii="Calibri" w:eastAsia="Calibri" w:hAnsi="Calibri" w:cs="Calibri"/>
                <w:szCs w:val="24"/>
              </w:rPr>
              <w:t xml:space="preserve"> how does the importing community know what is the pottery contains? How can they be assured of its quality and authenticity? (think packaging and symbolic communication).</w:t>
            </w:r>
          </w:p>
          <w:p w14:paraId="6047B156" w14:textId="5AA9D409" w:rsidR="000E07D3" w:rsidRPr="000E07D3" w:rsidRDefault="000E07D3" w:rsidP="000E07D3">
            <w:pPr>
              <w:spacing w:before="40" w:after="40"/>
              <w:rPr>
                <w:rFonts w:ascii="Calibri" w:eastAsia="Calibri" w:hAnsi="Calibri" w:cs="Calibri"/>
                <w:szCs w:val="24"/>
              </w:rPr>
            </w:pPr>
            <w:r w:rsidRPr="000E07D3">
              <w:rPr>
                <w:rFonts w:ascii="Calibri" w:eastAsia="Calibri" w:hAnsi="Calibri" w:cs="Calibri"/>
                <w:szCs w:val="24"/>
              </w:rPr>
              <w:t>What criteria are you using to make these designations?</w:t>
            </w:r>
          </w:p>
        </w:tc>
      </w:tr>
    </w:tbl>
    <w:p w14:paraId="3B789E74" w14:textId="77777777" w:rsidR="006B1D2D" w:rsidRPr="000E07D3" w:rsidRDefault="006B1D2D" w:rsidP="000E07D3">
      <w:pPr>
        <w:spacing w:before="40" w:after="40"/>
        <w:rPr>
          <w:rFonts w:ascii="Calibri" w:hAnsi="Calibri" w:cs="Calibri"/>
        </w:rPr>
      </w:pPr>
    </w:p>
    <w:p w14:paraId="3BDBFE5D" w14:textId="77777777" w:rsidR="006B1D2D" w:rsidRPr="000E07D3" w:rsidRDefault="006B1D2D" w:rsidP="000E07D3">
      <w:pPr>
        <w:spacing w:before="40" w:after="40"/>
        <w:rPr>
          <w:rFonts w:ascii="Calibri" w:eastAsia="Calibri" w:hAnsi="Calibri" w:cs="Calibri"/>
          <w:szCs w:val="24"/>
        </w:rPr>
      </w:pPr>
    </w:p>
    <w:p w14:paraId="16BFDE72" w14:textId="77777777" w:rsidR="00971D6C" w:rsidRPr="000E07D3" w:rsidRDefault="00971D6C" w:rsidP="000E07D3">
      <w:pPr>
        <w:spacing w:before="40" w:after="40"/>
        <w:rPr>
          <w:rFonts w:ascii="Calibri" w:hAnsi="Calibri" w:cs="Calibri"/>
        </w:rPr>
      </w:pPr>
    </w:p>
    <w:sectPr w:rsidR="00971D6C" w:rsidRPr="000E07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F9443A"/>
    <w:multiLevelType w:val="hybridMultilevel"/>
    <w:tmpl w:val="3A068A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722162"/>
    <w:multiLevelType w:val="hybridMultilevel"/>
    <w:tmpl w:val="D4820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1414888">
    <w:abstractNumId w:val="0"/>
  </w:num>
  <w:num w:numId="2" w16cid:durableId="17387451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D2D"/>
    <w:rsid w:val="000E07D3"/>
    <w:rsid w:val="002B1530"/>
    <w:rsid w:val="0032439A"/>
    <w:rsid w:val="006B1D2D"/>
    <w:rsid w:val="00771C3A"/>
    <w:rsid w:val="008B4C9F"/>
    <w:rsid w:val="00971D6C"/>
    <w:rsid w:val="00DB6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85BF4"/>
  <w15:chartTrackingRefBased/>
  <w15:docId w15:val="{A886578F-F63E-470A-B9CC-ED9EF88BF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1D2D"/>
    <w:pPr>
      <w:spacing w:after="120"/>
    </w:pPr>
    <w:rPr>
      <w:rFonts w:cs="Times New Roman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1D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1D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1D2D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1D2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1D2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1D2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1D2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1D2D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1D2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1D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1D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1D2D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1D2D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1D2D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1D2D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1D2D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1D2D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1D2D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1D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1D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1D2D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1D2D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1D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1D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1D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1D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1D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1D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1D2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07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228</Words>
  <Characters>1304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2025-09-10T14:28:00Z</dcterms:created>
  <dcterms:modified xsi:type="dcterms:W3CDTF">2025-09-10T14:55:00Z</dcterms:modified>
</cp:coreProperties>
</file>