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5A863" w14:textId="436256CE" w:rsidR="002408D3" w:rsidRDefault="000F04F9">
      <w:pPr>
        <w:rPr>
          <w:u w:val="single"/>
        </w:rPr>
      </w:pPr>
      <w:r w:rsidRPr="000F04F9">
        <w:rPr>
          <w:u w:val="single"/>
        </w:rPr>
        <w:t>The Ethical Processes in forming Religious Business Ethics</w:t>
      </w:r>
    </w:p>
    <w:p w14:paraId="2EA8FFAB" w14:textId="64067BEC" w:rsidR="000F04F9" w:rsidRDefault="000F04F9">
      <w:r>
        <w:rPr>
          <w:u w:val="single"/>
        </w:rPr>
        <w:t>Tobias Theodore Olds</w:t>
      </w:r>
      <w:r>
        <w:t xml:space="preserve">                                           </w:t>
      </w:r>
      <w:r w:rsidRPr="000F04F9">
        <w:rPr>
          <w:u w:val="single"/>
        </w:rPr>
        <w:t>07/05/2021</w:t>
      </w:r>
    </w:p>
    <w:p w14:paraId="27EF1A7A" w14:textId="77777777" w:rsidR="000F04F9" w:rsidRDefault="000F04F9" w:rsidP="000F04F9"/>
    <w:p w14:paraId="16A6D1C4" w14:textId="2D260DE0" w:rsidR="000F04F9" w:rsidRDefault="000F04F9" w:rsidP="000F04F9">
      <w:r>
        <w:t>This essay is considering how within two certain religious traditions how ethical processes instruct them to engage with a particular topic of ethical contention and dispute. The subject area for this topic will be Business Ethics and the essay will consider what Christianity and Islam consider in regard to ethics relating to investment, trade, and interest. There have been some arguments from contemporary scholarly reviews to suggest that spirituality and business have become increasingly linked in the past two decades and that the teachings of a variety of faiths intersect in the marketplace, and that faith is more openly accepted (Driscoll, Wiebe &amp; Dyck, 2009, p. 2-3). One problem with dismissing religion as a source for enlightened direction in the workplace, however, is related to what it is replaced with. For example, it has been oft noted and eloquently argued how modern society has de-emphasized its faith traditions and replaced them with managerialist ethics and norms (Driscoll, Wiebe &amp; Dyck, 2009, p. 4). Such ‘secular orthodoxies,’ such as the ideologies of Marxism and Free Enterprise Capitalism, are no “safer” and lack the long history and holistic worldview associated with centuries-old faith traditions and wisdom (Epstein, 2002, p. 94). In addition, when religious faith or spirituality are based within an organization, or within oneself, it lacks reference to an independent “transcendent other” that would lower the chance of it being co-opted by mainstream thinking (Lambeth III, 2009, p. 48). Kim, Fisher and McCalman also explored how modernism shaped beliefs and approaches regarding ethics in business and academia (2009, p. 115) and then tried to consider how a Christian worldview would be an alternative to that of modernism (2009, p. 115).In analysing Christianity, Kim, Fisher and McCalman state that Christian ethics founded on scripture “gives moral standards or a common platform  that allows us to judge between right and wrong” (2009, p. 119). It is also highlighted that the very idea of right and wrong is only meaningful if there is the presence of a final standard in which we can make moral judgements (Kim, Fisher &amp; McCalman, 2009, p. 119). There were also findings to suggest in a sense much of orthodox business practices did happened to be influenced by religion (i.e., Christianity) in some way (Kim, Fisher &amp; McCalman, 2009, p. 119) – the Ten Commandments are argued to be the originating source of the moral foundation which informs many contemporary laws governing business practice, such as truthfulness in business transactions, proper entitlement, and so forth. One key feature of Christianity that is highlighted is that it is that within the religious tradition, scripture is not merely a set of principles or rules, but rather a comprehensive understanding of reality such as all life originating from God, highlighting, and demonstrating the nature of God, and that of man’s nature and life’s meaning (Kim, Fisher &amp; McCalman, 2009, p. 119). Reason is one means by which religious people help form ethical positions (Kim, Fisher &amp; McCalman, 2009, p. 119). Within Christianity it is assumed that reason was part of God’s providence so that man could discover the mysteries of the Universe (Kim, Fisher 7 McCalman, 2009, p. 119). Thus, this essay will be able to explore the potential alternatives offered by religious traditions and thus a more ideal way forward in bringing potentially a more sustainable, fair, and just.</w:t>
      </w:r>
    </w:p>
    <w:p w14:paraId="04D477E7" w14:textId="54B8FDF6" w:rsidR="0037125C" w:rsidRDefault="000F04F9" w:rsidP="0037125C">
      <w:r>
        <w:t xml:space="preserve">One example of religious ethics of a Christian tradition being applied in the world of business is that of Catholic Social Thought (CST) </w:t>
      </w:r>
      <w:r>
        <w:t>being applied to Stakeholder Theory to argue for a view that considers the ecological environment as in of itself part of a Stakeholder claim (</w:t>
      </w:r>
      <w:r w:rsidR="008C09ED">
        <w:t>2012, p. 1-2</w:t>
      </w:r>
      <w:r>
        <w:t>). T</w:t>
      </w:r>
      <w:r>
        <w:t xml:space="preserve">he authors Driscoll, Wiebe and Dyck analysed </w:t>
      </w:r>
      <w:r w:rsidR="008C09ED">
        <w:t xml:space="preserve">the contemporary context of stakeholder theory as practiced in business culture and how it could be improved by the input of CST (2012, p. 6-8). </w:t>
      </w:r>
      <w:proofErr w:type="gramStart"/>
      <w:r>
        <w:t>(</w:t>
      </w:r>
      <w:proofErr w:type="gramEnd"/>
      <w:r>
        <w:t xml:space="preserve">Stakeholder being, in this scholarly context, being defined as “any group or individual who can affect or is affected by the achievement of the organization’s objectives” (Driscoll, Wiebe &amp; Dyck, </w:t>
      </w:r>
      <w:r>
        <w:lastRenderedPageBreak/>
        <w:t>2012, p. 6))</w:t>
      </w:r>
      <w:r>
        <w:t xml:space="preserve">. </w:t>
      </w:r>
      <w:r>
        <w:t>The authors acknowledge that that stakeholder legitimacy is traditionally grounded in pragmatic evaluations of stakeholder relationships rather than in normative assessments of moral propriety (2012, p. 6). Driscoll, Wiebe &amp; Dyck state that according to CST</w:t>
      </w:r>
      <w:r>
        <w:t xml:space="preserve"> however</w:t>
      </w:r>
      <w:r>
        <w:t>, business and managers hold responsibilities related to the world’s social problems, and the dominant purpose of business is the common good of all peoples (2012, p. 9).</w:t>
      </w:r>
      <w:r w:rsidR="0037125C" w:rsidRPr="0037125C">
        <w:t xml:space="preserve"> </w:t>
      </w:r>
      <w:r w:rsidR="0037125C">
        <w:t xml:space="preserve">The authors cite Helen Alford who argues that CST brings an anthropological focus but one that goes beyond the limits of individualism by focusing on the interaction between individuality and relationship (2012, p. 10). It is suggested it is an ethically higher alternative to the “business” case example of stakeholder theory and practice, which treats stakeholders as mere means to economic ends and is continuing what Alford describes as a “culture of the customer” where everyone is seen as customer, similarly, to be used to some business end (Driscoll, Wiebe &amp; Dyck, 2012, p. 10). </w:t>
      </w:r>
      <w:r w:rsidR="008C09ED">
        <w:t>Driscoll, Wiebe &amp; Dyck various arguments to how the Environment could be considered to have intrinsic worth instead, with value not just contingent on the perspectives of other anthropological stakeholders and how CST has aspects which can morally make such a case (2012, p. 8-9).</w:t>
      </w:r>
      <w:r w:rsidR="0037125C">
        <w:t xml:space="preserve"> </w:t>
      </w:r>
    </w:p>
    <w:p w14:paraId="4EF37FF5" w14:textId="2AE16A6D" w:rsidR="000F04F9" w:rsidRDefault="000F04F9" w:rsidP="000F04F9">
      <w:r>
        <w:t xml:space="preserve">Driscoll, Wiebe &amp; Dyck describe how the influence exercised within the Catholic Christian theocentric worldview is exercised due to the faith’s traditions primal narrative – which they state </w:t>
      </w:r>
      <w:r>
        <w:br/>
        <w:t xml:space="preserve">is </w:t>
      </w:r>
      <w:r w:rsidRPr="00DA7910">
        <w:t>the “power and authority [of the primal narrative] in the life of the ongoing community which is removed in time from the primal events”</w:t>
      </w:r>
      <w:r>
        <w:t xml:space="preserve"> (2012, p. 9). This is an example of how Catholics work their way to their moral position on the relationship to the environment in business ethics using the means of tradition - the history and the witness of the believing community in the past points to what we can continue to expect to see from God in the future (Driscoll, Wiebe &amp; Dyck, 2012, p. 9). This would include reconciliation with, and care for, the created order from God (Driscoll, Wiebe &amp; Dyck, 2012, p. 9). A significant example of this would be the Papal Cyclicals issued by the papal authority of the Roman Catholic Church which have acknowledged humanity’s dependence on the natural environment for their most basic of needs </w:t>
      </w:r>
      <w:r>
        <w:t xml:space="preserve">(Benedict XVI, 2009) </w:t>
      </w:r>
      <w:r>
        <w:t xml:space="preserve">(Driscoll, Wiebe &amp; Dyck, 2012, p. 12). This would include </w:t>
      </w:r>
      <w:r w:rsidRPr="00A779D7">
        <w:rPr>
          <w:i/>
          <w:iCs/>
        </w:rPr>
        <w:t>Reverum Novarum</w:t>
      </w:r>
      <w:r>
        <w:t xml:space="preserve"> (On the conditions of workers) which stated:</w:t>
      </w:r>
      <w:r>
        <w:t xml:space="preserve"> </w:t>
      </w:r>
      <w:r>
        <w:t xml:space="preserve">“The Earth, though divided among private owners, ceases not thereby to minister to the needs of all: for there is no one who does not live on what the land brings forth” and also </w:t>
      </w:r>
      <w:r w:rsidRPr="00A779D7">
        <w:rPr>
          <w:i/>
          <w:iCs/>
        </w:rPr>
        <w:t>Caritas in Veritate</w:t>
      </w:r>
      <w:r>
        <w:t xml:space="preserve"> “[r]educing nature merely to a collection of contingent data ends up doing violence to the environment and even encouraging activity that fails to respect human nature itself” </w:t>
      </w:r>
      <w:r>
        <w:t xml:space="preserve">(Leo XIII, 1891). </w:t>
      </w:r>
      <w:r>
        <w:t>The authors Driscoll, Wiebe, and Dyck state that there is the view that th</w:t>
      </w:r>
      <w:r>
        <w:t xml:space="preserve">e </w:t>
      </w:r>
      <w:r>
        <w:t xml:space="preserve">common good takes primary status over that of individual rights (2012, p. 12). </w:t>
      </w:r>
    </w:p>
    <w:p w14:paraId="2B112DD1" w14:textId="50BD1E56" w:rsidR="000F04F9" w:rsidRDefault="000F04F9" w:rsidP="000F04F9">
      <w:r>
        <w:t xml:space="preserve">There </w:t>
      </w:r>
      <w:r>
        <w:t>are</w:t>
      </w:r>
      <w:r>
        <w:t xml:space="preserve"> also examples of reason being utilised as a method to come to certain ethical positions on the relationship between the environment – while tradition is important for Roman Catholic ethical reasoning, there is also an admission that as part of tradition, the Roman Catholic Church utilised a </w:t>
      </w:r>
      <w:r>
        <w:br/>
        <w:t>“narrow anthropocentric lens to assess environmental problems” (Driscoll, Wiebe &amp; Dyck, 2012, p. 13). The Roman Catholic Church has also stated that these ecological problems have more recently been described as being an “anthropological error” (Driscoll, Wiebe &amp; Dyck, 2012, p. 13). This demonstrates how tradition is not something that is necessarily itself unchanging, but that it</w:t>
      </w:r>
      <w:r w:rsidR="00797FFA">
        <w:t>s</w:t>
      </w:r>
      <w:r>
        <w:t xml:space="preserve"> boundaries can be altered and changed to reflect contemporary demands. Reason is also utilised to make analogy and comparison from sacred scripture such as the Bible (Driscoll, Wiebe &amp; Dyck, 2012, p. 14). Texts such as Genesis 1:1 – 2:4 are stated by religious scholars to spell out that we are told to revere and praise nature, not exploit it, and that we are to remain in solidarity with inanimate and animate worlds (Driscoll, Wiebe &amp; Dyck, 2012, p. 14).</w:t>
      </w:r>
      <w:r>
        <w:t xml:space="preserve"> Texts from the Gospels also suggest that an implicit message of Jesus’s ministry was to refrain from </w:t>
      </w:r>
      <w:r>
        <w:t>the primacy of bottom-line thinking and of maximizing productivity and material wealth for the individual</w:t>
      </w:r>
      <w:r>
        <w:t xml:space="preserve"> – but to consider economic endeavours that would benefit a wider plethora of God’s creation (in the instance of the bush of the </w:t>
      </w:r>
      <w:r>
        <w:lastRenderedPageBreak/>
        <w:t>mustard seed, while being in some ways be a hindrance to a farmers productivity, it also would be a place for birds to make their nests) (Driscoll, Wiebe 7 Dyck, 2012, p. 14-15).</w:t>
      </w:r>
    </w:p>
    <w:p w14:paraId="3F68A327" w14:textId="77777777" w:rsidR="000F04F9" w:rsidRDefault="000F04F9" w:rsidP="000F04F9">
      <w:r>
        <w:t xml:space="preserve">One example of religious ethics of the Islamic tradition, applying in the world of business is the work of Liens, Steele and Vogel exploring whether it was the case that Islamic banks did better during the 2008 Financial Crisis than regular banks and if so, what would the reasons be so for this (2016, p. 1). Thus Liens, Steele and Vogel examined to what extent Islamic private banks apply and disclose the specific characteristics of Islamic thought in their published annual reports (2016, p. 1). </w:t>
      </w:r>
    </w:p>
    <w:p w14:paraId="5C38F51D" w14:textId="2396A54A" w:rsidR="000F04F9" w:rsidRDefault="000F04F9" w:rsidP="000F04F9">
      <w:r>
        <w:t xml:space="preserve">Within Islam, the core principles in relation to Islamic finance are drawn from the </w:t>
      </w:r>
      <w:r w:rsidRPr="00320102">
        <w:rPr>
          <w:i/>
          <w:iCs/>
        </w:rPr>
        <w:t>Shari’ah</w:t>
      </w:r>
      <w:r>
        <w:rPr>
          <w:i/>
          <w:iCs/>
        </w:rPr>
        <w:t xml:space="preserve">, </w:t>
      </w:r>
      <w:r>
        <w:t xml:space="preserve">the Islamic legal code or code of Religious Law (Liens, Steele &amp; Vogel, 2009, p. 7). The word </w:t>
      </w:r>
      <w:r>
        <w:rPr>
          <w:i/>
          <w:iCs/>
        </w:rPr>
        <w:t xml:space="preserve">Shari’ah </w:t>
      </w:r>
      <w:r>
        <w:t xml:space="preserve">means “the path to the water source” is argued to contain moral purpose and lessons on truth that make it more than just a set of secular legal rules (Abdullah &amp; Chee, 2010, p. 3). </w:t>
      </w:r>
      <w:r>
        <w:rPr>
          <w:i/>
          <w:iCs/>
        </w:rPr>
        <w:t>Shari’ah</w:t>
      </w:r>
      <w:r>
        <w:t xml:space="preserve"> itself is drawn from various other different religious sources – for instance heavily from Islamic religious scripture, such as the </w:t>
      </w:r>
      <w:r w:rsidRPr="00320102">
        <w:rPr>
          <w:i/>
          <w:iCs/>
        </w:rPr>
        <w:t>Qur’an</w:t>
      </w:r>
      <w:r>
        <w:t xml:space="preserve"> and the </w:t>
      </w:r>
      <w:r w:rsidRPr="00320102">
        <w:rPr>
          <w:i/>
          <w:iCs/>
        </w:rPr>
        <w:t>Sunnah</w:t>
      </w:r>
      <w:r>
        <w:t xml:space="preserve"> (collected life stories about the prophet Muhammad) (Liens, Steele &amp; Vogel, 2009, p. 7). Liens, Steele, and Vogel also mention that part of what informs </w:t>
      </w:r>
      <w:r>
        <w:rPr>
          <w:i/>
          <w:iCs/>
        </w:rPr>
        <w:t>Shari’ah</w:t>
      </w:r>
      <w:r>
        <w:t xml:space="preserve"> is also </w:t>
      </w:r>
      <w:r>
        <w:rPr>
          <w:i/>
          <w:iCs/>
        </w:rPr>
        <w:t>Ijma</w:t>
      </w:r>
      <w:r>
        <w:t xml:space="preserve">, prior scholarly consensus on ethical matters and also </w:t>
      </w:r>
      <w:r>
        <w:rPr>
          <w:i/>
          <w:iCs/>
        </w:rPr>
        <w:t>Ijtihad</w:t>
      </w:r>
      <w:r>
        <w:t xml:space="preserve">, individual </w:t>
      </w:r>
      <w:proofErr w:type="gramStart"/>
      <w:r>
        <w:t>thinking</w:t>
      </w:r>
      <w:proofErr w:type="gramEnd"/>
      <w:r>
        <w:t xml:space="preserve"> and reflection (2009, p. 7). The Islamic Scholar Ibrahim al-Tahawi defined the goals of an Islamic economic system as sufficiency and peace as it happens – ensuring that the individuals basic needs are met every day (Abdullah &amp; Chee, 2009, p. 56). </w:t>
      </w:r>
      <w:r w:rsidR="0037125C">
        <w:t>Liens, Steele &amp; Vogel</w:t>
      </w:r>
      <w:r w:rsidR="0037125C">
        <w:t xml:space="preserve"> argued likewise that p</w:t>
      </w:r>
      <w:r w:rsidR="0037125C">
        <w:t>art of Islamic ethics was supporting the “socio-economic development of society” (more than mere capitalistic endeavours) – the social and economic welfare of the Islamic community (2009, p. 2-7).</w:t>
      </w:r>
      <w:r w:rsidR="0037125C">
        <w:t xml:space="preserve"> </w:t>
      </w:r>
      <w:r>
        <w:t>Abdullah and Chee also argued that Islamic principles for Finance included not just care for the community and the unfortunate – but also of mutual trust and respect (2010, p. 3).</w:t>
      </w:r>
      <w:r w:rsidRPr="00B66A7C">
        <w:t xml:space="preserve"> </w:t>
      </w:r>
      <w:r>
        <w:t xml:space="preserve">Within Islamic Finance Abdullah and Chee state that the one over-arching requirement is that every financial transaction must be </w:t>
      </w:r>
      <w:r w:rsidRPr="00C829F2">
        <w:rPr>
          <w:i/>
          <w:iCs/>
        </w:rPr>
        <w:t>Shari</w:t>
      </w:r>
      <w:r>
        <w:rPr>
          <w:i/>
          <w:iCs/>
        </w:rPr>
        <w:t>’</w:t>
      </w:r>
      <w:r w:rsidRPr="00C829F2">
        <w:rPr>
          <w:i/>
          <w:iCs/>
        </w:rPr>
        <w:t>ah</w:t>
      </w:r>
      <w:r>
        <w:t xml:space="preserve">-compliant – that is permissible under </w:t>
      </w:r>
      <w:r w:rsidRPr="00C829F2">
        <w:rPr>
          <w:i/>
          <w:iCs/>
        </w:rPr>
        <w:t>Shari’ah</w:t>
      </w:r>
      <w:r>
        <w:t xml:space="preserve"> law (2009, p. 4). Islam also has an understanding that there are such things that are not </w:t>
      </w:r>
      <w:r>
        <w:rPr>
          <w:i/>
          <w:iCs/>
        </w:rPr>
        <w:t>Shari’ah</w:t>
      </w:r>
      <w:r>
        <w:t xml:space="preserve"> compliant – these are known as </w:t>
      </w:r>
      <w:r>
        <w:rPr>
          <w:i/>
          <w:iCs/>
        </w:rPr>
        <w:t>Haram</w:t>
      </w:r>
      <w:r>
        <w:t xml:space="preserve"> (Abdullah &amp; Chee, 2009, p. </w:t>
      </w:r>
      <w:r w:rsidR="00BA1BB2">
        <w:t>18</w:t>
      </w:r>
      <w:r>
        <w:t>).  Based on the writings of Islamic scholars of the twentieth century, as well as based on the opinions of Islamic scholars with a deep knowledge in Islamic jurisdiction and economics, four prohibitory guidelines have been developed for current Islamic finance (Liens, Steele &amp; Vogel,</w:t>
      </w:r>
      <w:r w:rsidR="00194869">
        <w:t xml:space="preserve"> 2009,</w:t>
      </w:r>
      <w:r>
        <w:t xml:space="preserve"> p. 7). The first is that there </w:t>
      </w:r>
      <w:proofErr w:type="gramStart"/>
      <w:r>
        <w:t>is</w:t>
      </w:r>
      <w:proofErr w:type="gramEnd"/>
      <w:r>
        <w:t xml:space="preserve"> prohibitions against dealing with interest (Liens, Steele Vogel, </w:t>
      </w:r>
      <w:r w:rsidR="00194869">
        <w:t xml:space="preserve">2009, </w:t>
      </w:r>
      <w:r>
        <w:t xml:space="preserve">p. 7). The second is that when it comes to speculative activities, they are only permitted if all parties involved are exposed to the same risk to either win or lose from a particular investment (Liens, Steele &amp; Vogel, </w:t>
      </w:r>
      <w:r w:rsidR="00194869">
        <w:t xml:space="preserve">2009, </w:t>
      </w:r>
      <w:r>
        <w:t>p. 7). The third is that economic transactions must not (in the words of the authors) be “gambling-like” (Liens, Steele &amp; Vogel, p. 7) (as an example, this means that zero-sum games and economic dealings, wherein only one party wins if another party loses, are prohibited).</w:t>
      </w:r>
      <w:r w:rsidR="00194869">
        <w:t xml:space="preserve"> Fourth, </w:t>
      </w:r>
      <w:r w:rsidR="00194869">
        <w:t>there is a ban to invest in a number of business sectors that are classified</w:t>
      </w:r>
      <w:r w:rsidR="00194869">
        <w:t xml:space="preserve"> </w:t>
      </w:r>
      <w:r w:rsidR="00194869">
        <w:t>as not being compliant to Islam,</w:t>
      </w:r>
      <w:r w:rsidR="00194869">
        <w:t xml:space="preserve"> which includes</w:t>
      </w:r>
      <w:r w:rsidR="00194869">
        <w:t xml:space="preserve"> this is the alcohol sector, pork production, adult entertainment as well as the </w:t>
      </w:r>
      <w:r w:rsidR="00194869">
        <w:t>defence</w:t>
      </w:r>
      <w:r w:rsidR="00194869">
        <w:t xml:space="preserve"> industry</w:t>
      </w:r>
      <w:r w:rsidR="00194869">
        <w:t xml:space="preserve"> (Liens, Steele &amp; Vogel, 2009, p. 7-8).</w:t>
      </w:r>
    </w:p>
    <w:p w14:paraId="6954119D" w14:textId="77777777" w:rsidR="000F04F9" w:rsidRDefault="000F04F9" w:rsidP="000F04F9">
      <w:r>
        <w:t xml:space="preserve">Abdullah and Chee cite several principles that ensure </w:t>
      </w:r>
      <w:r>
        <w:rPr>
          <w:i/>
          <w:iCs/>
        </w:rPr>
        <w:t>Shari’ah</w:t>
      </w:r>
      <w:r>
        <w:t xml:space="preserve"> compliance (2009, p. 4) and what helps inform the ethical guidelines enacted in the realm of finance. One of them is that there is a belief in divine guidance – God (Allah) created man on Earth to fulfil certain objectives through obeying His commands (Abdullah &amp; Chee, 2010, p. 4). There is a view that in contrast to God, man is imperfect – he confuses with “reason” with his desires – and thus needs divine guidance (Abdullah &amp; Chee, 2010, p. 4, 24). The Pakistani theologian Mawdudi Syed Abul is also cited to state that within Islam due to the importance placed upon reforming the inner man through faith, prayers, </w:t>
      </w:r>
      <w:proofErr w:type="gramStart"/>
      <w:r>
        <w:t>education</w:t>
      </w:r>
      <w:proofErr w:type="gramEnd"/>
      <w:r>
        <w:t xml:space="preserve"> and moral training – that when the aforementioned means fail it was important of having some </w:t>
      </w:r>
      <w:r>
        <w:lastRenderedPageBreak/>
        <w:t>other way to bring about individuals having limits (Abdullah &amp; Chee, 2009, p. 56) – inferring from the understanding in Islam that man confuses reason with desire too easily.</w:t>
      </w:r>
    </w:p>
    <w:p w14:paraId="4DAE55AC" w14:textId="542CC892" w:rsidR="000F04F9" w:rsidRDefault="000F04F9" w:rsidP="000F04F9">
      <w:r>
        <w:t>Scripture is also a means by which ethical principles and positions are arrived at. As an instance of the Qur’an giving instruction against interest there is the line “</w:t>
      </w:r>
      <w:r w:rsidRPr="00D95673">
        <w:t>Those who devour usury will not stand except as stand one whom the Evil one by his touch Hath driven to madness. That is because they say: "Trade is like usury," but Allah hath permitted trade and forbidden usury. Those who after receiving direction from their Lord, desist, shall be pardoned for the past; their case is for Allah (to judge); but those who repeat (The offence) are companions of the Fire: They will abide therein (for ever)</w:t>
      </w:r>
      <w:r>
        <w:t xml:space="preserve"> (2:275) (Abdullah &amp; Chee, 2009, p. 62-63)</w:t>
      </w:r>
      <w:r w:rsidRPr="00D95673">
        <w:t>.</w:t>
      </w:r>
      <w:r>
        <w:t xml:space="preserve"> It clearly outlines how wealth is to be increased through trade, not by borrowing and lending – money becomes not just a means to measure wealth, but an asset in of itself when interest is applied (Abdullah &amp; Chee, 2009, p. 62-63). </w:t>
      </w:r>
      <w:r>
        <w:t xml:space="preserve"> Another</w:t>
      </w:r>
      <w:r>
        <w:t xml:space="preserve"> example of Islamic scripture, the Qur’an, emphasising that Muslims should trade for the benefit of the community is the line “Oh ye who believe! Eat up not your property among yourself in vanities: but let there be amongst you traffic and trade by mutual goodwill: nor kill (or destroy) yourselves: for verily Allah hath been to you most merciful (4:29) (Abdullah &amp; Chee, 2009, p. </w:t>
      </w:r>
      <w:r w:rsidR="00194869">
        <w:t>21-22</w:t>
      </w:r>
      <w:r>
        <w:t>)</w:t>
      </w:r>
      <w:r w:rsidR="00194869">
        <w:t>.</w:t>
      </w:r>
      <w:r w:rsidRPr="007C2F8E">
        <w:t xml:space="preserve"> </w:t>
      </w:r>
      <w:r>
        <w:t>As it happens Mawdudi is cited to of found that what is described as an “undue emphasis on the rights of individual ownership and the freedom of enterprise is the cause of what is described as the “havoc during the Industrial Revolution”, which lead to widespread suffering (Abdullah &amp; Chee, 2009, p. 57).</w:t>
      </w:r>
    </w:p>
    <w:p w14:paraId="545D3DF9" w14:textId="2510BFD5" w:rsidR="000F04F9" w:rsidRPr="00C829F2" w:rsidRDefault="000F04F9" w:rsidP="000F04F9">
      <w:r>
        <w:t>One thing that religious scripture in Islam also emphasises is the importance of brotherhood, which is stated in the Qur’an verse “The Believers are, but a single Brotherhood. So, make peace and reconciliation between your two (contending) brothers: And fear Allah that ye receive mercy” (49:10) (Abdullah &amp; Chee, 2009, p. 63-64).</w:t>
      </w:r>
      <w:r w:rsidRPr="007C2F8E">
        <w:t xml:space="preserve"> </w:t>
      </w:r>
      <w:r>
        <w:t>This is another reason to contextualise the view against the use of interest payments</w:t>
      </w:r>
      <w:r w:rsidR="00105440">
        <w:t xml:space="preserve"> (</w:t>
      </w:r>
      <w:r w:rsidR="00105440">
        <w:rPr>
          <w:i/>
          <w:iCs/>
        </w:rPr>
        <w:t>Riba</w:t>
      </w:r>
      <w:r w:rsidR="00105440">
        <w:t xml:space="preserve"> in Arabic (Abdullah &amp; Chee, 2009, p. 58-59))</w:t>
      </w:r>
      <w:r>
        <w:t xml:space="preserve"> – it is seen to give an advantage to the lender and collecting interest means the borrower is disadvantaged – this undermines the sense of brotherhood among men (Abdullah &amp; Chee, 2009, p. 62-64). The sense of brotherhood within Islamic ethics may also explain to some extent why one of the principles within Islamic Finance is the prohibition against risk – or at least risk to an excessive degree (Abdullah &amp; Chee, 2009, p. </w:t>
      </w:r>
      <w:r w:rsidR="00105440">
        <w:t>67-69</w:t>
      </w:r>
      <w:r>
        <w:t xml:space="preserve">). The Islamic word for risk here is </w:t>
      </w:r>
      <w:r>
        <w:rPr>
          <w:i/>
          <w:iCs/>
        </w:rPr>
        <w:t>Gharar</w:t>
      </w:r>
      <w:r>
        <w:t xml:space="preserve"> and while some degree of risk may be permissible within financial and business ventures, the word </w:t>
      </w:r>
      <w:r>
        <w:rPr>
          <w:i/>
          <w:iCs/>
        </w:rPr>
        <w:t xml:space="preserve">Gharar </w:t>
      </w:r>
      <w:r>
        <w:t>also implies deceit and thus business transactions that may cause injustice to any form of the parties (Abdullah 7 Chee, 2009, p.</w:t>
      </w:r>
      <w:r w:rsidR="00105440">
        <w:t xml:space="preserve"> 67-69</w:t>
      </w:r>
      <w:r>
        <w:t xml:space="preserve">). (An example of what would be considered excessive </w:t>
      </w:r>
      <w:r>
        <w:rPr>
          <w:i/>
          <w:iCs/>
        </w:rPr>
        <w:t>Gharar</w:t>
      </w:r>
      <w:r>
        <w:t xml:space="preserve"> would be failing to disclose if a property you are selling would have a termite’s nest within it (Abdullah &amp; Chee, 2009, p. 67-69)).</w:t>
      </w:r>
    </w:p>
    <w:p w14:paraId="1BA4F830" w14:textId="690D8E18" w:rsidR="000F04F9" w:rsidRDefault="000F04F9" w:rsidP="000F04F9">
      <w:r>
        <w:t>In conclusion if the wider business world were inspired by the potential examples set by the religious traditions in this essay… there may be a greater shift towards less short-term, potentially harmful business practice and more of a focus on ensuring that the wider environmental and social fabric are not undermined in economic endeavours. There are various sources that explore to what degree adherents to the respective religious traditions may potentially come short of their standards for themselves such as the work “</w:t>
      </w:r>
      <w:r w:rsidRPr="00EF3D9C">
        <w:t>Islamic finance ethics and Shari'ah law in the aftermath of the crisis: Concept and practice of Shari'ah compliant finance</w:t>
      </w:r>
      <w:r>
        <w:t>” by Niehaus (2009, p. 591-623) and the work by Leins, Steele and Vogel (</w:t>
      </w:r>
      <w:bookmarkStart w:id="0" w:name="_Hlk71145399"/>
      <w:r>
        <w:t>2016, p.</w:t>
      </w:r>
      <w:bookmarkEnd w:id="0"/>
      <w:r>
        <w:t xml:space="preserve"> 1-24). They two could also be a valuable resource by which to assess the efficacy of the ethical positions, in terms of their economic consequences. </w:t>
      </w:r>
      <w:r>
        <w:t>Further study on the practical implications of these ethical processes will likely be of great value.</w:t>
      </w:r>
    </w:p>
    <w:p w14:paraId="6CFDF8AE" w14:textId="77777777" w:rsidR="000F04F9" w:rsidRDefault="000F04F9" w:rsidP="000F04F9"/>
    <w:p w14:paraId="2CA11CB7" w14:textId="77777777" w:rsidR="00797FFA" w:rsidRDefault="00797FFA" w:rsidP="000F04F9">
      <w:pPr>
        <w:rPr>
          <w:u w:val="single"/>
        </w:rPr>
      </w:pPr>
    </w:p>
    <w:p w14:paraId="50A52217" w14:textId="0241AD47" w:rsidR="000F04F9" w:rsidRPr="000F04F9" w:rsidRDefault="000F04F9" w:rsidP="000F04F9">
      <w:pPr>
        <w:rPr>
          <w:u w:val="single"/>
        </w:rPr>
      </w:pPr>
      <w:r w:rsidRPr="000F04F9">
        <w:rPr>
          <w:u w:val="single"/>
        </w:rPr>
        <w:lastRenderedPageBreak/>
        <w:t xml:space="preserve">Bibliography: </w:t>
      </w:r>
    </w:p>
    <w:p w14:paraId="051D038C" w14:textId="77777777" w:rsidR="000F04F9" w:rsidRDefault="000F04F9" w:rsidP="000F04F9">
      <w:pPr>
        <w:pStyle w:val="ListParagraph"/>
        <w:numPr>
          <w:ilvl w:val="0"/>
          <w:numId w:val="1"/>
        </w:numPr>
      </w:pPr>
      <w:r>
        <w:t xml:space="preserve">Abdullah, D. V. &amp; Chee, K. (2010) Islamic Finance: Understanding it Principles and Practices  </w:t>
      </w:r>
      <w:r>
        <w:br/>
      </w:r>
      <w:r w:rsidRPr="00BB6F32">
        <w:t>Marshall Cavendish International Asia Pte Ltd</w:t>
      </w:r>
      <w:r>
        <w:t>; Singapore.</w:t>
      </w:r>
    </w:p>
    <w:p w14:paraId="429AF778" w14:textId="77777777" w:rsidR="000F04F9" w:rsidRDefault="000F04F9" w:rsidP="000F04F9">
      <w:pPr>
        <w:pStyle w:val="ListParagraph"/>
        <w:numPr>
          <w:ilvl w:val="0"/>
          <w:numId w:val="1"/>
        </w:numPr>
      </w:pPr>
      <w:r>
        <w:t xml:space="preserve">Benedict XVI. (2009) Encyclical Letter </w:t>
      </w:r>
      <w:r w:rsidRPr="000F04F9">
        <w:rPr>
          <w:i/>
          <w:iCs/>
        </w:rPr>
        <w:t>Caritas in Veritate</w:t>
      </w:r>
      <w:r>
        <w:t xml:space="preserve"> (Charity in Truth) (2009). Accessed at: </w:t>
      </w:r>
      <w:hyperlink r:id="rId5" w:history="1">
        <w:r w:rsidRPr="00BF330E">
          <w:rPr>
            <w:rStyle w:val="Hyperlink"/>
          </w:rPr>
          <w:t>http://www.vatican.va/content/benedict-xvi/en/encyclicals/documents/hf_ben-xvi_enc_20090629_caritas-in-veritate.html</w:t>
        </w:r>
      </w:hyperlink>
      <w:r>
        <w:t xml:space="preserve"> </w:t>
      </w:r>
      <w:r>
        <w:br/>
        <w:t>(accessed 7</w:t>
      </w:r>
      <w:r w:rsidRPr="000F04F9">
        <w:rPr>
          <w:vertAlign w:val="superscript"/>
        </w:rPr>
        <w:t>th</w:t>
      </w:r>
      <w:r>
        <w:t xml:space="preserve"> May 2021),</w:t>
      </w:r>
    </w:p>
    <w:p w14:paraId="65FA64B9" w14:textId="77777777" w:rsidR="000F04F9" w:rsidRDefault="000F04F9" w:rsidP="000F04F9">
      <w:pPr>
        <w:pStyle w:val="ListParagraph"/>
        <w:numPr>
          <w:ilvl w:val="0"/>
          <w:numId w:val="1"/>
        </w:numPr>
      </w:pPr>
      <w:r w:rsidRPr="003E4C6F">
        <w:t>Driscoll, C</w:t>
      </w:r>
      <w:r>
        <w:t>.</w:t>
      </w:r>
      <w:r w:rsidRPr="003E4C6F">
        <w:t xml:space="preserve"> A.; Wiebe, </w:t>
      </w:r>
      <w:r>
        <w:t>E.</w:t>
      </w:r>
      <w:r w:rsidRPr="003E4C6F">
        <w:t xml:space="preserve"> and Dyck, B</w:t>
      </w:r>
      <w:r>
        <w:t>.</w:t>
      </w:r>
      <w:r w:rsidRPr="003E4C6F">
        <w:t xml:space="preserve"> (2012) "Nature is Prior to Us: Applying Catholic Social Thought and Anabaptist-Mennonite Theology to the Ethics of Stakeholder Prioritization for the Natural Environment," </w:t>
      </w:r>
      <w:r w:rsidRPr="000F04F9">
        <w:rPr>
          <w:i/>
          <w:iCs/>
        </w:rPr>
        <w:t>Journal of Religion and Business Ethics</w:t>
      </w:r>
      <w:r w:rsidRPr="003E4C6F">
        <w:t xml:space="preserve">: 3 </w:t>
      </w:r>
      <w:r>
        <w:t>(</w:t>
      </w:r>
      <w:r w:rsidRPr="003E4C6F">
        <w:t>3</w:t>
      </w:r>
      <w:r>
        <w:t xml:space="preserve">), pp. </w:t>
      </w:r>
      <w:r>
        <w:t>1-23</w:t>
      </w:r>
      <w:r w:rsidRPr="003E4C6F">
        <w:t>.</w:t>
      </w:r>
    </w:p>
    <w:p w14:paraId="06E70F40" w14:textId="77777777" w:rsidR="000F04F9" w:rsidRDefault="000F04F9" w:rsidP="000F04F9">
      <w:pPr>
        <w:pStyle w:val="ListParagraph"/>
        <w:numPr>
          <w:ilvl w:val="0"/>
          <w:numId w:val="1"/>
        </w:numPr>
      </w:pPr>
      <w:r>
        <w:t xml:space="preserve">Epstein, E. M. (2002) “Religion and Business – The Critical Role of Religious Traditions in Management Education”, </w:t>
      </w:r>
      <w:r w:rsidRPr="000F04F9">
        <w:rPr>
          <w:i/>
          <w:iCs/>
        </w:rPr>
        <w:t>Journal of Business Ethics</w:t>
      </w:r>
      <w:r>
        <w:t>, 38 (1), pp. 91-96.</w:t>
      </w:r>
    </w:p>
    <w:p w14:paraId="125D0D96" w14:textId="3F208E02" w:rsidR="000F04F9" w:rsidRDefault="000F04F9" w:rsidP="000F04F9">
      <w:pPr>
        <w:pStyle w:val="ListParagraph"/>
        <w:numPr>
          <w:ilvl w:val="0"/>
          <w:numId w:val="1"/>
        </w:numPr>
      </w:pPr>
      <w:r>
        <w:t xml:space="preserve">Kim, D. Fisher, D. &amp; McCalman, D. (2009) “Modernism, Christianity, and Business Ethics: A Worldview Perspective” </w:t>
      </w:r>
      <w:r w:rsidRPr="000F04F9">
        <w:rPr>
          <w:i/>
          <w:iCs/>
        </w:rPr>
        <w:t>Journal of Business Ethics</w:t>
      </w:r>
      <w:r>
        <w:t xml:space="preserve">, 90 (1), pp. 115-121 </w:t>
      </w:r>
    </w:p>
    <w:p w14:paraId="7324A912" w14:textId="77777777" w:rsidR="000F04F9" w:rsidRDefault="000F04F9" w:rsidP="000F04F9">
      <w:pPr>
        <w:pStyle w:val="ListParagraph"/>
        <w:numPr>
          <w:ilvl w:val="0"/>
          <w:numId w:val="1"/>
        </w:numPr>
      </w:pPr>
      <w:r>
        <w:t>Lambert III, L. (2009) “Spirituality, Inc. Religion in the American Workplace” New York University Press: New York</w:t>
      </w:r>
    </w:p>
    <w:p w14:paraId="327E5058" w14:textId="77777777" w:rsidR="000F04F9" w:rsidRDefault="000F04F9" w:rsidP="000F04F9">
      <w:pPr>
        <w:pStyle w:val="ListParagraph"/>
        <w:numPr>
          <w:ilvl w:val="0"/>
          <w:numId w:val="1"/>
        </w:numPr>
      </w:pPr>
      <w:r>
        <w:t xml:space="preserve">Leins, S. Steele, P. &amp; Vogel, F. (2016) “Greenwashing in Islamic Finance? An Analysis of Islamic Private Banks' Non-Financial Reports and a Proposal for an Islamic Finance Reporting Initiative Standard”, </w:t>
      </w:r>
      <w:r w:rsidRPr="000F04F9">
        <w:rPr>
          <w:i/>
          <w:iCs/>
        </w:rPr>
        <w:t>Journal of Religion and Business Ethics</w:t>
      </w:r>
      <w:r>
        <w:t xml:space="preserve">, 3 (3), pp. 1-24.  </w:t>
      </w:r>
    </w:p>
    <w:p w14:paraId="5C5A74FE" w14:textId="77777777" w:rsidR="000F04F9" w:rsidRDefault="000F04F9" w:rsidP="000F04F9">
      <w:pPr>
        <w:pStyle w:val="ListParagraph"/>
        <w:numPr>
          <w:ilvl w:val="0"/>
          <w:numId w:val="1"/>
        </w:numPr>
      </w:pPr>
      <w:r>
        <w:t xml:space="preserve">Leo XIII. (1891) Encyclical Letter </w:t>
      </w:r>
      <w:r w:rsidRPr="000F04F9">
        <w:rPr>
          <w:i/>
          <w:iCs/>
        </w:rPr>
        <w:t>Rerum Novarum</w:t>
      </w:r>
      <w:r>
        <w:t xml:space="preserve"> (On the Condition of Workers) Accessed at: </w:t>
      </w:r>
      <w:hyperlink r:id="rId6" w:history="1">
        <w:r w:rsidRPr="00BF330E">
          <w:rPr>
            <w:rStyle w:val="Hyperlink"/>
          </w:rPr>
          <w:t>http://www.vatican.va/content/leo-xiii/en/encyclicals/documents/hf_l-xiii_enc_15051891_rerum-novarum.html</w:t>
        </w:r>
      </w:hyperlink>
      <w:r>
        <w:t xml:space="preserve"> (accessed 7th May 2021).</w:t>
      </w:r>
    </w:p>
    <w:p w14:paraId="163F885C" w14:textId="4AE20805" w:rsidR="000F04F9" w:rsidRPr="00EF3D9C" w:rsidRDefault="000F04F9" w:rsidP="000F04F9">
      <w:pPr>
        <w:pStyle w:val="ListParagraph"/>
        <w:numPr>
          <w:ilvl w:val="0"/>
          <w:numId w:val="1"/>
        </w:numPr>
      </w:pPr>
      <w:r>
        <w:t>Niehaus, V. (2011) “</w:t>
      </w:r>
      <w:r w:rsidRPr="00EF3D9C">
        <w:t>Islamic finance ethics and Shari'ah law in the aftermath of the crisis: Concept and practice of Shari'ah compliant finance</w:t>
      </w:r>
      <w:r>
        <w:t xml:space="preserve">”, </w:t>
      </w:r>
      <w:r w:rsidRPr="000F04F9">
        <w:rPr>
          <w:i/>
          <w:iCs/>
        </w:rPr>
        <w:t>Ethical Perspectives</w:t>
      </w:r>
      <w:r>
        <w:t>, 18 (4), pp. 591-623.</w:t>
      </w:r>
    </w:p>
    <w:p w14:paraId="064BC851" w14:textId="77777777" w:rsidR="000F04F9" w:rsidRPr="000F04F9" w:rsidRDefault="000F04F9"/>
    <w:sectPr w:rsidR="000F04F9" w:rsidRPr="000F0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35E54"/>
    <w:multiLevelType w:val="hybridMultilevel"/>
    <w:tmpl w:val="FDF66CB8"/>
    <w:lvl w:ilvl="0" w:tplc="EC96F40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4F9"/>
    <w:rsid w:val="000F04F9"/>
    <w:rsid w:val="00105440"/>
    <w:rsid w:val="00194869"/>
    <w:rsid w:val="002408D3"/>
    <w:rsid w:val="00277F2D"/>
    <w:rsid w:val="0037125C"/>
    <w:rsid w:val="00797FFA"/>
    <w:rsid w:val="008A46B4"/>
    <w:rsid w:val="008C09ED"/>
    <w:rsid w:val="00BA1BB2"/>
    <w:rsid w:val="00EB5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D9315"/>
  <w15:chartTrackingRefBased/>
  <w15:docId w15:val="{53112506-08E3-48BD-8B52-77D8E980C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04F9"/>
    <w:rPr>
      <w:color w:val="0563C1" w:themeColor="hyperlink"/>
      <w:u w:val="single"/>
    </w:rPr>
  </w:style>
  <w:style w:type="paragraph" w:styleId="ListParagraph">
    <w:name w:val="List Paragraph"/>
    <w:basedOn w:val="Normal"/>
    <w:uiPriority w:val="34"/>
    <w:qFormat/>
    <w:rsid w:val="000F04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vatican.va/content/leo-xiii/en/encyclicals/documents/hf_l-xiii_enc_15051891_rerum-novarum.html" TargetMode="External"/><Relationship Id="rId5" Type="http://schemas.openxmlformats.org/officeDocument/2006/relationships/hyperlink" Target="http://www.vatican.va/content/benedict-xvi/en/encyclicals/documents/hf_ben-xvi_enc_20090629_caritas-in-veritat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TotalTime>
  <Pages>5</Pages>
  <Words>3091</Words>
  <Characters>16353</Characters>
  <Application>Microsoft Office Word</Application>
  <DocSecurity>0</DocSecurity>
  <Lines>240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6</cp:revision>
  <dcterms:created xsi:type="dcterms:W3CDTF">2021-05-07T22:19:00Z</dcterms:created>
  <dcterms:modified xsi:type="dcterms:W3CDTF">2021-05-08T11:46:00Z</dcterms:modified>
</cp:coreProperties>
</file>