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1D9879" w14:textId="1254F11F" w:rsidR="00077BDB" w:rsidRDefault="00077BDB" w:rsidP="00CF4A8A">
      <w:pPr>
        <w:jc w:val="center"/>
      </w:pPr>
    </w:p>
    <w:p w14:paraId="2EE83B71" w14:textId="77777777" w:rsidR="003014C3" w:rsidRDefault="003014C3" w:rsidP="003014C3">
      <w:pPr>
        <w:jc w:val="center"/>
      </w:pPr>
      <w:r>
        <w:t>Student's Name: Natalia Piwowarska BABM Level 6, g1</w:t>
      </w:r>
    </w:p>
    <w:p w14:paraId="1E3D30ED" w14:textId="77777777" w:rsidR="003014C3" w:rsidRDefault="003014C3" w:rsidP="003014C3">
      <w:pPr>
        <w:jc w:val="center"/>
      </w:pPr>
      <w:r>
        <w:t>Student ID: 2014062</w:t>
      </w:r>
    </w:p>
    <w:p w14:paraId="2C8AA387" w14:textId="55B816F1" w:rsidR="003014C3" w:rsidRDefault="003014C3" w:rsidP="003014C3">
      <w:pPr>
        <w:jc w:val="center"/>
      </w:pPr>
      <w:r>
        <w:t>Course: LCBB600</w:t>
      </w:r>
      <w:r>
        <w:t>2</w:t>
      </w:r>
      <w:r>
        <w:t xml:space="preserve"> International </w:t>
      </w:r>
      <w:r>
        <w:t xml:space="preserve">Financial Management </w:t>
      </w:r>
    </w:p>
    <w:p w14:paraId="5DB04B0E" w14:textId="510A7820" w:rsidR="003014C3" w:rsidRDefault="003014C3" w:rsidP="003014C3">
      <w:pPr>
        <w:jc w:val="center"/>
      </w:pPr>
      <w:r>
        <w:t xml:space="preserve">Lecturer’s Name: </w:t>
      </w:r>
      <w:r>
        <w:t xml:space="preserve">Dr </w:t>
      </w:r>
      <w:proofErr w:type="spellStart"/>
      <w:r>
        <w:t>Rexon</w:t>
      </w:r>
      <w:proofErr w:type="spellEnd"/>
      <w:r>
        <w:t xml:space="preserve"> </w:t>
      </w:r>
      <w:proofErr w:type="spellStart"/>
      <w:r>
        <w:t>Nting</w:t>
      </w:r>
      <w:proofErr w:type="spellEnd"/>
    </w:p>
    <w:p w14:paraId="4F3C5032" w14:textId="77777777" w:rsidR="003014C3" w:rsidRDefault="003014C3" w:rsidP="003014C3">
      <w:pPr>
        <w:jc w:val="center"/>
      </w:pPr>
      <w:r>
        <w:t xml:space="preserve">Date: </w:t>
      </w:r>
      <w:r>
        <w:fldChar w:fldCharType="begin"/>
      </w:r>
      <w:r>
        <w:instrText xml:space="preserve"> DATE \@ "dd/MM/yyyy" </w:instrText>
      </w:r>
      <w:r>
        <w:fldChar w:fldCharType="separate"/>
      </w:r>
      <w:r>
        <w:rPr>
          <w:noProof/>
        </w:rPr>
        <w:t>28/04/2023</w:t>
      </w:r>
      <w:r>
        <w:fldChar w:fldCharType="end"/>
      </w:r>
    </w:p>
    <w:p w14:paraId="216EFF93" w14:textId="77777777" w:rsidR="00374EB6" w:rsidRDefault="00374EB6" w:rsidP="00077BDB"/>
    <w:p w14:paraId="6FA2789E" w14:textId="77777777" w:rsidR="003014C3" w:rsidRDefault="003014C3" w:rsidP="00077BDB"/>
    <w:p w14:paraId="311BE019" w14:textId="77777777" w:rsidR="003014C3" w:rsidRDefault="003014C3" w:rsidP="00077BDB"/>
    <w:p w14:paraId="2A3B2536" w14:textId="77777777" w:rsidR="003014C3" w:rsidRDefault="003014C3" w:rsidP="00077BDB"/>
    <w:p w14:paraId="766FCBA7" w14:textId="77777777" w:rsidR="003014C3" w:rsidRDefault="003014C3" w:rsidP="00077BDB"/>
    <w:p w14:paraId="18F228E7" w14:textId="77777777" w:rsidR="003014C3" w:rsidRDefault="003014C3" w:rsidP="00077BDB"/>
    <w:p w14:paraId="370FE875" w14:textId="77777777" w:rsidR="003014C3" w:rsidRDefault="003014C3" w:rsidP="00077BDB"/>
    <w:p w14:paraId="0AD093FF" w14:textId="77777777" w:rsidR="003014C3" w:rsidRDefault="003014C3" w:rsidP="00077BDB"/>
    <w:p w14:paraId="328B17BA" w14:textId="77777777" w:rsidR="003014C3" w:rsidRDefault="003014C3" w:rsidP="00077BDB"/>
    <w:p w14:paraId="093AF81A" w14:textId="77777777" w:rsidR="003014C3" w:rsidRDefault="003014C3" w:rsidP="00077BDB"/>
    <w:p w14:paraId="35EFEDA2" w14:textId="77777777" w:rsidR="003014C3" w:rsidRDefault="003014C3" w:rsidP="00077BDB"/>
    <w:p w14:paraId="479E99E8" w14:textId="77777777" w:rsidR="003014C3" w:rsidRDefault="003014C3" w:rsidP="00077BDB"/>
    <w:p w14:paraId="3A4F64ED" w14:textId="77777777" w:rsidR="00374EB6" w:rsidRDefault="00374EB6" w:rsidP="00077BDB"/>
    <w:p w14:paraId="12DF9D42" w14:textId="77777777" w:rsidR="00374EB6" w:rsidRDefault="00374EB6" w:rsidP="00077BDB"/>
    <w:p w14:paraId="27A0B98E" w14:textId="77777777" w:rsidR="00374EB6" w:rsidRDefault="00374EB6" w:rsidP="00077BDB"/>
    <w:p w14:paraId="3292CC4F" w14:textId="46ECB97A" w:rsidR="00374EB6" w:rsidRDefault="00374EB6">
      <w:pPr>
        <w:spacing w:line="259" w:lineRule="auto"/>
        <w:jc w:val="left"/>
        <w:rPr>
          <w:sz w:val="32"/>
          <w:szCs w:val="32"/>
        </w:rPr>
      </w:pPr>
    </w:p>
    <w:sdt>
      <w:sdtPr>
        <w:rPr>
          <w:rFonts w:eastAsiaTheme="minorHAnsi" w:cstheme="minorBidi"/>
          <w:b w:val="0"/>
          <w:color w:val="auto"/>
          <w:sz w:val="24"/>
          <w:szCs w:val="28"/>
          <w:lang w:bidi="bn-IN"/>
        </w:rPr>
        <w:id w:val="-106276357"/>
        <w:docPartObj>
          <w:docPartGallery w:val="Table of Contents"/>
          <w:docPartUnique/>
        </w:docPartObj>
      </w:sdtPr>
      <w:sdtEndPr>
        <w:rPr>
          <w:bCs/>
          <w:noProof/>
        </w:rPr>
      </w:sdtEndPr>
      <w:sdtContent>
        <w:p w14:paraId="44B4C33F" w14:textId="77777777" w:rsidR="003D34D9" w:rsidRDefault="003D34D9" w:rsidP="003D34D9">
          <w:pPr>
            <w:pStyle w:val="TOCHeading"/>
            <w:spacing w:before="0"/>
          </w:pPr>
          <w:r>
            <w:t>Table of Contents</w:t>
          </w:r>
        </w:p>
        <w:p w14:paraId="523A85A2" w14:textId="4F576B21" w:rsidR="005F7EEE" w:rsidRDefault="003D34D9">
          <w:pPr>
            <w:pStyle w:val="TOC1"/>
            <w:tabs>
              <w:tab w:val="right" w:leader="dot" w:pos="9350"/>
            </w:tabs>
            <w:rPr>
              <w:rFonts w:asciiTheme="minorHAnsi" w:eastAsiaTheme="minorEastAsia" w:hAnsiTheme="minorHAnsi"/>
              <w:noProof/>
              <w:sz w:val="22"/>
              <w:szCs w:val="22"/>
              <w:lang w:val="en-US" w:bidi="ar-SA"/>
            </w:rPr>
          </w:pPr>
          <w:r>
            <w:fldChar w:fldCharType="begin"/>
          </w:r>
          <w:r>
            <w:instrText xml:space="preserve"> TOC \o "1-3" \h \z \u </w:instrText>
          </w:r>
          <w:r>
            <w:fldChar w:fldCharType="separate"/>
          </w:r>
          <w:hyperlink w:anchor="_Toc133187756" w:history="1">
            <w:r w:rsidR="005F7EEE" w:rsidRPr="002C78DB">
              <w:rPr>
                <w:rStyle w:val="Hyperlink"/>
                <w:noProof/>
              </w:rPr>
              <w:t>Introduction</w:t>
            </w:r>
            <w:r w:rsidR="005F7EEE">
              <w:rPr>
                <w:noProof/>
                <w:webHidden/>
              </w:rPr>
              <w:tab/>
            </w:r>
            <w:r w:rsidR="005F7EEE">
              <w:rPr>
                <w:noProof/>
                <w:webHidden/>
              </w:rPr>
              <w:fldChar w:fldCharType="begin"/>
            </w:r>
            <w:r w:rsidR="005F7EEE">
              <w:rPr>
                <w:noProof/>
                <w:webHidden/>
              </w:rPr>
              <w:instrText xml:space="preserve"> PAGEREF _Toc133187756 \h </w:instrText>
            </w:r>
            <w:r w:rsidR="005F7EEE">
              <w:rPr>
                <w:noProof/>
                <w:webHidden/>
              </w:rPr>
            </w:r>
            <w:r w:rsidR="005F7EEE">
              <w:rPr>
                <w:noProof/>
                <w:webHidden/>
              </w:rPr>
              <w:fldChar w:fldCharType="separate"/>
            </w:r>
            <w:r w:rsidR="005F7EEE">
              <w:rPr>
                <w:noProof/>
                <w:webHidden/>
              </w:rPr>
              <w:t>3</w:t>
            </w:r>
            <w:r w:rsidR="005F7EEE">
              <w:rPr>
                <w:noProof/>
                <w:webHidden/>
              </w:rPr>
              <w:fldChar w:fldCharType="end"/>
            </w:r>
          </w:hyperlink>
        </w:p>
        <w:p w14:paraId="2A257B22" w14:textId="1755B987" w:rsidR="005F7EEE" w:rsidRDefault="00000000">
          <w:pPr>
            <w:pStyle w:val="TOC2"/>
            <w:tabs>
              <w:tab w:val="right" w:leader="dot" w:pos="9350"/>
            </w:tabs>
            <w:rPr>
              <w:noProof/>
            </w:rPr>
          </w:pPr>
          <w:hyperlink w:anchor="_Toc133187757" w:history="1">
            <w:r w:rsidR="005F7EEE" w:rsidRPr="002C78DB">
              <w:rPr>
                <w:rStyle w:val="Hyperlink"/>
                <w:noProof/>
              </w:rPr>
              <w:t>Dividend Distribution Policy of General Electric Corporation</w:t>
            </w:r>
            <w:r w:rsidR="005F7EEE">
              <w:rPr>
                <w:noProof/>
                <w:webHidden/>
              </w:rPr>
              <w:tab/>
            </w:r>
            <w:r w:rsidR="005F7EEE">
              <w:rPr>
                <w:noProof/>
                <w:webHidden/>
              </w:rPr>
              <w:fldChar w:fldCharType="begin"/>
            </w:r>
            <w:r w:rsidR="005F7EEE">
              <w:rPr>
                <w:noProof/>
                <w:webHidden/>
              </w:rPr>
              <w:instrText xml:space="preserve"> PAGEREF _Toc133187757 \h </w:instrText>
            </w:r>
            <w:r w:rsidR="005F7EEE">
              <w:rPr>
                <w:noProof/>
                <w:webHidden/>
              </w:rPr>
            </w:r>
            <w:r w:rsidR="005F7EEE">
              <w:rPr>
                <w:noProof/>
                <w:webHidden/>
              </w:rPr>
              <w:fldChar w:fldCharType="separate"/>
            </w:r>
            <w:r w:rsidR="005F7EEE">
              <w:rPr>
                <w:noProof/>
                <w:webHidden/>
              </w:rPr>
              <w:t>4</w:t>
            </w:r>
            <w:r w:rsidR="005F7EEE">
              <w:rPr>
                <w:noProof/>
                <w:webHidden/>
              </w:rPr>
              <w:fldChar w:fldCharType="end"/>
            </w:r>
          </w:hyperlink>
        </w:p>
        <w:p w14:paraId="7AF194AD" w14:textId="4011D903" w:rsidR="005F7EEE" w:rsidRDefault="00000000">
          <w:pPr>
            <w:pStyle w:val="TOC2"/>
            <w:tabs>
              <w:tab w:val="right" w:leader="dot" w:pos="9350"/>
            </w:tabs>
            <w:rPr>
              <w:noProof/>
            </w:rPr>
          </w:pPr>
          <w:hyperlink w:anchor="_Toc133187758" w:history="1">
            <w:r w:rsidR="005F7EEE" w:rsidRPr="002C78DB">
              <w:rPr>
                <w:rStyle w:val="Hyperlink"/>
                <w:noProof/>
              </w:rPr>
              <w:t>Analyzing the Efficient Market Hypothesis Theory in the Context of General Electric Corporation’s Operations</w:t>
            </w:r>
            <w:r w:rsidR="005F7EEE">
              <w:rPr>
                <w:noProof/>
                <w:webHidden/>
              </w:rPr>
              <w:tab/>
            </w:r>
            <w:r w:rsidR="005F7EEE">
              <w:rPr>
                <w:noProof/>
                <w:webHidden/>
              </w:rPr>
              <w:fldChar w:fldCharType="begin"/>
            </w:r>
            <w:r w:rsidR="005F7EEE">
              <w:rPr>
                <w:noProof/>
                <w:webHidden/>
              </w:rPr>
              <w:instrText xml:space="preserve"> PAGEREF _Toc133187758 \h </w:instrText>
            </w:r>
            <w:r w:rsidR="005F7EEE">
              <w:rPr>
                <w:noProof/>
                <w:webHidden/>
              </w:rPr>
            </w:r>
            <w:r w:rsidR="005F7EEE">
              <w:rPr>
                <w:noProof/>
                <w:webHidden/>
              </w:rPr>
              <w:fldChar w:fldCharType="separate"/>
            </w:r>
            <w:r w:rsidR="005F7EEE">
              <w:rPr>
                <w:noProof/>
                <w:webHidden/>
              </w:rPr>
              <w:t>6</w:t>
            </w:r>
            <w:r w:rsidR="005F7EEE">
              <w:rPr>
                <w:noProof/>
                <w:webHidden/>
              </w:rPr>
              <w:fldChar w:fldCharType="end"/>
            </w:r>
          </w:hyperlink>
        </w:p>
        <w:p w14:paraId="20E19C13" w14:textId="5E54F89A" w:rsidR="005F7EEE" w:rsidRDefault="00000000">
          <w:pPr>
            <w:pStyle w:val="TOC2"/>
            <w:tabs>
              <w:tab w:val="right" w:leader="dot" w:pos="9350"/>
            </w:tabs>
            <w:rPr>
              <w:noProof/>
            </w:rPr>
          </w:pPr>
          <w:hyperlink w:anchor="_Toc133187759" w:history="1">
            <w:r w:rsidR="005F7EEE" w:rsidRPr="002C78DB">
              <w:rPr>
                <w:rStyle w:val="Hyperlink"/>
                <w:noProof/>
              </w:rPr>
              <w:t>Evaluating The General Electric Corporation’s Methods for Appraising Projects</w:t>
            </w:r>
            <w:r w:rsidR="005F7EEE">
              <w:rPr>
                <w:noProof/>
                <w:webHidden/>
              </w:rPr>
              <w:tab/>
            </w:r>
            <w:r w:rsidR="005F7EEE">
              <w:rPr>
                <w:noProof/>
                <w:webHidden/>
              </w:rPr>
              <w:fldChar w:fldCharType="begin"/>
            </w:r>
            <w:r w:rsidR="005F7EEE">
              <w:rPr>
                <w:noProof/>
                <w:webHidden/>
              </w:rPr>
              <w:instrText xml:space="preserve"> PAGEREF _Toc133187759 \h </w:instrText>
            </w:r>
            <w:r w:rsidR="005F7EEE">
              <w:rPr>
                <w:noProof/>
                <w:webHidden/>
              </w:rPr>
            </w:r>
            <w:r w:rsidR="005F7EEE">
              <w:rPr>
                <w:noProof/>
                <w:webHidden/>
              </w:rPr>
              <w:fldChar w:fldCharType="separate"/>
            </w:r>
            <w:r w:rsidR="005F7EEE">
              <w:rPr>
                <w:noProof/>
                <w:webHidden/>
              </w:rPr>
              <w:t>7</w:t>
            </w:r>
            <w:r w:rsidR="005F7EEE">
              <w:rPr>
                <w:noProof/>
                <w:webHidden/>
              </w:rPr>
              <w:fldChar w:fldCharType="end"/>
            </w:r>
          </w:hyperlink>
        </w:p>
        <w:p w14:paraId="0A2D35AF" w14:textId="4CDCB122" w:rsidR="005F7EEE" w:rsidRDefault="00000000">
          <w:pPr>
            <w:pStyle w:val="TOC1"/>
            <w:tabs>
              <w:tab w:val="right" w:leader="dot" w:pos="9350"/>
            </w:tabs>
            <w:rPr>
              <w:rFonts w:asciiTheme="minorHAnsi" w:eastAsiaTheme="minorEastAsia" w:hAnsiTheme="minorHAnsi"/>
              <w:noProof/>
              <w:sz w:val="22"/>
              <w:szCs w:val="22"/>
              <w:lang w:val="en-US" w:bidi="ar-SA"/>
            </w:rPr>
          </w:pPr>
          <w:hyperlink w:anchor="_Toc133187760" w:history="1">
            <w:r w:rsidR="005F7EEE" w:rsidRPr="002C78DB">
              <w:rPr>
                <w:rStyle w:val="Hyperlink"/>
                <w:noProof/>
              </w:rPr>
              <w:t>Conclusion</w:t>
            </w:r>
            <w:r w:rsidR="005F7EEE">
              <w:rPr>
                <w:noProof/>
                <w:webHidden/>
              </w:rPr>
              <w:tab/>
            </w:r>
            <w:r w:rsidR="005F7EEE">
              <w:rPr>
                <w:noProof/>
                <w:webHidden/>
              </w:rPr>
              <w:fldChar w:fldCharType="begin"/>
            </w:r>
            <w:r w:rsidR="005F7EEE">
              <w:rPr>
                <w:noProof/>
                <w:webHidden/>
              </w:rPr>
              <w:instrText xml:space="preserve"> PAGEREF _Toc133187760 \h </w:instrText>
            </w:r>
            <w:r w:rsidR="005F7EEE">
              <w:rPr>
                <w:noProof/>
                <w:webHidden/>
              </w:rPr>
            </w:r>
            <w:r w:rsidR="005F7EEE">
              <w:rPr>
                <w:noProof/>
                <w:webHidden/>
              </w:rPr>
              <w:fldChar w:fldCharType="separate"/>
            </w:r>
            <w:r w:rsidR="005F7EEE">
              <w:rPr>
                <w:noProof/>
                <w:webHidden/>
              </w:rPr>
              <w:t>9</w:t>
            </w:r>
            <w:r w:rsidR="005F7EEE">
              <w:rPr>
                <w:noProof/>
                <w:webHidden/>
              </w:rPr>
              <w:fldChar w:fldCharType="end"/>
            </w:r>
          </w:hyperlink>
        </w:p>
        <w:p w14:paraId="03713792" w14:textId="78E0CA9D" w:rsidR="005F7EEE" w:rsidRDefault="00000000">
          <w:pPr>
            <w:pStyle w:val="TOC1"/>
            <w:tabs>
              <w:tab w:val="right" w:leader="dot" w:pos="9350"/>
            </w:tabs>
            <w:rPr>
              <w:rFonts w:asciiTheme="minorHAnsi" w:eastAsiaTheme="minorEastAsia" w:hAnsiTheme="minorHAnsi"/>
              <w:noProof/>
              <w:sz w:val="22"/>
              <w:szCs w:val="22"/>
              <w:lang w:val="en-US" w:bidi="ar-SA"/>
            </w:rPr>
          </w:pPr>
          <w:hyperlink w:anchor="_Toc133187761" w:history="1">
            <w:r w:rsidR="005F7EEE" w:rsidRPr="002C78DB">
              <w:rPr>
                <w:rStyle w:val="Hyperlink"/>
                <w:noProof/>
                <w:lang w:val="en-US"/>
              </w:rPr>
              <w:t>References</w:t>
            </w:r>
            <w:r w:rsidR="005F7EEE">
              <w:rPr>
                <w:noProof/>
                <w:webHidden/>
              </w:rPr>
              <w:tab/>
            </w:r>
            <w:r w:rsidR="005F7EEE">
              <w:rPr>
                <w:noProof/>
                <w:webHidden/>
              </w:rPr>
              <w:fldChar w:fldCharType="begin"/>
            </w:r>
            <w:r w:rsidR="005F7EEE">
              <w:rPr>
                <w:noProof/>
                <w:webHidden/>
              </w:rPr>
              <w:instrText xml:space="preserve"> PAGEREF _Toc133187761 \h </w:instrText>
            </w:r>
            <w:r w:rsidR="005F7EEE">
              <w:rPr>
                <w:noProof/>
                <w:webHidden/>
              </w:rPr>
            </w:r>
            <w:r w:rsidR="005F7EEE">
              <w:rPr>
                <w:noProof/>
                <w:webHidden/>
              </w:rPr>
              <w:fldChar w:fldCharType="separate"/>
            </w:r>
            <w:r w:rsidR="005F7EEE">
              <w:rPr>
                <w:noProof/>
                <w:webHidden/>
              </w:rPr>
              <w:t>10</w:t>
            </w:r>
            <w:r w:rsidR="005F7EEE">
              <w:rPr>
                <w:noProof/>
                <w:webHidden/>
              </w:rPr>
              <w:fldChar w:fldCharType="end"/>
            </w:r>
          </w:hyperlink>
        </w:p>
        <w:p w14:paraId="4B4BC843" w14:textId="296D89F9" w:rsidR="003D34D9" w:rsidRDefault="003D34D9" w:rsidP="003D34D9">
          <w:r>
            <w:rPr>
              <w:b/>
              <w:bCs/>
              <w:noProof/>
            </w:rPr>
            <w:fldChar w:fldCharType="end"/>
          </w:r>
        </w:p>
      </w:sdtContent>
    </w:sdt>
    <w:p w14:paraId="354E8849" w14:textId="77777777" w:rsidR="00374EB6" w:rsidRDefault="00374EB6">
      <w:pPr>
        <w:spacing w:line="259" w:lineRule="auto"/>
        <w:jc w:val="left"/>
        <w:rPr>
          <w:sz w:val="32"/>
          <w:szCs w:val="32"/>
        </w:rPr>
      </w:pPr>
      <w:r>
        <w:rPr>
          <w:sz w:val="32"/>
          <w:szCs w:val="32"/>
        </w:rPr>
        <w:br w:type="page"/>
      </w:r>
    </w:p>
    <w:p w14:paraId="20CF191C" w14:textId="77777777" w:rsidR="00374EB6" w:rsidRDefault="00374EB6" w:rsidP="00374EB6">
      <w:pPr>
        <w:pStyle w:val="Heading1"/>
      </w:pPr>
      <w:bookmarkStart w:id="0" w:name="_Toc133187756"/>
      <w:r>
        <w:lastRenderedPageBreak/>
        <w:t>Introduction</w:t>
      </w:r>
      <w:bookmarkEnd w:id="0"/>
    </w:p>
    <w:p w14:paraId="440310AD" w14:textId="77777777" w:rsidR="001D164C" w:rsidRDefault="001D164C" w:rsidP="001D164C">
      <w:r>
        <w:t xml:space="preserve">General Electric Company (GE) is a multinational corporation. The company was founded by Thomas Edison in 1892 in Schenectady, New York. Though the company started as an electric company it has expanded its businesses in a wide range, including renewable energy, aviation, power, and healthcare. General Electric operates its businesses in over 100 countries and the company is well known for its innovative technologies. The company has a long and illustrious history of innovation and contributions to numerous </w:t>
      </w:r>
      <w:r w:rsidR="005E79EE">
        <w:t>sectors. The report will concentrate on finding out the importance of International Financial Management (IFM) on General Electric and the dividend distribution policy of General Electric based on IFM</w:t>
      </w:r>
      <w:r w:rsidR="002E11AA" w:rsidRPr="002E11AA">
        <w:t xml:space="preserve"> </w:t>
      </w:r>
      <w:r w:rsidR="002E11AA">
        <w:t>(Bandy, 2018)</w:t>
      </w:r>
      <w:r w:rsidR="005E79EE">
        <w:t xml:space="preserve">. The Efficient Market Hypothesis theory (EMH) in the context of General Electric Company will be </w:t>
      </w:r>
      <w:proofErr w:type="spellStart"/>
      <w:r w:rsidR="005E79EE">
        <w:t>analyzed</w:t>
      </w:r>
      <w:proofErr w:type="spellEnd"/>
      <w:r w:rsidR="005E79EE">
        <w:t xml:space="preserve"> next. This report will also </w:t>
      </w:r>
      <w:proofErr w:type="spellStart"/>
      <w:r w:rsidR="005E79EE">
        <w:t>analyze</w:t>
      </w:r>
      <w:proofErr w:type="spellEnd"/>
      <w:r w:rsidR="005E79EE">
        <w:t xml:space="preserve"> the appraising project methods of General Electric.</w:t>
      </w:r>
      <w:r>
        <w:br w:type="page"/>
      </w:r>
    </w:p>
    <w:p w14:paraId="44A39DF4" w14:textId="77777777" w:rsidR="001D164C" w:rsidRDefault="001D164C" w:rsidP="00CF4A8A">
      <w:pPr>
        <w:pStyle w:val="Heading2"/>
      </w:pPr>
      <w:bookmarkStart w:id="1" w:name="_Toc133187757"/>
      <w:r>
        <w:lastRenderedPageBreak/>
        <w:t>D</w:t>
      </w:r>
      <w:r w:rsidRPr="00135089">
        <w:t xml:space="preserve">ividend </w:t>
      </w:r>
      <w:r>
        <w:t>D</w:t>
      </w:r>
      <w:r w:rsidRPr="00135089">
        <w:t xml:space="preserve">istribution </w:t>
      </w:r>
      <w:r>
        <w:t>P</w:t>
      </w:r>
      <w:r w:rsidRPr="00135089">
        <w:t xml:space="preserve">olicy </w:t>
      </w:r>
      <w:r>
        <w:t xml:space="preserve">of </w:t>
      </w:r>
      <w:r w:rsidRPr="00135089">
        <w:t xml:space="preserve">General Electric </w:t>
      </w:r>
      <w:r>
        <w:t>C</w:t>
      </w:r>
      <w:r w:rsidRPr="00135089">
        <w:t>orporation</w:t>
      </w:r>
      <w:bookmarkEnd w:id="1"/>
      <w:r>
        <w:t xml:space="preserve"> </w:t>
      </w:r>
    </w:p>
    <w:p w14:paraId="4D16B562" w14:textId="51EBA263" w:rsidR="00802CD8" w:rsidRDefault="00802CD8" w:rsidP="00802CD8">
      <w:r>
        <w:t>General Electric is a multinational corporation that operates in over 100 countries. For General Electric’s operations and growth strategy, International Financial Management (IFM) is crucial, as IFM helps General Electric to access its financial resources from different locations, effectively manage its cash flow, and maximize its capital structure</w:t>
      </w:r>
      <w:r w:rsidRPr="002E11AA">
        <w:t xml:space="preserve"> </w:t>
      </w:r>
      <w:r>
        <w:t>(ge.com, 2023). The Dividend Distribution policy of General Electric is also a significant component of its financial management. General Electric has a long and illustrious history of providing dividends to its investors. The dividends distribution policy of GE is directed by its devotion to giving capital to its investors while preserving financial adaptability to aid its corporate goals.</w:t>
      </w:r>
      <w:r w:rsidRPr="00653F45">
        <w:t xml:space="preserve"> </w:t>
      </w:r>
      <w:r>
        <w:t>GE’s bo</w:t>
      </w:r>
      <w:r w:rsidR="00047B52">
        <w:t>a</w:t>
      </w:r>
      <w:r>
        <w:t>rd of directors provide</w:t>
      </w:r>
      <w:r w:rsidR="00047B52">
        <w:t>s</w:t>
      </w:r>
      <w:r>
        <w:t xml:space="preserve"> direction about whether to pay dividends, and also, evaluate</w:t>
      </w:r>
      <w:r w:rsidR="00047B52">
        <w:t>s</w:t>
      </w:r>
      <w:r>
        <w:t xml:space="preserve"> the company’s capital requirements, cash flow, and financial performance in the meantime. Based on International Financial Management (IFM) theories General Electric uses </w:t>
      </w:r>
      <w:r w:rsidRPr="00135089">
        <w:t xml:space="preserve">the </w:t>
      </w:r>
      <w:proofErr w:type="spellStart"/>
      <w:r w:rsidRPr="00135089">
        <w:t>signaling</w:t>
      </w:r>
      <w:proofErr w:type="spellEnd"/>
      <w:r w:rsidRPr="00135089">
        <w:t xml:space="preserve"> theory</w:t>
      </w:r>
      <w:r>
        <w:t xml:space="preserve"> </w:t>
      </w:r>
      <w:r w:rsidRPr="00135089">
        <w:t>and the dividend irrelevance theory</w:t>
      </w:r>
      <w:r>
        <w:t xml:space="preserve"> as its dividend distribution policy. </w:t>
      </w:r>
    </w:p>
    <w:p w14:paraId="2683EC75" w14:textId="57C18F59" w:rsidR="001D164C" w:rsidRDefault="001D164C" w:rsidP="001D164C">
      <w:r>
        <w:t xml:space="preserve">The Signalling Theory is one of the most common theories used in examining dividend policy. The </w:t>
      </w:r>
      <w:proofErr w:type="spellStart"/>
      <w:r>
        <w:t>signaling</w:t>
      </w:r>
      <w:proofErr w:type="spellEnd"/>
      <w:r>
        <w:t xml:space="preserve"> theory is related to GE’s dividend distribution policy. According to this theory, businesses use this theory to communicate with investors about their financial situation and future possibilities</w:t>
      </w:r>
      <w:r w:rsidR="002E11AA" w:rsidRPr="002E11AA">
        <w:t xml:space="preserve"> </w:t>
      </w:r>
      <w:r w:rsidR="002E11AA">
        <w:t>(</w:t>
      </w:r>
      <w:proofErr w:type="spellStart"/>
      <w:r w:rsidR="002E11AA">
        <w:t>Tonoyan</w:t>
      </w:r>
      <w:proofErr w:type="spellEnd"/>
      <w:r w:rsidR="002E11AA">
        <w:t xml:space="preserve"> &amp; Gusev, 2022)</w:t>
      </w:r>
      <w:r>
        <w:t xml:space="preserve">. For example, a firm that sends positive signals to its shareholders means it has increased its dividend </w:t>
      </w:r>
      <w:proofErr w:type="spellStart"/>
      <w:r>
        <w:t>payout</w:t>
      </w:r>
      <w:proofErr w:type="spellEnd"/>
      <w:r>
        <w:t xml:space="preserve"> and anticipates solid future incomes. In contrast, a firm that has negative signals means it has decreased its dividend </w:t>
      </w:r>
      <w:proofErr w:type="spellStart"/>
      <w:r>
        <w:t>payout</w:t>
      </w:r>
      <w:proofErr w:type="spellEnd"/>
      <w:r>
        <w:t xml:space="preserve"> and is financially unstable, and anticipates weaker future income. GE has a substantial record of providing relatively stable dividends to its investors over the years. Recently GE has experienced various challenges including decreasing income, substantial losses in the power segment, and excessive debt levels. As a result, to strengthen its financial position the company has responded by taking several steps, including decreasing its dividend </w:t>
      </w:r>
      <w:proofErr w:type="spellStart"/>
      <w:r>
        <w:t>payout</w:t>
      </w:r>
      <w:proofErr w:type="spellEnd"/>
      <w:r>
        <w:t xml:space="preserve"> in 2018-2019. According to the </w:t>
      </w:r>
      <w:proofErr w:type="spellStart"/>
      <w:r>
        <w:t>signaling</w:t>
      </w:r>
      <w:proofErr w:type="spellEnd"/>
      <w:r>
        <w:t xml:space="preserve"> theory viewpoint, GE must inform its investors that it has decreased its dividend </w:t>
      </w:r>
      <w:proofErr w:type="spellStart"/>
      <w:r>
        <w:t>payout</w:t>
      </w:r>
      <w:proofErr w:type="spellEnd"/>
      <w:r>
        <w:t xml:space="preserve"> to overcome the financial challenges. </w:t>
      </w:r>
    </w:p>
    <w:p w14:paraId="2E1310B5" w14:textId="56937186" w:rsidR="00374EB6" w:rsidRDefault="001D164C" w:rsidP="00374EB6">
      <w:r>
        <w:t xml:space="preserve">The Dividend Irrelevance Theory is also a commonly used theory for evaluating dividend policy. According to dividend irrelevance theory, shareholders are aloof to receiving </w:t>
      </w:r>
      <w:r>
        <w:lastRenderedPageBreak/>
        <w:t xml:space="preserve">dividends and a firm’s dividend policy does not affect its share price. However, the dividend irrelevance theory believes that shareholders have complete information about a firm’s expected future cash flow and earnings, which frequently is not the case. </w:t>
      </w:r>
      <w:r w:rsidRPr="00135089">
        <w:t xml:space="preserve">GE should </w:t>
      </w:r>
      <w:r>
        <w:t xml:space="preserve">evaluate its </w:t>
      </w:r>
      <w:r w:rsidRPr="00135089">
        <w:t xml:space="preserve">dividend distribution policy based on its impact on the company's financial health and its ability to </w:t>
      </w:r>
      <w:r>
        <w:t>produce</w:t>
      </w:r>
      <w:r w:rsidRPr="00135089">
        <w:t xml:space="preserve"> sustainable </w:t>
      </w:r>
      <w:r>
        <w:t xml:space="preserve">revenue </w:t>
      </w:r>
      <w:r w:rsidRPr="00135089">
        <w:t>in the future.</w:t>
      </w:r>
      <w:r w:rsidR="004457DA" w:rsidRPr="004457DA">
        <w:t xml:space="preserve"> </w:t>
      </w:r>
      <w:r w:rsidR="004457DA">
        <w:t>Recently, business challenges like rising debt level</w:t>
      </w:r>
      <w:r w:rsidR="00047B52">
        <w:t>s</w:t>
      </w:r>
      <w:r w:rsidR="004457DA">
        <w:t xml:space="preserve"> and decreased power segment sales have affected GE’s dividend distribution policy. To get over these challenges GE can apply Stabling Theory and Residual Theory.</w:t>
      </w:r>
    </w:p>
    <w:p w14:paraId="03DFD6BE" w14:textId="77777777" w:rsidR="005D3CA5" w:rsidRDefault="005D3CA5" w:rsidP="00374EB6"/>
    <w:p w14:paraId="21B8DF24" w14:textId="77777777" w:rsidR="00A23A0D" w:rsidRDefault="00A23A0D">
      <w:pPr>
        <w:spacing w:line="259" w:lineRule="auto"/>
        <w:jc w:val="left"/>
        <w:rPr>
          <w:rFonts w:eastAsiaTheme="majorEastAsia" w:cstheme="majorBidi"/>
          <w:b/>
          <w:color w:val="44546A" w:themeColor="text2"/>
          <w:sz w:val="32"/>
          <w:szCs w:val="40"/>
        </w:rPr>
      </w:pPr>
      <w:r>
        <w:br w:type="page"/>
      </w:r>
    </w:p>
    <w:p w14:paraId="2C74BF2E" w14:textId="2D2ABB05" w:rsidR="001D164C" w:rsidRDefault="003014C3" w:rsidP="00CF4A8A">
      <w:pPr>
        <w:pStyle w:val="Heading2"/>
      </w:pPr>
      <w:bookmarkStart w:id="2" w:name="_Toc133187758"/>
      <w:r>
        <w:lastRenderedPageBreak/>
        <w:t>A</w:t>
      </w:r>
      <w:r w:rsidRPr="001C692F">
        <w:t>nalys</w:t>
      </w:r>
      <w:r>
        <w:t>ing</w:t>
      </w:r>
      <w:r w:rsidR="001D164C" w:rsidRPr="001C692F">
        <w:t xml:space="preserve"> the </w:t>
      </w:r>
      <w:r w:rsidR="001D164C">
        <w:t>E</w:t>
      </w:r>
      <w:r w:rsidR="001D164C" w:rsidRPr="001C692F">
        <w:t xml:space="preserve">fficient </w:t>
      </w:r>
      <w:r w:rsidR="001D164C">
        <w:t>M</w:t>
      </w:r>
      <w:r w:rsidR="001D164C" w:rsidRPr="001C692F">
        <w:t xml:space="preserve">arket </w:t>
      </w:r>
      <w:r w:rsidR="001D164C">
        <w:t>H</w:t>
      </w:r>
      <w:r w:rsidR="001D164C" w:rsidRPr="001C692F">
        <w:t xml:space="preserve">ypothesis </w:t>
      </w:r>
      <w:r w:rsidR="001D164C">
        <w:t>T</w:t>
      </w:r>
      <w:r w:rsidR="001D164C" w:rsidRPr="001C692F">
        <w:t xml:space="preserve">heory in the </w:t>
      </w:r>
      <w:r w:rsidR="001D164C">
        <w:t>C</w:t>
      </w:r>
      <w:r w:rsidR="001D164C" w:rsidRPr="001C692F">
        <w:t xml:space="preserve">ontext of General Electric </w:t>
      </w:r>
      <w:r w:rsidR="001D164C">
        <w:t>C</w:t>
      </w:r>
      <w:r w:rsidR="001D164C" w:rsidRPr="001C692F">
        <w:t xml:space="preserve">orporation’s </w:t>
      </w:r>
      <w:r w:rsidR="001D164C">
        <w:t>O</w:t>
      </w:r>
      <w:r w:rsidR="001D164C" w:rsidRPr="001C692F">
        <w:t>perations</w:t>
      </w:r>
      <w:bookmarkEnd w:id="2"/>
    </w:p>
    <w:p w14:paraId="15D70FDF" w14:textId="4D2F6952" w:rsidR="001D164C" w:rsidRDefault="001D164C" w:rsidP="001D164C">
      <w:r>
        <w:t xml:space="preserve">According to the Effective Market Hypothesis (EMH), all the accessible information regarding security has already been taken into account in the price of that security. In other words, the market is effective at handling and assimilating all pertinent information promptly, making it complex for shareholders to earn extra returns by trying to utilize market </w:t>
      </w:r>
      <w:r w:rsidR="006127AC">
        <w:t>inefficiencies (Smithers, 2022)</w:t>
      </w:r>
      <w:r>
        <w:t xml:space="preserve">. Effective Market Hypothesis (EMH) can be </w:t>
      </w:r>
      <w:r w:rsidR="003014C3">
        <w:t>analysed</w:t>
      </w:r>
      <w:r>
        <w:t xml:space="preserve"> about the operation of General Electric Corporation by evaluating the company’s share price </w:t>
      </w:r>
      <w:r w:rsidR="003014C3">
        <w:t>behaviour</w:t>
      </w:r>
      <w:r>
        <w:t xml:space="preserve"> about recent information that affects the company</w:t>
      </w:r>
      <w:r w:rsidR="006127AC">
        <w:t xml:space="preserve">. </w:t>
      </w:r>
      <w:r>
        <w:t>For example, if an earnings report issued by General Electric shows strong financial performance, we might expect an increase in the share price. Conversely, if the report shows negative news about the company or weaker financial performance then we might expect a decrease in the share price</w:t>
      </w:r>
      <w:r w:rsidR="006127AC" w:rsidRPr="006127AC">
        <w:t xml:space="preserve"> </w:t>
      </w:r>
      <w:r w:rsidR="006127AC">
        <w:t>(Ang &amp; Ciccone, 2019)</w:t>
      </w:r>
      <w:r>
        <w:t>. However, a few examples show that GE’s share price did not respond instantly to recent information, raising questions about the efficiency of the market. The accounting scandal of 2017 is an example, where General Electric was the suspect for accounting fraud. Despite this unpleasant news, the share price did not drop much until a few months later, the full scandal was revealed publicly. This late response suggested that the market did not process and incorporate the negative information effectively</w:t>
      </w:r>
      <w:r w:rsidR="006127AC" w:rsidRPr="006127AC">
        <w:t xml:space="preserve"> </w:t>
      </w:r>
      <w:r w:rsidR="006127AC">
        <w:t>(</w:t>
      </w:r>
      <w:proofErr w:type="spellStart"/>
      <w:r w:rsidR="006127AC">
        <w:t>Lukasevich</w:t>
      </w:r>
      <w:proofErr w:type="spellEnd"/>
      <w:r w:rsidR="006127AC">
        <w:t>, 2021)</w:t>
      </w:r>
      <w:r>
        <w:t xml:space="preserve">. Insider transaction is also a challenge to the Efficient Market Hypothesis in General Electric’s context. Because, if insiders have access to unpublished material information that has the potential to affect the company’s share price, they may take advantage of the information by trading before it becomes public. Though insider transaction is illegal, these transactions can happen irregularly and reduce the market’s </w:t>
      </w:r>
      <w:r w:rsidR="006127AC">
        <w:t>effectiveness. From</w:t>
      </w:r>
      <w:r>
        <w:t xml:space="preserve"> the above discussion, </w:t>
      </w:r>
      <w:r w:rsidR="003014C3">
        <w:t>Efficient</w:t>
      </w:r>
      <w:r>
        <w:t xml:space="preserve"> Market Hypothesis is not a perfect model for the General Electric Corporation, though the theory offers a useful framework for understanding the financial market’s </w:t>
      </w:r>
      <w:r w:rsidR="003014C3">
        <w:t>behaviour</w:t>
      </w:r>
      <w:r>
        <w:t>.</w:t>
      </w:r>
    </w:p>
    <w:p w14:paraId="76888E6A" w14:textId="77777777" w:rsidR="001D164C" w:rsidRDefault="001D164C" w:rsidP="001D164C">
      <w:pPr>
        <w:rPr>
          <w:b/>
          <w:bCs/>
          <w:sz w:val="28"/>
        </w:rPr>
      </w:pPr>
    </w:p>
    <w:p w14:paraId="6FCC5F62" w14:textId="77777777" w:rsidR="001D164C" w:rsidRDefault="001D164C" w:rsidP="001D164C">
      <w:pPr>
        <w:rPr>
          <w:b/>
          <w:bCs/>
          <w:sz w:val="28"/>
        </w:rPr>
      </w:pPr>
    </w:p>
    <w:p w14:paraId="0E741B94" w14:textId="77777777" w:rsidR="001D164C" w:rsidRDefault="001D164C" w:rsidP="001D164C">
      <w:pPr>
        <w:rPr>
          <w:b/>
          <w:bCs/>
          <w:sz w:val="28"/>
        </w:rPr>
      </w:pPr>
    </w:p>
    <w:p w14:paraId="1752C2AD" w14:textId="77777777" w:rsidR="001D164C" w:rsidRDefault="001D164C" w:rsidP="00CF4A8A">
      <w:pPr>
        <w:pStyle w:val="Heading2"/>
      </w:pPr>
      <w:bookmarkStart w:id="3" w:name="_Toc133187759"/>
      <w:r w:rsidRPr="001C692F">
        <w:t>Evaluat</w:t>
      </w:r>
      <w:r>
        <w:t>ing</w:t>
      </w:r>
      <w:r w:rsidRPr="001C692F">
        <w:t xml:space="preserve"> The General Electric Corporation’s Methods for</w:t>
      </w:r>
      <w:r>
        <w:t xml:space="preserve"> </w:t>
      </w:r>
      <w:r w:rsidRPr="001C692F">
        <w:t>Appraising Projects</w:t>
      </w:r>
      <w:bookmarkEnd w:id="3"/>
    </w:p>
    <w:p w14:paraId="5D032C61" w14:textId="77777777" w:rsidR="001D164C" w:rsidRDefault="001D164C" w:rsidP="001D164C">
      <w:r>
        <w:t>As a multinational corporation, General Electric Corporation combined a variety of businesses including renewable energy, aviation, power, healthcare, and digital. As it works in a diverse range of projects across multiple businesses, General Electric has created a methodical framework for evaluating projects. General Electric uses a variety of project appraisal methods for evaluating a project’s validity and potential profitability.</w:t>
      </w:r>
    </w:p>
    <w:p w14:paraId="28D7D66F" w14:textId="26BCDF9B" w:rsidR="00F71563" w:rsidRDefault="001D164C" w:rsidP="001D164C">
      <w:r>
        <w:t>General Electric uses Discounted Cash Flow (DCF) analysis as a primary method for project appraisal. DCF method calculates the anticipated cash flows over a project’s lifetime and then reduces th</w:t>
      </w:r>
      <w:r w:rsidR="00362206">
        <w:t>at</w:t>
      </w:r>
      <w:r>
        <w:t xml:space="preserve"> cash flows back to their present value.  DCF method is very popular in finance and is based on the hypothesis that future cash flows will be worth less than the present ones due to the time value of money. DCF method’s limitations include requiring accurate and reliable prediction of future cash flows and relying on specific assumptions about discount rates and growth rates</w:t>
      </w:r>
      <w:r w:rsidR="00D15BD7">
        <w:t xml:space="preserve">. The positive aspects of using Discounted Cash Flow in General Electric </w:t>
      </w:r>
      <w:r w:rsidR="007D0FBC">
        <w:t xml:space="preserve">are it is complete, flexible, </w:t>
      </w:r>
      <w:r w:rsidR="00362206">
        <w:t xml:space="preserve">and </w:t>
      </w:r>
      <w:r w:rsidR="007D0FBC">
        <w:t>examine</w:t>
      </w:r>
      <w:r w:rsidR="00362206">
        <w:t>s</w:t>
      </w:r>
      <w:r w:rsidR="007D0FBC">
        <w:t xml:space="preserve"> </w:t>
      </w:r>
      <w:r w:rsidR="00362206">
        <w:t xml:space="preserve">the </w:t>
      </w:r>
      <w:r w:rsidR="007D0FBC">
        <w:t xml:space="preserve">sensitivity and proactive method. Also, there are some negative aspects of using </w:t>
      </w:r>
      <w:r w:rsidR="00362206">
        <w:t xml:space="preserve">the </w:t>
      </w:r>
      <w:r w:rsidR="007D0FBC">
        <w:t xml:space="preserve">DCF method in General Electric, including its dependency on assumptions, </w:t>
      </w:r>
      <w:r w:rsidR="00362206">
        <w:t>limitations on historical data, reactivity to inputs, and lengthy process</w:t>
      </w:r>
      <w:r w:rsidR="007D0FBC">
        <w:t xml:space="preserve"> (</w:t>
      </w:r>
      <w:r w:rsidR="006127AC">
        <w:t>Harding &amp; Long, 2017)</w:t>
      </w:r>
      <w:r>
        <w:t xml:space="preserve">. </w:t>
      </w:r>
    </w:p>
    <w:p w14:paraId="68923C13" w14:textId="54D840E0" w:rsidR="00F44CC8" w:rsidRDefault="001D164C" w:rsidP="001D164C">
      <w:r>
        <w:t xml:space="preserve">Net Present Value (NPV) is another method used by General Electric Company. The NPV method is more reliable and accurate than the DCF method as it considers the time value of money and the primary investment. This method involves </w:t>
      </w:r>
      <w:r w:rsidR="003014C3">
        <w:t>analysing</w:t>
      </w:r>
      <w:r>
        <w:t xml:space="preserve"> the present value of the project’s future cash flows, less the primary investment required to start the project. However, the drawbacks of the NPV method include the difficulty of gathering reliable assumptions of future cash flows and the potential for subjective opinion in discount rates and expansion rates</w:t>
      </w:r>
      <w:r w:rsidR="00F142D3" w:rsidRPr="00F142D3">
        <w:t xml:space="preserve"> </w:t>
      </w:r>
      <w:r w:rsidR="00F142D3">
        <w:t>(Boeri, 2019)</w:t>
      </w:r>
      <w:r>
        <w:t xml:space="preserve">. </w:t>
      </w:r>
    </w:p>
    <w:p w14:paraId="1EAFF3C9" w14:textId="7693C42B" w:rsidR="00F44CC8" w:rsidRDefault="001D164C" w:rsidP="001D164C">
      <w:r>
        <w:t xml:space="preserve">General Electric also uses the Internal Rate of Return (IRR) method for project appraisal. IRR method analyses the discount rate that balances the present value of a project’s cash inflows and outflows. To estimate the productivity of a project the IRR method is popularly </w:t>
      </w:r>
      <w:r>
        <w:lastRenderedPageBreak/>
        <w:t>used in finance. Like the other methods discussed, the IRR method also has its drawbacks including being difficult to calculate, can produce a misguided result, particularly for a project with unusual cash flows</w:t>
      </w:r>
      <w:r w:rsidR="006127AC" w:rsidRPr="006127AC">
        <w:rPr>
          <w:color w:val="FF0000"/>
        </w:rPr>
        <w:t xml:space="preserve"> </w:t>
      </w:r>
      <w:r w:rsidR="006127AC" w:rsidRPr="006127AC">
        <w:t>(</w:t>
      </w:r>
      <w:proofErr w:type="spellStart"/>
      <w:r w:rsidR="006127AC" w:rsidRPr="006127AC">
        <w:t>Zawadi</w:t>
      </w:r>
      <w:proofErr w:type="spellEnd"/>
      <w:r w:rsidR="006127AC" w:rsidRPr="006127AC">
        <w:t>, 2022).</w:t>
      </w:r>
    </w:p>
    <w:p w14:paraId="5DCA74A8" w14:textId="4D17A208" w:rsidR="001D164C" w:rsidRPr="001C692F" w:rsidRDefault="001D164C" w:rsidP="001D164C">
      <w:r>
        <w:t>While General Electric’s project appraisal procedures are normally sound, they do have their drawbacks. Accurate and dependable assumptions of future cash flows, discount rates, and expansion rates are crucial for these project appraisal methods. Besides, these methods presume that a future can be predicted, which may not always be the case. So, General Electric Company must be attentive while applying these methods.</w:t>
      </w:r>
    </w:p>
    <w:p w14:paraId="3AEA2EB1" w14:textId="77777777" w:rsidR="001D164C" w:rsidRDefault="001D164C" w:rsidP="001D164C"/>
    <w:p w14:paraId="37E83FED" w14:textId="77777777" w:rsidR="00CF4A8A" w:rsidRDefault="00CF4A8A">
      <w:pPr>
        <w:spacing w:line="259" w:lineRule="auto"/>
        <w:jc w:val="left"/>
        <w:rPr>
          <w:rFonts w:eastAsiaTheme="majorEastAsia" w:cstheme="majorBidi"/>
          <w:b/>
          <w:color w:val="44546A" w:themeColor="text2"/>
          <w:sz w:val="32"/>
          <w:szCs w:val="40"/>
        </w:rPr>
      </w:pPr>
      <w:r>
        <w:br w:type="page"/>
      </w:r>
    </w:p>
    <w:p w14:paraId="450E1817" w14:textId="65DBAF7D" w:rsidR="001D164C" w:rsidRDefault="001D164C" w:rsidP="001D164C">
      <w:pPr>
        <w:pStyle w:val="Heading1"/>
      </w:pPr>
      <w:bookmarkStart w:id="4" w:name="_Toc133187760"/>
      <w:r>
        <w:lastRenderedPageBreak/>
        <w:t>Conclusion</w:t>
      </w:r>
      <w:bookmarkEnd w:id="4"/>
    </w:p>
    <w:p w14:paraId="603F444C" w14:textId="1B04A7AA" w:rsidR="003D34D9" w:rsidRPr="00362206" w:rsidRDefault="003D34D9" w:rsidP="00362206">
      <w:r>
        <w:t xml:space="preserve">In conclusion, International Financial Management (IFM) practices are crucial for the success of General Electric Company. The report has </w:t>
      </w:r>
      <w:r w:rsidR="003014C3">
        <w:t>analysed</w:t>
      </w:r>
      <w:r>
        <w:t xml:space="preserve"> the dividend distribution policy of General Electric Company based on the IFM theories. </w:t>
      </w:r>
      <w:r w:rsidR="00362206">
        <w:t>The examination has found that t</w:t>
      </w:r>
      <w:r>
        <w:t xml:space="preserve">he company uses the </w:t>
      </w:r>
      <w:r w:rsidR="003014C3">
        <w:t>signalling</w:t>
      </w:r>
      <w:r>
        <w:t xml:space="preserve"> theory and the dividend irrelevance theory for its dividend distribution policy</w:t>
      </w:r>
      <w:r w:rsidR="006127AC">
        <w:t xml:space="preserve">. </w:t>
      </w:r>
      <w:r>
        <w:t xml:space="preserve">Though the Efficient Market Hypothesis (EMH) theory offers a useful framework for understanding financial market </w:t>
      </w:r>
      <w:r w:rsidR="003014C3">
        <w:t>behaviour</w:t>
      </w:r>
      <w:r>
        <w:t xml:space="preserve">, the company’s stock price </w:t>
      </w:r>
      <w:proofErr w:type="spellStart"/>
      <w:r>
        <w:t>behavior</w:t>
      </w:r>
      <w:proofErr w:type="spellEnd"/>
      <w:r>
        <w:t xml:space="preserve"> raises questions about the efficiency of the theory. For appraising projects, General Electric Company uses </w:t>
      </w:r>
      <w:r w:rsidRPr="001C692F">
        <w:t>Discounted Cash Flow (DCF)</w:t>
      </w:r>
      <w:r>
        <w:t xml:space="preserve">, Net Present Value (NPV), and Internal Rate of Return (IRR) methods. </w:t>
      </w:r>
      <w:r w:rsidR="00362206">
        <w:t>These methods are typically sound but also have drawbacks. For efficient use of these methods, General Electric must be careful.</w:t>
      </w:r>
      <w:r>
        <w:rPr>
          <w:lang w:val="en-US"/>
        </w:rPr>
        <w:br w:type="page"/>
      </w:r>
    </w:p>
    <w:p w14:paraId="762BEF92" w14:textId="77777777" w:rsidR="003D34D9" w:rsidRDefault="003D34D9" w:rsidP="003D34D9">
      <w:pPr>
        <w:pStyle w:val="Heading1"/>
        <w:rPr>
          <w:lang w:val="en-US"/>
        </w:rPr>
      </w:pPr>
      <w:bookmarkStart w:id="5" w:name="_Toc133187761"/>
      <w:r>
        <w:rPr>
          <w:lang w:val="en-US"/>
        </w:rPr>
        <w:lastRenderedPageBreak/>
        <w:t>References</w:t>
      </w:r>
      <w:bookmarkEnd w:id="5"/>
    </w:p>
    <w:p w14:paraId="0E92BDB0" w14:textId="77777777" w:rsidR="002E11AA" w:rsidRDefault="002E11AA" w:rsidP="00F44CC8">
      <w:r>
        <w:t xml:space="preserve">Ang, J.S. and Ciccone, S.J. (2019) “Dividend irrelevance theory,” </w:t>
      </w:r>
      <w:r>
        <w:rPr>
          <w:i/>
          <w:iCs/>
        </w:rPr>
        <w:t>Dividends and Dividend Policy</w:t>
      </w:r>
      <w:r>
        <w:t xml:space="preserve">, pp. 95–113. Available at: https://doi.org/10.1002/9781118258408.ch6. </w:t>
      </w:r>
    </w:p>
    <w:p w14:paraId="2E83AFFA" w14:textId="77777777" w:rsidR="002E11AA" w:rsidRDefault="002E11AA" w:rsidP="00F44CC8">
      <w:r>
        <w:t xml:space="preserve">Bandy, G. (2018) “Financial management,” </w:t>
      </w:r>
      <w:r>
        <w:rPr>
          <w:i/>
          <w:iCs/>
        </w:rPr>
        <w:t>International Public Financial Management</w:t>
      </w:r>
      <w:r>
        <w:t xml:space="preserve">, pp. 51–72. Available at: https://doi.org/10.4324/9781351128308-4. </w:t>
      </w:r>
    </w:p>
    <w:p w14:paraId="0D02D5A7" w14:textId="77777777" w:rsidR="002E11AA" w:rsidRDefault="002E11AA" w:rsidP="00F44CC8">
      <w:r>
        <w:t xml:space="preserve">Boeri, T. (2019) “Appraising the appraisals,” </w:t>
      </w:r>
      <w:r>
        <w:rPr>
          <w:i/>
          <w:iCs/>
        </w:rPr>
        <w:t>Beyond the Rule of Thumb</w:t>
      </w:r>
      <w:r>
        <w:t xml:space="preserve">, pp. 129–143. Available at: https://doi.org/10.4324/9780429042843-5. </w:t>
      </w:r>
    </w:p>
    <w:p w14:paraId="40CB1440" w14:textId="77777777" w:rsidR="002E11AA" w:rsidRDefault="002E11AA" w:rsidP="00F44CC8">
      <w:r>
        <w:t xml:space="preserve">ge.com (2023) </w:t>
      </w:r>
      <w:r>
        <w:rPr>
          <w:i/>
          <w:iCs/>
        </w:rPr>
        <w:t>GE 2023 investor conference</w:t>
      </w:r>
      <w:r>
        <w:t xml:space="preserve">, </w:t>
      </w:r>
      <w:r>
        <w:rPr>
          <w:i/>
          <w:iCs/>
        </w:rPr>
        <w:t>General Electric</w:t>
      </w:r>
      <w:r>
        <w:t xml:space="preserve">. Available at: https://www.ge.com/ (Accessed: April 21, 2023). </w:t>
      </w:r>
    </w:p>
    <w:p w14:paraId="49D4B803" w14:textId="77777777" w:rsidR="002E11AA" w:rsidRDefault="002E11AA" w:rsidP="00F44CC8">
      <w:r>
        <w:t xml:space="preserve">Harding, S. and Long, T. (2017) “Net present value (NPV),” </w:t>
      </w:r>
      <w:r>
        <w:rPr>
          <w:i/>
          <w:iCs/>
        </w:rPr>
        <w:t>MBA Management Models</w:t>
      </w:r>
      <w:r>
        <w:t xml:space="preserve">, pp. 37–40. Available at: https://doi.org/10.4324/9781351218948-7. </w:t>
      </w:r>
    </w:p>
    <w:p w14:paraId="00A41FFD" w14:textId="77777777" w:rsidR="002E11AA" w:rsidRDefault="002E11AA" w:rsidP="00F44CC8">
      <w:proofErr w:type="spellStart"/>
      <w:r>
        <w:t>Lukasevich</w:t>
      </w:r>
      <w:proofErr w:type="spellEnd"/>
      <w:r>
        <w:t xml:space="preserve">, I. (2021) “Efficient market hypothesis and fractal market hypothesis: Evidence from Russian Stock Exchange,” </w:t>
      </w:r>
      <w:r>
        <w:rPr>
          <w:i/>
          <w:iCs/>
        </w:rPr>
        <w:t>Management and Business Administration</w:t>
      </w:r>
      <w:r>
        <w:t xml:space="preserve">, (2), pp. 62–80. Available at: https://doi.org/10.33983/2075-1826-2021-2-62-80. </w:t>
      </w:r>
    </w:p>
    <w:p w14:paraId="336BD8AB" w14:textId="77777777" w:rsidR="002E11AA" w:rsidRDefault="002E11AA" w:rsidP="00F44CC8">
      <w:r>
        <w:t xml:space="preserve">Smithers, A. (2022) “The efficient market hypothesis,” </w:t>
      </w:r>
      <w:r>
        <w:rPr>
          <w:i/>
          <w:iCs/>
        </w:rPr>
        <w:t>The Economics of the Stock Market</w:t>
      </w:r>
      <w:r>
        <w:t xml:space="preserve">, pp. 154–155. Available at: https://doi.org/10.1093/oso/9780192847096.003.0031. </w:t>
      </w:r>
    </w:p>
    <w:p w14:paraId="4B63F4F5" w14:textId="77777777" w:rsidR="002E11AA" w:rsidRDefault="002E11AA" w:rsidP="00F44CC8">
      <w:proofErr w:type="spellStart"/>
      <w:r>
        <w:t>Tonoyan</w:t>
      </w:r>
      <w:proofErr w:type="spellEnd"/>
      <w:r>
        <w:t xml:space="preserve">, R.G. and Gusev, A.A. (2022) “Dividend policy of companies. external and internal factors influencing the selection of dividend policy,” </w:t>
      </w:r>
      <w:r>
        <w:rPr>
          <w:i/>
          <w:iCs/>
        </w:rPr>
        <w:t>Vector Economy</w:t>
      </w:r>
      <w:r>
        <w:t xml:space="preserve"> [Preprint], (3). Available at: https://doi.org/10.51691/2500-3666_2022_3_9. </w:t>
      </w:r>
    </w:p>
    <w:p w14:paraId="54B9425E" w14:textId="77777777" w:rsidR="002E11AA" w:rsidRDefault="002E11AA" w:rsidP="00F44CC8">
      <w:proofErr w:type="spellStart"/>
      <w:r>
        <w:t>Zawadi</w:t>
      </w:r>
      <w:proofErr w:type="spellEnd"/>
      <w:r>
        <w:t xml:space="preserve">, A. (2022) “Determinants of Internet financial reporting and disclosure of listed firms in Tanzania: The case of Dar es Salaam stock exchange,” </w:t>
      </w:r>
      <w:r>
        <w:rPr>
          <w:i/>
          <w:iCs/>
        </w:rPr>
        <w:t>Business Education Journal</w:t>
      </w:r>
      <w:r>
        <w:t xml:space="preserve">, 11(1), pp. 1–11. Available at: https://doi.org/10.54156/cbe.bej.11.1.325. </w:t>
      </w:r>
    </w:p>
    <w:p w14:paraId="6233ECC2" w14:textId="77777777" w:rsidR="003D34D9" w:rsidRPr="003D34D9" w:rsidRDefault="003D34D9" w:rsidP="003D34D9">
      <w:pPr>
        <w:rPr>
          <w:lang w:val="en-US"/>
        </w:rPr>
      </w:pPr>
    </w:p>
    <w:p w14:paraId="7D0EBBCB" w14:textId="77777777" w:rsidR="001D164C" w:rsidRPr="001D164C" w:rsidRDefault="001D164C" w:rsidP="001D164C"/>
    <w:sectPr w:rsidR="001D164C" w:rsidRPr="001D164C" w:rsidSect="00374EB6">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3E2656" w14:textId="77777777" w:rsidR="00410019" w:rsidRDefault="00410019" w:rsidP="00CD3D2B">
      <w:pPr>
        <w:spacing w:after="0" w:line="240" w:lineRule="auto"/>
      </w:pPr>
      <w:r>
        <w:separator/>
      </w:r>
    </w:p>
  </w:endnote>
  <w:endnote w:type="continuationSeparator" w:id="0">
    <w:p w14:paraId="1A552FB9" w14:textId="77777777" w:rsidR="00410019" w:rsidRDefault="00410019" w:rsidP="00CD3D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1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6948476"/>
      <w:docPartObj>
        <w:docPartGallery w:val="Page Numbers (Bottom of Page)"/>
        <w:docPartUnique/>
      </w:docPartObj>
    </w:sdtPr>
    <w:sdtEndPr>
      <w:rPr>
        <w:noProof/>
      </w:rPr>
    </w:sdtEndPr>
    <w:sdtContent>
      <w:p w14:paraId="0D76430A" w14:textId="77777777" w:rsidR="00374EB6" w:rsidRDefault="00374EB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F69D85"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3CFE33" w14:textId="77777777" w:rsidR="00410019" w:rsidRDefault="00410019" w:rsidP="00CD3D2B">
      <w:pPr>
        <w:spacing w:after="0" w:line="240" w:lineRule="auto"/>
      </w:pPr>
      <w:r>
        <w:separator/>
      </w:r>
    </w:p>
  </w:footnote>
  <w:footnote w:type="continuationSeparator" w:id="0">
    <w:p w14:paraId="719810D5" w14:textId="77777777" w:rsidR="00410019" w:rsidRDefault="00410019" w:rsidP="00CD3D2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MxNzA2NbK0tLQwM7BQ0lEKTi0uzszPAykwqQUAZsrAnCwAAAA="/>
  </w:docVars>
  <w:rsids>
    <w:rsidRoot w:val="00077BDB"/>
    <w:rsid w:val="00047B52"/>
    <w:rsid w:val="00077BDB"/>
    <w:rsid w:val="001516BB"/>
    <w:rsid w:val="00175F11"/>
    <w:rsid w:val="0019746E"/>
    <w:rsid w:val="001D164C"/>
    <w:rsid w:val="001E7A97"/>
    <w:rsid w:val="002E11AA"/>
    <w:rsid w:val="002E28B7"/>
    <w:rsid w:val="002E3FF6"/>
    <w:rsid w:val="003014C3"/>
    <w:rsid w:val="00362206"/>
    <w:rsid w:val="00374EB6"/>
    <w:rsid w:val="003D34D9"/>
    <w:rsid w:val="00410019"/>
    <w:rsid w:val="004457DA"/>
    <w:rsid w:val="005A1234"/>
    <w:rsid w:val="005C2CBB"/>
    <w:rsid w:val="005D3CA5"/>
    <w:rsid w:val="005E79EE"/>
    <w:rsid w:val="005F7EEE"/>
    <w:rsid w:val="006127AC"/>
    <w:rsid w:val="006B5638"/>
    <w:rsid w:val="00784618"/>
    <w:rsid w:val="007D0FBC"/>
    <w:rsid w:val="007F21E4"/>
    <w:rsid w:val="00802CD8"/>
    <w:rsid w:val="009C4319"/>
    <w:rsid w:val="00A23A0D"/>
    <w:rsid w:val="00B775EB"/>
    <w:rsid w:val="00BB0F32"/>
    <w:rsid w:val="00C27CF0"/>
    <w:rsid w:val="00CD3D2B"/>
    <w:rsid w:val="00CF4A8A"/>
    <w:rsid w:val="00D15BD7"/>
    <w:rsid w:val="00EB4C2B"/>
    <w:rsid w:val="00F142D3"/>
    <w:rsid w:val="00F209BA"/>
    <w:rsid w:val="00F44CC8"/>
    <w:rsid w:val="00F71563"/>
    <w:rsid w:val="00FD4D4F"/>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66382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1234"/>
    <w:pPr>
      <w:spacing w:line="360" w:lineRule="auto"/>
      <w:jc w:val="both"/>
    </w:pPr>
    <w:rPr>
      <w:rFonts w:ascii="Arial" w:hAnsi="Arial"/>
      <w:sz w:val="24"/>
    </w:rPr>
  </w:style>
  <w:style w:type="paragraph" w:styleId="Heading1">
    <w:name w:val="heading 1"/>
    <w:basedOn w:val="Normal"/>
    <w:next w:val="Normal"/>
    <w:link w:val="Heading1Char"/>
    <w:uiPriority w:val="9"/>
    <w:qFormat/>
    <w:rsid w:val="005A1234"/>
    <w:pPr>
      <w:keepNext/>
      <w:keepLines/>
      <w:spacing w:before="240" w:after="0"/>
      <w:outlineLvl w:val="0"/>
    </w:pPr>
    <w:rPr>
      <w:rFonts w:eastAsiaTheme="majorEastAsia" w:cstheme="majorBidi"/>
      <w:b/>
      <w:color w:val="44546A" w:themeColor="text2"/>
      <w:sz w:val="32"/>
      <w:szCs w:val="40"/>
    </w:rPr>
  </w:style>
  <w:style w:type="paragraph" w:styleId="Heading2">
    <w:name w:val="heading 2"/>
    <w:basedOn w:val="Normal"/>
    <w:next w:val="Normal"/>
    <w:link w:val="Heading2Char"/>
    <w:uiPriority w:val="9"/>
    <w:unhideWhenUsed/>
    <w:qFormat/>
    <w:rsid w:val="005A1234"/>
    <w:pPr>
      <w:keepNext/>
      <w:keepLines/>
      <w:spacing w:before="40" w:after="0"/>
      <w:outlineLvl w:val="1"/>
    </w:pPr>
    <w:rPr>
      <w:rFonts w:eastAsiaTheme="majorEastAsia" w:cstheme="majorBidi"/>
      <w:b/>
      <w:sz w:val="28"/>
      <w:szCs w:val="33"/>
    </w:rPr>
  </w:style>
  <w:style w:type="paragraph" w:styleId="Heading3">
    <w:name w:val="heading 3"/>
    <w:basedOn w:val="Normal"/>
    <w:next w:val="Normal"/>
    <w:link w:val="Heading3Char"/>
    <w:uiPriority w:val="9"/>
    <w:semiHidden/>
    <w:unhideWhenUsed/>
    <w:qFormat/>
    <w:rsid w:val="00077BDB"/>
    <w:pPr>
      <w:keepNext/>
      <w:keepLines/>
      <w:spacing w:before="40" w:after="0"/>
      <w:outlineLvl w:val="2"/>
    </w:pPr>
    <w:rPr>
      <w:rFonts w:eastAsiaTheme="majorEastAsia" w:cstheme="majorBidi"/>
      <w:b/>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1234"/>
    <w:rPr>
      <w:rFonts w:ascii="Arial" w:eastAsiaTheme="majorEastAsia" w:hAnsi="Arial" w:cstheme="majorBidi"/>
      <w:b/>
      <w:color w:val="44546A" w:themeColor="text2"/>
      <w:sz w:val="32"/>
      <w:szCs w:val="40"/>
    </w:rPr>
  </w:style>
  <w:style w:type="character" w:customStyle="1" w:styleId="Heading2Char">
    <w:name w:val="Heading 2 Char"/>
    <w:basedOn w:val="DefaultParagraphFont"/>
    <w:link w:val="Heading2"/>
    <w:uiPriority w:val="9"/>
    <w:rsid w:val="005A1234"/>
    <w:rPr>
      <w:rFonts w:ascii="Arial" w:eastAsiaTheme="majorEastAsia" w:hAnsi="Arial" w:cstheme="majorBidi"/>
      <w:b/>
      <w:sz w:val="28"/>
      <w:szCs w:val="33"/>
    </w:rPr>
  </w:style>
  <w:style w:type="character" w:customStyle="1" w:styleId="Heading3Char">
    <w:name w:val="Heading 3 Char"/>
    <w:basedOn w:val="DefaultParagraphFont"/>
    <w:link w:val="Heading3"/>
    <w:uiPriority w:val="9"/>
    <w:semiHidden/>
    <w:rsid w:val="00077BDB"/>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175F11"/>
    <w:pPr>
      <w:spacing w:after="200"/>
      <w:jc w:val="center"/>
    </w:pPr>
    <w:rPr>
      <w:b/>
      <w:iCs/>
      <w:sz w:val="20"/>
      <w:szCs w:val="22"/>
    </w:rPr>
  </w:style>
  <w:style w:type="paragraph" w:styleId="TOCHeading">
    <w:name w:val="TOC Heading"/>
    <w:basedOn w:val="Heading1"/>
    <w:next w:val="Normal"/>
    <w:uiPriority w:val="39"/>
    <w:unhideWhenUsed/>
    <w:qFormat/>
    <w:rsid w:val="00077BDB"/>
    <w:pPr>
      <w:outlineLvl w:val="9"/>
    </w:pPr>
    <w:rPr>
      <w:szCs w:val="32"/>
      <w:lang w:bidi="ar-SA"/>
    </w:rPr>
  </w:style>
  <w:style w:type="paragraph" w:styleId="Header">
    <w:name w:val="header"/>
    <w:basedOn w:val="Normal"/>
    <w:link w:val="HeaderChar"/>
    <w:uiPriority w:val="99"/>
    <w:unhideWhenUsed/>
    <w:rsid w:val="00CD3D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TOC1">
    <w:name w:val="toc 1"/>
    <w:basedOn w:val="Normal"/>
    <w:next w:val="Normal"/>
    <w:autoRedefine/>
    <w:uiPriority w:val="39"/>
    <w:unhideWhenUsed/>
    <w:rsid w:val="003D34D9"/>
    <w:pPr>
      <w:spacing w:after="100"/>
    </w:pPr>
  </w:style>
  <w:style w:type="character" w:styleId="Hyperlink">
    <w:name w:val="Hyperlink"/>
    <w:basedOn w:val="DefaultParagraphFont"/>
    <w:uiPriority w:val="99"/>
    <w:unhideWhenUsed/>
    <w:rsid w:val="003D34D9"/>
    <w:rPr>
      <w:color w:val="0563C1" w:themeColor="hyperlink"/>
      <w:u w:val="single"/>
    </w:rPr>
  </w:style>
  <w:style w:type="paragraph" w:styleId="NormalWeb">
    <w:name w:val="Normal (Web)"/>
    <w:basedOn w:val="Normal"/>
    <w:uiPriority w:val="99"/>
    <w:semiHidden/>
    <w:unhideWhenUsed/>
    <w:rsid w:val="002E11AA"/>
    <w:pPr>
      <w:spacing w:before="100" w:beforeAutospacing="1" w:after="100" w:afterAutospacing="1" w:line="240" w:lineRule="auto"/>
      <w:jc w:val="left"/>
    </w:pPr>
    <w:rPr>
      <w:rFonts w:eastAsia="Times New Roman" w:cs="Times New Roman"/>
      <w:szCs w:val="24"/>
      <w:lang w:val="en-US" w:bidi="ar-SA"/>
    </w:rPr>
  </w:style>
  <w:style w:type="character" w:styleId="CommentReference">
    <w:name w:val="annotation reference"/>
    <w:basedOn w:val="DefaultParagraphFont"/>
    <w:uiPriority w:val="99"/>
    <w:semiHidden/>
    <w:unhideWhenUsed/>
    <w:rsid w:val="005A1234"/>
    <w:rPr>
      <w:sz w:val="16"/>
      <w:szCs w:val="16"/>
    </w:rPr>
  </w:style>
  <w:style w:type="paragraph" w:styleId="CommentText">
    <w:name w:val="annotation text"/>
    <w:basedOn w:val="Normal"/>
    <w:link w:val="CommentTextChar"/>
    <w:uiPriority w:val="99"/>
    <w:semiHidden/>
    <w:unhideWhenUsed/>
    <w:rsid w:val="005A1234"/>
    <w:pPr>
      <w:spacing w:line="240" w:lineRule="auto"/>
    </w:pPr>
    <w:rPr>
      <w:sz w:val="20"/>
      <w:szCs w:val="25"/>
    </w:rPr>
  </w:style>
  <w:style w:type="character" w:customStyle="1" w:styleId="CommentTextChar">
    <w:name w:val="Comment Text Char"/>
    <w:basedOn w:val="DefaultParagraphFont"/>
    <w:link w:val="CommentText"/>
    <w:uiPriority w:val="99"/>
    <w:semiHidden/>
    <w:rsid w:val="005A1234"/>
    <w:rPr>
      <w:rFonts w:ascii="Arial" w:hAnsi="Arial"/>
      <w:sz w:val="20"/>
      <w:szCs w:val="25"/>
    </w:rPr>
  </w:style>
  <w:style w:type="paragraph" w:styleId="CommentSubject">
    <w:name w:val="annotation subject"/>
    <w:basedOn w:val="CommentText"/>
    <w:next w:val="CommentText"/>
    <w:link w:val="CommentSubjectChar"/>
    <w:uiPriority w:val="99"/>
    <w:semiHidden/>
    <w:unhideWhenUsed/>
    <w:rsid w:val="005A1234"/>
    <w:rPr>
      <w:b/>
      <w:bCs/>
    </w:rPr>
  </w:style>
  <w:style w:type="character" w:customStyle="1" w:styleId="CommentSubjectChar">
    <w:name w:val="Comment Subject Char"/>
    <w:basedOn w:val="CommentTextChar"/>
    <w:link w:val="CommentSubject"/>
    <w:uiPriority w:val="99"/>
    <w:semiHidden/>
    <w:rsid w:val="005A1234"/>
    <w:rPr>
      <w:rFonts w:ascii="Arial" w:hAnsi="Arial"/>
      <w:b/>
      <w:bCs/>
      <w:sz w:val="20"/>
      <w:szCs w:val="25"/>
    </w:rPr>
  </w:style>
  <w:style w:type="paragraph" w:styleId="ListParagraph">
    <w:name w:val="List Paragraph"/>
    <w:basedOn w:val="Normal"/>
    <w:uiPriority w:val="34"/>
    <w:qFormat/>
    <w:rsid w:val="00F44CC8"/>
    <w:pPr>
      <w:ind w:left="720"/>
      <w:contextualSpacing/>
    </w:pPr>
  </w:style>
  <w:style w:type="table" w:styleId="TableGrid">
    <w:name w:val="Table Grid"/>
    <w:basedOn w:val="TableNormal"/>
    <w:uiPriority w:val="39"/>
    <w:rsid w:val="006B56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5F7EE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0951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D99F4B-D11E-46EC-A6F5-907307F2B3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1899</Words>
  <Characters>10827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2023-04-23T18:08:00Z</dcterms:created>
  <dcterms:modified xsi:type="dcterms:W3CDTF">2023-04-28T09:49:00Z</dcterms:modified>
</cp:coreProperties>
</file>