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1A1B02" w14:textId="77777777" w:rsidR="00545106" w:rsidRDefault="00545106" w:rsidP="005A1DF5">
      <w:pPr>
        <w:pStyle w:val="Title"/>
        <w:jc w:val="center"/>
        <w:rPr>
          <w:sz w:val="48"/>
          <w:szCs w:val="48"/>
          <w:u w:val="single"/>
          <w:lang w:val="en-US"/>
        </w:rPr>
      </w:pPr>
    </w:p>
    <w:p w14:paraId="5DBFDE1A" w14:textId="77777777" w:rsidR="00545106" w:rsidRDefault="00545106" w:rsidP="005A1DF5">
      <w:pPr>
        <w:pStyle w:val="Title"/>
        <w:jc w:val="center"/>
        <w:rPr>
          <w:sz w:val="48"/>
          <w:szCs w:val="48"/>
          <w:u w:val="single"/>
          <w:lang w:val="en-US"/>
        </w:rPr>
      </w:pPr>
    </w:p>
    <w:p w14:paraId="56059037" w14:textId="77777777" w:rsidR="00545106" w:rsidRDefault="00545106" w:rsidP="005A1DF5">
      <w:pPr>
        <w:pStyle w:val="Title"/>
        <w:jc w:val="center"/>
        <w:rPr>
          <w:sz w:val="48"/>
          <w:szCs w:val="48"/>
          <w:u w:val="single"/>
          <w:lang w:val="en-US"/>
        </w:rPr>
      </w:pPr>
    </w:p>
    <w:p w14:paraId="2A29E6BD" w14:textId="77777777" w:rsidR="00545106" w:rsidRDefault="00545106" w:rsidP="005A1DF5">
      <w:pPr>
        <w:pStyle w:val="Title"/>
        <w:jc w:val="center"/>
        <w:rPr>
          <w:sz w:val="48"/>
          <w:szCs w:val="48"/>
          <w:u w:val="single"/>
          <w:lang w:val="en-US"/>
        </w:rPr>
      </w:pPr>
    </w:p>
    <w:p w14:paraId="0E643AAB" w14:textId="1742D154" w:rsidR="001E51B0" w:rsidRPr="005A1DF5" w:rsidRDefault="005A1DF5" w:rsidP="005A1DF5">
      <w:pPr>
        <w:pStyle w:val="Title"/>
        <w:jc w:val="center"/>
        <w:rPr>
          <w:rFonts w:asciiTheme="majorHAnsi" w:hAnsiTheme="majorHAnsi"/>
          <w:b w:val="0"/>
          <w:color w:val="2F5496" w:themeColor="accent1" w:themeShade="BF"/>
          <w:spacing w:val="0"/>
          <w:kern w:val="0"/>
          <w:sz w:val="32"/>
          <w:szCs w:val="32"/>
          <w:lang w:val="en-US"/>
        </w:rPr>
      </w:pPr>
      <w:bookmarkStart w:id="0" w:name="_GoBack"/>
      <w:bookmarkEnd w:id="0"/>
      <w:r w:rsidRPr="005A1DF5">
        <w:rPr>
          <w:sz w:val="48"/>
          <w:szCs w:val="48"/>
          <w:u w:val="single"/>
          <w:lang w:val="en-US"/>
        </w:rPr>
        <w:t>MANAGEMENT ACCOUNTING</w:t>
      </w:r>
      <w:r w:rsidR="001E51B0" w:rsidRPr="005A1DF5">
        <w:rPr>
          <w:rFonts w:asciiTheme="majorHAnsi" w:hAnsiTheme="majorHAnsi"/>
          <w:b w:val="0"/>
          <w:color w:val="2F5496" w:themeColor="accent1" w:themeShade="BF"/>
          <w:spacing w:val="0"/>
          <w:kern w:val="0"/>
          <w:sz w:val="32"/>
          <w:szCs w:val="32"/>
          <w:lang w:val="en-US"/>
        </w:rPr>
        <w:br w:type="page"/>
      </w:r>
    </w:p>
    <w:sdt>
      <w:sdtPr>
        <w:rPr>
          <w:rFonts w:ascii="Times New Roman" w:eastAsiaTheme="minorHAnsi" w:hAnsi="Times New Roman" w:cstheme="minorBidi"/>
          <w:color w:val="auto"/>
          <w:sz w:val="24"/>
          <w:szCs w:val="22"/>
          <w:lang w:val="en-IN"/>
        </w:rPr>
        <w:id w:val="-1617514251"/>
        <w:docPartObj>
          <w:docPartGallery w:val="Table of Contents"/>
          <w:docPartUnique/>
        </w:docPartObj>
      </w:sdtPr>
      <w:sdtEndPr>
        <w:rPr>
          <w:b/>
          <w:bCs/>
          <w:noProof/>
        </w:rPr>
      </w:sdtEndPr>
      <w:sdtContent>
        <w:p w14:paraId="7B662BDB" w14:textId="4373E2AD" w:rsidR="0021340C" w:rsidRPr="0021340C" w:rsidRDefault="0021340C">
          <w:pPr>
            <w:pStyle w:val="TOCHeading"/>
            <w:rPr>
              <w:rFonts w:ascii="Times New Roman" w:hAnsi="Times New Roman" w:cs="Times New Roman"/>
              <w:color w:val="auto"/>
            </w:rPr>
          </w:pPr>
          <w:r w:rsidRPr="0021340C">
            <w:rPr>
              <w:rFonts w:ascii="Times New Roman" w:hAnsi="Times New Roman" w:cs="Times New Roman"/>
              <w:color w:val="auto"/>
            </w:rPr>
            <w:t>Table of Contents</w:t>
          </w:r>
        </w:p>
        <w:p w14:paraId="4A0A38FC" w14:textId="13061ACC" w:rsidR="0021340C" w:rsidRDefault="0021340C">
          <w:pPr>
            <w:pStyle w:val="TOC1"/>
            <w:tabs>
              <w:tab w:val="right" w:leader="dot" w:pos="9016"/>
            </w:tabs>
            <w:rPr>
              <w:noProof/>
            </w:rPr>
          </w:pPr>
          <w:r/>
          <w:r>
            <w:instrText xml:space="preserve"/>
          </w:r>
          <w:r/>
          <w:hyperlink w:anchor="_Toc119997164" w:history="1">
            <w:r w:rsidRPr="00DA0823">
              <w:rPr>
                <w:rStyle w:val="Hyperlink"/>
                <w:noProof/>
                <w:lang w:val="en-US"/>
              </w:rPr>
              <w:t>PART ONE</w:t>
            </w:r>
            <w:r>
              <w:rPr>
                <w:noProof/>
                <w:webHidden/>
              </w:rPr>
              <w:tab/>
            </w:r>
            <w:r>
              <w:rPr>
                <w:noProof/>
                <w:webHidden/>
              </w:rPr>
              <w:fldChar w:fldCharType="begin"/>
            </w:r>
            <w:r>
              <w:rPr>
                <w:noProof/>
                <w:webHidden/>
              </w:rPr>
              <w:instrText xml:space="preserve"> PAGEREF _Toc119997164 \h </w:instrText>
            </w:r>
            <w:r>
              <w:rPr>
                <w:noProof/>
                <w:webHidden/>
              </w:rPr>
            </w:r>
            <w:r>
              <w:rPr>
                <w:noProof/>
                <w:webHidden/>
              </w:rPr>
              <w:fldChar w:fldCharType="separate"/>
            </w:r>
            <w:r>
              <w:rPr>
                <w:noProof/>
                <w:webHidden/>
              </w:rPr>
              <w:t>3</w:t>
            </w:r>
            <w:r>
              <w:rPr>
                <w:noProof/>
                <w:webHidden/>
              </w:rPr>
              <w:fldChar w:fldCharType="end"/>
            </w:r>
          </w:hyperlink>
        </w:p>
        <w:p w14:paraId="053902F4" w14:textId="2B37D63B" w:rsidR="0021340C" w:rsidRDefault="00B465DD">
          <w:pPr>
            <w:pStyle w:val="TOC1"/>
            <w:tabs>
              <w:tab w:val="right" w:leader="dot" w:pos="9016"/>
            </w:tabs>
            <w:rPr>
              <w:noProof/>
            </w:rPr>
          </w:pPr>
          <w:hyperlink w:anchor="_Toc119997165" w:history="1">
            <w:r w:rsidR="0021340C" w:rsidRPr="00DA0823">
              <w:rPr>
                <w:rStyle w:val="Hyperlink"/>
                <w:noProof/>
                <w:lang w:val="en-US"/>
              </w:rPr>
              <w:t>PART TWO</w:t>
            </w:r>
            <w:r w:rsidR="0021340C">
              <w:rPr>
                <w:noProof/>
                <w:webHidden/>
              </w:rPr>
              <w:tab/>
            </w:r>
            <w:r w:rsidR="0021340C">
              <w:rPr>
                <w:noProof/>
                <w:webHidden/>
              </w:rPr>
            </w:r>
            <w:r w:rsidR="0021340C">
              <w:rPr>
                <w:noProof/>
                <w:webHidden/>
              </w:rPr>
              <w:instrText xml:space="preserve"/>
            </w:r>
            <w:r w:rsidR="0021340C">
              <w:rPr>
                <w:noProof/>
                <w:webHidden/>
              </w:rPr>
            </w:r>
            <w:r w:rsidR="0021340C">
              <w:rPr>
                <w:noProof/>
                <w:webHidden/>
              </w:rPr>
            </w:r>
            <w:r w:rsidR="0021340C">
              <w:rPr>
                <w:noProof/>
                <w:webHidden/>
              </w:rPr>
              <w:t>9</w:t>
            </w:r>
            <w:r w:rsidR="0021340C">
              <w:rPr>
                <w:noProof/>
                <w:webHidden/>
              </w:rPr>
            </w:r>
          </w:hyperlink>
        </w:p>
        <w:p w14:paraId="7732F13A" w14:textId="321033A1" w:rsidR="0021340C" w:rsidRDefault="00B465DD">
          <w:pPr>
            <w:pStyle w:val="TOC1"/>
            <w:tabs>
              <w:tab w:val="right" w:leader="dot" w:pos="9016"/>
            </w:tabs>
            <w:rPr>
              <w:noProof/>
            </w:rPr>
          </w:pPr>
          <w:hyperlink w:anchor="_Toc119997166" w:history="1">
            <w:r w:rsidR="0021340C" w:rsidRPr="00DA0823">
              <w:rPr>
                <w:rStyle w:val="Hyperlink"/>
                <w:noProof/>
                <w:lang w:val="en-US"/>
              </w:rPr>
              <w:t>References</w:t>
            </w:r>
            <w:r w:rsidR="0021340C">
              <w:rPr>
                <w:noProof/>
                <w:webHidden/>
              </w:rPr>
              <w:tab/>
            </w:r>
            <w:r w:rsidR="0021340C">
              <w:rPr>
                <w:noProof/>
                <w:webHidden/>
              </w:rPr>
            </w:r>
            <w:r w:rsidR="0021340C">
              <w:rPr>
                <w:noProof/>
                <w:webHidden/>
              </w:rPr>
              <w:instrText xml:space="preserve"/>
            </w:r>
            <w:r w:rsidR="0021340C">
              <w:rPr>
                <w:noProof/>
                <w:webHidden/>
              </w:rPr>
            </w:r>
            <w:r w:rsidR="0021340C">
              <w:rPr>
                <w:noProof/>
                <w:webHidden/>
              </w:rPr>
            </w:r>
            <w:r w:rsidR="0021340C">
              <w:rPr>
                <w:noProof/>
                <w:webHidden/>
              </w:rPr>
              <w:t>12</w:t>
            </w:r>
            <w:r w:rsidR="0021340C">
              <w:rPr>
                <w:noProof/>
                <w:webHidden/>
              </w:rPr>
            </w:r>
          </w:hyperlink>
        </w:p>
        <w:p w14:paraId="19AD57D0" w14:textId="3299703F" w:rsidR="0021340C" w:rsidRDefault="0021340C">
          <w:r>
            <w:rPr>
              <w:b/>
              <w:bCs/>
              <w:noProof/>
            </w:rPr>
          </w:r>
        </w:p>
      </w:sdtContent>
    </w:sdt>
    <w:p w14:paraId="39EB2FFF" w14:textId="77777777" w:rsidR="001E51B0" w:rsidRDefault="001E51B0" w:rsidP="0021340C">
      <w:pPr>
        <w:jc w:val="both"/>
        <w:rPr>
          <w:rFonts w:eastAsiaTheme="majorEastAsia" w:cstheme="majorBidi"/>
          <w:b/>
          <w:sz w:val="28"/>
          <w:szCs w:val="32"/>
          <w:lang w:val="en-US"/>
        </w:rPr>
      </w:pPr>
      <w:r>
        <w:rPr>
          <w:lang w:val="en-US"/>
        </w:rPr>
        <w:br w:type="page"/>
      </w:r>
    </w:p>
    <w:p w14:paraId="2272D960" w14:textId="362B65BF" w:rsidR="00D216CE" w:rsidRDefault="008C1632" w:rsidP="0021340C">
      <w:pPr>
        <w:pStyle w:val="Heading1"/>
        <w:jc w:val="both"/>
        <w:rPr>
          <w:lang w:val="en-US"/>
        </w:rPr>
      </w:pPr>
      <w:bookmarkStart w:id="1" w:name="_Toc119997164"/>
      <w:r>
        <w:rPr>
          <w:lang w:val="en-US"/>
        </w:rPr>
        <w:lastRenderedPageBreak/>
        <w:t>PART ONE</w:t>
      </w:r>
      <w:bookmarkEnd w:id="1"/>
    </w:p>
    <w:p w14:paraId="0C2AAD07" w14:textId="3C02EC5C" w:rsidR="008C1632" w:rsidRPr="008C1632" w:rsidRDefault="008C1632" w:rsidP="0021340C">
      <w:pPr>
        <w:pStyle w:val="ListParagraph"/>
        <w:numPr>
          <w:ilvl w:val="0"/>
          <w:numId w:val="1"/>
        </w:numPr>
        <w:contextualSpacing w:val="0"/>
        <w:jc w:val="both"/>
        <w:rPr>
          <w:b/>
          <w:bCs/>
          <w:lang w:val="en-US"/>
        </w:rPr>
      </w:pPr>
      <w:r w:rsidRPr="008C1632">
        <w:rPr>
          <w:b/>
          <w:bCs/>
          <w:lang w:val="en-US"/>
        </w:rPr>
        <w:t xml:space="preserve">Monthly control report </w:t>
      </w:r>
    </w:p>
    <w:p w14:paraId="7E206F82" w14:textId="6625F816" w:rsidR="008C1632" w:rsidRDefault="008C1632" w:rsidP="0021340C">
      <w:pPr>
        <w:jc w:val="both"/>
        <w:rPr>
          <w:b/>
          <w:bCs/>
          <w:lang w:val="en-US"/>
        </w:rPr>
      </w:pPr>
      <w:r>
        <w:rPr>
          <w:b/>
          <w:bCs/>
          <w:lang w:val="en-US"/>
        </w:rPr>
        <w:t xml:space="preserve">Statement showing Original Budget for a level of 100000 units. </w:t>
      </w:r>
    </w:p>
    <w:tbl>
      <w:tblPr>
        <w:tblW w:w="5000" w:type="pct"/>
        <w:tblLook w:val="04A0" w:firstRow="1" w:lastRow="0" w:firstColumn="1" w:lastColumn="0" w:noHBand="0" w:noVBand="1"/>
      </w:tblPr>
      <w:tblGrid>
        <w:gridCol w:w="6817"/>
        <w:gridCol w:w="2425"/>
      </w:tblGrid>
      <w:tr w:rsidR="008C1632" w:rsidRPr="008C1632" w14:paraId="715E11BB" w14:textId="77777777" w:rsidTr="008C1632">
        <w:trPr>
          <w:trHeight w:val="315"/>
        </w:trPr>
        <w:tc>
          <w:tcPr>
            <w:tcW w:w="368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F4C1C"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Particulars</w:t>
            </w:r>
          </w:p>
        </w:tc>
        <w:tc>
          <w:tcPr>
            <w:tcW w:w="1312" w:type="pct"/>
            <w:tcBorders>
              <w:top w:val="single" w:sz="4" w:space="0" w:color="auto"/>
              <w:left w:val="nil"/>
              <w:bottom w:val="single" w:sz="4" w:space="0" w:color="auto"/>
              <w:right w:val="single" w:sz="4" w:space="0" w:color="auto"/>
            </w:tcBorders>
            <w:shd w:val="clear" w:color="auto" w:fill="auto"/>
            <w:noWrap/>
            <w:vAlign w:val="bottom"/>
            <w:hideMark/>
          </w:tcPr>
          <w:p w14:paraId="0347B7AD" w14:textId="5BB6AA4F"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Amount (£)</w:t>
            </w:r>
          </w:p>
        </w:tc>
      </w:tr>
      <w:tr w:rsidR="008C1632" w:rsidRPr="008C1632" w14:paraId="5912DA6F"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40DB216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1312" w:type="pct"/>
            <w:tcBorders>
              <w:top w:val="nil"/>
              <w:left w:val="nil"/>
              <w:bottom w:val="single" w:sz="4" w:space="0" w:color="auto"/>
              <w:right w:val="single" w:sz="4" w:space="0" w:color="auto"/>
            </w:tcBorders>
            <w:shd w:val="clear" w:color="auto" w:fill="auto"/>
            <w:noWrap/>
            <w:vAlign w:val="bottom"/>
            <w:hideMark/>
          </w:tcPr>
          <w:p w14:paraId="319C6D1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79792D3A"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4352B98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Sales</w:t>
            </w:r>
          </w:p>
        </w:tc>
        <w:tc>
          <w:tcPr>
            <w:tcW w:w="1312" w:type="pct"/>
            <w:tcBorders>
              <w:top w:val="nil"/>
              <w:left w:val="nil"/>
              <w:bottom w:val="single" w:sz="4" w:space="0" w:color="auto"/>
              <w:right w:val="single" w:sz="4" w:space="0" w:color="auto"/>
            </w:tcBorders>
            <w:shd w:val="clear" w:color="auto" w:fill="auto"/>
            <w:noWrap/>
            <w:vAlign w:val="bottom"/>
            <w:hideMark/>
          </w:tcPr>
          <w:p w14:paraId="57A53F4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2500000</w:t>
            </w:r>
          </w:p>
        </w:tc>
      </w:tr>
      <w:tr w:rsidR="008C1632" w:rsidRPr="008C1632" w14:paraId="7011C3AA"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38C9113E" w14:textId="77777777" w:rsidR="008C1632" w:rsidRPr="008C1632" w:rsidRDefault="008C1632" w:rsidP="0021340C">
            <w:pPr>
              <w:spacing w:after="0"/>
              <w:jc w:val="both"/>
              <w:rPr>
                <w:rFonts w:eastAsia="Times New Roman" w:cs="Times New Roman"/>
                <w:b/>
                <w:bCs/>
                <w:color w:val="000000"/>
                <w:szCs w:val="24"/>
                <w:u w:val="single"/>
                <w:lang w:eastAsia="en-IN"/>
              </w:rPr>
            </w:pPr>
            <w:r w:rsidRPr="008C1632">
              <w:rPr>
                <w:rFonts w:eastAsia="Times New Roman" w:cs="Times New Roman"/>
                <w:b/>
                <w:bCs/>
                <w:color w:val="000000"/>
                <w:szCs w:val="24"/>
                <w:u w:val="single"/>
                <w:lang w:eastAsia="en-IN"/>
              </w:rPr>
              <w:t>Variable costs</w:t>
            </w:r>
          </w:p>
        </w:tc>
        <w:tc>
          <w:tcPr>
            <w:tcW w:w="1312" w:type="pct"/>
            <w:tcBorders>
              <w:top w:val="nil"/>
              <w:left w:val="nil"/>
              <w:bottom w:val="single" w:sz="4" w:space="0" w:color="auto"/>
              <w:right w:val="single" w:sz="4" w:space="0" w:color="auto"/>
            </w:tcBorders>
            <w:shd w:val="clear" w:color="auto" w:fill="auto"/>
            <w:noWrap/>
            <w:vAlign w:val="bottom"/>
            <w:hideMark/>
          </w:tcPr>
          <w:p w14:paraId="14A74514"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21C30E0E"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748C41D2"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Materials</w:t>
            </w:r>
          </w:p>
        </w:tc>
        <w:tc>
          <w:tcPr>
            <w:tcW w:w="1312" w:type="pct"/>
            <w:tcBorders>
              <w:top w:val="nil"/>
              <w:left w:val="nil"/>
              <w:bottom w:val="single" w:sz="4" w:space="0" w:color="auto"/>
              <w:right w:val="single" w:sz="4" w:space="0" w:color="auto"/>
            </w:tcBorders>
            <w:shd w:val="clear" w:color="auto" w:fill="auto"/>
            <w:noWrap/>
            <w:vAlign w:val="bottom"/>
            <w:hideMark/>
          </w:tcPr>
          <w:p w14:paraId="43C6193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250000</w:t>
            </w:r>
          </w:p>
        </w:tc>
      </w:tr>
      <w:tr w:rsidR="008C1632" w:rsidRPr="008C1632" w14:paraId="3527ED38"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52FF013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Labour</w:t>
            </w:r>
          </w:p>
        </w:tc>
        <w:tc>
          <w:tcPr>
            <w:tcW w:w="1312" w:type="pct"/>
            <w:tcBorders>
              <w:top w:val="nil"/>
              <w:left w:val="nil"/>
              <w:bottom w:val="single" w:sz="4" w:space="0" w:color="auto"/>
              <w:right w:val="single" w:sz="4" w:space="0" w:color="auto"/>
            </w:tcBorders>
            <w:shd w:val="clear" w:color="auto" w:fill="auto"/>
            <w:noWrap/>
            <w:vAlign w:val="bottom"/>
            <w:hideMark/>
          </w:tcPr>
          <w:p w14:paraId="1BDE2B1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400000</w:t>
            </w:r>
          </w:p>
        </w:tc>
      </w:tr>
      <w:tr w:rsidR="008C1632" w:rsidRPr="008C1632" w14:paraId="1AF6590E"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57C44B5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Overhead</w:t>
            </w:r>
          </w:p>
        </w:tc>
        <w:tc>
          <w:tcPr>
            <w:tcW w:w="1312" w:type="pct"/>
            <w:tcBorders>
              <w:top w:val="nil"/>
              <w:left w:val="nil"/>
              <w:bottom w:val="single" w:sz="4" w:space="0" w:color="auto"/>
              <w:right w:val="single" w:sz="4" w:space="0" w:color="auto"/>
            </w:tcBorders>
            <w:shd w:val="clear" w:color="auto" w:fill="auto"/>
            <w:noWrap/>
            <w:vAlign w:val="bottom"/>
            <w:hideMark/>
          </w:tcPr>
          <w:p w14:paraId="208B4C2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150000</w:t>
            </w:r>
          </w:p>
        </w:tc>
      </w:tr>
      <w:tr w:rsidR="008C1632" w:rsidRPr="008C1632" w14:paraId="4FFBE45F"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77C3277A"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Variable costs</w:t>
            </w:r>
          </w:p>
        </w:tc>
        <w:tc>
          <w:tcPr>
            <w:tcW w:w="1312" w:type="pct"/>
            <w:tcBorders>
              <w:top w:val="nil"/>
              <w:left w:val="nil"/>
              <w:bottom w:val="single" w:sz="4" w:space="0" w:color="auto"/>
              <w:right w:val="single" w:sz="4" w:space="0" w:color="auto"/>
            </w:tcBorders>
            <w:shd w:val="clear" w:color="auto" w:fill="auto"/>
            <w:noWrap/>
            <w:vAlign w:val="bottom"/>
            <w:hideMark/>
          </w:tcPr>
          <w:p w14:paraId="14CE78C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800000</w:t>
            </w:r>
          </w:p>
        </w:tc>
      </w:tr>
      <w:tr w:rsidR="008C1632" w:rsidRPr="008C1632" w14:paraId="4462BD21"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0D75034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Contribution</w:t>
            </w:r>
          </w:p>
        </w:tc>
        <w:tc>
          <w:tcPr>
            <w:tcW w:w="1312" w:type="pct"/>
            <w:tcBorders>
              <w:top w:val="nil"/>
              <w:left w:val="nil"/>
              <w:bottom w:val="single" w:sz="4" w:space="0" w:color="auto"/>
              <w:right w:val="single" w:sz="4" w:space="0" w:color="auto"/>
            </w:tcBorders>
            <w:shd w:val="clear" w:color="auto" w:fill="auto"/>
            <w:noWrap/>
            <w:vAlign w:val="bottom"/>
            <w:hideMark/>
          </w:tcPr>
          <w:p w14:paraId="5D0C854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1700000</w:t>
            </w:r>
          </w:p>
        </w:tc>
      </w:tr>
      <w:tr w:rsidR="008C1632" w:rsidRPr="008C1632" w14:paraId="7EE40A2B"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1AFE72E2" w14:textId="77777777" w:rsidR="008C1632" w:rsidRPr="008C1632" w:rsidRDefault="008C1632" w:rsidP="0021340C">
            <w:pPr>
              <w:spacing w:after="0"/>
              <w:jc w:val="both"/>
              <w:rPr>
                <w:rFonts w:eastAsia="Times New Roman" w:cs="Times New Roman"/>
                <w:b/>
                <w:bCs/>
                <w:color w:val="000000"/>
                <w:szCs w:val="24"/>
                <w:u w:val="single"/>
                <w:lang w:eastAsia="en-IN"/>
              </w:rPr>
            </w:pPr>
            <w:r w:rsidRPr="008C1632">
              <w:rPr>
                <w:rFonts w:eastAsia="Times New Roman" w:cs="Times New Roman"/>
                <w:b/>
                <w:bCs/>
                <w:color w:val="000000"/>
                <w:szCs w:val="24"/>
                <w:u w:val="single"/>
                <w:lang w:eastAsia="en-IN"/>
              </w:rPr>
              <w:t>Fixed Overheads</w:t>
            </w:r>
          </w:p>
        </w:tc>
        <w:tc>
          <w:tcPr>
            <w:tcW w:w="1312" w:type="pct"/>
            <w:tcBorders>
              <w:top w:val="nil"/>
              <w:left w:val="nil"/>
              <w:bottom w:val="single" w:sz="4" w:space="0" w:color="auto"/>
              <w:right w:val="single" w:sz="4" w:space="0" w:color="auto"/>
            </w:tcBorders>
            <w:shd w:val="clear" w:color="auto" w:fill="auto"/>
            <w:noWrap/>
            <w:vAlign w:val="bottom"/>
            <w:hideMark/>
          </w:tcPr>
          <w:p w14:paraId="2E89FE0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1A74C172"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0D66FE79"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Warehouse Rental</w:t>
            </w:r>
          </w:p>
        </w:tc>
        <w:tc>
          <w:tcPr>
            <w:tcW w:w="1312" w:type="pct"/>
            <w:tcBorders>
              <w:top w:val="nil"/>
              <w:left w:val="nil"/>
              <w:bottom w:val="single" w:sz="4" w:space="0" w:color="auto"/>
              <w:right w:val="single" w:sz="4" w:space="0" w:color="auto"/>
            </w:tcBorders>
            <w:shd w:val="clear" w:color="auto" w:fill="auto"/>
            <w:noWrap/>
            <w:vAlign w:val="bottom"/>
            <w:hideMark/>
          </w:tcPr>
          <w:p w14:paraId="433D1C5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w:t>
            </w:r>
          </w:p>
        </w:tc>
      </w:tr>
      <w:tr w:rsidR="008C1632" w:rsidRPr="008C1632" w14:paraId="782B75BE"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0C2E00B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Insurance</w:t>
            </w:r>
          </w:p>
        </w:tc>
        <w:tc>
          <w:tcPr>
            <w:tcW w:w="1312" w:type="pct"/>
            <w:tcBorders>
              <w:top w:val="nil"/>
              <w:left w:val="nil"/>
              <w:bottom w:val="single" w:sz="4" w:space="0" w:color="auto"/>
              <w:right w:val="single" w:sz="4" w:space="0" w:color="auto"/>
            </w:tcBorders>
            <w:shd w:val="clear" w:color="auto" w:fill="auto"/>
            <w:noWrap/>
            <w:vAlign w:val="bottom"/>
            <w:hideMark/>
          </w:tcPr>
          <w:p w14:paraId="5BDE3F33"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100000</w:t>
            </w:r>
          </w:p>
        </w:tc>
      </w:tr>
      <w:tr w:rsidR="008C1632" w:rsidRPr="008C1632" w14:paraId="3CAC8955"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365101A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Fulltime Warehouse Supervisor Salary</w:t>
            </w:r>
          </w:p>
        </w:tc>
        <w:tc>
          <w:tcPr>
            <w:tcW w:w="1312" w:type="pct"/>
            <w:tcBorders>
              <w:top w:val="nil"/>
              <w:left w:val="nil"/>
              <w:bottom w:val="single" w:sz="4" w:space="0" w:color="auto"/>
              <w:right w:val="single" w:sz="4" w:space="0" w:color="auto"/>
            </w:tcBorders>
            <w:shd w:val="clear" w:color="auto" w:fill="auto"/>
            <w:noWrap/>
            <w:vAlign w:val="bottom"/>
            <w:hideMark/>
          </w:tcPr>
          <w:p w14:paraId="5CB8E816"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50000</w:t>
            </w:r>
          </w:p>
        </w:tc>
      </w:tr>
      <w:tr w:rsidR="008C1632" w:rsidRPr="008C1632" w14:paraId="784FC32C"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421D4697"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Fixed Overheads</w:t>
            </w:r>
          </w:p>
        </w:tc>
        <w:tc>
          <w:tcPr>
            <w:tcW w:w="1312" w:type="pct"/>
            <w:tcBorders>
              <w:top w:val="nil"/>
              <w:left w:val="nil"/>
              <w:bottom w:val="single" w:sz="4" w:space="0" w:color="auto"/>
              <w:right w:val="single" w:sz="4" w:space="0" w:color="auto"/>
            </w:tcBorders>
            <w:shd w:val="clear" w:color="auto" w:fill="auto"/>
            <w:noWrap/>
            <w:vAlign w:val="bottom"/>
            <w:hideMark/>
          </w:tcPr>
          <w:p w14:paraId="7829D7F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350000</w:t>
            </w:r>
          </w:p>
        </w:tc>
      </w:tr>
      <w:tr w:rsidR="008C1632" w:rsidRPr="008C1632" w14:paraId="5E98947E"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26FF6D17"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Costs</w:t>
            </w:r>
          </w:p>
        </w:tc>
        <w:tc>
          <w:tcPr>
            <w:tcW w:w="1312" w:type="pct"/>
            <w:tcBorders>
              <w:top w:val="nil"/>
              <w:left w:val="nil"/>
              <w:bottom w:val="single" w:sz="4" w:space="0" w:color="auto"/>
              <w:right w:val="single" w:sz="4" w:space="0" w:color="auto"/>
            </w:tcBorders>
            <w:shd w:val="clear" w:color="auto" w:fill="auto"/>
            <w:noWrap/>
            <w:vAlign w:val="bottom"/>
            <w:hideMark/>
          </w:tcPr>
          <w:p w14:paraId="3008D9C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1150000</w:t>
            </w:r>
          </w:p>
        </w:tc>
      </w:tr>
      <w:tr w:rsidR="008C1632" w:rsidRPr="008C1632" w14:paraId="6B8EAA6E" w14:textId="77777777" w:rsidTr="008C1632">
        <w:trPr>
          <w:trHeight w:val="315"/>
        </w:trPr>
        <w:tc>
          <w:tcPr>
            <w:tcW w:w="3688" w:type="pct"/>
            <w:tcBorders>
              <w:top w:val="nil"/>
              <w:left w:val="single" w:sz="4" w:space="0" w:color="auto"/>
              <w:bottom w:val="single" w:sz="4" w:space="0" w:color="auto"/>
              <w:right w:val="single" w:sz="4" w:space="0" w:color="auto"/>
            </w:tcBorders>
            <w:shd w:val="clear" w:color="auto" w:fill="auto"/>
            <w:noWrap/>
            <w:vAlign w:val="bottom"/>
            <w:hideMark/>
          </w:tcPr>
          <w:p w14:paraId="1E858BC1"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Profit (Sales - Total Costs)</w:t>
            </w:r>
          </w:p>
        </w:tc>
        <w:tc>
          <w:tcPr>
            <w:tcW w:w="1312" w:type="pct"/>
            <w:tcBorders>
              <w:top w:val="nil"/>
              <w:left w:val="nil"/>
              <w:bottom w:val="single" w:sz="4" w:space="0" w:color="auto"/>
              <w:right w:val="single" w:sz="4" w:space="0" w:color="auto"/>
            </w:tcBorders>
            <w:shd w:val="clear" w:color="auto" w:fill="auto"/>
            <w:noWrap/>
            <w:vAlign w:val="bottom"/>
            <w:hideMark/>
          </w:tcPr>
          <w:p w14:paraId="044F26C3"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1350000</w:t>
            </w:r>
          </w:p>
        </w:tc>
      </w:tr>
    </w:tbl>
    <w:p w14:paraId="697CDEC3" w14:textId="000C8BA0" w:rsidR="008C1632" w:rsidRDefault="008C1632" w:rsidP="0021340C">
      <w:pPr>
        <w:jc w:val="both"/>
        <w:rPr>
          <w:b/>
          <w:bCs/>
          <w:lang w:val="en-US"/>
        </w:rPr>
      </w:pPr>
    </w:p>
    <w:p w14:paraId="53D72753" w14:textId="688ED948" w:rsidR="008C1632" w:rsidRDefault="008C1632" w:rsidP="0021340C">
      <w:pPr>
        <w:jc w:val="both"/>
        <w:rPr>
          <w:b/>
          <w:bCs/>
          <w:lang w:val="en-US"/>
        </w:rPr>
      </w:pPr>
      <w:r>
        <w:rPr>
          <w:b/>
          <w:bCs/>
          <w:lang w:val="en-US"/>
        </w:rPr>
        <w:br w:type="page"/>
      </w:r>
    </w:p>
    <w:p w14:paraId="6D91F2CC" w14:textId="257A29DA" w:rsidR="008C1632" w:rsidRDefault="008C1632" w:rsidP="0021340C">
      <w:pPr>
        <w:jc w:val="both"/>
        <w:rPr>
          <w:b/>
          <w:bCs/>
          <w:lang w:val="en-US"/>
        </w:rPr>
      </w:pPr>
      <w:r>
        <w:rPr>
          <w:b/>
          <w:bCs/>
          <w:lang w:val="en-US"/>
        </w:rPr>
        <w:lastRenderedPageBreak/>
        <w:t>Statement showing flexed budget for a level of 80000 units</w:t>
      </w:r>
    </w:p>
    <w:tbl>
      <w:tblPr>
        <w:tblW w:w="5000" w:type="pct"/>
        <w:tblLook w:val="04A0" w:firstRow="1" w:lastRow="0" w:firstColumn="1" w:lastColumn="0" w:noHBand="0" w:noVBand="1"/>
      </w:tblPr>
      <w:tblGrid>
        <w:gridCol w:w="7076"/>
        <w:gridCol w:w="2166"/>
      </w:tblGrid>
      <w:tr w:rsidR="008C1632" w:rsidRPr="008C1632" w14:paraId="502854ED" w14:textId="77777777" w:rsidTr="008C1632">
        <w:trPr>
          <w:trHeight w:val="315"/>
        </w:trPr>
        <w:tc>
          <w:tcPr>
            <w:tcW w:w="3828"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EFE1651"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Particulars</w:t>
            </w:r>
          </w:p>
        </w:tc>
        <w:tc>
          <w:tcPr>
            <w:tcW w:w="1172" w:type="pct"/>
            <w:tcBorders>
              <w:top w:val="single" w:sz="4" w:space="0" w:color="auto"/>
              <w:left w:val="nil"/>
              <w:bottom w:val="single" w:sz="4" w:space="0" w:color="auto"/>
              <w:right w:val="single" w:sz="4" w:space="0" w:color="auto"/>
            </w:tcBorders>
            <w:shd w:val="clear" w:color="auto" w:fill="auto"/>
            <w:noWrap/>
            <w:vAlign w:val="bottom"/>
            <w:hideMark/>
          </w:tcPr>
          <w:p w14:paraId="24AB0695" w14:textId="742A57A6"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Amount (£)</w:t>
            </w:r>
          </w:p>
        </w:tc>
      </w:tr>
      <w:tr w:rsidR="008C1632" w:rsidRPr="008C1632" w14:paraId="26335463" w14:textId="77777777" w:rsidTr="008C1632">
        <w:trPr>
          <w:trHeight w:val="315"/>
        </w:trPr>
        <w:tc>
          <w:tcPr>
            <w:tcW w:w="3828" w:type="pct"/>
            <w:tcBorders>
              <w:top w:val="nil"/>
              <w:left w:val="single" w:sz="4" w:space="0" w:color="auto"/>
              <w:bottom w:val="single" w:sz="4" w:space="0" w:color="auto"/>
              <w:right w:val="single" w:sz="4" w:space="0" w:color="auto"/>
            </w:tcBorders>
            <w:shd w:val="clear" w:color="auto" w:fill="auto"/>
            <w:noWrap/>
            <w:vAlign w:val="bottom"/>
            <w:hideMark/>
          </w:tcPr>
          <w:p w14:paraId="364ED6E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1172" w:type="pct"/>
            <w:tcBorders>
              <w:top w:val="nil"/>
              <w:left w:val="nil"/>
              <w:bottom w:val="single" w:sz="4" w:space="0" w:color="auto"/>
              <w:right w:val="single" w:sz="4" w:space="0" w:color="auto"/>
            </w:tcBorders>
            <w:shd w:val="clear" w:color="auto" w:fill="auto"/>
            <w:noWrap/>
            <w:vAlign w:val="bottom"/>
            <w:hideMark/>
          </w:tcPr>
          <w:p w14:paraId="0997F8E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00B6F4F3"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1A39177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Sales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1B46A86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2000000</w:t>
            </w:r>
          </w:p>
        </w:tc>
      </w:tr>
      <w:tr w:rsidR="008C1632" w:rsidRPr="008C1632" w14:paraId="43617394"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05DFC1FB" w14:textId="77777777" w:rsidR="008C1632" w:rsidRPr="008C1632" w:rsidRDefault="008C1632" w:rsidP="0021340C">
            <w:pPr>
              <w:spacing w:after="0"/>
              <w:jc w:val="both"/>
              <w:rPr>
                <w:rFonts w:eastAsia="Times New Roman" w:cs="Times New Roman"/>
                <w:b/>
                <w:bCs/>
                <w:color w:val="000000"/>
                <w:szCs w:val="24"/>
                <w:u w:val="single"/>
                <w:lang w:eastAsia="en-IN"/>
              </w:rPr>
            </w:pPr>
            <w:r w:rsidRPr="008C1632">
              <w:rPr>
                <w:rFonts w:eastAsia="Times New Roman" w:cs="Times New Roman"/>
                <w:b/>
                <w:bCs/>
                <w:color w:val="000000"/>
                <w:szCs w:val="24"/>
                <w:u w:val="single"/>
                <w:lang w:eastAsia="en-IN"/>
              </w:rPr>
              <w:t>Variable costs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74217A6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1FB02C9B"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0C9BCB29"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Materials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4FCDA7E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w:t>
            </w:r>
          </w:p>
        </w:tc>
      </w:tr>
      <w:tr w:rsidR="008C1632" w:rsidRPr="008C1632" w14:paraId="3B4E08CE"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44ABF34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Labour</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13A1A54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320000</w:t>
            </w:r>
          </w:p>
        </w:tc>
      </w:tr>
      <w:tr w:rsidR="008C1632" w:rsidRPr="008C1632" w14:paraId="0A8C3135"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3BB49E47"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Overhead</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1B28E2A9"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120000</w:t>
            </w:r>
          </w:p>
        </w:tc>
      </w:tr>
      <w:tr w:rsidR="008C1632" w:rsidRPr="008C1632" w14:paraId="5F616428"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3F48807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Variable costs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5B762B2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640000</w:t>
            </w:r>
          </w:p>
        </w:tc>
      </w:tr>
      <w:tr w:rsidR="008C1632" w:rsidRPr="008C1632" w14:paraId="25BE0FB2"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364C4433"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Contribution</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26E1210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1360000</w:t>
            </w:r>
          </w:p>
        </w:tc>
      </w:tr>
      <w:tr w:rsidR="008C1632" w:rsidRPr="008C1632" w14:paraId="490FE934"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076CF1F0" w14:textId="77777777" w:rsidR="008C1632" w:rsidRPr="008C1632" w:rsidRDefault="008C1632" w:rsidP="0021340C">
            <w:pPr>
              <w:spacing w:after="0"/>
              <w:jc w:val="both"/>
              <w:rPr>
                <w:rFonts w:eastAsia="Times New Roman" w:cs="Times New Roman"/>
                <w:b/>
                <w:bCs/>
                <w:color w:val="000000"/>
                <w:szCs w:val="24"/>
                <w:u w:val="single"/>
                <w:lang w:eastAsia="en-IN"/>
              </w:rPr>
            </w:pPr>
            <w:r w:rsidRPr="008C1632">
              <w:rPr>
                <w:rFonts w:eastAsia="Times New Roman" w:cs="Times New Roman"/>
                <w:b/>
                <w:bCs/>
                <w:color w:val="000000"/>
                <w:szCs w:val="24"/>
                <w:u w:val="single"/>
                <w:lang w:eastAsia="en-IN"/>
              </w:rPr>
              <w:t>Fixed Overheads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798A489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0ACF47E3"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02723EA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Warehouse Rental</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73D9EFB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w:t>
            </w:r>
          </w:p>
        </w:tc>
      </w:tr>
      <w:tr w:rsidR="008C1632" w:rsidRPr="008C1632" w14:paraId="0ABBD969"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4D057D3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Insurance</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66A2B30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100000</w:t>
            </w:r>
          </w:p>
        </w:tc>
      </w:tr>
      <w:tr w:rsidR="008C1632" w:rsidRPr="008C1632" w14:paraId="6A114D3A"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639042E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Fulltime Warehouse Supervisor Salary</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30633C69"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50000</w:t>
            </w:r>
          </w:p>
        </w:tc>
      </w:tr>
      <w:tr w:rsidR="008C1632" w:rsidRPr="008C1632" w14:paraId="7E323D5A"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34CC960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Fixed Overheads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27A4F40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350000</w:t>
            </w:r>
          </w:p>
        </w:tc>
      </w:tr>
      <w:tr w:rsidR="008C1632" w:rsidRPr="008C1632" w14:paraId="31A02ED0"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6868A83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Costs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120A565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990000</w:t>
            </w:r>
          </w:p>
        </w:tc>
      </w:tr>
      <w:tr w:rsidR="008C1632" w:rsidRPr="008C1632" w14:paraId="5A0A3BC5" w14:textId="77777777" w:rsidTr="008C1632">
        <w:trPr>
          <w:trHeight w:val="315"/>
        </w:trPr>
        <w:tc>
          <w:tcPr>
            <w:tcW w:w="3828" w:type="pct"/>
            <w:tcBorders>
              <w:top w:val="nil"/>
              <w:left w:val="single" w:sz="4" w:space="0" w:color="auto"/>
              <w:bottom w:val="single" w:sz="4" w:space="0" w:color="auto"/>
              <w:right w:val="nil"/>
            </w:tcBorders>
            <w:shd w:val="clear" w:color="auto" w:fill="auto"/>
            <w:noWrap/>
            <w:vAlign w:val="bottom"/>
            <w:hideMark/>
          </w:tcPr>
          <w:p w14:paraId="6930B328"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Profit (Sales - Total Costs)</w:t>
            </w:r>
          </w:p>
        </w:tc>
        <w:tc>
          <w:tcPr>
            <w:tcW w:w="1172" w:type="pct"/>
            <w:tcBorders>
              <w:top w:val="nil"/>
              <w:left w:val="single" w:sz="4" w:space="0" w:color="auto"/>
              <w:bottom w:val="single" w:sz="4" w:space="0" w:color="auto"/>
              <w:right w:val="single" w:sz="4" w:space="0" w:color="auto"/>
            </w:tcBorders>
            <w:shd w:val="clear" w:color="auto" w:fill="auto"/>
            <w:noWrap/>
            <w:vAlign w:val="bottom"/>
            <w:hideMark/>
          </w:tcPr>
          <w:p w14:paraId="0C55FE52"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1010000</w:t>
            </w:r>
          </w:p>
        </w:tc>
      </w:tr>
    </w:tbl>
    <w:p w14:paraId="5AA4562D" w14:textId="76EFCCAE" w:rsidR="008C1632" w:rsidRDefault="008C1632" w:rsidP="0021340C">
      <w:pPr>
        <w:jc w:val="both"/>
        <w:rPr>
          <w:b/>
          <w:bCs/>
          <w:lang w:val="en-US"/>
        </w:rPr>
      </w:pPr>
    </w:p>
    <w:p w14:paraId="3580BA69" w14:textId="267C2EBB" w:rsidR="008C1632" w:rsidRDefault="008C1632" w:rsidP="0021340C">
      <w:pPr>
        <w:jc w:val="both"/>
        <w:rPr>
          <w:b/>
          <w:bCs/>
          <w:lang w:val="en-US"/>
        </w:rPr>
      </w:pPr>
      <w:r>
        <w:rPr>
          <w:b/>
          <w:bCs/>
          <w:lang w:val="en-US"/>
        </w:rPr>
        <w:br w:type="page"/>
      </w:r>
    </w:p>
    <w:p w14:paraId="701E1DD5" w14:textId="73BCCC17" w:rsidR="008C1632" w:rsidRDefault="008C1632" w:rsidP="0021340C">
      <w:pPr>
        <w:jc w:val="both"/>
        <w:rPr>
          <w:b/>
          <w:bCs/>
          <w:lang w:val="en-US"/>
        </w:rPr>
      </w:pPr>
      <w:r>
        <w:rPr>
          <w:b/>
          <w:bCs/>
          <w:lang w:val="en-US"/>
        </w:rPr>
        <w:lastRenderedPageBreak/>
        <w:t>Statement showing the computation of variances between budgeted and actual costs</w:t>
      </w:r>
    </w:p>
    <w:tbl>
      <w:tblPr>
        <w:tblW w:w="5000" w:type="pct"/>
        <w:tblLook w:val="04A0" w:firstRow="1" w:lastRow="0" w:firstColumn="1" w:lastColumn="0" w:noHBand="0" w:noVBand="1"/>
      </w:tblPr>
      <w:tblGrid>
        <w:gridCol w:w="3403"/>
        <w:gridCol w:w="1226"/>
        <w:gridCol w:w="1226"/>
        <w:gridCol w:w="1979"/>
        <w:gridCol w:w="1408"/>
      </w:tblGrid>
      <w:tr w:rsidR="008C1632" w:rsidRPr="008C1632" w14:paraId="2651F62F" w14:textId="77777777" w:rsidTr="008C1632">
        <w:trPr>
          <w:trHeight w:val="315"/>
        </w:trPr>
        <w:tc>
          <w:tcPr>
            <w:tcW w:w="186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78A469"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665" w:type="pct"/>
            <w:tcBorders>
              <w:top w:val="single" w:sz="4" w:space="0" w:color="auto"/>
              <w:left w:val="nil"/>
              <w:bottom w:val="single" w:sz="4" w:space="0" w:color="auto"/>
              <w:right w:val="single" w:sz="4" w:space="0" w:color="auto"/>
            </w:tcBorders>
            <w:shd w:val="clear" w:color="auto" w:fill="auto"/>
            <w:noWrap/>
            <w:vAlign w:val="bottom"/>
            <w:hideMark/>
          </w:tcPr>
          <w:p w14:paraId="62483991"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Budgeted</w:t>
            </w:r>
          </w:p>
        </w:tc>
        <w:tc>
          <w:tcPr>
            <w:tcW w:w="665" w:type="pct"/>
            <w:tcBorders>
              <w:top w:val="single" w:sz="4" w:space="0" w:color="auto"/>
              <w:left w:val="nil"/>
              <w:bottom w:val="single" w:sz="4" w:space="0" w:color="auto"/>
              <w:right w:val="single" w:sz="4" w:space="0" w:color="auto"/>
            </w:tcBorders>
            <w:shd w:val="clear" w:color="auto" w:fill="auto"/>
            <w:noWrap/>
            <w:vAlign w:val="bottom"/>
            <w:hideMark/>
          </w:tcPr>
          <w:p w14:paraId="07D55F53"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Actual</w:t>
            </w:r>
          </w:p>
        </w:tc>
        <w:tc>
          <w:tcPr>
            <w:tcW w:w="1065" w:type="pct"/>
            <w:tcBorders>
              <w:top w:val="single" w:sz="4" w:space="0" w:color="auto"/>
              <w:left w:val="nil"/>
              <w:bottom w:val="single" w:sz="4" w:space="0" w:color="auto"/>
              <w:right w:val="single" w:sz="4" w:space="0" w:color="auto"/>
            </w:tcBorders>
            <w:shd w:val="clear" w:color="auto" w:fill="auto"/>
            <w:noWrap/>
            <w:vAlign w:val="bottom"/>
            <w:hideMark/>
          </w:tcPr>
          <w:p w14:paraId="1FB698F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736" w:type="pct"/>
            <w:tcBorders>
              <w:top w:val="single" w:sz="4" w:space="0" w:color="auto"/>
              <w:left w:val="nil"/>
              <w:bottom w:val="single" w:sz="4" w:space="0" w:color="auto"/>
              <w:right w:val="single" w:sz="4" w:space="0" w:color="auto"/>
            </w:tcBorders>
            <w:shd w:val="clear" w:color="auto" w:fill="auto"/>
            <w:noWrap/>
            <w:vAlign w:val="bottom"/>
            <w:hideMark/>
          </w:tcPr>
          <w:p w14:paraId="3B1817B3"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176F087A"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315E3FD8"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Particulars</w:t>
            </w:r>
          </w:p>
        </w:tc>
        <w:tc>
          <w:tcPr>
            <w:tcW w:w="665" w:type="pct"/>
            <w:tcBorders>
              <w:top w:val="nil"/>
              <w:left w:val="nil"/>
              <w:bottom w:val="single" w:sz="4" w:space="0" w:color="auto"/>
              <w:right w:val="single" w:sz="4" w:space="0" w:color="auto"/>
            </w:tcBorders>
            <w:shd w:val="clear" w:color="auto" w:fill="auto"/>
            <w:noWrap/>
            <w:vAlign w:val="bottom"/>
            <w:hideMark/>
          </w:tcPr>
          <w:p w14:paraId="07C401FC" w14:textId="1C955D83"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Amount (£)</w:t>
            </w:r>
          </w:p>
        </w:tc>
        <w:tc>
          <w:tcPr>
            <w:tcW w:w="665" w:type="pct"/>
            <w:tcBorders>
              <w:top w:val="nil"/>
              <w:left w:val="nil"/>
              <w:bottom w:val="single" w:sz="4" w:space="0" w:color="auto"/>
              <w:right w:val="single" w:sz="4" w:space="0" w:color="auto"/>
            </w:tcBorders>
            <w:shd w:val="clear" w:color="auto" w:fill="auto"/>
            <w:noWrap/>
            <w:vAlign w:val="bottom"/>
            <w:hideMark/>
          </w:tcPr>
          <w:p w14:paraId="058CE316" w14:textId="5D30536B"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Amount (£)</w:t>
            </w:r>
          </w:p>
        </w:tc>
        <w:tc>
          <w:tcPr>
            <w:tcW w:w="1065" w:type="pct"/>
            <w:tcBorders>
              <w:top w:val="nil"/>
              <w:left w:val="nil"/>
              <w:bottom w:val="single" w:sz="4" w:space="0" w:color="auto"/>
              <w:right w:val="single" w:sz="4" w:space="0" w:color="auto"/>
            </w:tcBorders>
            <w:shd w:val="clear" w:color="auto" w:fill="auto"/>
            <w:noWrap/>
            <w:vAlign w:val="bottom"/>
            <w:hideMark/>
          </w:tcPr>
          <w:p w14:paraId="08F081DC"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Variance (Absolute)</w:t>
            </w:r>
          </w:p>
        </w:tc>
        <w:tc>
          <w:tcPr>
            <w:tcW w:w="736" w:type="pct"/>
            <w:tcBorders>
              <w:top w:val="nil"/>
              <w:left w:val="nil"/>
              <w:bottom w:val="single" w:sz="4" w:space="0" w:color="auto"/>
              <w:right w:val="single" w:sz="4" w:space="0" w:color="auto"/>
            </w:tcBorders>
            <w:shd w:val="clear" w:color="auto" w:fill="auto"/>
            <w:noWrap/>
            <w:vAlign w:val="bottom"/>
            <w:hideMark/>
          </w:tcPr>
          <w:p w14:paraId="0DB2979D"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Variance (%)</w:t>
            </w:r>
          </w:p>
        </w:tc>
      </w:tr>
      <w:tr w:rsidR="008C1632" w:rsidRPr="008C1632" w14:paraId="201AF72A"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19A4EAC4"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665" w:type="pct"/>
            <w:tcBorders>
              <w:top w:val="nil"/>
              <w:left w:val="nil"/>
              <w:bottom w:val="single" w:sz="4" w:space="0" w:color="auto"/>
              <w:right w:val="single" w:sz="4" w:space="0" w:color="auto"/>
            </w:tcBorders>
            <w:shd w:val="clear" w:color="auto" w:fill="auto"/>
            <w:noWrap/>
            <w:vAlign w:val="bottom"/>
            <w:hideMark/>
          </w:tcPr>
          <w:p w14:paraId="66CF2EC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665" w:type="pct"/>
            <w:tcBorders>
              <w:top w:val="nil"/>
              <w:left w:val="nil"/>
              <w:bottom w:val="single" w:sz="4" w:space="0" w:color="auto"/>
              <w:right w:val="single" w:sz="4" w:space="0" w:color="auto"/>
            </w:tcBorders>
            <w:shd w:val="clear" w:color="auto" w:fill="auto"/>
            <w:noWrap/>
            <w:vAlign w:val="bottom"/>
            <w:hideMark/>
          </w:tcPr>
          <w:p w14:paraId="35417BE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1065" w:type="pct"/>
            <w:tcBorders>
              <w:top w:val="nil"/>
              <w:left w:val="nil"/>
              <w:bottom w:val="single" w:sz="4" w:space="0" w:color="auto"/>
              <w:right w:val="single" w:sz="4" w:space="0" w:color="auto"/>
            </w:tcBorders>
            <w:shd w:val="clear" w:color="auto" w:fill="auto"/>
            <w:noWrap/>
            <w:vAlign w:val="bottom"/>
            <w:hideMark/>
          </w:tcPr>
          <w:p w14:paraId="2C3A317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736" w:type="pct"/>
            <w:tcBorders>
              <w:top w:val="nil"/>
              <w:left w:val="nil"/>
              <w:bottom w:val="single" w:sz="4" w:space="0" w:color="auto"/>
              <w:right w:val="single" w:sz="4" w:space="0" w:color="auto"/>
            </w:tcBorders>
            <w:shd w:val="clear" w:color="auto" w:fill="auto"/>
            <w:noWrap/>
            <w:vAlign w:val="bottom"/>
            <w:hideMark/>
          </w:tcPr>
          <w:p w14:paraId="4F87999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0B53CE37"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4588D58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Sales</w:t>
            </w:r>
          </w:p>
        </w:tc>
        <w:tc>
          <w:tcPr>
            <w:tcW w:w="665" w:type="pct"/>
            <w:tcBorders>
              <w:top w:val="nil"/>
              <w:left w:val="nil"/>
              <w:bottom w:val="single" w:sz="4" w:space="0" w:color="auto"/>
              <w:right w:val="single" w:sz="4" w:space="0" w:color="auto"/>
            </w:tcBorders>
            <w:shd w:val="clear" w:color="auto" w:fill="auto"/>
            <w:noWrap/>
            <w:vAlign w:val="bottom"/>
            <w:hideMark/>
          </w:tcPr>
          <w:p w14:paraId="2D74A2F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2000000</w:t>
            </w:r>
          </w:p>
        </w:tc>
        <w:tc>
          <w:tcPr>
            <w:tcW w:w="665" w:type="pct"/>
            <w:tcBorders>
              <w:top w:val="nil"/>
              <w:left w:val="nil"/>
              <w:bottom w:val="single" w:sz="4" w:space="0" w:color="auto"/>
              <w:right w:val="single" w:sz="4" w:space="0" w:color="auto"/>
            </w:tcBorders>
            <w:shd w:val="clear" w:color="auto" w:fill="auto"/>
            <w:noWrap/>
            <w:vAlign w:val="bottom"/>
            <w:hideMark/>
          </w:tcPr>
          <w:p w14:paraId="6E9DA2E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1600000</w:t>
            </w:r>
          </w:p>
        </w:tc>
        <w:tc>
          <w:tcPr>
            <w:tcW w:w="1065" w:type="pct"/>
            <w:tcBorders>
              <w:top w:val="nil"/>
              <w:left w:val="nil"/>
              <w:bottom w:val="single" w:sz="4" w:space="0" w:color="auto"/>
              <w:right w:val="single" w:sz="4" w:space="0" w:color="auto"/>
            </w:tcBorders>
            <w:shd w:val="clear" w:color="auto" w:fill="auto"/>
            <w:noWrap/>
            <w:vAlign w:val="bottom"/>
            <w:hideMark/>
          </w:tcPr>
          <w:p w14:paraId="307FF78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-400000</w:t>
            </w:r>
          </w:p>
        </w:tc>
        <w:tc>
          <w:tcPr>
            <w:tcW w:w="736" w:type="pct"/>
            <w:tcBorders>
              <w:top w:val="nil"/>
              <w:left w:val="nil"/>
              <w:bottom w:val="single" w:sz="4" w:space="0" w:color="auto"/>
              <w:right w:val="single" w:sz="4" w:space="0" w:color="auto"/>
            </w:tcBorders>
            <w:shd w:val="clear" w:color="auto" w:fill="auto"/>
            <w:noWrap/>
            <w:vAlign w:val="bottom"/>
            <w:hideMark/>
          </w:tcPr>
          <w:p w14:paraId="3846B328"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-20.00%</w:t>
            </w:r>
          </w:p>
        </w:tc>
      </w:tr>
      <w:tr w:rsidR="008C1632" w:rsidRPr="008C1632" w14:paraId="134C2528"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291ACECD" w14:textId="77777777" w:rsidR="008C1632" w:rsidRPr="008C1632" w:rsidRDefault="008C1632" w:rsidP="0021340C">
            <w:pPr>
              <w:spacing w:after="0"/>
              <w:jc w:val="both"/>
              <w:rPr>
                <w:rFonts w:eastAsia="Times New Roman" w:cs="Times New Roman"/>
                <w:b/>
                <w:bCs/>
                <w:color w:val="000000"/>
                <w:szCs w:val="24"/>
                <w:u w:val="single"/>
                <w:lang w:eastAsia="en-IN"/>
              </w:rPr>
            </w:pPr>
            <w:r w:rsidRPr="008C1632">
              <w:rPr>
                <w:rFonts w:eastAsia="Times New Roman" w:cs="Times New Roman"/>
                <w:b/>
                <w:bCs/>
                <w:color w:val="000000"/>
                <w:szCs w:val="24"/>
                <w:u w:val="single"/>
                <w:lang w:eastAsia="en-IN"/>
              </w:rPr>
              <w:t>Variable costs</w:t>
            </w:r>
          </w:p>
        </w:tc>
        <w:tc>
          <w:tcPr>
            <w:tcW w:w="665" w:type="pct"/>
            <w:tcBorders>
              <w:top w:val="nil"/>
              <w:left w:val="nil"/>
              <w:bottom w:val="single" w:sz="4" w:space="0" w:color="auto"/>
              <w:right w:val="single" w:sz="4" w:space="0" w:color="auto"/>
            </w:tcBorders>
            <w:shd w:val="clear" w:color="auto" w:fill="auto"/>
            <w:noWrap/>
            <w:vAlign w:val="bottom"/>
            <w:hideMark/>
          </w:tcPr>
          <w:p w14:paraId="047C588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665" w:type="pct"/>
            <w:tcBorders>
              <w:top w:val="nil"/>
              <w:left w:val="nil"/>
              <w:bottom w:val="single" w:sz="4" w:space="0" w:color="auto"/>
              <w:right w:val="single" w:sz="4" w:space="0" w:color="auto"/>
            </w:tcBorders>
            <w:shd w:val="clear" w:color="auto" w:fill="auto"/>
            <w:noWrap/>
            <w:vAlign w:val="bottom"/>
            <w:hideMark/>
          </w:tcPr>
          <w:p w14:paraId="315C1206"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1065" w:type="pct"/>
            <w:tcBorders>
              <w:top w:val="nil"/>
              <w:left w:val="nil"/>
              <w:bottom w:val="single" w:sz="4" w:space="0" w:color="auto"/>
              <w:right w:val="single" w:sz="4" w:space="0" w:color="auto"/>
            </w:tcBorders>
            <w:shd w:val="clear" w:color="auto" w:fill="auto"/>
            <w:noWrap/>
            <w:vAlign w:val="bottom"/>
            <w:hideMark/>
          </w:tcPr>
          <w:p w14:paraId="342C3CC2"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736" w:type="pct"/>
            <w:tcBorders>
              <w:top w:val="nil"/>
              <w:left w:val="nil"/>
              <w:bottom w:val="single" w:sz="4" w:space="0" w:color="auto"/>
              <w:right w:val="single" w:sz="4" w:space="0" w:color="auto"/>
            </w:tcBorders>
            <w:shd w:val="clear" w:color="auto" w:fill="auto"/>
            <w:noWrap/>
            <w:vAlign w:val="bottom"/>
            <w:hideMark/>
          </w:tcPr>
          <w:p w14:paraId="2023AA62"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217447C3"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6B3A21C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Materials</w:t>
            </w:r>
          </w:p>
        </w:tc>
        <w:tc>
          <w:tcPr>
            <w:tcW w:w="665" w:type="pct"/>
            <w:tcBorders>
              <w:top w:val="nil"/>
              <w:left w:val="nil"/>
              <w:bottom w:val="single" w:sz="4" w:space="0" w:color="auto"/>
              <w:right w:val="single" w:sz="4" w:space="0" w:color="auto"/>
            </w:tcBorders>
            <w:shd w:val="clear" w:color="auto" w:fill="auto"/>
            <w:noWrap/>
            <w:vAlign w:val="bottom"/>
            <w:hideMark/>
          </w:tcPr>
          <w:p w14:paraId="302FD77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w:t>
            </w:r>
          </w:p>
        </w:tc>
        <w:tc>
          <w:tcPr>
            <w:tcW w:w="665" w:type="pct"/>
            <w:tcBorders>
              <w:top w:val="nil"/>
              <w:left w:val="nil"/>
              <w:bottom w:val="single" w:sz="4" w:space="0" w:color="auto"/>
              <w:right w:val="single" w:sz="4" w:space="0" w:color="auto"/>
            </w:tcBorders>
            <w:shd w:val="clear" w:color="auto" w:fill="auto"/>
            <w:noWrap/>
            <w:vAlign w:val="bottom"/>
            <w:hideMark/>
          </w:tcPr>
          <w:p w14:paraId="3669E55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280000</w:t>
            </w:r>
          </w:p>
        </w:tc>
        <w:tc>
          <w:tcPr>
            <w:tcW w:w="1065" w:type="pct"/>
            <w:tcBorders>
              <w:top w:val="nil"/>
              <w:left w:val="nil"/>
              <w:bottom w:val="single" w:sz="4" w:space="0" w:color="auto"/>
              <w:right w:val="single" w:sz="4" w:space="0" w:color="auto"/>
            </w:tcBorders>
            <w:shd w:val="clear" w:color="auto" w:fill="auto"/>
            <w:noWrap/>
            <w:vAlign w:val="bottom"/>
            <w:hideMark/>
          </w:tcPr>
          <w:p w14:paraId="17903724"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-80000</w:t>
            </w:r>
          </w:p>
        </w:tc>
        <w:tc>
          <w:tcPr>
            <w:tcW w:w="736" w:type="pct"/>
            <w:tcBorders>
              <w:top w:val="nil"/>
              <w:left w:val="nil"/>
              <w:bottom w:val="single" w:sz="4" w:space="0" w:color="auto"/>
              <w:right w:val="single" w:sz="4" w:space="0" w:color="auto"/>
            </w:tcBorders>
            <w:shd w:val="clear" w:color="auto" w:fill="auto"/>
            <w:noWrap/>
            <w:vAlign w:val="bottom"/>
            <w:hideMark/>
          </w:tcPr>
          <w:p w14:paraId="12A00F36"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-40.00%</w:t>
            </w:r>
          </w:p>
        </w:tc>
      </w:tr>
      <w:tr w:rsidR="008C1632" w:rsidRPr="008C1632" w14:paraId="4A8D6C84"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04F1BFB6"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Labour</w:t>
            </w:r>
          </w:p>
        </w:tc>
        <w:tc>
          <w:tcPr>
            <w:tcW w:w="665" w:type="pct"/>
            <w:tcBorders>
              <w:top w:val="nil"/>
              <w:left w:val="nil"/>
              <w:bottom w:val="single" w:sz="4" w:space="0" w:color="auto"/>
              <w:right w:val="single" w:sz="4" w:space="0" w:color="auto"/>
            </w:tcBorders>
            <w:shd w:val="clear" w:color="auto" w:fill="auto"/>
            <w:noWrap/>
            <w:vAlign w:val="bottom"/>
            <w:hideMark/>
          </w:tcPr>
          <w:p w14:paraId="4954619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320000</w:t>
            </w:r>
          </w:p>
        </w:tc>
        <w:tc>
          <w:tcPr>
            <w:tcW w:w="665" w:type="pct"/>
            <w:tcBorders>
              <w:top w:val="nil"/>
              <w:left w:val="nil"/>
              <w:bottom w:val="single" w:sz="4" w:space="0" w:color="auto"/>
              <w:right w:val="single" w:sz="4" w:space="0" w:color="auto"/>
            </w:tcBorders>
            <w:shd w:val="clear" w:color="auto" w:fill="auto"/>
            <w:noWrap/>
            <w:vAlign w:val="bottom"/>
            <w:hideMark/>
          </w:tcPr>
          <w:p w14:paraId="45319C3A"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440000</w:t>
            </w:r>
          </w:p>
        </w:tc>
        <w:tc>
          <w:tcPr>
            <w:tcW w:w="1065" w:type="pct"/>
            <w:tcBorders>
              <w:top w:val="nil"/>
              <w:left w:val="nil"/>
              <w:bottom w:val="single" w:sz="4" w:space="0" w:color="auto"/>
              <w:right w:val="single" w:sz="4" w:space="0" w:color="auto"/>
            </w:tcBorders>
            <w:shd w:val="clear" w:color="auto" w:fill="auto"/>
            <w:noWrap/>
            <w:vAlign w:val="bottom"/>
            <w:hideMark/>
          </w:tcPr>
          <w:p w14:paraId="1B432EE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-120000</w:t>
            </w:r>
          </w:p>
        </w:tc>
        <w:tc>
          <w:tcPr>
            <w:tcW w:w="736" w:type="pct"/>
            <w:tcBorders>
              <w:top w:val="nil"/>
              <w:left w:val="nil"/>
              <w:bottom w:val="single" w:sz="4" w:space="0" w:color="auto"/>
              <w:right w:val="single" w:sz="4" w:space="0" w:color="auto"/>
            </w:tcBorders>
            <w:shd w:val="clear" w:color="auto" w:fill="auto"/>
            <w:noWrap/>
            <w:vAlign w:val="bottom"/>
            <w:hideMark/>
          </w:tcPr>
          <w:p w14:paraId="7B6AC827"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-37.50%</w:t>
            </w:r>
          </w:p>
        </w:tc>
      </w:tr>
      <w:tr w:rsidR="008C1632" w:rsidRPr="008C1632" w14:paraId="799E5E67"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2E88D09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Overhead</w:t>
            </w:r>
          </w:p>
        </w:tc>
        <w:tc>
          <w:tcPr>
            <w:tcW w:w="665" w:type="pct"/>
            <w:tcBorders>
              <w:top w:val="nil"/>
              <w:left w:val="nil"/>
              <w:bottom w:val="single" w:sz="4" w:space="0" w:color="auto"/>
              <w:right w:val="single" w:sz="4" w:space="0" w:color="auto"/>
            </w:tcBorders>
            <w:shd w:val="clear" w:color="auto" w:fill="auto"/>
            <w:noWrap/>
            <w:vAlign w:val="bottom"/>
            <w:hideMark/>
          </w:tcPr>
          <w:p w14:paraId="51B79D2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120000</w:t>
            </w:r>
          </w:p>
        </w:tc>
        <w:tc>
          <w:tcPr>
            <w:tcW w:w="665" w:type="pct"/>
            <w:tcBorders>
              <w:top w:val="nil"/>
              <w:left w:val="nil"/>
              <w:bottom w:val="single" w:sz="4" w:space="0" w:color="auto"/>
              <w:right w:val="single" w:sz="4" w:space="0" w:color="auto"/>
            </w:tcBorders>
            <w:shd w:val="clear" w:color="auto" w:fill="auto"/>
            <w:noWrap/>
            <w:vAlign w:val="bottom"/>
            <w:hideMark/>
          </w:tcPr>
          <w:p w14:paraId="0C15C382"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120000</w:t>
            </w:r>
          </w:p>
        </w:tc>
        <w:tc>
          <w:tcPr>
            <w:tcW w:w="1065" w:type="pct"/>
            <w:tcBorders>
              <w:top w:val="nil"/>
              <w:left w:val="nil"/>
              <w:bottom w:val="single" w:sz="4" w:space="0" w:color="auto"/>
              <w:right w:val="single" w:sz="4" w:space="0" w:color="auto"/>
            </w:tcBorders>
            <w:shd w:val="clear" w:color="auto" w:fill="auto"/>
            <w:noWrap/>
            <w:vAlign w:val="bottom"/>
            <w:hideMark/>
          </w:tcPr>
          <w:p w14:paraId="39FA04E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0</w:t>
            </w:r>
          </w:p>
        </w:tc>
        <w:tc>
          <w:tcPr>
            <w:tcW w:w="736" w:type="pct"/>
            <w:tcBorders>
              <w:top w:val="nil"/>
              <w:left w:val="nil"/>
              <w:bottom w:val="single" w:sz="4" w:space="0" w:color="auto"/>
              <w:right w:val="single" w:sz="4" w:space="0" w:color="auto"/>
            </w:tcBorders>
            <w:shd w:val="clear" w:color="auto" w:fill="auto"/>
            <w:noWrap/>
            <w:vAlign w:val="bottom"/>
            <w:hideMark/>
          </w:tcPr>
          <w:p w14:paraId="4799FD7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0.00%</w:t>
            </w:r>
          </w:p>
        </w:tc>
      </w:tr>
      <w:tr w:rsidR="008C1632" w:rsidRPr="008C1632" w14:paraId="1B4F3239"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4B9885E3"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Variable costs</w:t>
            </w:r>
          </w:p>
        </w:tc>
        <w:tc>
          <w:tcPr>
            <w:tcW w:w="665" w:type="pct"/>
            <w:tcBorders>
              <w:top w:val="nil"/>
              <w:left w:val="nil"/>
              <w:bottom w:val="single" w:sz="4" w:space="0" w:color="auto"/>
              <w:right w:val="single" w:sz="4" w:space="0" w:color="auto"/>
            </w:tcBorders>
            <w:shd w:val="clear" w:color="auto" w:fill="auto"/>
            <w:noWrap/>
            <w:vAlign w:val="bottom"/>
            <w:hideMark/>
          </w:tcPr>
          <w:p w14:paraId="355521A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640000</w:t>
            </w:r>
          </w:p>
        </w:tc>
        <w:tc>
          <w:tcPr>
            <w:tcW w:w="665" w:type="pct"/>
            <w:tcBorders>
              <w:top w:val="nil"/>
              <w:left w:val="nil"/>
              <w:bottom w:val="single" w:sz="4" w:space="0" w:color="auto"/>
              <w:right w:val="single" w:sz="4" w:space="0" w:color="auto"/>
            </w:tcBorders>
            <w:shd w:val="clear" w:color="auto" w:fill="auto"/>
            <w:noWrap/>
            <w:vAlign w:val="bottom"/>
            <w:hideMark/>
          </w:tcPr>
          <w:p w14:paraId="1DF96C8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840000</w:t>
            </w:r>
          </w:p>
        </w:tc>
        <w:tc>
          <w:tcPr>
            <w:tcW w:w="1065" w:type="pct"/>
            <w:tcBorders>
              <w:top w:val="nil"/>
              <w:left w:val="nil"/>
              <w:bottom w:val="single" w:sz="4" w:space="0" w:color="auto"/>
              <w:right w:val="single" w:sz="4" w:space="0" w:color="auto"/>
            </w:tcBorders>
            <w:shd w:val="clear" w:color="auto" w:fill="auto"/>
            <w:noWrap/>
            <w:vAlign w:val="bottom"/>
            <w:hideMark/>
          </w:tcPr>
          <w:p w14:paraId="04C5FF0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w:t>
            </w:r>
          </w:p>
        </w:tc>
        <w:tc>
          <w:tcPr>
            <w:tcW w:w="736" w:type="pct"/>
            <w:tcBorders>
              <w:top w:val="nil"/>
              <w:left w:val="nil"/>
              <w:bottom w:val="single" w:sz="4" w:space="0" w:color="auto"/>
              <w:right w:val="single" w:sz="4" w:space="0" w:color="auto"/>
            </w:tcBorders>
            <w:shd w:val="clear" w:color="auto" w:fill="auto"/>
            <w:noWrap/>
            <w:vAlign w:val="bottom"/>
            <w:hideMark/>
          </w:tcPr>
          <w:p w14:paraId="3AD51339"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-31.25%</w:t>
            </w:r>
          </w:p>
        </w:tc>
      </w:tr>
      <w:tr w:rsidR="008C1632" w:rsidRPr="008C1632" w14:paraId="124974B7"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4846773E"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Contribution</w:t>
            </w:r>
          </w:p>
        </w:tc>
        <w:tc>
          <w:tcPr>
            <w:tcW w:w="665" w:type="pct"/>
            <w:tcBorders>
              <w:top w:val="nil"/>
              <w:left w:val="nil"/>
              <w:bottom w:val="single" w:sz="4" w:space="0" w:color="auto"/>
              <w:right w:val="single" w:sz="4" w:space="0" w:color="auto"/>
            </w:tcBorders>
            <w:shd w:val="clear" w:color="auto" w:fill="auto"/>
            <w:noWrap/>
            <w:vAlign w:val="bottom"/>
            <w:hideMark/>
          </w:tcPr>
          <w:p w14:paraId="52596AC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1360000</w:t>
            </w:r>
          </w:p>
        </w:tc>
        <w:tc>
          <w:tcPr>
            <w:tcW w:w="665" w:type="pct"/>
            <w:tcBorders>
              <w:top w:val="nil"/>
              <w:left w:val="nil"/>
              <w:bottom w:val="single" w:sz="4" w:space="0" w:color="auto"/>
              <w:right w:val="single" w:sz="4" w:space="0" w:color="auto"/>
            </w:tcBorders>
            <w:shd w:val="clear" w:color="auto" w:fill="auto"/>
            <w:noWrap/>
            <w:vAlign w:val="bottom"/>
            <w:hideMark/>
          </w:tcPr>
          <w:p w14:paraId="4B6130CD"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760000</w:t>
            </w:r>
          </w:p>
        </w:tc>
        <w:tc>
          <w:tcPr>
            <w:tcW w:w="1065" w:type="pct"/>
            <w:tcBorders>
              <w:top w:val="nil"/>
              <w:left w:val="nil"/>
              <w:bottom w:val="single" w:sz="4" w:space="0" w:color="auto"/>
              <w:right w:val="single" w:sz="4" w:space="0" w:color="auto"/>
            </w:tcBorders>
            <w:shd w:val="clear" w:color="auto" w:fill="auto"/>
            <w:noWrap/>
            <w:vAlign w:val="bottom"/>
            <w:hideMark/>
          </w:tcPr>
          <w:p w14:paraId="6A99F546"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-600000</w:t>
            </w:r>
          </w:p>
        </w:tc>
        <w:tc>
          <w:tcPr>
            <w:tcW w:w="736" w:type="pct"/>
            <w:tcBorders>
              <w:top w:val="nil"/>
              <w:left w:val="nil"/>
              <w:bottom w:val="single" w:sz="4" w:space="0" w:color="auto"/>
              <w:right w:val="single" w:sz="4" w:space="0" w:color="auto"/>
            </w:tcBorders>
            <w:shd w:val="clear" w:color="auto" w:fill="auto"/>
            <w:noWrap/>
            <w:vAlign w:val="bottom"/>
            <w:hideMark/>
          </w:tcPr>
          <w:p w14:paraId="2F635F3D"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-44.12%</w:t>
            </w:r>
          </w:p>
        </w:tc>
      </w:tr>
      <w:tr w:rsidR="008C1632" w:rsidRPr="008C1632" w14:paraId="598587EA"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270F43E2" w14:textId="77777777" w:rsidR="008C1632" w:rsidRPr="008C1632" w:rsidRDefault="008C1632" w:rsidP="0021340C">
            <w:pPr>
              <w:spacing w:after="0"/>
              <w:jc w:val="both"/>
              <w:rPr>
                <w:rFonts w:eastAsia="Times New Roman" w:cs="Times New Roman"/>
                <w:b/>
                <w:bCs/>
                <w:color w:val="000000"/>
                <w:szCs w:val="24"/>
                <w:u w:val="single"/>
                <w:lang w:eastAsia="en-IN"/>
              </w:rPr>
            </w:pPr>
            <w:r w:rsidRPr="008C1632">
              <w:rPr>
                <w:rFonts w:eastAsia="Times New Roman" w:cs="Times New Roman"/>
                <w:b/>
                <w:bCs/>
                <w:color w:val="000000"/>
                <w:szCs w:val="24"/>
                <w:u w:val="single"/>
                <w:lang w:eastAsia="en-IN"/>
              </w:rPr>
              <w:t>Fixed Overheads</w:t>
            </w:r>
          </w:p>
        </w:tc>
        <w:tc>
          <w:tcPr>
            <w:tcW w:w="665" w:type="pct"/>
            <w:tcBorders>
              <w:top w:val="nil"/>
              <w:left w:val="nil"/>
              <w:bottom w:val="single" w:sz="4" w:space="0" w:color="auto"/>
              <w:right w:val="single" w:sz="4" w:space="0" w:color="auto"/>
            </w:tcBorders>
            <w:shd w:val="clear" w:color="auto" w:fill="auto"/>
            <w:noWrap/>
            <w:vAlign w:val="bottom"/>
            <w:hideMark/>
          </w:tcPr>
          <w:p w14:paraId="0FABFFC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665" w:type="pct"/>
            <w:tcBorders>
              <w:top w:val="nil"/>
              <w:left w:val="nil"/>
              <w:bottom w:val="single" w:sz="4" w:space="0" w:color="auto"/>
              <w:right w:val="single" w:sz="4" w:space="0" w:color="auto"/>
            </w:tcBorders>
            <w:shd w:val="clear" w:color="auto" w:fill="auto"/>
            <w:noWrap/>
            <w:vAlign w:val="bottom"/>
            <w:hideMark/>
          </w:tcPr>
          <w:p w14:paraId="54815F5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1065" w:type="pct"/>
            <w:tcBorders>
              <w:top w:val="nil"/>
              <w:left w:val="nil"/>
              <w:bottom w:val="single" w:sz="4" w:space="0" w:color="auto"/>
              <w:right w:val="single" w:sz="4" w:space="0" w:color="auto"/>
            </w:tcBorders>
            <w:shd w:val="clear" w:color="auto" w:fill="auto"/>
            <w:noWrap/>
            <w:vAlign w:val="bottom"/>
            <w:hideMark/>
          </w:tcPr>
          <w:p w14:paraId="0233A73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c>
          <w:tcPr>
            <w:tcW w:w="736" w:type="pct"/>
            <w:tcBorders>
              <w:top w:val="nil"/>
              <w:left w:val="nil"/>
              <w:bottom w:val="single" w:sz="4" w:space="0" w:color="auto"/>
              <w:right w:val="single" w:sz="4" w:space="0" w:color="auto"/>
            </w:tcBorders>
            <w:shd w:val="clear" w:color="auto" w:fill="auto"/>
            <w:noWrap/>
            <w:vAlign w:val="bottom"/>
            <w:hideMark/>
          </w:tcPr>
          <w:p w14:paraId="12A1855A"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 </w:t>
            </w:r>
          </w:p>
        </w:tc>
      </w:tr>
      <w:tr w:rsidR="008C1632" w:rsidRPr="008C1632" w14:paraId="2D32D021"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72BC1204"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Warehouse Rental</w:t>
            </w:r>
          </w:p>
        </w:tc>
        <w:tc>
          <w:tcPr>
            <w:tcW w:w="665" w:type="pct"/>
            <w:tcBorders>
              <w:top w:val="nil"/>
              <w:left w:val="nil"/>
              <w:bottom w:val="single" w:sz="4" w:space="0" w:color="auto"/>
              <w:right w:val="single" w:sz="4" w:space="0" w:color="auto"/>
            </w:tcBorders>
            <w:shd w:val="clear" w:color="auto" w:fill="auto"/>
            <w:noWrap/>
            <w:vAlign w:val="bottom"/>
            <w:hideMark/>
          </w:tcPr>
          <w:p w14:paraId="340C26E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200000</w:t>
            </w:r>
          </w:p>
        </w:tc>
        <w:tc>
          <w:tcPr>
            <w:tcW w:w="665" w:type="pct"/>
            <w:tcBorders>
              <w:top w:val="nil"/>
              <w:left w:val="nil"/>
              <w:bottom w:val="single" w:sz="4" w:space="0" w:color="auto"/>
              <w:right w:val="single" w:sz="4" w:space="0" w:color="auto"/>
            </w:tcBorders>
            <w:shd w:val="clear" w:color="auto" w:fill="auto"/>
            <w:noWrap/>
            <w:vAlign w:val="bottom"/>
            <w:hideMark/>
          </w:tcPr>
          <w:p w14:paraId="513C504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170000</w:t>
            </w:r>
          </w:p>
        </w:tc>
        <w:tc>
          <w:tcPr>
            <w:tcW w:w="1065" w:type="pct"/>
            <w:tcBorders>
              <w:top w:val="nil"/>
              <w:left w:val="nil"/>
              <w:bottom w:val="single" w:sz="4" w:space="0" w:color="auto"/>
              <w:right w:val="single" w:sz="4" w:space="0" w:color="auto"/>
            </w:tcBorders>
            <w:shd w:val="clear" w:color="auto" w:fill="auto"/>
            <w:noWrap/>
            <w:vAlign w:val="bottom"/>
            <w:hideMark/>
          </w:tcPr>
          <w:p w14:paraId="11E11CD3"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30000</w:t>
            </w:r>
          </w:p>
        </w:tc>
        <w:tc>
          <w:tcPr>
            <w:tcW w:w="736" w:type="pct"/>
            <w:tcBorders>
              <w:top w:val="nil"/>
              <w:left w:val="nil"/>
              <w:bottom w:val="single" w:sz="4" w:space="0" w:color="auto"/>
              <w:right w:val="single" w:sz="4" w:space="0" w:color="auto"/>
            </w:tcBorders>
            <w:shd w:val="clear" w:color="auto" w:fill="auto"/>
            <w:noWrap/>
            <w:vAlign w:val="bottom"/>
            <w:hideMark/>
          </w:tcPr>
          <w:p w14:paraId="041B7A63"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15.00%</w:t>
            </w:r>
          </w:p>
        </w:tc>
      </w:tr>
      <w:tr w:rsidR="008C1632" w:rsidRPr="008C1632" w14:paraId="5C8DEEF5"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1167434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Insurance</w:t>
            </w:r>
          </w:p>
        </w:tc>
        <w:tc>
          <w:tcPr>
            <w:tcW w:w="665" w:type="pct"/>
            <w:tcBorders>
              <w:top w:val="nil"/>
              <w:left w:val="nil"/>
              <w:bottom w:val="single" w:sz="4" w:space="0" w:color="auto"/>
              <w:right w:val="single" w:sz="4" w:space="0" w:color="auto"/>
            </w:tcBorders>
            <w:shd w:val="clear" w:color="auto" w:fill="auto"/>
            <w:noWrap/>
            <w:vAlign w:val="bottom"/>
            <w:hideMark/>
          </w:tcPr>
          <w:p w14:paraId="418BD01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100000</w:t>
            </w:r>
          </w:p>
        </w:tc>
        <w:tc>
          <w:tcPr>
            <w:tcW w:w="665" w:type="pct"/>
            <w:tcBorders>
              <w:top w:val="nil"/>
              <w:left w:val="nil"/>
              <w:bottom w:val="single" w:sz="4" w:space="0" w:color="auto"/>
              <w:right w:val="single" w:sz="4" w:space="0" w:color="auto"/>
            </w:tcBorders>
            <w:shd w:val="clear" w:color="auto" w:fill="auto"/>
            <w:noWrap/>
            <w:vAlign w:val="bottom"/>
            <w:hideMark/>
          </w:tcPr>
          <w:p w14:paraId="2BBB7E31"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100000</w:t>
            </w:r>
          </w:p>
        </w:tc>
        <w:tc>
          <w:tcPr>
            <w:tcW w:w="1065" w:type="pct"/>
            <w:tcBorders>
              <w:top w:val="nil"/>
              <w:left w:val="nil"/>
              <w:bottom w:val="single" w:sz="4" w:space="0" w:color="auto"/>
              <w:right w:val="single" w:sz="4" w:space="0" w:color="auto"/>
            </w:tcBorders>
            <w:shd w:val="clear" w:color="auto" w:fill="auto"/>
            <w:noWrap/>
            <w:vAlign w:val="bottom"/>
            <w:hideMark/>
          </w:tcPr>
          <w:p w14:paraId="52E4E43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0</w:t>
            </w:r>
          </w:p>
        </w:tc>
        <w:tc>
          <w:tcPr>
            <w:tcW w:w="736" w:type="pct"/>
            <w:tcBorders>
              <w:top w:val="nil"/>
              <w:left w:val="nil"/>
              <w:bottom w:val="single" w:sz="4" w:space="0" w:color="auto"/>
              <w:right w:val="single" w:sz="4" w:space="0" w:color="auto"/>
            </w:tcBorders>
            <w:shd w:val="clear" w:color="auto" w:fill="auto"/>
            <w:noWrap/>
            <w:vAlign w:val="bottom"/>
            <w:hideMark/>
          </w:tcPr>
          <w:p w14:paraId="3214A1B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0.00%</w:t>
            </w:r>
          </w:p>
        </w:tc>
      </w:tr>
      <w:tr w:rsidR="008C1632" w:rsidRPr="008C1632" w14:paraId="0F0A24AC"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4C150D49"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Fulltime Warehouse Supervisor Salary</w:t>
            </w:r>
          </w:p>
        </w:tc>
        <w:tc>
          <w:tcPr>
            <w:tcW w:w="665" w:type="pct"/>
            <w:tcBorders>
              <w:top w:val="nil"/>
              <w:left w:val="nil"/>
              <w:bottom w:val="single" w:sz="4" w:space="0" w:color="auto"/>
              <w:right w:val="single" w:sz="4" w:space="0" w:color="auto"/>
            </w:tcBorders>
            <w:shd w:val="clear" w:color="auto" w:fill="auto"/>
            <w:noWrap/>
            <w:vAlign w:val="bottom"/>
            <w:hideMark/>
          </w:tcPr>
          <w:p w14:paraId="5EAB9304"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50000</w:t>
            </w:r>
          </w:p>
        </w:tc>
        <w:tc>
          <w:tcPr>
            <w:tcW w:w="665" w:type="pct"/>
            <w:tcBorders>
              <w:top w:val="nil"/>
              <w:left w:val="nil"/>
              <w:bottom w:val="single" w:sz="4" w:space="0" w:color="auto"/>
              <w:right w:val="single" w:sz="4" w:space="0" w:color="auto"/>
            </w:tcBorders>
            <w:shd w:val="clear" w:color="auto" w:fill="auto"/>
            <w:noWrap/>
            <w:vAlign w:val="bottom"/>
            <w:hideMark/>
          </w:tcPr>
          <w:p w14:paraId="7733F710"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35000</w:t>
            </w:r>
          </w:p>
        </w:tc>
        <w:tc>
          <w:tcPr>
            <w:tcW w:w="1065" w:type="pct"/>
            <w:tcBorders>
              <w:top w:val="nil"/>
              <w:left w:val="nil"/>
              <w:bottom w:val="single" w:sz="4" w:space="0" w:color="auto"/>
              <w:right w:val="single" w:sz="4" w:space="0" w:color="auto"/>
            </w:tcBorders>
            <w:shd w:val="clear" w:color="auto" w:fill="auto"/>
            <w:noWrap/>
            <w:vAlign w:val="bottom"/>
            <w:hideMark/>
          </w:tcPr>
          <w:p w14:paraId="1F9A0F42"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15000</w:t>
            </w:r>
          </w:p>
        </w:tc>
        <w:tc>
          <w:tcPr>
            <w:tcW w:w="736" w:type="pct"/>
            <w:tcBorders>
              <w:top w:val="nil"/>
              <w:left w:val="nil"/>
              <w:bottom w:val="single" w:sz="4" w:space="0" w:color="auto"/>
              <w:right w:val="single" w:sz="4" w:space="0" w:color="auto"/>
            </w:tcBorders>
            <w:shd w:val="clear" w:color="auto" w:fill="auto"/>
            <w:noWrap/>
            <w:vAlign w:val="bottom"/>
            <w:hideMark/>
          </w:tcPr>
          <w:p w14:paraId="744826E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30.00%</w:t>
            </w:r>
          </w:p>
        </w:tc>
      </w:tr>
      <w:tr w:rsidR="008C1632" w:rsidRPr="008C1632" w14:paraId="69240996"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132D948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Fixed Overheads</w:t>
            </w:r>
          </w:p>
        </w:tc>
        <w:tc>
          <w:tcPr>
            <w:tcW w:w="665" w:type="pct"/>
            <w:tcBorders>
              <w:top w:val="nil"/>
              <w:left w:val="nil"/>
              <w:bottom w:val="single" w:sz="4" w:space="0" w:color="auto"/>
              <w:right w:val="single" w:sz="4" w:space="0" w:color="auto"/>
            </w:tcBorders>
            <w:shd w:val="clear" w:color="auto" w:fill="auto"/>
            <w:noWrap/>
            <w:vAlign w:val="bottom"/>
            <w:hideMark/>
          </w:tcPr>
          <w:p w14:paraId="56A8DCA8"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350000</w:t>
            </w:r>
          </w:p>
        </w:tc>
        <w:tc>
          <w:tcPr>
            <w:tcW w:w="665" w:type="pct"/>
            <w:tcBorders>
              <w:top w:val="nil"/>
              <w:left w:val="nil"/>
              <w:bottom w:val="single" w:sz="4" w:space="0" w:color="auto"/>
              <w:right w:val="single" w:sz="4" w:space="0" w:color="auto"/>
            </w:tcBorders>
            <w:shd w:val="clear" w:color="auto" w:fill="auto"/>
            <w:noWrap/>
            <w:vAlign w:val="bottom"/>
            <w:hideMark/>
          </w:tcPr>
          <w:p w14:paraId="27260767"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305000</w:t>
            </w:r>
          </w:p>
        </w:tc>
        <w:tc>
          <w:tcPr>
            <w:tcW w:w="1065" w:type="pct"/>
            <w:tcBorders>
              <w:top w:val="nil"/>
              <w:left w:val="nil"/>
              <w:bottom w:val="single" w:sz="4" w:space="0" w:color="auto"/>
              <w:right w:val="single" w:sz="4" w:space="0" w:color="auto"/>
            </w:tcBorders>
            <w:shd w:val="clear" w:color="auto" w:fill="auto"/>
            <w:noWrap/>
            <w:vAlign w:val="bottom"/>
            <w:hideMark/>
          </w:tcPr>
          <w:p w14:paraId="78F6C33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45000</w:t>
            </w:r>
          </w:p>
        </w:tc>
        <w:tc>
          <w:tcPr>
            <w:tcW w:w="736" w:type="pct"/>
            <w:tcBorders>
              <w:top w:val="nil"/>
              <w:left w:val="nil"/>
              <w:bottom w:val="single" w:sz="4" w:space="0" w:color="auto"/>
              <w:right w:val="single" w:sz="4" w:space="0" w:color="auto"/>
            </w:tcBorders>
            <w:shd w:val="clear" w:color="auto" w:fill="auto"/>
            <w:noWrap/>
            <w:vAlign w:val="bottom"/>
            <w:hideMark/>
          </w:tcPr>
          <w:p w14:paraId="2DAD3702"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12.86%</w:t>
            </w:r>
          </w:p>
        </w:tc>
      </w:tr>
      <w:tr w:rsidR="008C1632" w:rsidRPr="008C1632" w14:paraId="6E07CDD9"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2690B2BC"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Total Costs</w:t>
            </w:r>
          </w:p>
        </w:tc>
        <w:tc>
          <w:tcPr>
            <w:tcW w:w="665" w:type="pct"/>
            <w:tcBorders>
              <w:top w:val="nil"/>
              <w:left w:val="nil"/>
              <w:bottom w:val="single" w:sz="4" w:space="0" w:color="auto"/>
              <w:right w:val="single" w:sz="4" w:space="0" w:color="auto"/>
            </w:tcBorders>
            <w:shd w:val="clear" w:color="auto" w:fill="auto"/>
            <w:noWrap/>
            <w:vAlign w:val="bottom"/>
            <w:hideMark/>
          </w:tcPr>
          <w:p w14:paraId="182597B6"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990000</w:t>
            </w:r>
          </w:p>
        </w:tc>
        <w:tc>
          <w:tcPr>
            <w:tcW w:w="665" w:type="pct"/>
            <w:tcBorders>
              <w:top w:val="nil"/>
              <w:left w:val="nil"/>
              <w:bottom w:val="single" w:sz="4" w:space="0" w:color="auto"/>
              <w:right w:val="single" w:sz="4" w:space="0" w:color="auto"/>
            </w:tcBorders>
            <w:shd w:val="clear" w:color="auto" w:fill="auto"/>
            <w:noWrap/>
            <w:vAlign w:val="bottom"/>
            <w:hideMark/>
          </w:tcPr>
          <w:p w14:paraId="7539EA8B"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1145000</w:t>
            </w:r>
          </w:p>
        </w:tc>
        <w:tc>
          <w:tcPr>
            <w:tcW w:w="1065" w:type="pct"/>
            <w:tcBorders>
              <w:top w:val="nil"/>
              <w:left w:val="nil"/>
              <w:bottom w:val="single" w:sz="4" w:space="0" w:color="auto"/>
              <w:right w:val="single" w:sz="4" w:space="0" w:color="auto"/>
            </w:tcBorders>
            <w:shd w:val="clear" w:color="auto" w:fill="auto"/>
            <w:noWrap/>
            <w:vAlign w:val="bottom"/>
            <w:hideMark/>
          </w:tcPr>
          <w:p w14:paraId="49E7D6FF"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-155000</w:t>
            </w:r>
          </w:p>
        </w:tc>
        <w:tc>
          <w:tcPr>
            <w:tcW w:w="736" w:type="pct"/>
            <w:tcBorders>
              <w:top w:val="nil"/>
              <w:left w:val="nil"/>
              <w:bottom w:val="single" w:sz="4" w:space="0" w:color="auto"/>
              <w:right w:val="single" w:sz="4" w:space="0" w:color="auto"/>
            </w:tcBorders>
            <w:shd w:val="clear" w:color="auto" w:fill="auto"/>
            <w:noWrap/>
            <w:vAlign w:val="bottom"/>
            <w:hideMark/>
          </w:tcPr>
          <w:p w14:paraId="5E2FE241"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-15.66%</w:t>
            </w:r>
          </w:p>
        </w:tc>
      </w:tr>
      <w:tr w:rsidR="008C1632" w:rsidRPr="008C1632" w14:paraId="0A5EEE7C" w14:textId="77777777" w:rsidTr="008C1632">
        <w:trPr>
          <w:trHeight w:val="315"/>
        </w:trPr>
        <w:tc>
          <w:tcPr>
            <w:tcW w:w="1869" w:type="pct"/>
            <w:tcBorders>
              <w:top w:val="nil"/>
              <w:left w:val="single" w:sz="4" w:space="0" w:color="auto"/>
              <w:bottom w:val="single" w:sz="4" w:space="0" w:color="auto"/>
              <w:right w:val="single" w:sz="4" w:space="0" w:color="auto"/>
            </w:tcBorders>
            <w:shd w:val="clear" w:color="auto" w:fill="auto"/>
            <w:noWrap/>
            <w:vAlign w:val="bottom"/>
            <w:hideMark/>
          </w:tcPr>
          <w:p w14:paraId="3C70EFCC"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Profit (Sales - Total Costs)</w:t>
            </w:r>
          </w:p>
        </w:tc>
        <w:tc>
          <w:tcPr>
            <w:tcW w:w="665" w:type="pct"/>
            <w:tcBorders>
              <w:top w:val="nil"/>
              <w:left w:val="nil"/>
              <w:bottom w:val="single" w:sz="4" w:space="0" w:color="auto"/>
              <w:right w:val="single" w:sz="4" w:space="0" w:color="auto"/>
            </w:tcBorders>
            <w:shd w:val="clear" w:color="auto" w:fill="auto"/>
            <w:noWrap/>
            <w:vAlign w:val="bottom"/>
            <w:hideMark/>
          </w:tcPr>
          <w:p w14:paraId="53AC4996"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1010000</w:t>
            </w:r>
          </w:p>
        </w:tc>
        <w:tc>
          <w:tcPr>
            <w:tcW w:w="665" w:type="pct"/>
            <w:tcBorders>
              <w:top w:val="nil"/>
              <w:left w:val="nil"/>
              <w:bottom w:val="single" w:sz="4" w:space="0" w:color="auto"/>
              <w:right w:val="single" w:sz="4" w:space="0" w:color="auto"/>
            </w:tcBorders>
            <w:shd w:val="clear" w:color="auto" w:fill="auto"/>
            <w:noWrap/>
            <w:vAlign w:val="bottom"/>
            <w:hideMark/>
          </w:tcPr>
          <w:p w14:paraId="138FEF97" w14:textId="77777777" w:rsidR="008C1632" w:rsidRPr="008C1632" w:rsidRDefault="008C1632" w:rsidP="0021340C">
            <w:pPr>
              <w:spacing w:after="0"/>
              <w:jc w:val="both"/>
              <w:rPr>
                <w:rFonts w:eastAsia="Times New Roman" w:cs="Times New Roman"/>
                <w:b/>
                <w:bCs/>
                <w:color w:val="000000"/>
                <w:szCs w:val="24"/>
                <w:lang w:eastAsia="en-IN"/>
              </w:rPr>
            </w:pPr>
            <w:r w:rsidRPr="008C1632">
              <w:rPr>
                <w:rFonts w:eastAsia="Times New Roman" w:cs="Times New Roman"/>
                <w:b/>
                <w:bCs/>
                <w:color w:val="000000"/>
                <w:szCs w:val="24"/>
                <w:lang w:eastAsia="en-IN"/>
              </w:rPr>
              <w:t>455000</w:t>
            </w:r>
          </w:p>
        </w:tc>
        <w:tc>
          <w:tcPr>
            <w:tcW w:w="1065" w:type="pct"/>
            <w:tcBorders>
              <w:top w:val="nil"/>
              <w:left w:val="nil"/>
              <w:bottom w:val="single" w:sz="4" w:space="0" w:color="auto"/>
              <w:right w:val="single" w:sz="4" w:space="0" w:color="auto"/>
            </w:tcBorders>
            <w:shd w:val="clear" w:color="auto" w:fill="auto"/>
            <w:noWrap/>
            <w:vAlign w:val="bottom"/>
            <w:hideMark/>
          </w:tcPr>
          <w:p w14:paraId="13E71D25" w14:textId="77777777" w:rsidR="008C1632" w:rsidRPr="008C1632" w:rsidRDefault="008C1632" w:rsidP="0021340C">
            <w:pPr>
              <w:spacing w:after="0"/>
              <w:jc w:val="both"/>
              <w:rPr>
                <w:rFonts w:eastAsia="Times New Roman" w:cs="Times New Roman"/>
                <w:color w:val="000000"/>
                <w:szCs w:val="24"/>
                <w:lang w:eastAsia="en-IN"/>
              </w:rPr>
            </w:pPr>
            <w:r w:rsidRPr="008C1632">
              <w:rPr>
                <w:rFonts w:eastAsia="Times New Roman" w:cs="Times New Roman"/>
                <w:color w:val="000000"/>
                <w:szCs w:val="24"/>
                <w:lang w:eastAsia="en-IN"/>
              </w:rPr>
              <w:t>-555000</w:t>
            </w:r>
          </w:p>
        </w:tc>
        <w:tc>
          <w:tcPr>
            <w:tcW w:w="736" w:type="pct"/>
            <w:tcBorders>
              <w:top w:val="nil"/>
              <w:left w:val="nil"/>
              <w:bottom w:val="single" w:sz="4" w:space="0" w:color="auto"/>
              <w:right w:val="single" w:sz="4" w:space="0" w:color="auto"/>
            </w:tcBorders>
            <w:shd w:val="clear" w:color="auto" w:fill="auto"/>
            <w:noWrap/>
            <w:vAlign w:val="bottom"/>
            <w:hideMark/>
          </w:tcPr>
          <w:p w14:paraId="2455CB24" w14:textId="77777777" w:rsidR="008C1632" w:rsidRPr="008C1632" w:rsidRDefault="008C1632" w:rsidP="0021340C">
            <w:pPr>
              <w:spacing w:after="0"/>
              <w:jc w:val="both"/>
              <w:rPr>
                <w:rFonts w:eastAsia="Times New Roman" w:cs="Times New Roman"/>
                <w:color w:val="FF0000"/>
                <w:szCs w:val="24"/>
                <w:lang w:eastAsia="en-IN"/>
              </w:rPr>
            </w:pPr>
            <w:r w:rsidRPr="008C1632">
              <w:rPr>
                <w:rFonts w:eastAsia="Times New Roman" w:cs="Times New Roman"/>
                <w:color w:val="FF0000"/>
                <w:szCs w:val="24"/>
                <w:lang w:eastAsia="en-IN"/>
              </w:rPr>
              <w:t>-54.95%</w:t>
            </w:r>
          </w:p>
        </w:tc>
      </w:tr>
    </w:tbl>
    <w:p w14:paraId="2CEE7E86" w14:textId="59AB4B51" w:rsidR="008C1632" w:rsidRDefault="008C1632" w:rsidP="0021340C">
      <w:pPr>
        <w:jc w:val="both"/>
        <w:rPr>
          <w:b/>
          <w:bCs/>
          <w:lang w:val="en-US"/>
        </w:rPr>
      </w:pPr>
    </w:p>
    <w:p w14:paraId="1B754EC6" w14:textId="3B0FB6E9" w:rsidR="008C1632" w:rsidRDefault="008C1632" w:rsidP="0021340C">
      <w:pPr>
        <w:pStyle w:val="ListParagraph"/>
        <w:numPr>
          <w:ilvl w:val="0"/>
          <w:numId w:val="1"/>
        </w:numPr>
        <w:contextualSpacing w:val="0"/>
        <w:jc w:val="both"/>
        <w:rPr>
          <w:b/>
          <w:bCs/>
          <w:lang w:val="en-US"/>
        </w:rPr>
      </w:pPr>
      <w:r>
        <w:rPr>
          <w:b/>
          <w:bCs/>
          <w:lang w:val="en-US"/>
        </w:rPr>
        <w:t>Performance report</w:t>
      </w:r>
    </w:p>
    <w:p w14:paraId="64E8E721" w14:textId="58162B8B" w:rsidR="008C1632" w:rsidRDefault="008C1632" w:rsidP="0021340C">
      <w:pPr>
        <w:jc w:val="both"/>
        <w:rPr>
          <w:lang w:val="en-US"/>
        </w:rPr>
      </w:pPr>
      <w:r>
        <w:rPr>
          <w:lang w:val="en-US"/>
        </w:rPr>
        <w:t xml:space="preserve">The </w:t>
      </w:r>
      <w:r w:rsidR="0088191A">
        <w:rPr>
          <w:lang w:val="en-US"/>
        </w:rPr>
        <w:t>evaluation</w:t>
      </w:r>
      <w:r>
        <w:rPr>
          <w:lang w:val="en-US"/>
        </w:rPr>
        <w:t xml:space="preserve"> of </w:t>
      </w:r>
      <w:r w:rsidR="0088191A">
        <w:rPr>
          <w:lang w:val="en-US"/>
        </w:rPr>
        <w:t>performance for Amana for the year 2020 has been done on the basis of the below indicators as have been computed and observed in the comparison of the actual and the budgeted costs-</w:t>
      </w:r>
    </w:p>
    <w:p w14:paraId="6591520E" w14:textId="50FA79FC" w:rsidR="0088191A" w:rsidRDefault="0088191A" w:rsidP="0021340C">
      <w:pPr>
        <w:pStyle w:val="ListParagraph"/>
        <w:numPr>
          <w:ilvl w:val="0"/>
          <w:numId w:val="2"/>
        </w:numPr>
        <w:contextualSpacing w:val="0"/>
        <w:jc w:val="both"/>
        <w:rPr>
          <w:lang w:val="en-US"/>
        </w:rPr>
      </w:pPr>
      <w:r w:rsidRPr="00790404">
        <w:rPr>
          <w:b/>
          <w:bCs/>
          <w:i/>
          <w:iCs/>
          <w:lang w:val="en-US"/>
        </w:rPr>
        <w:t>Sales Revenue</w:t>
      </w:r>
      <w:r>
        <w:rPr>
          <w:lang w:val="en-US"/>
        </w:rPr>
        <w:t xml:space="preserve"> – The estimates developed with regard to the sales figure for the year 2020 by Amana shows that the expected amount of sales revenue to be generated in the year was </w:t>
      </w:r>
      <w:r>
        <w:rPr>
          <w:rFonts w:cs="Times New Roman"/>
          <w:lang w:val="en-US"/>
        </w:rPr>
        <w:t>£</w:t>
      </w:r>
      <w:r>
        <w:rPr>
          <w:lang w:val="en-US"/>
        </w:rPr>
        <w:t xml:space="preserve"> 2000000</w:t>
      </w:r>
      <w:r w:rsidR="0021340C">
        <w:rPr>
          <w:lang w:val="en-US"/>
        </w:rPr>
        <w:t xml:space="preserve"> (Tien, 2019)</w:t>
      </w:r>
      <w:r>
        <w:rPr>
          <w:lang w:val="en-US"/>
        </w:rPr>
        <w:t xml:space="preserve">. However, as has been provided in the total amount of the actual sales, the business was not able to achieve the desired target and the total amount of the sales revenue in the year 2020 has been just </w:t>
      </w:r>
      <w:r>
        <w:rPr>
          <w:rFonts w:cs="Times New Roman"/>
          <w:lang w:val="en-US"/>
        </w:rPr>
        <w:t>£</w:t>
      </w:r>
      <w:r>
        <w:rPr>
          <w:lang w:val="en-US"/>
        </w:rPr>
        <w:t xml:space="preserve"> 1600000. Thus, the actual sales are 20% less than the desired sales revenue. The inability to sell the </w:t>
      </w:r>
      <w:r>
        <w:rPr>
          <w:lang w:val="en-US"/>
        </w:rPr>
        <w:lastRenderedPageBreak/>
        <w:t xml:space="preserve">products according to the estimated volume and the estimated prices has been the main reason the actual sales are lower than the estimates. </w:t>
      </w:r>
    </w:p>
    <w:p w14:paraId="36175BCF" w14:textId="0B21D885" w:rsidR="00382D72" w:rsidRDefault="00382D72" w:rsidP="0021340C">
      <w:pPr>
        <w:pStyle w:val="ListParagraph"/>
        <w:numPr>
          <w:ilvl w:val="0"/>
          <w:numId w:val="2"/>
        </w:numPr>
        <w:contextualSpacing w:val="0"/>
        <w:jc w:val="both"/>
        <w:rPr>
          <w:lang w:val="en-US"/>
        </w:rPr>
      </w:pPr>
      <w:r w:rsidRPr="00790404">
        <w:rPr>
          <w:b/>
          <w:bCs/>
          <w:i/>
          <w:iCs/>
          <w:lang w:val="en-US"/>
        </w:rPr>
        <w:t>Costs in business</w:t>
      </w:r>
      <w:r>
        <w:rPr>
          <w:lang w:val="en-US"/>
        </w:rPr>
        <w:t xml:space="preserve"> – The evaluation </w:t>
      </w:r>
      <w:r w:rsidR="00941F93">
        <w:rPr>
          <w:lang w:val="en-US"/>
        </w:rPr>
        <w:t>of</w:t>
      </w:r>
      <w:r>
        <w:rPr>
          <w:lang w:val="en-US"/>
        </w:rPr>
        <w:t xml:space="preserve"> the costs in business involves the consideration and evaluation of the variable and fixed overheads in the business. </w:t>
      </w:r>
    </w:p>
    <w:p w14:paraId="2C7C1D3E" w14:textId="0FD4735F" w:rsidR="00941F93" w:rsidRDefault="00941F93" w:rsidP="0021340C">
      <w:pPr>
        <w:jc w:val="both"/>
        <w:rPr>
          <w:lang w:val="en-US"/>
        </w:rPr>
      </w:pPr>
      <w:r>
        <w:rPr>
          <w:lang w:val="en-US"/>
        </w:rPr>
        <w:t xml:space="preserve">Variable Costs – The flexible budget for the 80000 units level shows that the estimated total variable costs in the business were </w:t>
      </w:r>
      <w:r>
        <w:rPr>
          <w:rFonts w:cs="Times New Roman"/>
          <w:lang w:val="en-US"/>
        </w:rPr>
        <w:t>£</w:t>
      </w:r>
      <w:r>
        <w:rPr>
          <w:lang w:val="en-US"/>
        </w:rPr>
        <w:t xml:space="preserve"> 640000. In 2020, however, the total amount of the variable costs incurred by the business amounted to </w:t>
      </w:r>
      <w:r>
        <w:rPr>
          <w:rFonts w:cs="Times New Roman"/>
          <w:lang w:val="en-US"/>
        </w:rPr>
        <w:t>£</w:t>
      </w:r>
      <w:r>
        <w:rPr>
          <w:lang w:val="en-US"/>
        </w:rPr>
        <w:t xml:space="preserve"> 840000</w:t>
      </w:r>
      <w:r w:rsidR="0021340C">
        <w:rPr>
          <w:lang w:val="en-US"/>
        </w:rPr>
        <w:t xml:space="preserve"> (</w:t>
      </w:r>
      <w:proofErr w:type="spellStart"/>
      <w:r w:rsidR="0021340C">
        <w:rPr>
          <w:lang w:val="en-US"/>
        </w:rPr>
        <w:t>Roostapour</w:t>
      </w:r>
      <w:proofErr w:type="spellEnd"/>
      <w:r w:rsidR="0021340C">
        <w:rPr>
          <w:lang w:val="en-US"/>
        </w:rPr>
        <w:t xml:space="preserve"> et al., 2022)</w:t>
      </w:r>
      <w:r>
        <w:rPr>
          <w:lang w:val="en-US"/>
        </w:rPr>
        <w:t xml:space="preserve">. The variable costs in business, thus, exceeded the estimates by a total of </w:t>
      </w:r>
      <w:r>
        <w:rPr>
          <w:rFonts w:cs="Times New Roman"/>
          <w:lang w:val="en-US"/>
        </w:rPr>
        <w:t>£</w:t>
      </w:r>
      <w:r>
        <w:rPr>
          <w:lang w:val="en-US"/>
        </w:rPr>
        <w:t xml:space="preserve"> 200000. In other words, the overall variable overhead cost </w:t>
      </w:r>
      <w:r w:rsidR="008469DA">
        <w:rPr>
          <w:lang w:val="en-US"/>
        </w:rPr>
        <w:t xml:space="preserve">variance for the business has been </w:t>
      </w:r>
      <w:r w:rsidR="0099350D">
        <w:rPr>
          <w:lang w:val="en-US"/>
        </w:rPr>
        <w:t xml:space="preserve">-31.25%. </w:t>
      </w:r>
    </w:p>
    <w:p w14:paraId="782CFD8C" w14:textId="2F9AD866" w:rsidR="0099350D" w:rsidRDefault="0099350D" w:rsidP="0021340C">
      <w:pPr>
        <w:jc w:val="both"/>
        <w:rPr>
          <w:lang w:val="en-US"/>
        </w:rPr>
      </w:pPr>
      <w:r>
        <w:rPr>
          <w:lang w:val="en-US"/>
        </w:rPr>
        <w:t>The observation of the individual cost components for the variable costs promotes a better understanding of the variance that has occurred in the actual variable and the actual fixed overheads</w:t>
      </w:r>
      <w:r w:rsidR="0021340C">
        <w:rPr>
          <w:lang w:val="en-US"/>
        </w:rPr>
        <w:t xml:space="preserve"> (</w:t>
      </w:r>
      <w:proofErr w:type="spellStart"/>
      <w:r w:rsidR="0021340C">
        <w:rPr>
          <w:lang w:val="en-US"/>
        </w:rPr>
        <w:t>Tetiana</w:t>
      </w:r>
      <w:proofErr w:type="spellEnd"/>
      <w:r w:rsidR="0021340C">
        <w:rPr>
          <w:lang w:val="en-US"/>
        </w:rPr>
        <w:t xml:space="preserve"> et al. 2018)</w:t>
      </w:r>
      <w:r>
        <w:rPr>
          <w:lang w:val="en-US"/>
        </w:rPr>
        <w:t xml:space="preserve">. Apart from overhead expenses, where the cost variance is zero, the actual costs with respect to the material and labor expenses have exceeded the budget. It is apparent from the statement of variances that the actual material costs were 40% higher than the budgeted costs. The </w:t>
      </w:r>
      <w:r w:rsidR="00FE3485">
        <w:rPr>
          <w:lang w:val="en-US"/>
        </w:rPr>
        <w:t>estimate</w:t>
      </w:r>
      <w:r>
        <w:rPr>
          <w:lang w:val="en-US"/>
        </w:rPr>
        <w:t xml:space="preserve"> by the company that one unit of raw material would be available at </w:t>
      </w:r>
      <w:r>
        <w:rPr>
          <w:rFonts w:cs="Times New Roman"/>
          <w:lang w:val="en-US"/>
        </w:rPr>
        <w:t>£</w:t>
      </w:r>
      <w:r>
        <w:rPr>
          <w:lang w:val="en-US"/>
        </w:rPr>
        <w:t xml:space="preserve"> 2.5 proved to be inaccurate as the actual units of raw material </w:t>
      </w:r>
      <w:r w:rsidR="00FE3485">
        <w:rPr>
          <w:lang w:val="en-US"/>
        </w:rPr>
        <w:t>cost</w:t>
      </w:r>
      <w:r>
        <w:rPr>
          <w:lang w:val="en-US"/>
        </w:rPr>
        <w:t xml:space="preserve"> the business </w:t>
      </w:r>
      <w:r w:rsidR="00FE3485">
        <w:rPr>
          <w:rFonts w:cs="Times New Roman"/>
          <w:lang w:val="en-US"/>
        </w:rPr>
        <w:t>£</w:t>
      </w:r>
      <w:r w:rsidR="00FE3485">
        <w:rPr>
          <w:lang w:val="en-US"/>
        </w:rPr>
        <w:t xml:space="preserve"> 3.50. The inaccurate estimation by the cost managers and the inability of the procurement department to negotiate the purchase in an effective manner resulted in actual costs being </w:t>
      </w:r>
      <w:r w:rsidR="00FE3485">
        <w:rPr>
          <w:rFonts w:cs="Times New Roman"/>
          <w:lang w:val="en-US"/>
        </w:rPr>
        <w:t>£</w:t>
      </w:r>
      <w:r w:rsidR="00FE3485">
        <w:rPr>
          <w:lang w:val="en-US"/>
        </w:rPr>
        <w:t xml:space="preserve"> 80000 higher than the budget. </w:t>
      </w:r>
    </w:p>
    <w:p w14:paraId="0B4939A2" w14:textId="7A35EAF2" w:rsidR="00300F1D" w:rsidRDefault="00300F1D" w:rsidP="0021340C">
      <w:pPr>
        <w:jc w:val="both"/>
        <w:rPr>
          <w:lang w:val="en-US"/>
        </w:rPr>
      </w:pPr>
      <w:r>
        <w:rPr>
          <w:lang w:val="en-US"/>
        </w:rPr>
        <w:t>Fixed Costs – There is a stark and apparent difference in the performance of the company if the control of its fixed and variable costs in the business is considered</w:t>
      </w:r>
      <w:r w:rsidR="0021340C">
        <w:rPr>
          <w:lang w:val="en-US"/>
        </w:rPr>
        <w:t xml:space="preserve"> (Smith and Wagner, 2018)</w:t>
      </w:r>
      <w:r>
        <w:rPr>
          <w:lang w:val="en-US"/>
        </w:rPr>
        <w:t xml:space="preserve">. While the above explanation with regard to the overall variable cost incurred by the business, which is way above the budgeted amount, shows the inability of Amana to arrest the damage through effective cost control measures on variable costs and their different components, it is worth noticing that the business of Amana has performed exceedingly well as far as the cost control on </w:t>
      </w:r>
      <w:r w:rsidR="004A3585">
        <w:rPr>
          <w:lang w:val="en-US"/>
        </w:rPr>
        <w:t xml:space="preserve">fixed overheads in the business is concerned. </w:t>
      </w:r>
    </w:p>
    <w:p w14:paraId="441CC8BA" w14:textId="1D7E011F" w:rsidR="004A3585" w:rsidRDefault="004A3585" w:rsidP="0021340C">
      <w:pPr>
        <w:jc w:val="both"/>
        <w:rPr>
          <w:lang w:val="en-US"/>
        </w:rPr>
      </w:pPr>
      <w:r>
        <w:rPr>
          <w:lang w:val="en-US"/>
        </w:rPr>
        <w:t xml:space="preserve">The observation of the fixed overhead components makes it clear </w:t>
      </w:r>
      <w:r w:rsidR="005E13D6">
        <w:rPr>
          <w:lang w:val="en-US"/>
        </w:rPr>
        <w:t>to</w:t>
      </w:r>
      <w:r>
        <w:rPr>
          <w:lang w:val="en-US"/>
        </w:rPr>
        <w:t xml:space="preserve"> Amana. It is to be pointed </w:t>
      </w:r>
      <w:r w:rsidR="005E13D6">
        <w:rPr>
          <w:lang w:val="en-US"/>
        </w:rPr>
        <w:t xml:space="preserve">out </w:t>
      </w:r>
      <w:r>
        <w:rPr>
          <w:lang w:val="en-US"/>
        </w:rPr>
        <w:t>that there is not a single overhead where there has been a negative variance</w:t>
      </w:r>
      <w:r w:rsidR="0021340C">
        <w:rPr>
          <w:lang w:val="en-US"/>
        </w:rPr>
        <w:t xml:space="preserve"> (Yu et al., 2018)</w:t>
      </w:r>
      <w:r>
        <w:rPr>
          <w:lang w:val="en-US"/>
        </w:rPr>
        <w:t xml:space="preserve">. The firm has managed to keep its warehouse rental expense, insurance cost, and warehouse supervisor salary down by the budgeted level by 15%, 30%, and 12.86%, respectively. </w:t>
      </w:r>
      <w:r w:rsidR="005E13D6">
        <w:rPr>
          <w:lang w:val="en-US"/>
        </w:rPr>
        <w:t xml:space="preserve">This is enough evidence to the effectiveness with which the company has been </w:t>
      </w:r>
      <w:r w:rsidR="005E13D6">
        <w:rPr>
          <w:lang w:val="en-US"/>
        </w:rPr>
        <w:lastRenderedPageBreak/>
        <w:t xml:space="preserve">able to manage its fixed costs in the business. Some of the possible reasons as to how the business of Amana has achieved this has been enumerated as below- </w:t>
      </w:r>
    </w:p>
    <w:p w14:paraId="1BF010E2" w14:textId="01A5287F" w:rsidR="005E13D6" w:rsidRPr="00A753C4" w:rsidRDefault="00F435CE" w:rsidP="0021340C">
      <w:pPr>
        <w:pStyle w:val="ListParagraph"/>
        <w:numPr>
          <w:ilvl w:val="0"/>
          <w:numId w:val="4"/>
        </w:numPr>
        <w:contextualSpacing w:val="0"/>
        <w:jc w:val="both"/>
        <w:rPr>
          <w:lang w:val="en-US"/>
        </w:rPr>
      </w:pPr>
      <w:r w:rsidRPr="00A753C4">
        <w:rPr>
          <w:lang w:val="en-US"/>
        </w:rPr>
        <w:t>Overestimation of the fixed costs in the business for the actual capacity level.</w:t>
      </w:r>
    </w:p>
    <w:p w14:paraId="380F35FA" w14:textId="27333502" w:rsidR="00F435CE" w:rsidRPr="00A753C4" w:rsidRDefault="00F435CE" w:rsidP="0021340C">
      <w:pPr>
        <w:pStyle w:val="ListParagraph"/>
        <w:numPr>
          <w:ilvl w:val="0"/>
          <w:numId w:val="4"/>
        </w:numPr>
        <w:contextualSpacing w:val="0"/>
        <w:jc w:val="both"/>
        <w:rPr>
          <w:lang w:val="en-US"/>
        </w:rPr>
      </w:pPr>
      <w:r w:rsidRPr="00A753C4">
        <w:rPr>
          <w:lang w:val="en-US"/>
        </w:rPr>
        <w:t>Better salary negotiation with the supervisor in terms of salary.</w:t>
      </w:r>
    </w:p>
    <w:p w14:paraId="72856384" w14:textId="44658600" w:rsidR="00F435CE" w:rsidRDefault="00F435CE" w:rsidP="0021340C">
      <w:pPr>
        <w:pStyle w:val="ListParagraph"/>
        <w:numPr>
          <w:ilvl w:val="0"/>
          <w:numId w:val="4"/>
        </w:numPr>
        <w:contextualSpacing w:val="0"/>
        <w:jc w:val="both"/>
        <w:rPr>
          <w:lang w:val="en-US"/>
        </w:rPr>
      </w:pPr>
      <w:r w:rsidRPr="00A753C4">
        <w:rPr>
          <w:lang w:val="en-US"/>
        </w:rPr>
        <w:t xml:space="preserve">Signing the rental agreement on lower rentals than budgeted. </w:t>
      </w:r>
      <w:r w:rsidR="000B755A" w:rsidRPr="00A753C4">
        <w:rPr>
          <w:lang w:val="en-US"/>
        </w:rPr>
        <w:t xml:space="preserve">It is possible that the enterprise assumed that the lease rental to be high due to </w:t>
      </w:r>
      <w:r w:rsidR="00A753C4" w:rsidRPr="00A753C4">
        <w:rPr>
          <w:lang w:val="en-US"/>
        </w:rPr>
        <w:t xml:space="preserve">the </w:t>
      </w:r>
      <w:r w:rsidR="000B755A" w:rsidRPr="00A753C4">
        <w:rPr>
          <w:lang w:val="en-US"/>
        </w:rPr>
        <w:t xml:space="preserve">need </w:t>
      </w:r>
      <w:r w:rsidR="00A753C4" w:rsidRPr="00A753C4">
        <w:rPr>
          <w:lang w:val="en-US"/>
        </w:rPr>
        <w:t>for</w:t>
      </w:r>
      <w:r w:rsidR="000B755A" w:rsidRPr="00A753C4">
        <w:rPr>
          <w:lang w:val="en-US"/>
        </w:rPr>
        <w:t xml:space="preserve"> a larger warehouse. However, the said did not </w:t>
      </w:r>
      <w:r w:rsidR="00A753C4" w:rsidRPr="00A753C4">
        <w:rPr>
          <w:lang w:val="en-US"/>
        </w:rPr>
        <w:t>happen</w:t>
      </w:r>
      <w:r w:rsidR="000B755A" w:rsidRPr="00A753C4">
        <w:rPr>
          <w:lang w:val="en-US"/>
        </w:rPr>
        <w:t xml:space="preserve"> and a small warehouse with </w:t>
      </w:r>
      <w:r w:rsidR="00A753C4" w:rsidRPr="00A753C4">
        <w:rPr>
          <w:lang w:val="en-US"/>
        </w:rPr>
        <w:t>fewer rentals</w:t>
      </w:r>
      <w:r w:rsidR="000B755A" w:rsidRPr="00A753C4">
        <w:rPr>
          <w:lang w:val="en-US"/>
        </w:rPr>
        <w:t xml:space="preserve"> was enough. </w:t>
      </w:r>
    </w:p>
    <w:p w14:paraId="05D2969B" w14:textId="124ED84B" w:rsidR="00A753C4" w:rsidRDefault="00A753C4" w:rsidP="0021340C">
      <w:pPr>
        <w:pStyle w:val="ListParagraph"/>
        <w:numPr>
          <w:ilvl w:val="0"/>
          <w:numId w:val="5"/>
        </w:numPr>
        <w:contextualSpacing w:val="0"/>
        <w:jc w:val="both"/>
        <w:rPr>
          <w:lang w:val="en-US"/>
        </w:rPr>
      </w:pPr>
      <w:r w:rsidRPr="00790404">
        <w:rPr>
          <w:b/>
          <w:bCs/>
          <w:i/>
          <w:iCs/>
          <w:lang w:val="en-US"/>
        </w:rPr>
        <w:t xml:space="preserve">Profit </w:t>
      </w:r>
      <w:r>
        <w:rPr>
          <w:lang w:val="en-US"/>
        </w:rPr>
        <w:t xml:space="preserve">– The flexible budget for the actual activity level in the business shows that Amana estimated that the business would be able to make a final profit of </w:t>
      </w:r>
      <w:r>
        <w:rPr>
          <w:rFonts w:cs="Times New Roman"/>
          <w:lang w:val="en-US"/>
        </w:rPr>
        <w:t>£</w:t>
      </w:r>
      <w:r>
        <w:rPr>
          <w:lang w:val="en-US"/>
        </w:rPr>
        <w:t xml:space="preserve"> 1010000. However, the same was not possible in real as the variable costs in the business were high and the business was never able to match the desired level of revenue</w:t>
      </w:r>
      <w:r w:rsidR="0021340C">
        <w:rPr>
          <w:lang w:val="en-US"/>
        </w:rPr>
        <w:t xml:space="preserve"> (Smith and Wagner, 2018)</w:t>
      </w:r>
      <w:r>
        <w:rPr>
          <w:lang w:val="en-US"/>
        </w:rPr>
        <w:t xml:space="preserve">. </w:t>
      </w:r>
      <w:r w:rsidR="00160B0C">
        <w:rPr>
          <w:lang w:val="en-US"/>
        </w:rPr>
        <w:t xml:space="preserve">The actual profit was just </w:t>
      </w:r>
      <w:r w:rsidR="00160B0C">
        <w:rPr>
          <w:rFonts w:cs="Times New Roman"/>
          <w:lang w:val="en-US"/>
        </w:rPr>
        <w:t>£</w:t>
      </w:r>
      <w:r w:rsidR="00160B0C">
        <w:rPr>
          <w:lang w:val="en-US"/>
        </w:rPr>
        <w:t xml:space="preserve"> 455000, which was lower than estimated by a staggering 54.95%. </w:t>
      </w:r>
    </w:p>
    <w:p w14:paraId="49FFAC62" w14:textId="6EBE0397" w:rsidR="00790404" w:rsidRDefault="00790404" w:rsidP="0021340C">
      <w:pPr>
        <w:pStyle w:val="ListParagraph"/>
        <w:numPr>
          <w:ilvl w:val="0"/>
          <w:numId w:val="1"/>
        </w:numPr>
        <w:contextualSpacing w:val="0"/>
        <w:jc w:val="both"/>
        <w:rPr>
          <w:b/>
          <w:bCs/>
          <w:lang w:val="en-US"/>
        </w:rPr>
      </w:pPr>
      <w:r w:rsidRPr="00790404">
        <w:rPr>
          <w:b/>
          <w:bCs/>
          <w:lang w:val="en-US"/>
        </w:rPr>
        <w:t>Recommendation to Amana’s CEO on the areas of improvement</w:t>
      </w:r>
    </w:p>
    <w:p w14:paraId="0A9CB7D6" w14:textId="488AE979" w:rsidR="00790404" w:rsidRDefault="00DD2529" w:rsidP="0021340C">
      <w:pPr>
        <w:jc w:val="both"/>
        <w:rPr>
          <w:lang w:val="en-US"/>
        </w:rPr>
      </w:pPr>
      <w:r>
        <w:rPr>
          <w:lang w:val="en-US"/>
        </w:rPr>
        <w:t>It is crystal clear from the above analysis that the major areas of concern for the business have been in the area of sales revenue and the control (or should it be said that the lack of it) of the variable costs of the business</w:t>
      </w:r>
      <w:r w:rsidR="0021340C">
        <w:rPr>
          <w:lang w:val="en-US"/>
        </w:rPr>
        <w:t xml:space="preserve"> (Smith and Wagner, 2018)</w:t>
      </w:r>
      <w:r>
        <w:rPr>
          <w:lang w:val="en-US"/>
        </w:rPr>
        <w:t xml:space="preserve">. The development of suitable recommendations that trigger improvements in the business and the communication of the various recommendations to the CEO of the business requires prior ascertainment and listing of the issues with which Amana’s business finds itself </w:t>
      </w:r>
      <w:r w:rsidR="00AF2076">
        <w:rPr>
          <w:lang w:val="en-US"/>
        </w:rPr>
        <w:t>grappling</w:t>
      </w:r>
      <w:r>
        <w:rPr>
          <w:lang w:val="en-US"/>
        </w:rPr>
        <w:t xml:space="preserve">. The same has been presented below-  </w:t>
      </w:r>
    </w:p>
    <w:p w14:paraId="6421F4CA" w14:textId="75D5082D" w:rsidR="000F2673" w:rsidRDefault="000F2673" w:rsidP="0021340C">
      <w:pPr>
        <w:pStyle w:val="ListParagraph"/>
        <w:numPr>
          <w:ilvl w:val="0"/>
          <w:numId w:val="5"/>
        </w:numPr>
        <w:contextualSpacing w:val="0"/>
        <w:jc w:val="both"/>
        <w:rPr>
          <w:lang w:val="en-US"/>
        </w:rPr>
      </w:pPr>
      <w:r>
        <w:rPr>
          <w:lang w:val="en-US"/>
        </w:rPr>
        <w:t xml:space="preserve">Inability to achieve the </w:t>
      </w:r>
      <w:r w:rsidR="00AF2076">
        <w:rPr>
          <w:lang w:val="en-US"/>
        </w:rPr>
        <w:t>desired</w:t>
      </w:r>
      <w:r>
        <w:rPr>
          <w:lang w:val="en-US"/>
        </w:rPr>
        <w:t xml:space="preserve"> sales volume.</w:t>
      </w:r>
    </w:p>
    <w:p w14:paraId="4D5F1D15" w14:textId="07806EB7" w:rsidR="000F2673" w:rsidRDefault="000F2673" w:rsidP="0021340C">
      <w:pPr>
        <w:pStyle w:val="ListParagraph"/>
        <w:numPr>
          <w:ilvl w:val="0"/>
          <w:numId w:val="5"/>
        </w:numPr>
        <w:contextualSpacing w:val="0"/>
        <w:jc w:val="both"/>
        <w:rPr>
          <w:lang w:val="en-US"/>
        </w:rPr>
      </w:pPr>
      <w:r>
        <w:rPr>
          <w:lang w:val="en-US"/>
        </w:rPr>
        <w:t>Inability to sell the goods at the desired level of prices.</w:t>
      </w:r>
    </w:p>
    <w:p w14:paraId="652423AB" w14:textId="6172A727" w:rsidR="000F2673" w:rsidRDefault="000F2673" w:rsidP="0021340C">
      <w:pPr>
        <w:pStyle w:val="ListParagraph"/>
        <w:numPr>
          <w:ilvl w:val="0"/>
          <w:numId w:val="5"/>
        </w:numPr>
        <w:contextualSpacing w:val="0"/>
        <w:jc w:val="both"/>
        <w:rPr>
          <w:lang w:val="en-US"/>
        </w:rPr>
      </w:pPr>
      <w:r>
        <w:rPr>
          <w:lang w:val="en-US"/>
        </w:rPr>
        <w:t>Inability to procure the materials at the desired level of per unit costs.</w:t>
      </w:r>
    </w:p>
    <w:p w14:paraId="06837C42" w14:textId="5EBB83A1" w:rsidR="000F2673" w:rsidRDefault="000F2673" w:rsidP="0021340C">
      <w:pPr>
        <w:pStyle w:val="ListParagraph"/>
        <w:numPr>
          <w:ilvl w:val="0"/>
          <w:numId w:val="5"/>
        </w:numPr>
        <w:contextualSpacing w:val="0"/>
        <w:jc w:val="both"/>
        <w:rPr>
          <w:lang w:val="en-US"/>
        </w:rPr>
      </w:pPr>
      <w:r>
        <w:rPr>
          <w:lang w:val="en-US"/>
        </w:rPr>
        <w:t xml:space="preserve">The excess of actual per unit of wages paid to workers over the estimated wages per unit. </w:t>
      </w:r>
    </w:p>
    <w:p w14:paraId="5AB5B238" w14:textId="6B428695" w:rsidR="009A1344" w:rsidRPr="000F2673" w:rsidRDefault="009A1344" w:rsidP="0021340C">
      <w:pPr>
        <w:pStyle w:val="ListParagraph"/>
        <w:numPr>
          <w:ilvl w:val="0"/>
          <w:numId w:val="5"/>
        </w:numPr>
        <w:contextualSpacing w:val="0"/>
        <w:jc w:val="both"/>
        <w:rPr>
          <w:lang w:val="en-US"/>
        </w:rPr>
      </w:pPr>
      <w:r>
        <w:rPr>
          <w:lang w:val="en-US"/>
        </w:rPr>
        <w:t>Profits are lower than expected</w:t>
      </w:r>
      <w:r w:rsidR="0021340C">
        <w:rPr>
          <w:lang w:val="en-US"/>
        </w:rPr>
        <w:t xml:space="preserve"> (Tien, 2019)</w:t>
      </w:r>
      <w:r>
        <w:rPr>
          <w:lang w:val="en-US"/>
        </w:rPr>
        <w:t xml:space="preserve">. </w:t>
      </w:r>
    </w:p>
    <w:p w14:paraId="3006F264" w14:textId="716FA999" w:rsidR="00A753C4" w:rsidRDefault="004B44DC" w:rsidP="0021340C">
      <w:pPr>
        <w:jc w:val="both"/>
        <w:rPr>
          <w:lang w:val="en-US"/>
        </w:rPr>
      </w:pPr>
      <w:r>
        <w:rPr>
          <w:lang w:val="en-US"/>
        </w:rPr>
        <w:lastRenderedPageBreak/>
        <w:t xml:space="preserve">The recommendations to Amana’s CEO for bringing out improvements in the above-listed areas have been enumerated below- </w:t>
      </w:r>
    </w:p>
    <w:p w14:paraId="63CA47B1" w14:textId="3979923E" w:rsidR="004B44DC" w:rsidRDefault="004B44DC" w:rsidP="0021340C">
      <w:pPr>
        <w:pStyle w:val="ListParagraph"/>
        <w:numPr>
          <w:ilvl w:val="0"/>
          <w:numId w:val="6"/>
        </w:numPr>
        <w:contextualSpacing w:val="0"/>
        <w:jc w:val="both"/>
        <w:rPr>
          <w:lang w:val="en-US"/>
        </w:rPr>
      </w:pPr>
      <w:r>
        <w:rPr>
          <w:lang w:val="en-US"/>
        </w:rPr>
        <w:t>Since the firm has not been able to achieve the desired level of sales output, it should plan to market its products in a wide and aggressive manner to its customers</w:t>
      </w:r>
      <w:r w:rsidR="0021340C">
        <w:rPr>
          <w:lang w:val="en-US"/>
        </w:rPr>
        <w:t xml:space="preserve"> (Tien, 2019)</w:t>
      </w:r>
      <w:r>
        <w:rPr>
          <w:lang w:val="en-US"/>
        </w:rPr>
        <w:t xml:space="preserve">. This would not only help the firm in communicating with customers located in remote locations but would also help the company to cover the loss incurred on account of the lower selling price as the volume of the products being currently sold would be significantly increased for the company. </w:t>
      </w:r>
    </w:p>
    <w:p w14:paraId="0A1959DD" w14:textId="0F852F90" w:rsidR="004B44DC" w:rsidRDefault="009A1344" w:rsidP="0021340C">
      <w:pPr>
        <w:pStyle w:val="ListParagraph"/>
        <w:numPr>
          <w:ilvl w:val="0"/>
          <w:numId w:val="6"/>
        </w:numPr>
        <w:contextualSpacing w:val="0"/>
        <w:jc w:val="both"/>
        <w:rPr>
          <w:lang w:val="en-US"/>
        </w:rPr>
      </w:pPr>
      <w:r>
        <w:rPr>
          <w:lang w:val="en-US"/>
        </w:rPr>
        <w:t>Another issue</w:t>
      </w:r>
      <w:r w:rsidR="004B44DC">
        <w:rPr>
          <w:lang w:val="en-US"/>
        </w:rPr>
        <w:t xml:space="preserve"> relating to the firm not being able to </w:t>
      </w:r>
      <w:r>
        <w:rPr>
          <w:lang w:val="en-US"/>
        </w:rPr>
        <w:t>sell the products according to the estimated selling price. The decision to lower the selling price is particularly taken by the business firms in the wake of competition where the rival firms are also selling the products at similar prices</w:t>
      </w:r>
      <w:r w:rsidR="0021340C">
        <w:rPr>
          <w:lang w:val="en-US"/>
        </w:rPr>
        <w:t xml:space="preserve"> (Yu et al., 2018)</w:t>
      </w:r>
      <w:r>
        <w:rPr>
          <w:lang w:val="en-US"/>
        </w:rPr>
        <w:t xml:space="preserve">. The only solution available to the business is to carry out a scheme of product differentiation through extensive investment in research and development. However, this would also involve costs on the part of the company. </w:t>
      </w:r>
    </w:p>
    <w:p w14:paraId="71F3ED08" w14:textId="71151B2B" w:rsidR="009A1344" w:rsidRDefault="009A1344" w:rsidP="0021340C">
      <w:pPr>
        <w:pStyle w:val="ListParagraph"/>
        <w:numPr>
          <w:ilvl w:val="0"/>
          <w:numId w:val="6"/>
        </w:numPr>
        <w:contextualSpacing w:val="0"/>
        <w:jc w:val="both"/>
        <w:rPr>
          <w:lang w:val="en-US"/>
        </w:rPr>
      </w:pPr>
      <w:r>
        <w:rPr>
          <w:lang w:val="en-US"/>
        </w:rPr>
        <w:t xml:space="preserve">The inability of the firm to not be able to achieve the desired level of cost in terms of material and </w:t>
      </w:r>
      <w:r w:rsidR="00B35CF5">
        <w:rPr>
          <w:lang w:val="en-US"/>
        </w:rPr>
        <w:t>labor</w:t>
      </w:r>
      <w:r>
        <w:rPr>
          <w:lang w:val="en-US"/>
        </w:rPr>
        <w:t xml:space="preserve"> is due to the ineffective functioning of the purchasing department and the cost manager</w:t>
      </w:r>
      <w:r w:rsidR="0021340C">
        <w:rPr>
          <w:lang w:val="en-US"/>
        </w:rPr>
        <w:t xml:space="preserve"> (Yu et al. 2018)</w:t>
      </w:r>
      <w:r>
        <w:rPr>
          <w:lang w:val="en-US"/>
        </w:rPr>
        <w:t xml:space="preserve">. There is a need to conduct a proper analysis of the available sources of raw materials and the cost-benefit associated with each of these sources. In addition to this, there is a need for betterment in terms of negotiation with the workers. The focus of the company should be to </w:t>
      </w:r>
      <w:r w:rsidR="00B35CF5">
        <w:rPr>
          <w:lang w:val="en-US"/>
        </w:rPr>
        <w:t xml:space="preserve">hire workers at cheaper rates for the upcoming period. </w:t>
      </w:r>
      <w:r w:rsidR="009E168D">
        <w:rPr>
          <w:lang w:val="en-US"/>
        </w:rPr>
        <w:t xml:space="preserve">This would help the company achieve a decline in variable costs. </w:t>
      </w:r>
    </w:p>
    <w:p w14:paraId="0B7B1206" w14:textId="7CD58CCD" w:rsidR="00AB04DE" w:rsidRDefault="00A00808" w:rsidP="0021340C">
      <w:pPr>
        <w:pStyle w:val="ListParagraph"/>
        <w:numPr>
          <w:ilvl w:val="0"/>
          <w:numId w:val="6"/>
        </w:numPr>
        <w:contextualSpacing w:val="0"/>
        <w:jc w:val="both"/>
        <w:rPr>
          <w:lang w:val="en-US"/>
        </w:rPr>
      </w:pPr>
      <w:r>
        <w:rPr>
          <w:lang w:val="en-US"/>
        </w:rPr>
        <w:t xml:space="preserve">In addition to this, as the business has not been able to achieve the desired level of profits, the firm should conduct a series of marginal analysis computations such as the required sales to earn desired profits, the margin of safety, </w:t>
      </w:r>
      <w:proofErr w:type="spellStart"/>
      <w:r>
        <w:rPr>
          <w:lang w:val="en-US"/>
        </w:rPr>
        <w:t>etc</w:t>
      </w:r>
      <w:proofErr w:type="spellEnd"/>
      <w:r w:rsidR="0021340C">
        <w:rPr>
          <w:lang w:val="en-US"/>
        </w:rPr>
        <w:t xml:space="preserve"> (</w:t>
      </w:r>
      <w:proofErr w:type="spellStart"/>
      <w:r w:rsidR="0021340C">
        <w:rPr>
          <w:lang w:val="en-US"/>
        </w:rPr>
        <w:t>Tien</w:t>
      </w:r>
      <w:proofErr w:type="spellEnd"/>
      <w:r w:rsidR="0021340C">
        <w:rPr>
          <w:lang w:val="en-US"/>
        </w:rPr>
        <w:t>, 2019)</w:t>
      </w:r>
      <w:r>
        <w:rPr>
          <w:lang w:val="en-US"/>
        </w:rPr>
        <w:t xml:space="preserve">. This would help the company determine the level it needs to attain the desired level of profits. The firm can then be able to make the required changes in its sales planning so as to reach the level it needs to attain desired level of sales volume to accomplish the profit which it desires. </w:t>
      </w:r>
    </w:p>
    <w:p w14:paraId="53FF5034" w14:textId="656270C0" w:rsidR="005D08EB" w:rsidRDefault="005D08EB" w:rsidP="0021340C">
      <w:pPr>
        <w:jc w:val="both"/>
        <w:rPr>
          <w:lang w:val="en-US"/>
        </w:rPr>
      </w:pPr>
      <w:r>
        <w:rPr>
          <w:lang w:val="en-US"/>
        </w:rPr>
        <w:br w:type="page"/>
      </w:r>
    </w:p>
    <w:p w14:paraId="0C8C6685" w14:textId="11C56E43" w:rsidR="005D08EB" w:rsidRDefault="005D08EB" w:rsidP="0021340C">
      <w:pPr>
        <w:pStyle w:val="Heading1"/>
        <w:jc w:val="both"/>
        <w:rPr>
          <w:lang w:val="en-US"/>
        </w:rPr>
      </w:pPr>
      <w:bookmarkStart w:id="2" w:name="_Toc119997165"/>
      <w:r>
        <w:rPr>
          <w:lang w:val="en-US"/>
        </w:rPr>
        <w:lastRenderedPageBreak/>
        <w:t>PART TWO</w:t>
      </w:r>
      <w:bookmarkEnd w:id="2"/>
      <w:r>
        <w:rPr>
          <w:lang w:val="en-US"/>
        </w:rPr>
        <w:t xml:space="preserve"> </w:t>
      </w:r>
    </w:p>
    <w:p w14:paraId="5E23AE58" w14:textId="2A0DE151" w:rsidR="005D08EB" w:rsidRDefault="005D08EB" w:rsidP="0021340C">
      <w:pPr>
        <w:jc w:val="both"/>
        <w:rPr>
          <w:b/>
          <w:bCs/>
          <w:lang w:val="en-US"/>
        </w:rPr>
      </w:pPr>
      <w:r>
        <w:rPr>
          <w:b/>
          <w:bCs/>
          <w:lang w:val="en-US"/>
        </w:rPr>
        <w:t>Statement showing the computation of results if Amana decides to go online</w:t>
      </w:r>
    </w:p>
    <w:tbl>
      <w:tblPr>
        <w:tblW w:w="5000" w:type="pct"/>
        <w:tblLook w:val="04A0" w:firstRow="1" w:lastRow="0" w:firstColumn="1" w:lastColumn="0" w:noHBand="0" w:noVBand="1"/>
      </w:tblPr>
      <w:tblGrid>
        <w:gridCol w:w="7166"/>
        <w:gridCol w:w="2076"/>
      </w:tblGrid>
      <w:tr w:rsidR="005D08EB" w:rsidRPr="005D08EB" w14:paraId="2263B7DD" w14:textId="77777777" w:rsidTr="005D08EB">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12E839"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Option 1 - Online mode of sales through own website</w:t>
            </w:r>
          </w:p>
        </w:tc>
      </w:tr>
      <w:tr w:rsidR="005D08EB" w:rsidRPr="005D08EB" w14:paraId="1A5448F4"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66915500"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Particulars</w:t>
            </w:r>
          </w:p>
        </w:tc>
        <w:tc>
          <w:tcPr>
            <w:tcW w:w="1123" w:type="pct"/>
            <w:tcBorders>
              <w:top w:val="nil"/>
              <w:left w:val="nil"/>
              <w:bottom w:val="single" w:sz="4" w:space="0" w:color="auto"/>
              <w:right w:val="single" w:sz="4" w:space="0" w:color="auto"/>
            </w:tcBorders>
            <w:shd w:val="clear" w:color="auto" w:fill="auto"/>
            <w:noWrap/>
            <w:vAlign w:val="bottom"/>
            <w:hideMark/>
          </w:tcPr>
          <w:p w14:paraId="7076D849" w14:textId="2339733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Amount (£)</w:t>
            </w:r>
          </w:p>
        </w:tc>
      </w:tr>
      <w:tr w:rsidR="005D08EB" w:rsidRPr="005D08EB" w14:paraId="40006322"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2E7F89CA"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Projected Sales</w:t>
            </w:r>
          </w:p>
        </w:tc>
        <w:tc>
          <w:tcPr>
            <w:tcW w:w="1123" w:type="pct"/>
            <w:tcBorders>
              <w:top w:val="nil"/>
              <w:left w:val="nil"/>
              <w:bottom w:val="single" w:sz="4" w:space="0" w:color="auto"/>
              <w:right w:val="single" w:sz="4" w:space="0" w:color="auto"/>
            </w:tcBorders>
            <w:shd w:val="clear" w:color="auto" w:fill="auto"/>
            <w:noWrap/>
            <w:vAlign w:val="bottom"/>
            <w:hideMark/>
          </w:tcPr>
          <w:p w14:paraId="6DD5D95B"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2000000</w:t>
            </w:r>
          </w:p>
        </w:tc>
      </w:tr>
      <w:tr w:rsidR="005D08EB" w:rsidRPr="005D08EB" w14:paraId="0392FDA0"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69E7D88E" w14:textId="77777777" w:rsidR="005D08EB" w:rsidRPr="005D08EB" w:rsidRDefault="005D08EB" w:rsidP="0021340C">
            <w:pPr>
              <w:spacing w:after="0"/>
              <w:jc w:val="both"/>
              <w:rPr>
                <w:rFonts w:eastAsia="Times New Roman" w:cs="Times New Roman"/>
                <w:color w:val="000000"/>
                <w:szCs w:val="24"/>
                <w:u w:val="single"/>
                <w:lang w:eastAsia="en-IN"/>
              </w:rPr>
            </w:pPr>
            <w:r w:rsidRPr="005D08EB">
              <w:rPr>
                <w:rFonts w:eastAsia="Times New Roman" w:cs="Times New Roman"/>
                <w:color w:val="000000"/>
                <w:szCs w:val="24"/>
                <w:u w:val="single"/>
                <w:lang w:eastAsia="en-IN"/>
              </w:rPr>
              <w:t>Estimated costs to be incurred</w:t>
            </w:r>
          </w:p>
        </w:tc>
        <w:tc>
          <w:tcPr>
            <w:tcW w:w="1123" w:type="pct"/>
            <w:tcBorders>
              <w:top w:val="nil"/>
              <w:left w:val="nil"/>
              <w:bottom w:val="single" w:sz="4" w:space="0" w:color="auto"/>
              <w:right w:val="single" w:sz="4" w:space="0" w:color="auto"/>
            </w:tcBorders>
            <w:shd w:val="clear" w:color="auto" w:fill="auto"/>
            <w:noWrap/>
            <w:vAlign w:val="bottom"/>
            <w:hideMark/>
          </w:tcPr>
          <w:p w14:paraId="7E6BAB2E"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 </w:t>
            </w:r>
          </w:p>
        </w:tc>
      </w:tr>
      <w:tr w:rsidR="005D08EB" w:rsidRPr="005D08EB" w14:paraId="4E353807"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3918849E" w14:textId="022E5FF5"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 xml:space="preserve">Cost of setting up </w:t>
            </w:r>
            <w:r>
              <w:rPr>
                <w:rFonts w:eastAsia="Times New Roman" w:cs="Times New Roman"/>
                <w:color w:val="000000"/>
                <w:szCs w:val="24"/>
                <w:lang w:eastAsia="en-IN"/>
              </w:rPr>
              <w:t xml:space="preserve">a </w:t>
            </w:r>
            <w:r w:rsidRPr="005D08EB">
              <w:rPr>
                <w:rFonts w:eastAsia="Times New Roman" w:cs="Times New Roman"/>
                <w:color w:val="000000"/>
                <w:szCs w:val="24"/>
                <w:lang w:eastAsia="en-IN"/>
              </w:rPr>
              <w:t>delivery network</w:t>
            </w:r>
          </w:p>
        </w:tc>
        <w:tc>
          <w:tcPr>
            <w:tcW w:w="1123" w:type="pct"/>
            <w:tcBorders>
              <w:top w:val="nil"/>
              <w:left w:val="nil"/>
              <w:bottom w:val="single" w:sz="4" w:space="0" w:color="auto"/>
              <w:right w:val="single" w:sz="4" w:space="0" w:color="auto"/>
            </w:tcBorders>
            <w:shd w:val="clear" w:color="auto" w:fill="auto"/>
            <w:noWrap/>
            <w:vAlign w:val="bottom"/>
            <w:hideMark/>
          </w:tcPr>
          <w:p w14:paraId="7CA482A7"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150000</w:t>
            </w:r>
          </w:p>
        </w:tc>
      </w:tr>
      <w:tr w:rsidR="005D08EB" w:rsidRPr="005D08EB" w14:paraId="4CCC29EB"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6AB34C04"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Cost of upgradation of business website</w:t>
            </w:r>
          </w:p>
        </w:tc>
        <w:tc>
          <w:tcPr>
            <w:tcW w:w="1123" w:type="pct"/>
            <w:tcBorders>
              <w:top w:val="nil"/>
              <w:left w:val="nil"/>
              <w:bottom w:val="single" w:sz="4" w:space="0" w:color="auto"/>
              <w:right w:val="single" w:sz="4" w:space="0" w:color="auto"/>
            </w:tcBorders>
            <w:shd w:val="clear" w:color="auto" w:fill="auto"/>
            <w:noWrap/>
            <w:vAlign w:val="bottom"/>
            <w:hideMark/>
          </w:tcPr>
          <w:p w14:paraId="7B782FBC"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50000</w:t>
            </w:r>
          </w:p>
        </w:tc>
      </w:tr>
      <w:tr w:rsidR="005D08EB" w:rsidRPr="005D08EB" w14:paraId="76B2A897"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4F71087E" w14:textId="161F040E"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 xml:space="preserve">Salary of </w:t>
            </w:r>
            <w:r>
              <w:rPr>
                <w:rFonts w:eastAsia="Times New Roman" w:cs="Times New Roman"/>
                <w:color w:val="000000"/>
                <w:szCs w:val="24"/>
                <w:lang w:eastAsia="en-IN"/>
              </w:rPr>
              <w:t>full-time</w:t>
            </w:r>
            <w:r w:rsidRPr="005D08EB">
              <w:rPr>
                <w:rFonts w:eastAsia="Times New Roman" w:cs="Times New Roman"/>
                <w:color w:val="000000"/>
                <w:szCs w:val="24"/>
                <w:lang w:eastAsia="en-IN"/>
              </w:rPr>
              <w:t xml:space="preserve"> IT programmer</w:t>
            </w:r>
          </w:p>
        </w:tc>
        <w:tc>
          <w:tcPr>
            <w:tcW w:w="1123" w:type="pct"/>
            <w:tcBorders>
              <w:top w:val="nil"/>
              <w:left w:val="nil"/>
              <w:bottom w:val="single" w:sz="4" w:space="0" w:color="auto"/>
              <w:right w:val="single" w:sz="4" w:space="0" w:color="auto"/>
            </w:tcBorders>
            <w:shd w:val="clear" w:color="auto" w:fill="auto"/>
            <w:noWrap/>
            <w:vAlign w:val="bottom"/>
            <w:hideMark/>
          </w:tcPr>
          <w:p w14:paraId="3E5FA7BC"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35000</w:t>
            </w:r>
          </w:p>
        </w:tc>
      </w:tr>
      <w:tr w:rsidR="005D08EB" w:rsidRPr="005D08EB" w14:paraId="6DEB522A"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3EFAAC21"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Total Costs</w:t>
            </w:r>
          </w:p>
        </w:tc>
        <w:tc>
          <w:tcPr>
            <w:tcW w:w="1123" w:type="pct"/>
            <w:tcBorders>
              <w:top w:val="nil"/>
              <w:left w:val="nil"/>
              <w:bottom w:val="single" w:sz="4" w:space="0" w:color="auto"/>
              <w:right w:val="single" w:sz="4" w:space="0" w:color="auto"/>
            </w:tcBorders>
            <w:shd w:val="clear" w:color="auto" w:fill="auto"/>
            <w:noWrap/>
            <w:vAlign w:val="bottom"/>
            <w:hideMark/>
          </w:tcPr>
          <w:p w14:paraId="31AA50D2"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235000</w:t>
            </w:r>
          </w:p>
        </w:tc>
      </w:tr>
      <w:tr w:rsidR="005D08EB" w:rsidRPr="005D08EB" w14:paraId="0F271301" w14:textId="77777777" w:rsidTr="005D08EB">
        <w:trPr>
          <w:trHeight w:val="315"/>
        </w:trPr>
        <w:tc>
          <w:tcPr>
            <w:tcW w:w="3877" w:type="pct"/>
            <w:tcBorders>
              <w:top w:val="nil"/>
              <w:left w:val="single" w:sz="4" w:space="0" w:color="auto"/>
              <w:bottom w:val="single" w:sz="4" w:space="0" w:color="auto"/>
              <w:right w:val="single" w:sz="4" w:space="0" w:color="auto"/>
            </w:tcBorders>
            <w:shd w:val="clear" w:color="auto" w:fill="auto"/>
            <w:noWrap/>
            <w:vAlign w:val="bottom"/>
            <w:hideMark/>
          </w:tcPr>
          <w:p w14:paraId="77BC1934"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Net profit through shifting to online mode</w:t>
            </w:r>
          </w:p>
        </w:tc>
        <w:tc>
          <w:tcPr>
            <w:tcW w:w="1123" w:type="pct"/>
            <w:tcBorders>
              <w:top w:val="nil"/>
              <w:left w:val="nil"/>
              <w:bottom w:val="single" w:sz="4" w:space="0" w:color="auto"/>
              <w:right w:val="single" w:sz="4" w:space="0" w:color="auto"/>
            </w:tcBorders>
            <w:shd w:val="clear" w:color="auto" w:fill="auto"/>
            <w:noWrap/>
            <w:vAlign w:val="bottom"/>
            <w:hideMark/>
          </w:tcPr>
          <w:p w14:paraId="061FDB27"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1765000</w:t>
            </w:r>
          </w:p>
        </w:tc>
      </w:tr>
    </w:tbl>
    <w:p w14:paraId="7189B76A" w14:textId="13DC4279" w:rsidR="005D08EB" w:rsidRDefault="005D08EB" w:rsidP="0021340C">
      <w:pPr>
        <w:jc w:val="both"/>
        <w:rPr>
          <w:b/>
          <w:bCs/>
          <w:lang w:val="en-US"/>
        </w:rPr>
      </w:pPr>
    </w:p>
    <w:p w14:paraId="03EEC7A5" w14:textId="537C20DB" w:rsidR="005D08EB" w:rsidRDefault="005D08EB" w:rsidP="0021340C">
      <w:pPr>
        <w:jc w:val="both"/>
        <w:rPr>
          <w:b/>
          <w:bCs/>
          <w:u w:val="single"/>
          <w:lang w:val="en-US"/>
        </w:rPr>
      </w:pPr>
      <w:r w:rsidRPr="005D08EB">
        <w:rPr>
          <w:b/>
          <w:bCs/>
          <w:u w:val="single"/>
          <w:lang w:val="en-US"/>
        </w:rPr>
        <w:t xml:space="preserve">Evaluation </w:t>
      </w:r>
    </w:p>
    <w:p w14:paraId="5C0542B4" w14:textId="198A7281" w:rsidR="005D08EB" w:rsidRDefault="005D08EB" w:rsidP="0021340C">
      <w:pPr>
        <w:jc w:val="both"/>
        <w:rPr>
          <w:lang w:val="en-US"/>
        </w:rPr>
      </w:pPr>
      <w:r>
        <w:rPr>
          <w:lang w:val="en-US"/>
        </w:rPr>
        <w:t>As has been provided in the case study, in the case Amana decides to commence the sales through the use of the online mode, this would result in the firm deriving incremental sales in addition to the sales through the physical stores that it has after the decision to close down some of its branches</w:t>
      </w:r>
      <w:r w:rsidR="0021340C">
        <w:rPr>
          <w:lang w:val="en-US"/>
        </w:rPr>
        <w:t xml:space="preserve"> (</w:t>
      </w:r>
      <w:proofErr w:type="spellStart"/>
      <w:r w:rsidR="0021340C">
        <w:rPr>
          <w:lang w:val="en-US"/>
        </w:rPr>
        <w:t>Feichtinger</w:t>
      </w:r>
      <w:proofErr w:type="spellEnd"/>
      <w:r w:rsidR="0021340C">
        <w:rPr>
          <w:lang w:val="en-US"/>
        </w:rPr>
        <w:t xml:space="preserve"> and </w:t>
      </w:r>
      <w:proofErr w:type="spellStart"/>
      <w:r w:rsidR="0021340C">
        <w:rPr>
          <w:lang w:val="en-US"/>
        </w:rPr>
        <w:t>Gronalt</w:t>
      </w:r>
      <w:proofErr w:type="spellEnd"/>
      <w:r w:rsidR="0021340C">
        <w:rPr>
          <w:lang w:val="en-US"/>
        </w:rPr>
        <w:t>, 2021)</w:t>
      </w:r>
      <w:r w:rsidR="00347EA6">
        <w:rPr>
          <w:lang w:val="en-US"/>
        </w:rPr>
        <w:t xml:space="preserve">. However, it is needless to be stated, the firm would also incur some additional costs in the business through the shifting to the online mode of shopping. </w:t>
      </w:r>
    </w:p>
    <w:p w14:paraId="0CFEAB4F" w14:textId="1EE37A9B" w:rsidR="00347EA6" w:rsidRDefault="00347EA6" w:rsidP="0021340C">
      <w:pPr>
        <w:jc w:val="both"/>
        <w:rPr>
          <w:lang w:val="en-US"/>
        </w:rPr>
      </w:pPr>
      <w:r>
        <w:rPr>
          <w:lang w:val="en-US"/>
        </w:rPr>
        <w:t>The decision to move online and its viability with respect to the profitability of the business firm can be judged on the basis of the computation of the net benefit that the firm would derive once it adopts the online mode of shopping</w:t>
      </w:r>
      <w:r w:rsidR="0021340C">
        <w:rPr>
          <w:lang w:val="en-US"/>
        </w:rPr>
        <w:t xml:space="preserve"> (</w:t>
      </w:r>
      <w:proofErr w:type="spellStart"/>
      <w:r w:rsidR="0021340C">
        <w:rPr>
          <w:lang w:val="en-US"/>
        </w:rPr>
        <w:t>Yilmaz</w:t>
      </w:r>
      <w:proofErr w:type="spellEnd"/>
      <w:r w:rsidR="0021340C">
        <w:rPr>
          <w:lang w:val="en-US"/>
        </w:rPr>
        <w:t xml:space="preserve"> </w:t>
      </w:r>
      <w:proofErr w:type="spellStart"/>
      <w:r w:rsidR="0021340C">
        <w:rPr>
          <w:lang w:val="en-US"/>
        </w:rPr>
        <w:t>Unlu</w:t>
      </w:r>
      <w:proofErr w:type="spellEnd"/>
      <w:r w:rsidR="0021340C">
        <w:rPr>
          <w:lang w:val="en-US"/>
        </w:rPr>
        <w:t>, 2022)</w:t>
      </w:r>
      <w:r>
        <w:rPr>
          <w:lang w:val="en-US"/>
        </w:rPr>
        <w:t xml:space="preserve">. The computation for the same has been presented in the table above. As it has been carried out in the above computations, the firm would achieve sales of 100000 units annually where it would sell units at </w:t>
      </w:r>
      <w:r>
        <w:rPr>
          <w:rFonts w:cs="Times New Roman"/>
          <w:lang w:val="en-US"/>
        </w:rPr>
        <w:t>£</w:t>
      </w:r>
      <w:r>
        <w:rPr>
          <w:lang w:val="en-US"/>
        </w:rPr>
        <w:t xml:space="preserve"> 20. The total amount of sales that it would achieve would be </w:t>
      </w:r>
      <w:r>
        <w:rPr>
          <w:rFonts w:cs="Times New Roman"/>
          <w:lang w:val="en-US"/>
        </w:rPr>
        <w:t>£</w:t>
      </w:r>
      <w:r>
        <w:rPr>
          <w:lang w:val="en-US"/>
        </w:rPr>
        <w:t xml:space="preserve"> 2000000</w:t>
      </w:r>
      <w:r w:rsidR="0021340C">
        <w:rPr>
          <w:lang w:val="en-US"/>
        </w:rPr>
        <w:t xml:space="preserve"> (Keats et al., 2022)</w:t>
      </w:r>
      <w:r>
        <w:rPr>
          <w:lang w:val="en-US"/>
        </w:rPr>
        <w:t xml:space="preserve">. The incremental total cost that the firm would incur due to the decision to sell online would result in the firm incurring a total of </w:t>
      </w:r>
      <w:r>
        <w:rPr>
          <w:rFonts w:cs="Times New Roman"/>
          <w:lang w:val="en-US"/>
        </w:rPr>
        <w:t>£</w:t>
      </w:r>
      <w:r>
        <w:rPr>
          <w:lang w:val="en-US"/>
        </w:rPr>
        <w:t xml:space="preserve"> 235000. As a result, the net figure of the profit that would be available to the company would be </w:t>
      </w:r>
      <w:r>
        <w:rPr>
          <w:rFonts w:cs="Times New Roman"/>
          <w:lang w:val="en-US"/>
        </w:rPr>
        <w:t>£</w:t>
      </w:r>
      <w:r>
        <w:rPr>
          <w:lang w:val="en-US"/>
        </w:rPr>
        <w:t xml:space="preserve"> 1765000. </w:t>
      </w:r>
    </w:p>
    <w:p w14:paraId="33BAD79A" w14:textId="2B31BABE" w:rsidR="00347EA6" w:rsidRDefault="00F73E8E" w:rsidP="0021340C">
      <w:pPr>
        <w:jc w:val="both"/>
        <w:rPr>
          <w:lang w:val="en-US"/>
        </w:rPr>
      </w:pPr>
      <w:r>
        <w:rPr>
          <w:lang w:val="en-US"/>
        </w:rPr>
        <w:t xml:space="preserve">The above-presented figure of net benefit that the firm would derive through the use of the online mode of sales is high in the context of the company. The level of profits that it would derive through the shifting to the online mode of sales is highly significant for the company </w:t>
      </w:r>
      <w:r>
        <w:rPr>
          <w:lang w:val="en-US"/>
        </w:rPr>
        <w:lastRenderedPageBreak/>
        <w:t xml:space="preserve">as the firm would never be able to make the sales and profit at this level through the offline mode of sales. </w:t>
      </w:r>
    </w:p>
    <w:p w14:paraId="2CA5A286" w14:textId="76CEB16B" w:rsidR="00C02595" w:rsidRDefault="00F73E8E" w:rsidP="0021340C">
      <w:pPr>
        <w:jc w:val="both"/>
        <w:rPr>
          <w:lang w:val="en-US"/>
        </w:rPr>
      </w:pPr>
      <w:r>
        <w:rPr>
          <w:lang w:val="en-US"/>
        </w:rPr>
        <w:t xml:space="preserve">The profit estimated by the company (as presented in task 1) was </w:t>
      </w:r>
      <w:r>
        <w:rPr>
          <w:rFonts w:cs="Times New Roman"/>
          <w:lang w:val="en-US"/>
        </w:rPr>
        <w:t>£</w:t>
      </w:r>
      <w:r>
        <w:rPr>
          <w:lang w:val="en-US"/>
        </w:rPr>
        <w:t xml:space="preserve"> 1010000. The actual profit in the case company decides to move through the online mode of shopping is </w:t>
      </w:r>
      <w:r>
        <w:rPr>
          <w:rFonts w:cs="Times New Roman"/>
          <w:lang w:val="en-US"/>
        </w:rPr>
        <w:t>£</w:t>
      </w:r>
      <w:r>
        <w:rPr>
          <w:lang w:val="en-US"/>
        </w:rPr>
        <w:t xml:space="preserve"> 1765000. Thus, the company would be able to make </w:t>
      </w:r>
      <w:r>
        <w:rPr>
          <w:rFonts w:cs="Times New Roman"/>
          <w:lang w:val="en-US"/>
        </w:rPr>
        <w:t>£</w:t>
      </w:r>
      <w:r>
        <w:rPr>
          <w:lang w:val="en-US"/>
        </w:rPr>
        <w:t xml:space="preserve"> (1765000 – 1010000) = </w:t>
      </w:r>
      <w:r>
        <w:rPr>
          <w:rFonts w:cs="Times New Roman"/>
          <w:lang w:val="en-US"/>
        </w:rPr>
        <w:t>£</w:t>
      </w:r>
      <w:r>
        <w:rPr>
          <w:lang w:val="en-US"/>
        </w:rPr>
        <w:t xml:space="preserve"> 755000 additional through the sales of the product online</w:t>
      </w:r>
      <w:r w:rsidR="0021340C">
        <w:rPr>
          <w:lang w:val="en-US"/>
        </w:rPr>
        <w:t xml:space="preserve"> (Keats et al., 2022)</w:t>
      </w:r>
      <w:r>
        <w:rPr>
          <w:lang w:val="en-US"/>
        </w:rPr>
        <w:t xml:space="preserve">. The said figure is about 74.8% higher than the profit that the company has estimated for the year in part 1. </w:t>
      </w:r>
    </w:p>
    <w:p w14:paraId="532BD44B" w14:textId="5842C17D" w:rsidR="005D08EB" w:rsidRPr="005D08EB" w:rsidRDefault="00C02595" w:rsidP="0021340C">
      <w:pPr>
        <w:jc w:val="both"/>
        <w:rPr>
          <w:lang w:val="en-US"/>
        </w:rPr>
      </w:pPr>
      <w:r>
        <w:rPr>
          <w:lang w:val="en-US"/>
        </w:rPr>
        <w:t>All in all, it can be said that the decision of Amana to switch to an online mode of sales is high with regard to the profitability objective of the enterprise and would allow the company to derive supernormal profits in the future which are way higher than its current profits</w:t>
      </w:r>
      <w:r w:rsidR="0021340C">
        <w:rPr>
          <w:lang w:val="en-US"/>
        </w:rPr>
        <w:t xml:space="preserve"> (</w:t>
      </w:r>
      <w:proofErr w:type="spellStart"/>
      <w:r w:rsidR="0021340C">
        <w:rPr>
          <w:lang w:val="en-US"/>
        </w:rPr>
        <w:t>Gasparin-isa</w:t>
      </w:r>
      <w:proofErr w:type="spellEnd"/>
      <w:r w:rsidR="0021340C">
        <w:rPr>
          <w:lang w:val="en-US"/>
        </w:rPr>
        <w:t xml:space="preserve"> et al. 2019)</w:t>
      </w:r>
      <w:r>
        <w:rPr>
          <w:lang w:val="en-US"/>
        </w:rPr>
        <w:t xml:space="preserve">. Thus, the sales of the company should be initiated through the use of the online mode by use of </w:t>
      </w:r>
      <w:r w:rsidR="00B22987">
        <w:rPr>
          <w:lang w:val="en-US"/>
        </w:rPr>
        <w:t xml:space="preserve">its </w:t>
      </w:r>
      <w:r>
        <w:rPr>
          <w:lang w:val="en-US"/>
        </w:rPr>
        <w:t xml:space="preserve">own website.  </w:t>
      </w:r>
      <w:r w:rsidR="00F73E8E">
        <w:rPr>
          <w:lang w:val="en-US"/>
        </w:rPr>
        <w:t xml:space="preserve"> </w:t>
      </w:r>
    </w:p>
    <w:p w14:paraId="7147DB36" w14:textId="2A1C3C8C" w:rsidR="005D08EB" w:rsidRDefault="005D08EB" w:rsidP="0021340C">
      <w:pPr>
        <w:jc w:val="both"/>
        <w:rPr>
          <w:b/>
          <w:bCs/>
          <w:lang w:val="en-US"/>
        </w:rPr>
      </w:pPr>
      <w:r>
        <w:rPr>
          <w:b/>
          <w:bCs/>
          <w:lang w:val="en-US"/>
        </w:rPr>
        <w:t>Statement Showing computation of results in Amana decides to sell through Amazon</w:t>
      </w:r>
    </w:p>
    <w:tbl>
      <w:tblPr>
        <w:tblW w:w="5000" w:type="pct"/>
        <w:tblLook w:val="04A0" w:firstRow="1" w:lastRow="0" w:firstColumn="1" w:lastColumn="0" w:noHBand="0" w:noVBand="1"/>
      </w:tblPr>
      <w:tblGrid>
        <w:gridCol w:w="7205"/>
        <w:gridCol w:w="2037"/>
      </w:tblGrid>
      <w:tr w:rsidR="005D08EB" w:rsidRPr="005D08EB" w14:paraId="1F775939" w14:textId="77777777" w:rsidTr="005D08EB">
        <w:trPr>
          <w:trHeight w:val="315"/>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E8A10D"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Option 2- Sales through Amazon</w:t>
            </w:r>
          </w:p>
        </w:tc>
      </w:tr>
      <w:tr w:rsidR="005D08EB" w:rsidRPr="005D08EB" w14:paraId="37F7A5CB" w14:textId="77777777" w:rsidTr="005D08EB">
        <w:trPr>
          <w:trHeight w:val="315"/>
        </w:trPr>
        <w:tc>
          <w:tcPr>
            <w:tcW w:w="3898" w:type="pct"/>
            <w:tcBorders>
              <w:top w:val="nil"/>
              <w:left w:val="single" w:sz="4" w:space="0" w:color="auto"/>
              <w:bottom w:val="single" w:sz="4" w:space="0" w:color="auto"/>
              <w:right w:val="single" w:sz="4" w:space="0" w:color="auto"/>
            </w:tcBorders>
            <w:shd w:val="clear" w:color="auto" w:fill="auto"/>
            <w:noWrap/>
            <w:vAlign w:val="bottom"/>
            <w:hideMark/>
          </w:tcPr>
          <w:p w14:paraId="40A6AFF5"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Particulars</w:t>
            </w:r>
          </w:p>
        </w:tc>
        <w:tc>
          <w:tcPr>
            <w:tcW w:w="1102" w:type="pct"/>
            <w:tcBorders>
              <w:top w:val="nil"/>
              <w:left w:val="nil"/>
              <w:bottom w:val="single" w:sz="4" w:space="0" w:color="auto"/>
              <w:right w:val="single" w:sz="4" w:space="0" w:color="auto"/>
            </w:tcBorders>
            <w:shd w:val="clear" w:color="auto" w:fill="auto"/>
            <w:noWrap/>
            <w:vAlign w:val="bottom"/>
            <w:hideMark/>
          </w:tcPr>
          <w:p w14:paraId="55B91215" w14:textId="0424D3C1"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Amount (£)</w:t>
            </w:r>
          </w:p>
        </w:tc>
      </w:tr>
      <w:tr w:rsidR="005D08EB" w:rsidRPr="005D08EB" w14:paraId="1DFF1798" w14:textId="77777777" w:rsidTr="005D08EB">
        <w:trPr>
          <w:trHeight w:val="315"/>
        </w:trPr>
        <w:tc>
          <w:tcPr>
            <w:tcW w:w="3898" w:type="pct"/>
            <w:tcBorders>
              <w:top w:val="nil"/>
              <w:left w:val="single" w:sz="4" w:space="0" w:color="auto"/>
              <w:bottom w:val="single" w:sz="4" w:space="0" w:color="auto"/>
              <w:right w:val="single" w:sz="4" w:space="0" w:color="auto"/>
            </w:tcBorders>
            <w:shd w:val="clear" w:color="auto" w:fill="auto"/>
            <w:noWrap/>
            <w:vAlign w:val="bottom"/>
            <w:hideMark/>
          </w:tcPr>
          <w:p w14:paraId="32A02162"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Projected Sales</w:t>
            </w:r>
          </w:p>
        </w:tc>
        <w:tc>
          <w:tcPr>
            <w:tcW w:w="1102" w:type="pct"/>
            <w:tcBorders>
              <w:top w:val="nil"/>
              <w:left w:val="nil"/>
              <w:bottom w:val="single" w:sz="4" w:space="0" w:color="auto"/>
              <w:right w:val="single" w:sz="4" w:space="0" w:color="auto"/>
            </w:tcBorders>
            <w:shd w:val="clear" w:color="auto" w:fill="auto"/>
            <w:noWrap/>
            <w:vAlign w:val="bottom"/>
            <w:hideMark/>
          </w:tcPr>
          <w:p w14:paraId="442D6EC3"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1300000</w:t>
            </w:r>
          </w:p>
        </w:tc>
      </w:tr>
      <w:tr w:rsidR="005D08EB" w:rsidRPr="005D08EB" w14:paraId="0AACAF5A" w14:textId="77777777" w:rsidTr="005D08EB">
        <w:trPr>
          <w:trHeight w:val="315"/>
        </w:trPr>
        <w:tc>
          <w:tcPr>
            <w:tcW w:w="3898" w:type="pct"/>
            <w:tcBorders>
              <w:top w:val="nil"/>
              <w:left w:val="single" w:sz="4" w:space="0" w:color="auto"/>
              <w:bottom w:val="single" w:sz="4" w:space="0" w:color="auto"/>
              <w:right w:val="single" w:sz="4" w:space="0" w:color="auto"/>
            </w:tcBorders>
            <w:shd w:val="clear" w:color="auto" w:fill="auto"/>
            <w:noWrap/>
            <w:vAlign w:val="bottom"/>
            <w:hideMark/>
          </w:tcPr>
          <w:p w14:paraId="5E38D325" w14:textId="77777777" w:rsidR="005D08EB" w:rsidRPr="005D08EB" w:rsidRDefault="005D08EB" w:rsidP="0021340C">
            <w:pPr>
              <w:spacing w:after="0"/>
              <w:jc w:val="both"/>
              <w:rPr>
                <w:rFonts w:eastAsia="Times New Roman" w:cs="Times New Roman"/>
                <w:color w:val="000000"/>
                <w:szCs w:val="24"/>
                <w:u w:val="single"/>
                <w:lang w:eastAsia="en-IN"/>
              </w:rPr>
            </w:pPr>
            <w:r w:rsidRPr="005D08EB">
              <w:rPr>
                <w:rFonts w:eastAsia="Times New Roman" w:cs="Times New Roman"/>
                <w:color w:val="000000"/>
                <w:szCs w:val="24"/>
                <w:u w:val="single"/>
                <w:lang w:eastAsia="en-IN"/>
              </w:rPr>
              <w:t>Estimated costs to be incurred</w:t>
            </w:r>
          </w:p>
        </w:tc>
        <w:tc>
          <w:tcPr>
            <w:tcW w:w="1102" w:type="pct"/>
            <w:tcBorders>
              <w:top w:val="nil"/>
              <w:left w:val="nil"/>
              <w:bottom w:val="single" w:sz="4" w:space="0" w:color="auto"/>
              <w:right w:val="single" w:sz="4" w:space="0" w:color="auto"/>
            </w:tcBorders>
            <w:shd w:val="clear" w:color="auto" w:fill="auto"/>
            <w:noWrap/>
            <w:vAlign w:val="bottom"/>
            <w:hideMark/>
          </w:tcPr>
          <w:p w14:paraId="450923BC"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 </w:t>
            </w:r>
          </w:p>
        </w:tc>
      </w:tr>
      <w:tr w:rsidR="005D08EB" w:rsidRPr="005D08EB" w14:paraId="284F9FFA" w14:textId="77777777" w:rsidTr="005D08EB">
        <w:trPr>
          <w:trHeight w:val="315"/>
        </w:trPr>
        <w:tc>
          <w:tcPr>
            <w:tcW w:w="3898" w:type="pct"/>
            <w:tcBorders>
              <w:top w:val="nil"/>
              <w:left w:val="single" w:sz="4" w:space="0" w:color="auto"/>
              <w:bottom w:val="single" w:sz="4" w:space="0" w:color="auto"/>
              <w:right w:val="single" w:sz="4" w:space="0" w:color="auto"/>
            </w:tcBorders>
            <w:shd w:val="clear" w:color="auto" w:fill="auto"/>
            <w:noWrap/>
            <w:vAlign w:val="bottom"/>
            <w:hideMark/>
          </w:tcPr>
          <w:p w14:paraId="1DCFD12F" w14:textId="4E4A1069"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Amazon Fulfilment fees</w:t>
            </w:r>
          </w:p>
        </w:tc>
        <w:tc>
          <w:tcPr>
            <w:tcW w:w="1102" w:type="pct"/>
            <w:tcBorders>
              <w:top w:val="nil"/>
              <w:left w:val="nil"/>
              <w:bottom w:val="single" w:sz="4" w:space="0" w:color="auto"/>
              <w:right w:val="single" w:sz="4" w:space="0" w:color="auto"/>
            </w:tcBorders>
            <w:shd w:val="clear" w:color="auto" w:fill="auto"/>
            <w:noWrap/>
            <w:vAlign w:val="bottom"/>
            <w:hideMark/>
          </w:tcPr>
          <w:p w14:paraId="4898C879" w14:textId="77777777" w:rsidR="005D08EB" w:rsidRPr="005D08EB" w:rsidRDefault="005D08EB" w:rsidP="0021340C">
            <w:pPr>
              <w:spacing w:after="0"/>
              <w:jc w:val="both"/>
              <w:rPr>
                <w:rFonts w:eastAsia="Times New Roman" w:cs="Times New Roman"/>
                <w:color w:val="000000"/>
                <w:szCs w:val="24"/>
                <w:lang w:eastAsia="en-IN"/>
              </w:rPr>
            </w:pPr>
            <w:r w:rsidRPr="005D08EB">
              <w:rPr>
                <w:rFonts w:eastAsia="Times New Roman" w:cs="Times New Roman"/>
                <w:color w:val="000000"/>
                <w:szCs w:val="24"/>
                <w:lang w:eastAsia="en-IN"/>
              </w:rPr>
              <w:t>65000</w:t>
            </w:r>
          </w:p>
        </w:tc>
      </w:tr>
      <w:tr w:rsidR="005D08EB" w:rsidRPr="005D08EB" w14:paraId="40A2D43E" w14:textId="77777777" w:rsidTr="005D08EB">
        <w:trPr>
          <w:trHeight w:val="315"/>
        </w:trPr>
        <w:tc>
          <w:tcPr>
            <w:tcW w:w="3898" w:type="pct"/>
            <w:tcBorders>
              <w:top w:val="nil"/>
              <w:left w:val="single" w:sz="4" w:space="0" w:color="auto"/>
              <w:bottom w:val="single" w:sz="4" w:space="0" w:color="auto"/>
              <w:right w:val="single" w:sz="4" w:space="0" w:color="auto"/>
            </w:tcBorders>
            <w:shd w:val="clear" w:color="auto" w:fill="auto"/>
            <w:noWrap/>
            <w:vAlign w:val="bottom"/>
            <w:hideMark/>
          </w:tcPr>
          <w:p w14:paraId="11B90161"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Net Profit through selling directly on Amazon</w:t>
            </w:r>
          </w:p>
        </w:tc>
        <w:tc>
          <w:tcPr>
            <w:tcW w:w="1102" w:type="pct"/>
            <w:tcBorders>
              <w:top w:val="nil"/>
              <w:left w:val="nil"/>
              <w:bottom w:val="single" w:sz="4" w:space="0" w:color="auto"/>
              <w:right w:val="single" w:sz="4" w:space="0" w:color="auto"/>
            </w:tcBorders>
            <w:shd w:val="clear" w:color="auto" w:fill="auto"/>
            <w:noWrap/>
            <w:vAlign w:val="bottom"/>
            <w:hideMark/>
          </w:tcPr>
          <w:p w14:paraId="0176ABA0" w14:textId="77777777" w:rsidR="005D08EB" w:rsidRPr="005D08EB" w:rsidRDefault="005D08EB" w:rsidP="0021340C">
            <w:pPr>
              <w:spacing w:after="0"/>
              <w:jc w:val="both"/>
              <w:rPr>
                <w:rFonts w:eastAsia="Times New Roman" w:cs="Times New Roman"/>
                <w:b/>
                <w:bCs/>
                <w:color w:val="000000"/>
                <w:szCs w:val="24"/>
                <w:lang w:eastAsia="en-IN"/>
              </w:rPr>
            </w:pPr>
            <w:r w:rsidRPr="005D08EB">
              <w:rPr>
                <w:rFonts w:eastAsia="Times New Roman" w:cs="Times New Roman"/>
                <w:b/>
                <w:bCs/>
                <w:color w:val="000000"/>
                <w:szCs w:val="24"/>
                <w:lang w:eastAsia="en-IN"/>
              </w:rPr>
              <w:t>1235000</w:t>
            </w:r>
          </w:p>
        </w:tc>
      </w:tr>
    </w:tbl>
    <w:p w14:paraId="184B9AB5" w14:textId="5AEBB683" w:rsidR="005D08EB" w:rsidRDefault="005D08EB" w:rsidP="0021340C">
      <w:pPr>
        <w:jc w:val="both"/>
        <w:rPr>
          <w:b/>
          <w:bCs/>
          <w:lang w:val="en-US"/>
        </w:rPr>
      </w:pPr>
    </w:p>
    <w:p w14:paraId="1FC5A62B" w14:textId="7950B516" w:rsidR="00B22987" w:rsidRDefault="00B22987" w:rsidP="0021340C">
      <w:pPr>
        <w:jc w:val="both"/>
        <w:rPr>
          <w:lang w:val="en-US"/>
        </w:rPr>
      </w:pPr>
      <w:r>
        <w:rPr>
          <w:lang w:val="en-US"/>
        </w:rPr>
        <w:t>As an alternative to the online mode of shopping, the company also has the option to sell through Amazon directly</w:t>
      </w:r>
      <w:r w:rsidR="0021340C">
        <w:rPr>
          <w:lang w:val="en-US"/>
        </w:rPr>
        <w:t xml:space="preserve"> (</w:t>
      </w:r>
      <w:proofErr w:type="spellStart"/>
      <w:r w:rsidR="0021340C">
        <w:rPr>
          <w:lang w:val="en-US"/>
        </w:rPr>
        <w:t>Kazeminia</w:t>
      </w:r>
      <w:proofErr w:type="spellEnd"/>
      <w:r w:rsidR="0021340C">
        <w:rPr>
          <w:lang w:val="en-US"/>
        </w:rPr>
        <w:t xml:space="preserve"> et al., 2019)</w:t>
      </w:r>
      <w:r>
        <w:rPr>
          <w:lang w:val="en-US"/>
        </w:rPr>
        <w:t xml:space="preserve">. As has been provided in the case study, the firm would be able to sell 65000 units annually through Amazon. Moreover, unlike the case in online shopping, the additional costs that the company would have to incur are limited as well. The company would have to incur only a maximum of </w:t>
      </w:r>
      <w:r>
        <w:rPr>
          <w:rFonts w:cs="Times New Roman"/>
          <w:lang w:val="en-US"/>
        </w:rPr>
        <w:t>£</w:t>
      </w:r>
      <w:r>
        <w:rPr>
          <w:lang w:val="en-US"/>
        </w:rPr>
        <w:t xml:space="preserve"> 65000 as additional costs for the company towards the Amazon fulfillment fees. </w:t>
      </w:r>
    </w:p>
    <w:p w14:paraId="60C59589" w14:textId="6BCCDC51" w:rsidR="00B22987" w:rsidRDefault="00626A8F" w:rsidP="0021340C">
      <w:pPr>
        <w:jc w:val="both"/>
        <w:rPr>
          <w:lang w:val="en-US"/>
        </w:rPr>
      </w:pPr>
      <w:r>
        <w:rPr>
          <w:lang w:val="en-US"/>
        </w:rPr>
        <w:t>The above statement of computation shows the net benefit that would be available to the company on account of the selection of the option to sell directly through Amazon</w:t>
      </w:r>
      <w:r w:rsidR="0021340C">
        <w:rPr>
          <w:lang w:val="en-US"/>
        </w:rPr>
        <w:t xml:space="preserve"> (</w:t>
      </w:r>
      <w:proofErr w:type="spellStart"/>
      <w:r w:rsidR="0021340C">
        <w:rPr>
          <w:lang w:val="en-US"/>
        </w:rPr>
        <w:t>Kazeminia</w:t>
      </w:r>
      <w:proofErr w:type="spellEnd"/>
      <w:r w:rsidR="0021340C">
        <w:rPr>
          <w:lang w:val="en-US"/>
        </w:rPr>
        <w:t xml:space="preserve"> et al., 2019)</w:t>
      </w:r>
      <w:r>
        <w:rPr>
          <w:lang w:val="en-US"/>
        </w:rPr>
        <w:t xml:space="preserve">. The profits derived in this case would be higher than the budgeted profit in part 1 as well. This would be as high as </w:t>
      </w:r>
      <w:r>
        <w:rPr>
          <w:rFonts w:cs="Times New Roman"/>
          <w:lang w:val="en-US"/>
        </w:rPr>
        <w:t>£</w:t>
      </w:r>
      <w:r>
        <w:rPr>
          <w:lang w:val="en-US"/>
        </w:rPr>
        <w:t xml:space="preserve"> 1235000. Thus, the excess of the actual profit through sales by Amazon would be </w:t>
      </w:r>
      <w:r>
        <w:rPr>
          <w:rFonts w:cs="Times New Roman"/>
          <w:lang w:val="en-US"/>
        </w:rPr>
        <w:t>£</w:t>
      </w:r>
      <w:r>
        <w:rPr>
          <w:lang w:val="en-US"/>
        </w:rPr>
        <w:t xml:space="preserve"> (1235000 – 1010000) = </w:t>
      </w:r>
      <w:r>
        <w:rPr>
          <w:rFonts w:cs="Times New Roman"/>
          <w:lang w:val="en-US"/>
        </w:rPr>
        <w:t>£</w:t>
      </w:r>
      <w:r>
        <w:rPr>
          <w:lang w:val="en-US"/>
        </w:rPr>
        <w:t xml:space="preserve"> 225000. This would be </w:t>
      </w:r>
      <w:r>
        <w:rPr>
          <w:lang w:val="en-US"/>
        </w:rPr>
        <w:lastRenderedPageBreak/>
        <w:t xml:space="preserve">about 22.3% higher than the estimated amount of sales that the company desired in part 1 as well. </w:t>
      </w:r>
    </w:p>
    <w:p w14:paraId="7E764DFB" w14:textId="0B78F285" w:rsidR="00911A19" w:rsidRDefault="00911A19" w:rsidP="0021340C">
      <w:pPr>
        <w:jc w:val="both"/>
        <w:rPr>
          <w:lang w:val="en-US"/>
        </w:rPr>
      </w:pPr>
      <w:r>
        <w:rPr>
          <w:lang w:val="en-US"/>
        </w:rPr>
        <w:t xml:space="preserve">However, the sole focus of the decision-makers of the company while making decisions with regard to the judgments of the variability of this option should only be made after the prior evaluation of the major drawbacks that are associated with this form of sales. </w:t>
      </w:r>
      <w:r w:rsidR="006A3230">
        <w:rPr>
          <w:lang w:val="en-US"/>
        </w:rPr>
        <w:t>It is highlighted in the case study that the selection of the choice of sales through Amazon would mean that the company would lose the control it has over the prices of the products and the return policy of the products</w:t>
      </w:r>
      <w:r w:rsidR="0021340C">
        <w:rPr>
          <w:lang w:val="en-US"/>
        </w:rPr>
        <w:t xml:space="preserve"> (</w:t>
      </w:r>
      <w:proofErr w:type="spellStart"/>
      <w:r w:rsidR="0021340C">
        <w:rPr>
          <w:lang w:val="en-US"/>
        </w:rPr>
        <w:t>Keata</w:t>
      </w:r>
      <w:proofErr w:type="spellEnd"/>
      <w:r w:rsidR="0021340C">
        <w:rPr>
          <w:lang w:val="en-US"/>
        </w:rPr>
        <w:t xml:space="preserve"> et al., 2022)</w:t>
      </w:r>
      <w:r w:rsidR="006A3230">
        <w:rPr>
          <w:lang w:val="en-US"/>
        </w:rPr>
        <w:t xml:space="preserve">. This may not suit the image and goodwill of the business and may deeply hurt its customer base in the future as the quality of services and customer care practices would be under </w:t>
      </w:r>
      <w:r w:rsidR="00A32B80">
        <w:rPr>
          <w:lang w:val="en-US"/>
        </w:rPr>
        <w:t>question</w:t>
      </w:r>
      <w:r w:rsidR="006A3230">
        <w:rPr>
          <w:lang w:val="en-US"/>
        </w:rPr>
        <w:t xml:space="preserve"> in such circumstances. </w:t>
      </w:r>
    </w:p>
    <w:p w14:paraId="71B2FFAE" w14:textId="0EF15A49" w:rsidR="00A32B80" w:rsidRDefault="00A32B80" w:rsidP="0021340C">
      <w:pPr>
        <w:jc w:val="both"/>
        <w:rPr>
          <w:b/>
          <w:bCs/>
          <w:u w:val="single"/>
          <w:lang w:val="en-US"/>
        </w:rPr>
      </w:pPr>
      <w:r>
        <w:rPr>
          <w:b/>
          <w:bCs/>
          <w:u w:val="single"/>
          <w:lang w:val="en-US"/>
        </w:rPr>
        <w:t>Final Decision</w:t>
      </w:r>
    </w:p>
    <w:p w14:paraId="5C2168CD" w14:textId="7EFF52E4" w:rsidR="00A32B80" w:rsidRDefault="003F04F0" w:rsidP="0021340C">
      <w:pPr>
        <w:jc w:val="both"/>
        <w:rPr>
          <w:lang w:val="en-US"/>
        </w:rPr>
      </w:pPr>
      <w:r>
        <w:rPr>
          <w:lang w:val="en-US"/>
        </w:rPr>
        <w:t xml:space="preserve">The evaluation of the costs and benefits attached to both the alternatives available to the business to revamp their sales model presents a strong case in the favor of </w:t>
      </w:r>
      <w:r w:rsidR="008B76CD">
        <w:rPr>
          <w:lang w:val="en-US"/>
        </w:rPr>
        <w:t xml:space="preserve">a </w:t>
      </w:r>
      <w:r>
        <w:rPr>
          <w:lang w:val="en-US"/>
        </w:rPr>
        <w:t xml:space="preserve">selection of the online mode of sales for the enterprise. </w:t>
      </w:r>
      <w:r w:rsidR="008707BA">
        <w:rPr>
          <w:lang w:val="en-US"/>
        </w:rPr>
        <w:t xml:space="preserve">It is apparent from the above computations that the net additional benefit that the firm would derive over the Amazon alternative would be </w:t>
      </w:r>
      <w:r w:rsidR="008707BA">
        <w:rPr>
          <w:rFonts w:cs="Times New Roman"/>
          <w:lang w:val="en-US"/>
        </w:rPr>
        <w:t>£</w:t>
      </w:r>
      <w:r w:rsidR="008707BA">
        <w:rPr>
          <w:lang w:val="en-US"/>
        </w:rPr>
        <w:t xml:space="preserve"> (1765000 – 1235000) = </w:t>
      </w:r>
      <w:r w:rsidR="008707BA">
        <w:rPr>
          <w:rFonts w:cs="Times New Roman"/>
          <w:lang w:val="en-US"/>
        </w:rPr>
        <w:t>£</w:t>
      </w:r>
      <w:r w:rsidR="008707BA">
        <w:rPr>
          <w:lang w:val="en-US"/>
        </w:rPr>
        <w:t xml:space="preserve"> 530000. </w:t>
      </w:r>
      <w:r w:rsidR="003D6267">
        <w:rPr>
          <w:lang w:val="en-US"/>
        </w:rPr>
        <w:t>Moreover, the selection of an online sales option would not result in the dilution of the firm’s control over its pricing and return policy</w:t>
      </w:r>
      <w:r w:rsidR="0021340C">
        <w:rPr>
          <w:lang w:val="en-US"/>
        </w:rPr>
        <w:t xml:space="preserve"> (Yu et al. 2018)</w:t>
      </w:r>
      <w:r w:rsidR="003D6267">
        <w:rPr>
          <w:lang w:val="en-US"/>
        </w:rPr>
        <w:t xml:space="preserve">. Thus, it is a no-brainer that the firm should go ahead with the </w:t>
      </w:r>
      <w:r w:rsidR="00197C2C">
        <w:rPr>
          <w:lang w:val="en-US"/>
        </w:rPr>
        <w:t xml:space="preserve">online mode of sales as it would assist the company in making profits higher than expected and would also result in the betterment of the financial image of the firm along with supernormal profits and increased customer base. </w:t>
      </w:r>
    </w:p>
    <w:p w14:paraId="0F533D5C" w14:textId="07659B43" w:rsidR="001E51B0" w:rsidRDefault="001E51B0" w:rsidP="0021340C">
      <w:pPr>
        <w:jc w:val="both"/>
        <w:rPr>
          <w:lang w:val="en-US"/>
        </w:rPr>
      </w:pPr>
      <w:r>
        <w:rPr>
          <w:lang w:val="en-US"/>
        </w:rPr>
        <w:br w:type="page"/>
      </w:r>
    </w:p>
    <w:p w14:paraId="60020C97" w14:textId="1B1F7117" w:rsidR="001E51B0" w:rsidRDefault="001E51B0" w:rsidP="0021340C">
      <w:pPr>
        <w:pStyle w:val="Heading1"/>
        <w:jc w:val="both"/>
        <w:rPr>
          <w:lang w:val="en-US"/>
        </w:rPr>
      </w:pPr>
      <w:bookmarkStart w:id="3" w:name="_Toc119997166"/>
      <w:r>
        <w:rPr>
          <w:lang w:val="en-US"/>
        </w:rPr>
        <w:lastRenderedPageBreak/>
        <w:t>References</w:t>
      </w:r>
      <w:bookmarkEnd w:id="3"/>
    </w:p>
    <w:p w14:paraId="50A07059" w14:textId="1C0FA301" w:rsidR="0021340C" w:rsidRPr="00261A25" w:rsidRDefault="0021340C" w:rsidP="0021340C">
      <w:pPr>
        <w:pStyle w:val="ListParagraph"/>
        <w:numPr>
          <w:ilvl w:val="0"/>
          <w:numId w:val="7"/>
        </w:numPr>
        <w:contextualSpacing w:val="0"/>
        <w:jc w:val="both"/>
        <w:rPr>
          <w:lang w:val="en-US"/>
        </w:rPr>
      </w:pPr>
      <w:bookmarkStart w:id="4" w:name="_Hlk119996665"/>
      <w:proofErr w:type="spellStart"/>
      <w:r w:rsidRPr="00261A25">
        <w:t>Feichtinger</w:t>
      </w:r>
      <w:proofErr w:type="spellEnd"/>
      <w:r w:rsidRPr="00261A25">
        <w:t xml:space="preserve">, S., </w:t>
      </w:r>
      <w:r>
        <w:t>and</w:t>
      </w:r>
      <w:r w:rsidRPr="00261A25">
        <w:t xml:space="preserve"> </w:t>
      </w:r>
      <w:proofErr w:type="spellStart"/>
      <w:r w:rsidRPr="00261A25">
        <w:t>Gronalt</w:t>
      </w:r>
      <w:proofErr w:type="spellEnd"/>
      <w:r w:rsidRPr="00261A25">
        <w:t>, M. (2021). The Environmental Impact of Transport Activities for Online and In-Store Shopping: A Systematic Literature Review to Identify Relevant Factors for Quantitative Assessments. </w:t>
      </w:r>
      <w:r w:rsidRPr="00261A25">
        <w:rPr>
          <w:i/>
          <w:iCs/>
        </w:rPr>
        <w:t>Sustainability</w:t>
      </w:r>
      <w:r w:rsidRPr="00261A25">
        <w:t>, </w:t>
      </w:r>
      <w:r w:rsidRPr="00261A25">
        <w:rPr>
          <w:i/>
          <w:iCs/>
        </w:rPr>
        <w:t>13</w:t>
      </w:r>
      <w:r w:rsidRPr="00261A25">
        <w:t>(5), 2981.</w:t>
      </w:r>
    </w:p>
    <w:p w14:paraId="3602D5D5" w14:textId="4E59A9E7" w:rsidR="0021340C" w:rsidRPr="0021340C" w:rsidRDefault="0021340C" w:rsidP="0021340C">
      <w:pPr>
        <w:pStyle w:val="ListParagraph"/>
        <w:numPr>
          <w:ilvl w:val="0"/>
          <w:numId w:val="7"/>
        </w:numPr>
        <w:contextualSpacing w:val="0"/>
        <w:jc w:val="both"/>
        <w:rPr>
          <w:lang w:val="en-US"/>
        </w:rPr>
      </w:pPr>
      <w:proofErr w:type="spellStart"/>
      <w:r w:rsidRPr="0021340C">
        <w:t>Gasparin-isa</w:t>
      </w:r>
      <w:proofErr w:type="spellEnd"/>
      <w:r w:rsidRPr="0021340C">
        <w:t xml:space="preserve">, I., Azevedo, J. B., </w:t>
      </w:r>
      <w:r>
        <w:t>and</w:t>
      </w:r>
      <w:r w:rsidRPr="0021340C">
        <w:t xml:space="preserve"> </w:t>
      </w:r>
      <w:proofErr w:type="spellStart"/>
      <w:r w:rsidRPr="0021340C">
        <w:t>Slongo</w:t>
      </w:r>
      <w:proofErr w:type="spellEnd"/>
      <w:r w:rsidRPr="0021340C">
        <w:t>, L. A. (2019). Buy-Online-and-Pick-up-In-Store: Review and Insights from Adopting a Cross-Channel Strategy.</w:t>
      </w:r>
    </w:p>
    <w:p w14:paraId="25D21B81" w14:textId="7C0B1CF9" w:rsidR="0021340C" w:rsidRPr="001E51B0" w:rsidRDefault="0021340C" w:rsidP="0021340C">
      <w:pPr>
        <w:pStyle w:val="ListParagraph"/>
        <w:numPr>
          <w:ilvl w:val="0"/>
          <w:numId w:val="7"/>
        </w:numPr>
        <w:contextualSpacing w:val="0"/>
        <w:jc w:val="both"/>
        <w:rPr>
          <w:lang w:val="en-US"/>
        </w:rPr>
      </w:pPr>
      <w:proofErr w:type="spellStart"/>
      <w:r w:rsidRPr="0021340C">
        <w:t>Kazeminia</w:t>
      </w:r>
      <w:proofErr w:type="spellEnd"/>
      <w:r w:rsidRPr="0021340C">
        <w:t xml:space="preserve">, A., </w:t>
      </w:r>
      <w:proofErr w:type="spellStart"/>
      <w:r w:rsidRPr="0021340C">
        <w:t>Kaedi</w:t>
      </w:r>
      <w:proofErr w:type="spellEnd"/>
      <w:r w:rsidRPr="0021340C">
        <w:t xml:space="preserve">, M., </w:t>
      </w:r>
      <w:r>
        <w:t>and</w:t>
      </w:r>
      <w:r w:rsidRPr="0021340C">
        <w:t xml:space="preserve"> </w:t>
      </w:r>
      <w:proofErr w:type="spellStart"/>
      <w:r w:rsidRPr="0021340C">
        <w:t>Ganji</w:t>
      </w:r>
      <w:proofErr w:type="spellEnd"/>
      <w:r w:rsidRPr="0021340C">
        <w:t>, B. (2019). Personality-based personalization of online store features using genetic programming: Analysis and experiment. </w:t>
      </w:r>
      <w:r w:rsidRPr="0021340C">
        <w:rPr>
          <w:i/>
          <w:iCs/>
        </w:rPr>
        <w:t>Journal of theoretical and applied electronic commerce research</w:t>
      </w:r>
      <w:r w:rsidRPr="0021340C">
        <w:t>, </w:t>
      </w:r>
      <w:r w:rsidRPr="0021340C">
        <w:rPr>
          <w:i/>
          <w:iCs/>
        </w:rPr>
        <w:t>14</w:t>
      </w:r>
      <w:r w:rsidRPr="0021340C">
        <w:t>(1), 16-29.</w:t>
      </w:r>
    </w:p>
    <w:p w14:paraId="0875F683" w14:textId="4EDC3EBF" w:rsidR="0021340C" w:rsidRPr="00261A25" w:rsidRDefault="0021340C" w:rsidP="0021340C">
      <w:pPr>
        <w:pStyle w:val="ListParagraph"/>
        <w:numPr>
          <w:ilvl w:val="0"/>
          <w:numId w:val="7"/>
        </w:numPr>
        <w:contextualSpacing w:val="0"/>
        <w:jc w:val="both"/>
        <w:rPr>
          <w:lang w:val="en-US"/>
        </w:rPr>
      </w:pPr>
      <w:r w:rsidRPr="00261A25">
        <w:t xml:space="preserve">Keats, Y., </w:t>
      </w:r>
      <w:r>
        <w:t>F</w:t>
      </w:r>
      <w:r w:rsidRPr="00261A25">
        <w:t xml:space="preserve">owles, E., </w:t>
      </w:r>
      <w:r>
        <w:t>and</w:t>
      </w:r>
      <w:r w:rsidRPr="00261A25">
        <w:t xml:space="preserve"> J</w:t>
      </w:r>
      <w:r>
        <w:t>un</w:t>
      </w:r>
      <w:r w:rsidRPr="00261A25">
        <w:t>, G. (2022). A Qualitative Analysis of the Challenges for Women with Physical Disabilities When Buying Fashion Online and In-store. In </w:t>
      </w:r>
      <w:r w:rsidRPr="00261A25">
        <w:rPr>
          <w:i/>
          <w:iCs/>
        </w:rPr>
        <w:t>11th Inclusive Design Conference Helen Hamlyn Centre for Design Conference Proceedings</w:t>
      </w:r>
      <w:r w:rsidRPr="00261A25">
        <w:t> (p. 161).</w:t>
      </w:r>
    </w:p>
    <w:p w14:paraId="307EC07B" w14:textId="626C7BD3" w:rsidR="0021340C" w:rsidRPr="00261A25" w:rsidRDefault="0021340C" w:rsidP="0021340C">
      <w:pPr>
        <w:pStyle w:val="ListParagraph"/>
        <w:numPr>
          <w:ilvl w:val="0"/>
          <w:numId w:val="7"/>
        </w:numPr>
        <w:contextualSpacing w:val="0"/>
        <w:jc w:val="both"/>
        <w:rPr>
          <w:lang w:val="en-US"/>
        </w:rPr>
      </w:pPr>
      <w:proofErr w:type="spellStart"/>
      <w:r w:rsidRPr="00261A25">
        <w:t>Roostapour</w:t>
      </w:r>
      <w:proofErr w:type="spellEnd"/>
      <w:r w:rsidRPr="00261A25">
        <w:t xml:space="preserve">, V., Neumann, A., Neumann, F., </w:t>
      </w:r>
      <w:r>
        <w:t>and</w:t>
      </w:r>
      <w:r w:rsidRPr="00261A25">
        <w:t xml:space="preserve"> Friedrich, T. (2022). Pareto optimization for subset selection with dynamic cost constraints. </w:t>
      </w:r>
      <w:r w:rsidRPr="00261A25">
        <w:rPr>
          <w:i/>
          <w:iCs/>
        </w:rPr>
        <w:t>Artificial Intelligence</w:t>
      </w:r>
      <w:r w:rsidRPr="00261A25">
        <w:t>, </w:t>
      </w:r>
      <w:r w:rsidRPr="00261A25">
        <w:rPr>
          <w:i/>
          <w:iCs/>
        </w:rPr>
        <w:t>302</w:t>
      </w:r>
      <w:r w:rsidRPr="00261A25">
        <w:t>, 103597.</w:t>
      </w:r>
    </w:p>
    <w:p w14:paraId="09AAEDB4" w14:textId="5F9B7B58" w:rsidR="0021340C" w:rsidRPr="00261A25" w:rsidRDefault="0021340C" w:rsidP="0021340C">
      <w:pPr>
        <w:pStyle w:val="ListParagraph"/>
        <w:numPr>
          <w:ilvl w:val="0"/>
          <w:numId w:val="7"/>
        </w:numPr>
        <w:contextualSpacing w:val="0"/>
        <w:jc w:val="both"/>
        <w:rPr>
          <w:lang w:val="en-US"/>
        </w:rPr>
      </w:pPr>
      <w:r w:rsidRPr="00261A25">
        <w:t xml:space="preserve">Smith, W., </w:t>
      </w:r>
      <w:r>
        <w:t>and</w:t>
      </w:r>
      <w:r w:rsidRPr="00261A25">
        <w:t xml:space="preserve"> Wagner, G. (2018). Stratospheric aerosol injection tactics and costs in the first 15 years of deployment. </w:t>
      </w:r>
      <w:r w:rsidRPr="00261A25">
        <w:rPr>
          <w:i/>
          <w:iCs/>
        </w:rPr>
        <w:t>Environmental Research Letters</w:t>
      </w:r>
      <w:r w:rsidRPr="00261A25">
        <w:t>, </w:t>
      </w:r>
      <w:r w:rsidRPr="00261A25">
        <w:rPr>
          <w:i/>
          <w:iCs/>
        </w:rPr>
        <w:t>13</w:t>
      </w:r>
      <w:r w:rsidRPr="00261A25">
        <w:t>(12), 124001.</w:t>
      </w:r>
    </w:p>
    <w:p w14:paraId="7D6DBCA6" w14:textId="3BC1F2A2" w:rsidR="0021340C" w:rsidRPr="00261A25" w:rsidRDefault="0021340C" w:rsidP="0021340C">
      <w:pPr>
        <w:pStyle w:val="ListParagraph"/>
        <w:numPr>
          <w:ilvl w:val="0"/>
          <w:numId w:val="7"/>
        </w:numPr>
        <w:contextualSpacing w:val="0"/>
        <w:jc w:val="both"/>
        <w:rPr>
          <w:lang w:val="en-US"/>
        </w:rPr>
      </w:pPr>
      <w:proofErr w:type="spellStart"/>
      <w:r w:rsidRPr="00261A25">
        <w:t>Tetiana</w:t>
      </w:r>
      <w:proofErr w:type="spellEnd"/>
      <w:r w:rsidRPr="00261A25">
        <w:t xml:space="preserve">, H., Karpenko, L. M., </w:t>
      </w:r>
      <w:proofErr w:type="spellStart"/>
      <w:r w:rsidRPr="00261A25">
        <w:t>Olesia</w:t>
      </w:r>
      <w:proofErr w:type="spellEnd"/>
      <w:r w:rsidRPr="00261A25">
        <w:t xml:space="preserve">, F. V., Yu, S. I., </w:t>
      </w:r>
      <w:r>
        <w:t>and</w:t>
      </w:r>
      <w:r w:rsidRPr="00261A25">
        <w:t xml:space="preserve"> Svetlana, D. (2018). Innovative methods of performance evaluation of energy efficiency projects. </w:t>
      </w:r>
      <w:r w:rsidRPr="00261A25">
        <w:rPr>
          <w:i/>
          <w:iCs/>
        </w:rPr>
        <w:t>Academy of Strategic Management Journal</w:t>
      </w:r>
      <w:r w:rsidRPr="00261A25">
        <w:t>, </w:t>
      </w:r>
      <w:r w:rsidRPr="00261A25">
        <w:rPr>
          <w:i/>
          <w:iCs/>
        </w:rPr>
        <w:t>17</w:t>
      </w:r>
      <w:r w:rsidRPr="00261A25">
        <w:t>(2), 1-11.</w:t>
      </w:r>
    </w:p>
    <w:p w14:paraId="75EB1739" w14:textId="77777777" w:rsidR="0021340C" w:rsidRPr="00261A25" w:rsidRDefault="0021340C" w:rsidP="0021340C">
      <w:pPr>
        <w:pStyle w:val="ListParagraph"/>
        <w:numPr>
          <w:ilvl w:val="0"/>
          <w:numId w:val="7"/>
        </w:numPr>
        <w:contextualSpacing w:val="0"/>
        <w:jc w:val="both"/>
        <w:rPr>
          <w:lang w:val="en-US"/>
        </w:rPr>
      </w:pPr>
      <w:r w:rsidRPr="00261A25">
        <w:t>Tien, N. H. (2019). International economics, business and management strategy. </w:t>
      </w:r>
      <w:proofErr w:type="spellStart"/>
      <w:r w:rsidRPr="00261A25">
        <w:rPr>
          <w:i/>
          <w:iCs/>
        </w:rPr>
        <w:t>Dehli</w:t>
      </w:r>
      <w:proofErr w:type="spellEnd"/>
      <w:r w:rsidRPr="00261A25">
        <w:rPr>
          <w:i/>
          <w:iCs/>
        </w:rPr>
        <w:t>: Academic Publications</w:t>
      </w:r>
      <w:r w:rsidRPr="00261A25">
        <w:t>.</w:t>
      </w:r>
    </w:p>
    <w:p w14:paraId="56E6EDB3" w14:textId="77777777" w:rsidR="0021340C" w:rsidRPr="00261A25" w:rsidRDefault="0021340C" w:rsidP="0021340C">
      <w:pPr>
        <w:pStyle w:val="ListParagraph"/>
        <w:numPr>
          <w:ilvl w:val="0"/>
          <w:numId w:val="7"/>
        </w:numPr>
        <w:contextualSpacing w:val="0"/>
        <w:jc w:val="both"/>
        <w:rPr>
          <w:lang w:val="en-US"/>
        </w:rPr>
      </w:pPr>
      <w:proofErr w:type="spellStart"/>
      <w:r w:rsidRPr="00261A25">
        <w:t>Yılmaz</w:t>
      </w:r>
      <w:proofErr w:type="spellEnd"/>
      <w:r w:rsidRPr="00261A25">
        <w:t xml:space="preserve"> </w:t>
      </w:r>
      <w:proofErr w:type="spellStart"/>
      <w:r w:rsidRPr="00261A25">
        <w:t>Ünlü</w:t>
      </w:r>
      <w:proofErr w:type="spellEnd"/>
      <w:r w:rsidRPr="00261A25">
        <w:t>, Z. (2022). </w:t>
      </w:r>
      <w:r w:rsidRPr="00261A25">
        <w:rPr>
          <w:i/>
          <w:iCs/>
        </w:rPr>
        <w:t>Analysis of Online and In-Store Clothes Shopping Experiences Taking a User Journey Approach</w:t>
      </w:r>
      <w:r w:rsidRPr="00261A25">
        <w:t> (Master's thesis, Middle East Technical University).</w:t>
      </w:r>
    </w:p>
    <w:p w14:paraId="7439DFF0" w14:textId="06FFF762" w:rsidR="0021340C" w:rsidRPr="00261A25" w:rsidRDefault="0021340C" w:rsidP="0021340C">
      <w:pPr>
        <w:pStyle w:val="ListParagraph"/>
        <w:numPr>
          <w:ilvl w:val="0"/>
          <w:numId w:val="7"/>
        </w:numPr>
        <w:contextualSpacing w:val="0"/>
        <w:jc w:val="both"/>
        <w:rPr>
          <w:lang w:val="en-US"/>
        </w:rPr>
      </w:pPr>
      <w:r w:rsidRPr="00261A25">
        <w:t xml:space="preserve">Yu, Y., Herman, P., Rothman, D. L., Agarwal, D., </w:t>
      </w:r>
      <w:r>
        <w:t>and</w:t>
      </w:r>
      <w:r w:rsidRPr="00261A25">
        <w:t xml:space="preserve"> </w:t>
      </w:r>
      <w:proofErr w:type="spellStart"/>
      <w:r w:rsidRPr="00261A25">
        <w:t>Hyder</w:t>
      </w:r>
      <w:proofErr w:type="spellEnd"/>
      <w:r w:rsidRPr="00261A25">
        <w:t xml:space="preserve">, F. (2018). Evaluating the </w:t>
      </w:r>
      <w:proofErr w:type="spellStart"/>
      <w:r w:rsidRPr="00261A25">
        <w:t>gray</w:t>
      </w:r>
      <w:proofErr w:type="spellEnd"/>
      <w:r w:rsidRPr="00261A25">
        <w:t xml:space="preserve"> and white matter energy budgets of human brain function. </w:t>
      </w:r>
      <w:r w:rsidRPr="00261A25">
        <w:rPr>
          <w:i/>
          <w:iCs/>
        </w:rPr>
        <w:t>Journal of Cerebral Blood Flow &amp; Metabolism</w:t>
      </w:r>
      <w:r w:rsidRPr="00261A25">
        <w:t>, </w:t>
      </w:r>
      <w:r w:rsidRPr="00261A25">
        <w:rPr>
          <w:i/>
          <w:iCs/>
        </w:rPr>
        <w:t>38</w:t>
      </w:r>
      <w:r w:rsidRPr="00261A25">
        <w:t>(8), 1339-1353.</w:t>
      </w:r>
    </w:p>
    <w:bookmarkEnd w:id="4"/>
    <w:p w14:paraId="45FC007E" w14:textId="77777777" w:rsidR="00A32B80" w:rsidRPr="00A32B80" w:rsidRDefault="00A32B80" w:rsidP="0021340C">
      <w:pPr>
        <w:jc w:val="both"/>
        <w:rPr>
          <w:lang w:val="en-US"/>
        </w:rPr>
      </w:pPr>
    </w:p>
    <w:p w14:paraId="75B9E892" w14:textId="77777777" w:rsidR="0088191A" w:rsidRPr="008C1632" w:rsidRDefault="0088191A" w:rsidP="0021340C">
      <w:pPr>
        <w:jc w:val="both"/>
        <w:rPr>
          <w:lang w:val="en-US"/>
        </w:rPr>
      </w:pPr>
    </w:p>
    <w:sectPr w:rsidR="0088191A" w:rsidRPr="008C163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473FD29" w14:textId="77777777" w:rsidR="00B465DD" w:rsidRDefault="00B465DD" w:rsidP="001E51B0">
      <w:pPr>
        <w:spacing w:after="0" w:line="240" w:lineRule="auto"/>
      </w:pPr>
      <w:r>
        <w:separator/>
      </w:r>
    </w:p>
  </w:endnote>
  <w:endnote w:type="continuationSeparator" w:id="0">
    <w:p w14:paraId="3502DB77" w14:textId="77777777" w:rsidR="00B465DD" w:rsidRDefault="00B465DD" w:rsidP="001E5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0739399"/>
      <w:docPartObj>
        <w:docPartGallery w:val="Page Numbers (Bottom of Page)"/>
        <w:docPartUnique/>
      </w:docPartObj>
    </w:sdtPr>
    <w:sdtEndPr>
      <w:rPr>
        <w:noProof/>
      </w:rPr>
    </w:sdtEndPr>
    <w:sdtContent>
      <w:p w14:paraId="7FE83E26" w14:textId="739C8365" w:rsidR="001E51B0" w:rsidRDefault="001E51B0">
        <w:pPr>
          <w:pStyle w:val="Footer"/>
          <w:jc w:val="center"/>
        </w:pPr>
        <w:r>
          <w:fldChar w:fldCharType="begin"/>
        </w:r>
        <w:r>
          <w:instrText xml:space="preserve"> PAGE   \* MERGEFORMAT </w:instrText>
        </w:r>
        <w:r>
          <w:fldChar w:fldCharType="separate"/>
        </w:r>
        <w:r w:rsidR="007D5A79">
          <w:rPr>
            <w:noProof/>
          </w:rPr>
          <w:t>1</w:t>
        </w:r>
        <w:r>
          <w:rPr>
            <w:noProof/>
          </w:rPr>
          <w:fldChar w:fldCharType="end"/>
        </w:r>
      </w:p>
    </w:sdtContent>
  </w:sdt>
  <w:p w14:paraId="298B4587" w14:textId="77777777" w:rsidR="001E51B0" w:rsidRDefault="001E51B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BB0040" w14:textId="77777777" w:rsidR="00B465DD" w:rsidRDefault="00B465DD" w:rsidP="001E51B0">
      <w:pPr>
        <w:spacing w:after="0" w:line="240" w:lineRule="auto"/>
      </w:pPr>
      <w:r>
        <w:separator/>
      </w:r>
    </w:p>
  </w:footnote>
  <w:footnote w:type="continuationSeparator" w:id="0">
    <w:p w14:paraId="5FF4000B" w14:textId="77777777" w:rsidR="00B465DD" w:rsidRDefault="00B465DD" w:rsidP="001E51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0F05C0"/>
    <w:multiLevelType w:val="hybridMultilevel"/>
    <w:tmpl w:val="4638694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24452AFD"/>
    <w:multiLevelType w:val="hybridMultilevel"/>
    <w:tmpl w:val="B34E3864"/>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8C4185E"/>
    <w:multiLevelType w:val="hybridMultilevel"/>
    <w:tmpl w:val="ED00C47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340F4F40"/>
    <w:multiLevelType w:val="hybridMultilevel"/>
    <w:tmpl w:val="83F0089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3CFB3370"/>
    <w:multiLevelType w:val="hybridMultilevel"/>
    <w:tmpl w:val="357414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5B785920"/>
    <w:multiLevelType w:val="hybridMultilevel"/>
    <w:tmpl w:val="DF6CD22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nsid w:val="65F7000F"/>
    <w:multiLevelType w:val="hybridMultilevel"/>
    <w:tmpl w:val="E2AA473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4"/>
  </w:num>
  <w:num w:numId="5">
    <w:abstractNumId w:val="3"/>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6654"/>
    <w:rsid w:val="000B755A"/>
    <w:rsid w:val="000F2673"/>
    <w:rsid w:val="00160B0C"/>
    <w:rsid w:val="00197C2C"/>
    <w:rsid w:val="001E51B0"/>
    <w:rsid w:val="0021340C"/>
    <w:rsid w:val="00261A25"/>
    <w:rsid w:val="00300F1D"/>
    <w:rsid w:val="00347EA6"/>
    <w:rsid w:val="00382D72"/>
    <w:rsid w:val="003D6267"/>
    <w:rsid w:val="003F04F0"/>
    <w:rsid w:val="004A3585"/>
    <w:rsid w:val="004B44DC"/>
    <w:rsid w:val="00545106"/>
    <w:rsid w:val="005A1DF5"/>
    <w:rsid w:val="005A7DFD"/>
    <w:rsid w:val="005D08EB"/>
    <w:rsid w:val="005E13D6"/>
    <w:rsid w:val="005F7809"/>
    <w:rsid w:val="00626A8F"/>
    <w:rsid w:val="006A3230"/>
    <w:rsid w:val="006C5405"/>
    <w:rsid w:val="00764A81"/>
    <w:rsid w:val="00790404"/>
    <w:rsid w:val="007D5A79"/>
    <w:rsid w:val="008469DA"/>
    <w:rsid w:val="008707BA"/>
    <w:rsid w:val="0088191A"/>
    <w:rsid w:val="008B76CD"/>
    <w:rsid w:val="008C1632"/>
    <w:rsid w:val="00906654"/>
    <w:rsid w:val="00911A19"/>
    <w:rsid w:val="00941F93"/>
    <w:rsid w:val="0099350D"/>
    <w:rsid w:val="009A1344"/>
    <w:rsid w:val="009E168D"/>
    <w:rsid w:val="00A00808"/>
    <w:rsid w:val="00A00B6F"/>
    <w:rsid w:val="00A32B80"/>
    <w:rsid w:val="00A753C4"/>
    <w:rsid w:val="00AB04DE"/>
    <w:rsid w:val="00AF2076"/>
    <w:rsid w:val="00B22987"/>
    <w:rsid w:val="00B35CF5"/>
    <w:rsid w:val="00B465DD"/>
    <w:rsid w:val="00C02595"/>
    <w:rsid w:val="00CC44A5"/>
    <w:rsid w:val="00D216CE"/>
    <w:rsid w:val="00DD2529"/>
    <w:rsid w:val="00F36992"/>
    <w:rsid w:val="00F435CE"/>
    <w:rsid w:val="00F73E8E"/>
    <w:rsid w:val="00FE34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2A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40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6C540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6C540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40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6C5405"/>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6C5405"/>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C5405"/>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8C1632"/>
    <w:pPr>
      <w:ind w:left="720"/>
      <w:contextualSpacing/>
    </w:pPr>
  </w:style>
  <w:style w:type="paragraph" w:styleId="Header">
    <w:name w:val="header"/>
    <w:basedOn w:val="Normal"/>
    <w:link w:val="HeaderChar"/>
    <w:uiPriority w:val="99"/>
    <w:unhideWhenUsed/>
    <w:rsid w:val="001E5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1B0"/>
    <w:rPr>
      <w:rFonts w:ascii="Times New Roman" w:hAnsi="Times New Roman"/>
      <w:sz w:val="24"/>
    </w:rPr>
  </w:style>
  <w:style w:type="paragraph" w:styleId="Footer">
    <w:name w:val="footer"/>
    <w:basedOn w:val="Normal"/>
    <w:link w:val="FooterChar"/>
    <w:uiPriority w:val="99"/>
    <w:unhideWhenUsed/>
    <w:rsid w:val="001E5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1B0"/>
    <w:rPr>
      <w:rFonts w:ascii="Times New Roman" w:hAnsi="Times New Roman"/>
      <w:sz w:val="24"/>
    </w:rPr>
  </w:style>
  <w:style w:type="paragraph" w:styleId="TOCHeading">
    <w:name w:val="TOC Heading"/>
    <w:basedOn w:val="Heading1"/>
    <w:next w:val="Normal"/>
    <w:uiPriority w:val="39"/>
    <w:unhideWhenUsed/>
    <w:qFormat/>
    <w:rsid w:val="0021340C"/>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1340C"/>
    <w:pPr>
      <w:spacing w:after="100"/>
    </w:pPr>
  </w:style>
  <w:style w:type="character" w:styleId="Hyperlink">
    <w:name w:val="Hyperlink"/>
    <w:basedOn w:val="DefaultParagraphFont"/>
    <w:uiPriority w:val="99"/>
    <w:unhideWhenUsed/>
    <w:rsid w:val="0021340C"/>
    <w:rPr>
      <w:color w:val="0563C1" w:themeColor="hyperlink"/>
      <w:u w:val="single"/>
    </w:rPr>
  </w:style>
  <w:style w:type="paragraph" w:styleId="BalloonText">
    <w:name w:val="Balloon Text"/>
    <w:basedOn w:val="Normal"/>
    <w:link w:val="BalloonTextChar"/>
    <w:uiPriority w:val="99"/>
    <w:semiHidden/>
    <w:unhideWhenUsed/>
    <w:rsid w:val="007D5A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A79"/>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C540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6C5405"/>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6C540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40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6C5405"/>
    <w:rPr>
      <w:rFonts w:ascii="Times New Roman" w:eastAsiaTheme="majorEastAsia" w:hAnsi="Times New Roman" w:cstheme="majorBidi"/>
      <w:b/>
      <w:sz w:val="24"/>
      <w:szCs w:val="26"/>
    </w:rPr>
  </w:style>
  <w:style w:type="paragraph" w:styleId="Title">
    <w:name w:val="Title"/>
    <w:basedOn w:val="Normal"/>
    <w:next w:val="Normal"/>
    <w:link w:val="TitleChar"/>
    <w:uiPriority w:val="10"/>
    <w:qFormat/>
    <w:rsid w:val="006C5405"/>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6C5405"/>
    <w:rPr>
      <w:rFonts w:ascii="Times New Roman" w:eastAsiaTheme="majorEastAsia" w:hAnsi="Times New Roman" w:cstheme="majorBidi"/>
      <w:b/>
      <w:spacing w:val="-10"/>
      <w:kern w:val="28"/>
      <w:sz w:val="56"/>
      <w:szCs w:val="56"/>
    </w:rPr>
  </w:style>
  <w:style w:type="paragraph" w:styleId="ListParagraph">
    <w:name w:val="List Paragraph"/>
    <w:basedOn w:val="Normal"/>
    <w:uiPriority w:val="34"/>
    <w:qFormat/>
    <w:rsid w:val="008C1632"/>
    <w:pPr>
      <w:ind w:left="720"/>
      <w:contextualSpacing/>
    </w:pPr>
  </w:style>
  <w:style w:type="paragraph" w:styleId="Header">
    <w:name w:val="header"/>
    <w:basedOn w:val="Normal"/>
    <w:link w:val="HeaderChar"/>
    <w:uiPriority w:val="99"/>
    <w:unhideWhenUsed/>
    <w:rsid w:val="001E51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51B0"/>
    <w:rPr>
      <w:rFonts w:ascii="Times New Roman" w:hAnsi="Times New Roman"/>
      <w:sz w:val="24"/>
    </w:rPr>
  </w:style>
  <w:style w:type="paragraph" w:styleId="Footer">
    <w:name w:val="footer"/>
    <w:basedOn w:val="Normal"/>
    <w:link w:val="FooterChar"/>
    <w:uiPriority w:val="99"/>
    <w:unhideWhenUsed/>
    <w:rsid w:val="001E51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51B0"/>
    <w:rPr>
      <w:rFonts w:ascii="Times New Roman" w:hAnsi="Times New Roman"/>
      <w:sz w:val="24"/>
    </w:rPr>
  </w:style>
  <w:style w:type="paragraph" w:styleId="TOCHeading">
    <w:name w:val="TOC Heading"/>
    <w:basedOn w:val="Heading1"/>
    <w:next w:val="Normal"/>
    <w:uiPriority w:val="39"/>
    <w:unhideWhenUsed/>
    <w:qFormat/>
    <w:rsid w:val="0021340C"/>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1340C"/>
    <w:pPr>
      <w:spacing w:after="100"/>
    </w:pPr>
  </w:style>
  <w:style w:type="character" w:styleId="Hyperlink">
    <w:name w:val="Hyperlink"/>
    <w:basedOn w:val="DefaultParagraphFont"/>
    <w:uiPriority w:val="99"/>
    <w:unhideWhenUsed/>
    <w:rsid w:val="0021340C"/>
    <w:rPr>
      <w:color w:val="0563C1" w:themeColor="hyperlink"/>
      <w:u w:val="single"/>
    </w:rPr>
  </w:style>
  <w:style w:type="paragraph" w:styleId="BalloonText">
    <w:name w:val="Balloon Text"/>
    <w:basedOn w:val="Normal"/>
    <w:link w:val="BalloonTextChar"/>
    <w:uiPriority w:val="99"/>
    <w:semiHidden/>
    <w:unhideWhenUsed/>
    <w:rsid w:val="007D5A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5A7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6396187">
      <w:bodyDiv w:val="1"/>
      <w:marLeft w:val="0"/>
      <w:marRight w:val="0"/>
      <w:marTop w:val="0"/>
      <w:marBottom w:val="0"/>
      <w:divBdr>
        <w:top w:val="none" w:sz="0" w:space="0" w:color="auto"/>
        <w:left w:val="none" w:sz="0" w:space="0" w:color="auto"/>
        <w:bottom w:val="none" w:sz="0" w:space="0" w:color="auto"/>
        <w:right w:val="none" w:sz="0" w:space="0" w:color="auto"/>
      </w:divBdr>
    </w:div>
    <w:div w:id="1069184295">
      <w:bodyDiv w:val="1"/>
      <w:marLeft w:val="0"/>
      <w:marRight w:val="0"/>
      <w:marTop w:val="0"/>
      <w:marBottom w:val="0"/>
      <w:divBdr>
        <w:top w:val="none" w:sz="0" w:space="0" w:color="auto"/>
        <w:left w:val="none" w:sz="0" w:space="0" w:color="auto"/>
        <w:bottom w:val="none" w:sz="0" w:space="0" w:color="auto"/>
        <w:right w:val="none" w:sz="0" w:space="0" w:color="auto"/>
      </w:divBdr>
    </w:div>
    <w:div w:id="1105030138">
      <w:bodyDiv w:val="1"/>
      <w:marLeft w:val="0"/>
      <w:marRight w:val="0"/>
      <w:marTop w:val="0"/>
      <w:marBottom w:val="0"/>
      <w:divBdr>
        <w:top w:val="none" w:sz="0" w:space="0" w:color="auto"/>
        <w:left w:val="none" w:sz="0" w:space="0" w:color="auto"/>
        <w:bottom w:val="none" w:sz="0" w:space="0" w:color="auto"/>
        <w:right w:val="none" w:sz="0" w:space="0" w:color="auto"/>
      </w:divBdr>
    </w:div>
    <w:div w:id="1157067205">
      <w:bodyDiv w:val="1"/>
      <w:marLeft w:val="0"/>
      <w:marRight w:val="0"/>
      <w:marTop w:val="0"/>
      <w:marBottom w:val="0"/>
      <w:divBdr>
        <w:top w:val="none" w:sz="0" w:space="0" w:color="auto"/>
        <w:left w:val="none" w:sz="0" w:space="0" w:color="auto"/>
        <w:bottom w:val="none" w:sz="0" w:space="0" w:color="auto"/>
        <w:right w:val="none" w:sz="0" w:space="0" w:color="auto"/>
      </w:divBdr>
    </w:div>
    <w:div w:id="1367945535">
      <w:bodyDiv w:val="1"/>
      <w:marLeft w:val="0"/>
      <w:marRight w:val="0"/>
      <w:marTop w:val="0"/>
      <w:marBottom w:val="0"/>
      <w:divBdr>
        <w:top w:val="none" w:sz="0" w:space="0" w:color="auto"/>
        <w:left w:val="none" w:sz="0" w:space="0" w:color="auto"/>
        <w:bottom w:val="none" w:sz="0" w:space="0" w:color="auto"/>
        <w:right w:val="none" w:sz="0" w:space="0" w:color="auto"/>
      </w:divBdr>
    </w:div>
    <w:div w:id="1383945276">
      <w:bodyDiv w:val="1"/>
      <w:marLeft w:val="0"/>
      <w:marRight w:val="0"/>
      <w:marTop w:val="0"/>
      <w:marBottom w:val="0"/>
      <w:divBdr>
        <w:top w:val="none" w:sz="0" w:space="0" w:color="auto"/>
        <w:left w:val="none" w:sz="0" w:space="0" w:color="auto"/>
        <w:bottom w:val="none" w:sz="0" w:space="0" w:color="auto"/>
        <w:right w:val="none" w:sz="0" w:space="0" w:color="auto"/>
      </w:divBdr>
    </w:div>
    <w:div w:id="200088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1CC7D-1D2A-4CA0-B85B-2161CDCBF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13</Pages>
  <Words>2607</Words>
  <Characters>14865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17438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85</cp:revision>
  <dcterms:created xsi:type="dcterms:W3CDTF">2022-11-21T04:59:00Z</dcterms:created>
  <dcterms:modified xsi:type="dcterms:W3CDTF">2022-11-22T04:32:00Z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bddeb7a5-568a-4f4b-8e2f-6fa35078ecc1</vt:lpwstr>
  </property>
</Properties>
</file>