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44"/>
          <w:szCs w:val="44"/>
        </w:rPr>
      </w:pPr>
      <w:r w:rsidDel="00000000" w:rsidR="00000000" w:rsidRPr="00000000">
        <w:rPr>
          <w:rtl w:val="0"/>
        </w:rPr>
      </w:r>
    </w:p>
    <w:p w:rsidR="00000000" w:rsidDel="00000000" w:rsidP="00000000" w:rsidRDefault="00000000" w:rsidRPr="00000000" w14:paraId="00000002">
      <w:pPr>
        <w:jc w:val="center"/>
        <w:rPr>
          <w:b w:val="1"/>
          <w:sz w:val="44"/>
          <w:szCs w:val="44"/>
        </w:rPr>
      </w:pPr>
      <w:r w:rsidDel="00000000" w:rsidR="00000000" w:rsidRPr="00000000">
        <w:rPr>
          <w:rtl w:val="0"/>
        </w:rPr>
      </w:r>
    </w:p>
    <w:p w:rsidR="00000000" w:rsidDel="00000000" w:rsidP="00000000" w:rsidRDefault="00000000" w:rsidRPr="00000000" w14:paraId="00000003">
      <w:pPr>
        <w:jc w:val="center"/>
        <w:rPr>
          <w:b w:val="1"/>
          <w:sz w:val="44"/>
          <w:szCs w:val="44"/>
        </w:rPr>
      </w:pPr>
      <w:r w:rsidDel="00000000" w:rsidR="00000000" w:rsidRPr="00000000">
        <w:rPr>
          <w:rtl w:val="0"/>
        </w:rPr>
      </w:r>
    </w:p>
    <w:p w:rsidR="00000000" w:rsidDel="00000000" w:rsidP="00000000" w:rsidRDefault="00000000" w:rsidRPr="00000000" w14:paraId="00000004">
      <w:pPr>
        <w:jc w:val="center"/>
        <w:rPr>
          <w:b w:val="1"/>
          <w:sz w:val="44"/>
          <w:szCs w:val="44"/>
        </w:rPr>
      </w:pPr>
      <w:r w:rsidDel="00000000" w:rsidR="00000000" w:rsidRPr="00000000">
        <w:rPr>
          <w:b w:val="1"/>
          <w:sz w:val="44"/>
          <w:szCs w:val="44"/>
          <w:rtl w:val="0"/>
        </w:rPr>
        <w:t xml:space="preserve">Financial Management for the Hotel Industry</w:t>
      </w:r>
    </w:p>
    <w:p w:rsidR="00000000" w:rsidDel="00000000" w:rsidP="00000000" w:rsidRDefault="00000000" w:rsidRPr="00000000" w14:paraId="00000005">
      <w:pPr>
        <w:jc w:val="center"/>
        <w:rPr/>
      </w:pPr>
      <w:r w:rsidDel="00000000" w:rsidR="00000000" w:rsidRPr="00000000">
        <w:rPr>
          <w:b w:val="1"/>
          <w:sz w:val="44"/>
          <w:szCs w:val="44"/>
          <w:rtl w:val="0"/>
        </w:rPr>
        <w:t xml:space="preserve">Marriott International</w:t>
      </w: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left"/>
        <w:rPr>
          <w:sz w:val="24"/>
          <w:szCs w:val="24"/>
        </w:rPr>
      </w:pPr>
      <w:r w:rsidDel="00000000" w:rsidR="00000000" w:rsidRPr="00000000">
        <w:rPr>
          <w:b w:val="1"/>
          <w:sz w:val="24"/>
          <w:szCs w:val="24"/>
          <w:rtl w:val="0"/>
        </w:rPr>
        <w:t xml:space="preserve">Student Name: Urszula Anna Joniak</w:t>
      </w:r>
      <w:r w:rsidDel="00000000" w:rsidR="00000000" w:rsidRPr="00000000">
        <w:rPr>
          <w:rtl w:val="0"/>
        </w:rPr>
      </w:r>
    </w:p>
    <w:p w:rsidR="00000000" w:rsidDel="00000000" w:rsidP="00000000" w:rsidRDefault="00000000" w:rsidRPr="00000000" w14:paraId="00000008">
      <w:pPr>
        <w:jc w:val="left"/>
        <w:rPr>
          <w:sz w:val="24"/>
          <w:szCs w:val="24"/>
        </w:rPr>
      </w:pPr>
      <w:r w:rsidDel="00000000" w:rsidR="00000000" w:rsidRPr="00000000">
        <w:rPr>
          <w:b w:val="1"/>
          <w:sz w:val="24"/>
          <w:szCs w:val="24"/>
          <w:rtl w:val="0"/>
        </w:rPr>
        <w:t xml:space="preserve">Student ID: 2026294</w:t>
      </w:r>
      <w:r w:rsidDel="00000000" w:rsidR="00000000" w:rsidRPr="00000000">
        <w:rPr>
          <w:rtl w:val="0"/>
        </w:rPr>
      </w:r>
    </w:p>
    <w:p w:rsidR="00000000" w:rsidDel="00000000" w:rsidP="00000000" w:rsidRDefault="00000000" w:rsidRPr="00000000" w14:paraId="00000009">
      <w:pPr>
        <w:spacing w:line="259" w:lineRule="auto"/>
        <w:jc w:val="left"/>
        <w:rPr>
          <w:b w:val="1"/>
          <w:sz w:val="44"/>
          <w:szCs w:val="44"/>
        </w:rPr>
      </w:pPr>
      <w:r w:rsidDel="00000000" w:rsidR="00000000" w:rsidRPr="00000000">
        <w:br w:type="page"/>
      </w:r>
      <w:r w:rsidDel="00000000" w:rsidR="00000000" w:rsidRPr="00000000">
        <w:rPr>
          <w:rtl w:val="0"/>
        </w:rPr>
      </w:r>
    </w:p>
    <w:p w:rsidR="00000000" w:rsidDel="00000000" w:rsidP="00000000" w:rsidRDefault="00000000" w:rsidRPr="00000000" w14:paraId="0000000A">
      <w:pPr>
        <w:jc w:val="center"/>
        <w:rPr>
          <w:b w:val="1"/>
        </w:rPr>
      </w:pPr>
      <w:r w:rsidDel="00000000" w:rsidR="00000000" w:rsidRPr="00000000">
        <w:rPr>
          <w:b w:val="1"/>
          <w:rtl w:val="0"/>
        </w:rPr>
        <w:t xml:space="preserve">Executive Summary</w:t>
      </w:r>
    </w:p>
    <w:p w:rsidR="00000000" w:rsidDel="00000000" w:rsidP="00000000" w:rsidRDefault="00000000" w:rsidRPr="00000000" w14:paraId="0000000B">
      <w:pPr>
        <w:rPr/>
      </w:pPr>
      <w:r w:rsidDel="00000000" w:rsidR="00000000" w:rsidRPr="00000000">
        <w:rPr>
          <w:rtl w:val="0"/>
        </w:rPr>
        <w:t xml:space="preserve">The following report will highlight the investigation of the financial statement of the respective company Marriott International, Inc. There is a link given regarding the financial statement of the business by which the ratio performance of the business has been illustrated in this report. It also included the drawback of ratio interpretation along with the reason behind the understanding the ratio for the hotel industry has been highlighted in this report.</w:t>
      </w:r>
    </w:p>
    <w:p w:rsidR="00000000" w:rsidDel="00000000" w:rsidP="00000000" w:rsidRDefault="00000000" w:rsidRPr="00000000" w14:paraId="0000000C">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Gauging the accounting ratios that indicate the business trends as well as identify the financial trend</w:t>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Stating the knowledge gathered from the ratio interpretation</w:t>
              <w:tab/>
              <w:t xml:space="preserve">10</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Understanding the overall idea of ratio for analysing the financial report</w:t>
              <w:tab/>
              <w:t xml:space="preserve">11</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Gauging the importance of ratio to make decision</w:t>
              <w:tab/>
              <w:t xml:space="preserve">12</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Stating the drawbacks of ratio analysis</w:t>
              <w:tab/>
              <w:t xml:space="preserve">13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15</w:t>
            </w:r>
          </w:hyperlink>
          <w:r w:rsidDel="00000000" w:rsidR="00000000" w:rsidRPr="00000000">
            <w:rPr>
              <w:rtl w:val="0"/>
            </w:rPr>
          </w:r>
        </w:p>
        <w:p w:rsidR="00000000" w:rsidDel="00000000" w:rsidP="00000000" w:rsidRDefault="00000000" w:rsidRPr="00000000" w14:paraId="0000001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rPr/>
      </w:pPr>
      <w:bookmarkStart w:colFirst="0" w:colLast="0" w:name="_gjdgxs" w:id="0"/>
      <w:bookmarkEnd w:id="0"/>
      <w:r w:rsidDel="00000000" w:rsidR="00000000" w:rsidRPr="00000000">
        <w:rPr>
          <w:rtl w:val="0"/>
        </w:rPr>
      </w:r>
    </w:p>
    <w:p w:rsidR="00000000" w:rsidDel="00000000" w:rsidP="00000000" w:rsidRDefault="00000000" w:rsidRPr="00000000" w14:paraId="00000018">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rPr/>
      </w:pPr>
      <w:bookmarkStart w:colFirst="0" w:colLast="0" w:name="_30j0zll" w:id="1"/>
      <w:bookmarkEnd w:id="1"/>
      <w:r w:rsidDel="00000000" w:rsidR="00000000" w:rsidRPr="00000000">
        <w:rPr>
          <w:rtl w:val="0"/>
        </w:rPr>
        <w:t xml:space="preserve">Introduction</w:t>
      </w:r>
    </w:p>
    <w:p w:rsidR="00000000" w:rsidDel="00000000" w:rsidP="00000000" w:rsidRDefault="00000000" w:rsidRPr="00000000" w14:paraId="0000001A">
      <w:pPr>
        <w:rPr/>
      </w:pPr>
      <w:r w:rsidDel="00000000" w:rsidR="00000000" w:rsidRPr="00000000">
        <w:rPr>
          <w:rtl w:val="0"/>
        </w:rPr>
        <w:t xml:space="preserve">Financial management is mainly illustrated as the business function that compacts with financing the resources in an effective way that can help the business to achieve success. The professionals of financial management help to plan, control and organise all transactions within the business. This report will discuss the several financial data of the respective business Marriot International which is a multinational hotel industry in the United States. It will include the different calculations of the financial ratio of the respective business. Moreover, several graphical representations for the ratio analysis will also be discussed in this context. The drawbacks related to the ratio analysis will be highlighted in this report. The overall understanding of the ratio and its fluctuations is significant for the hotel industry which will be elucidated in this report. Furthermore, ratio plays an effective role in order to make the effective decision that will also be included in this context.</w:t>
      </w:r>
    </w:p>
    <w:p w:rsidR="00000000" w:rsidDel="00000000" w:rsidP="00000000" w:rsidRDefault="00000000" w:rsidRPr="00000000" w14:paraId="0000001B">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2"/>
        <w:rPr/>
      </w:pPr>
      <w:bookmarkStart w:colFirst="0" w:colLast="0" w:name="_1fob9te" w:id="2"/>
      <w:bookmarkEnd w:id="2"/>
      <w:r w:rsidDel="00000000" w:rsidR="00000000" w:rsidRPr="00000000">
        <w:rPr>
          <w:rtl w:val="0"/>
        </w:rPr>
        <w:t xml:space="preserve">Gauging the accounting ratios that indicate the business trends as well as identify the financial trend</w:t>
      </w:r>
    </w:p>
    <w:p w:rsidR="00000000" w:rsidDel="00000000" w:rsidP="00000000" w:rsidRDefault="00000000" w:rsidRPr="00000000" w14:paraId="0000001D">
      <w:pPr>
        <w:rPr/>
      </w:pPr>
      <w:r w:rsidDel="00000000" w:rsidR="00000000" w:rsidRPr="00000000">
        <w:rPr>
          <w:rtl w:val="0"/>
        </w:rPr>
        <w:t xml:space="preserve">After the proper analysis of the given brief, it can be found from the link that Marriot International earn maximum profit in 2021 compared to 2020. Several ratio analysis of the respective company has been illustrated below.</w:t>
      </w:r>
    </w:p>
    <w:p w:rsidR="00000000" w:rsidDel="00000000" w:rsidP="00000000" w:rsidRDefault="00000000" w:rsidRPr="00000000" w14:paraId="0000001E">
      <w:pPr>
        <w:rPr>
          <w:highlight w:val="white"/>
        </w:rPr>
      </w:pPr>
      <w:r w:rsidDel="00000000" w:rsidR="00000000" w:rsidRPr="00000000">
        <w:rPr>
          <w:b w:val="1"/>
          <w:u w:val="single"/>
          <w:rtl w:val="0"/>
        </w:rPr>
        <w:t xml:space="preserve">1. Stating the term profitability ratio: </w:t>
      </w:r>
      <w:r w:rsidDel="00000000" w:rsidR="00000000" w:rsidRPr="00000000">
        <w:rPr>
          <w:rtl w:val="0"/>
        </w:rPr>
        <w:t xml:space="preserve">Profitability ratio is known as the financial metrics that assist to evaluate and measure the capability of a business for generating profit. These capacities of the company can be monitored by the balance sheet, equity of the shareholder, and income statement for a particular period of time. Moreover, it highlights the way the company uses their assets for producing profit and giving value to its stakeholders </w:t>
      </w:r>
      <w:r w:rsidDel="00000000" w:rsidR="00000000" w:rsidRPr="00000000">
        <w:rPr>
          <w:highlight w:val="white"/>
          <w:rtl w:val="0"/>
        </w:rPr>
        <w:t xml:space="preserve">(Tan et al., 2018)</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1F">
      <w:pPr>
        <w:rPr>
          <w:highlight w:val="white"/>
        </w:rPr>
      </w:pPr>
      <w:r w:rsidDel="00000000" w:rsidR="00000000" w:rsidRPr="00000000">
        <w:rPr>
          <w:b w:val="1"/>
          <w:rtl w:val="0"/>
        </w:rPr>
        <w:t xml:space="preserve">a) </w:t>
      </w:r>
      <w:r w:rsidDel="00000000" w:rsidR="00000000" w:rsidRPr="00000000">
        <w:rPr>
          <w:u w:val="single"/>
          <w:rtl w:val="0"/>
        </w:rPr>
        <w:t xml:space="preserve">Operating profit ratio: </w:t>
      </w:r>
      <w:r w:rsidDel="00000000" w:rsidR="00000000" w:rsidRPr="00000000">
        <w:rPr>
          <w:rtl w:val="0"/>
        </w:rPr>
        <w:t xml:space="preserve">Operating ratio is known as the financial metric that creates a connection between the net sales of the company and its operating profit </w:t>
      </w:r>
      <w:r w:rsidDel="00000000" w:rsidR="00000000" w:rsidRPr="00000000">
        <w:rPr>
          <w:highlight w:val="white"/>
          <w:rtl w:val="0"/>
        </w:rPr>
        <w:t xml:space="preserve">(Distanont and Khongmalai, 2020)</w:t>
      </w:r>
      <w:r w:rsidDel="00000000" w:rsidR="00000000" w:rsidRPr="00000000">
        <w:rPr>
          <w:rtl w:val="0"/>
        </w:rPr>
        <w:t xml:space="preserve">. It is utilised to regulate the revenue earned by a business after paying all of the operating expenses. The operating ratio of Marriot International for two years is stated below.</w:t>
      </w:r>
      <w:r w:rsidDel="00000000" w:rsidR="00000000" w:rsidRPr="00000000">
        <w:rPr>
          <w:rtl w:val="0"/>
        </w:rPr>
      </w:r>
    </w:p>
    <w:tbl>
      <w:tblPr>
        <w:tblStyle w:val="Table1"/>
        <w:tblW w:w="935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3116"/>
        <w:gridCol w:w="3117"/>
        <w:gridCol w:w="3117"/>
        <w:tblGridChange w:id="0">
          <w:tblGrid>
            <w:gridCol w:w="3116"/>
            <w:gridCol w:w="3117"/>
            <w:gridCol w:w="3117"/>
          </w:tblGrid>
        </w:tblGridChange>
      </w:tblGrid>
      <w:tr>
        <w:trPr>
          <w:cantSplit w:val="0"/>
          <w:tblHeader w:val="0"/>
        </w:trPr>
        <w:tc>
          <w:tcPr/>
          <w:p w:rsidR="00000000" w:rsidDel="00000000" w:rsidP="00000000" w:rsidRDefault="00000000" w:rsidRPr="00000000" w14:paraId="00000020">
            <w:pPr>
              <w:rPr/>
            </w:pPr>
            <w:r w:rsidDel="00000000" w:rsidR="00000000" w:rsidRPr="00000000">
              <w:rPr>
                <w:rtl w:val="0"/>
              </w:rPr>
              <w:t xml:space="preserve">Name of the ratio </w:t>
            </w:r>
          </w:p>
        </w:tc>
        <w:tc>
          <w:tcPr/>
          <w:p w:rsidR="00000000" w:rsidDel="00000000" w:rsidP="00000000" w:rsidRDefault="00000000" w:rsidRPr="00000000" w14:paraId="00000021">
            <w:pPr>
              <w:rPr/>
            </w:pPr>
            <w:r w:rsidDel="00000000" w:rsidR="00000000" w:rsidRPr="00000000">
              <w:rPr>
                <w:rtl w:val="0"/>
              </w:rPr>
              <w:t xml:space="preserve">2020</w:t>
            </w:r>
          </w:p>
        </w:tc>
        <w:tc>
          <w:tcPr/>
          <w:p w:rsidR="00000000" w:rsidDel="00000000" w:rsidP="00000000" w:rsidRDefault="00000000" w:rsidRPr="00000000" w14:paraId="00000022">
            <w:pPr>
              <w:rPr/>
            </w:pPr>
            <w:r w:rsidDel="00000000" w:rsidR="00000000" w:rsidRPr="00000000">
              <w:rPr>
                <w:rtl w:val="0"/>
              </w:rPr>
              <w:t xml:space="preserve">2021</w:t>
            </w:r>
          </w:p>
        </w:tc>
      </w:tr>
      <w:tr>
        <w:trPr>
          <w:cantSplit w:val="0"/>
          <w:tblHeader w:val="0"/>
        </w:trPr>
        <w:tc>
          <w:tcPr/>
          <w:p w:rsidR="00000000" w:rsidDel="00000000" w:rsidP="00000000" w:rsidRDefault="00000000" w:rsidRPr="00000000" w14:paraId="00000023">
            <w:pPr>
              <w:rPr/>
            </w:pPr>
            <w:r w:rsidDel="00000000" w:rsidR="00000000" w:rsidRPr="00000000">
              <w:rPr>
                <w:rtl w:val="0"/>
              </w:rPr>
              <w:t xml:space="preserve">Operating profit ratio </w:t>
            </w:r>
          </w:p>
        </w:tc>
        <w:tc>
          <w:tcPr/>
          <w:p w:rsidR="00000000" w:rsidDel="00000000" w:rsidP="00000000" w:rsidRDefault="00000000" w:rsidRPr="00000000" w14:paraId="00000024">
            <w:pPr>
              <w:rPr/>
            </w:pPr>
            <w:r w:rsidDel="00000000" w:rsidR="00000000" w:rsidRPr="00000000">
              <w:rPr>
                <w:rtl w:val="0"/>
              </w:rPr>
              <w:t xml:space="preserve">0.79</w:t>
            </w:r>
          </w:p>
        </w:tc>
        <w:tc>
          <w:tcPr/>
          <w:p w:rsidR="00000000" w:rsidDel="00000000" w:rsidP="00000000" w:rsidRDefault="00000000" w:rsidRPr="00000000" w14:paraId="00000025">
            <w:pPr>
              <w:rPr/>
            </w:pPr>
            <w:r w:rsidDel="00000000" w:rsidR="00000000" w:rsidRPr="00000000">
              <w:rPr>
                <w:rtl w:val="0"/>
              </w:rPr>
              <w:t xml:space="preserve">12.62</w:t>
            </w:r>
          </w:p>
        </w:tc>
      </w:tr>
    </w:tbl>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b w:val="1"/>
        </w:rPr>
      </w:pPr>
      <w:r w:rsidDel="00000000" w:rsidR="00000000" w:rsidRPr="00000000">
        <w:rPr>
          <w:b w:val="1"/>
          <w:rtl w:val="0"/>
        </w:rPr>
        <w:t xml:space="preserve">Stating the graphical representation of the operating profit ratio</w:t>
      </w:r>
    </w:p>
    <w:p w:rsidR="00000000" w:rsidDel="00000000" w:rsidP="00000000" w:rsidRDefault="00000000" w:rsidRPr="00000000" w14:paraId="00000028">
      <w:pPr>
        <w:rPr>
          <w:b w:val="1"/>
        </w:rPr>
      </w:pPr>
      <w:r w:rsidDel="00000000" w:rsidR="00000000" w:rsidRPr="00000000">
        <w:rPr>
          <w:rtl w:val="0"/>
        </w:rPr>
      </w:r>
    </w:p>
    <w:p w:rsidR="00000000" w:rsidDel="00000000" w:rsidP="00000000" w:rsidRDefault="00000000" w:rsidRPr="00000000" w14:paraId="00000029">
      <w:pPr>
        <w:jc w:val="center"/>
        <w:rPr>
          <w:b w:val="1"/>
        </w:rPr>
      </w:pPr>
      <w:r w:rsidDel="00000000" w:rsidR="00000000" w:rsidRPr="00000000">
        <w:rPr/>
        <w:drawing>
          <wp:inline distB="0" distT="0" distL="0" distR="0">
            <wp:extent cx="4572000" cy="2743200"/>
            <wp:effectExtent b="0" l="0" r="0" t="0"/>
            <wp:docPr id="1"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45720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jc w:val="center"/>
        <w:rPr>
          <w:b w:val="1"/>
        </w:rPr>
      </w:pPr>
      <w:r w:rsidDel="00000000" w:rsidR="00000000" w:rsidRPr="00000000">
        <w:rPr>
          <w:b w:val="1"/>
          <w:rtl w:val="0"/>
        </w:rPr>
        <w:t xml:space="preserve">Source: (Creator)</w:t>
      </w:r>
    </w:p>
    <w:p w:rsidR="00000000" w:rsidDel="00000000" w:rsidP="00000000" w:rsidRDefault="00000000" w:rsidRPr="00000000" w14:paraId="0000002B">
      <w:pPr>
        <w:rPr>
          <w:highlight w:val="white"/>
        </w:rPr>
      </w:pPr>
      <w:r w:rsidDel="00000000" w:rsidR="00000000" w:rsidRPr="00000000">
        <w:rPr>
          <w:rtl w:val="0"/>
        </w:rPr>
        <w:t xml:space="preserve">The pie chart is prepared to show the operating profit ratio of Marriot International for 2020 as well as 2021. It can be found from the pie chart that the outcome of the operating ratio of the particular business for mentioned two years are 0.79 as well as 12.62 </w:t>
      </w:r>
      <w:r w:rsidDel="00000000" w:rsidR="00000000" w:rsidRPr="00000000">
        <w:rPr>
          <w:highlight w:val="white"/>
          <w:rtl w:val="0"/>
        </w:rPr>
        <w:t xml:space="preserve">(Husna and Satria, 2019)</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2C">
      <w:pPr>
        <w:rPr/>
      </w:pPr>
      <w:r w:rsidDel="00000000" w:rsidR="00000000" w:rsidRPr="00000000">
        <w:rPr>
          <w:b w:val="1"/>
          <w:u w:val="single"/>
          <w:rtl w:val="0"/>
        </w:rPr>
        <w:t xml:space="preserve">b)</w:t>
      </w:r>
      <w:r w:rsidDel="00000000" w:rsidR="00000000" w:rsidRPr="00000000">
        <w:rPr>
          <w:u w:val="single"/>
          <w:rtl w:val="0"/>
        </w:rPr>
        <w:t xml:space="preserve"> Gross profit ratio:  </w:t>
      </w:r>
      <w:r w:rsidDel="00000000" w:rsidR="00000000" w:rsidRPr="00000000">
        <w:rPr>
          <w:rtl w:val="0"/>
        </w:rPr>
        <w:t xml:space="preserve">It is basically considered as the measure of profitability that is computed as the net sales to gross profit. It highlights the overall amount of profit that produces after paying all of its expenses. The formula to compute the outcome of gross profit is computed as a deduction between net sales and the cost of products sold. This aspect of Marriot International for two years is illustrated below.</w:t>
      </w:r>
    </w:p>
    <w:tbl>
      <w:tblPr>
        <w:tblStyle w:val="Table2"/>
        <w:tblW w:w="935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3116"/>
        <w:gridCol w:w="3117"/>
        <w:gridCol w:w="3117"/>
        <w:tblGridChange w:id="0">
          <w:tblGrid>
            <w:gridCol w:w="3116"/>
            <w:gridCol w:w="3117"/>
            <w:gridCol w:w="3117"/>
          </w:tblGrid>
        </w:tblGridChange>
      </w:tblGrid>
      <w:tr>
        <w:trPr>
          <w:cantSplit w:val="0"/>
          <w:tblHeader w:val="0"/>
        </w:trPr>
        <w:tc>
          <w:tcPr/>
          <w:p w:rsidR="00000000" w:rsidDel="00000000" w:rsidP="00000000" w:rsidRDefault="00000000" w:rsidRPr="00000000" w14:paraId="0000002D">
            <w:pPr>
              <w:rPr/>
            </w:pPr>
            <w:r w:rsidDel="00000000" w:rsidR="00000000" w:rsidRPr="00000000">
              <w:rPr>
                <w:rtl w:val="0"/>
              </w:rPr>
              <w:t xml:space="preserve">Name of the ratio </w:t>
            </w:r>
          </w:p>
        </w:tc>
        <w:tc>
          <w:tcPr/>
          <w:p w:rsidR="00000000" w:rsidDel="00000000" w:rsidP="00000000" w:rsidRDefault="00000000" w:rsidRPr="00000000" w14:paraId="0000002E">
            <w:pPr>
              <w:rPr/>
            </w:pPr>
            <w:r w:rsidDel="00000000" w:rsidR="00000000" w:rsidRPr="00000000">
              <w:rPr>
                <w:rtl w:val="0"/>
              </w:rPr>
              <w:t xml:space="preserve">2020</w:t>
            </w:r>
          </w:p>
        </w:tc>
        <w:tc>
          <w:tcPr/>
          <w:p w:rsidR="00000000" w:rsidDel="00000000" w:rsidP="00000000" w:rsidRDefault="00000000" w:rsidRPr="00000000" w14:paraId="0000002F">
            <w:pPr>
              <w:rPr/>
            </w:pPr>
            <w:r w:rsidDel="00000000" w:rsidR="00000000" w:rsidRPr="00000000">
              <w:rPr>
                <w:rtl w:val="0"/>
              </w:rPr>
              <w:t xml:space="preserve">2021</w:t>
            </w:r>
          </w:p>
        </w:tc>
      </w:tr>
      <w:tr>
        <w:trPr>
          <w:cantSplit w:val="0"/>
          <w:tblHeader w:val="0"/>
        </w:trPr>
        <w:tc>
          <w:tcPr/>
          <w:p w:rsidR="00000000" w:rsidDel="00000000" w:rsidP="00000000" w:rsidRDefault="00000000" w:rsidRPr="00000000" w14:paraId="00000030">
            <w:pPr>
              <w:rPr/>
            </w:pPr>
            <w:r w:rsidDel="00000000" w:rsidR="00000000" w:rsidRPr="00000000">
              <w:rPr>
                <w:rtl w:val="0"/>
              </w:rPr>
              <w:t xml:space="preserve">Gross profit ratio</w:t>
            </w:r>
          </w:p>
        </w:tc>
        <w:tc>
          <w:tcPr/>
          <w:p w:rsidR="00000000" w:rsidDel="00000000" w:rsidP="00000000" w:rsidRDefault="00000000" w:rsidRPr="00000000" w14:paraId="00000031">
            <w:pPr>
              <w:rPr/>
            </w:pPr>
            <w:r w:rsidDel="00000000" w:rsidR="00000000" w:rsidRPr="00000000">
              <w:rPr>
                <w:rtl w:val="0"/>
              </w:rPr>
              <w:t xml:space="preserve">13.80</w:t>
            </w:r>
          </w:p>
        </w:tc>
        <w:tc>
          <w:tcPr/>
          <w:p w:rsidR="00000000" w:rsidDel="00000000" w:rsidP="00000000" w:rsidRDefault="00000000" w:rsidRPr="00000000" w14:paraId="00000032">
            <w:pPr>
              <w:rPr/>
            </w:pPr>
            <w:r w:rsidDel="00000000" w:rsidR="00000000" w:rsidRPr="00000000">
              <w:rPr>
                <w:rtl w:val="0"/>
              </w:rPr>
              <w:t xml:space="preserve">20.21</w:t>
            </w:r>
          </w:p>
        </w:tc>
      </w:tr>
    </w:tbl>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b w:val="1"/>
        </w:rPr>
      </w:pPr>
      <w:r w:rsidDel="00000000" w:rsidR="00000000" w:rsidRPr="00000000">
        <w:rPr>
          <w:b w:val="1"/>
          <w:rtl w:val="0"/>
        </w:rPr>
        <w:t xml:space="preserve">Stating the graphical representation that highlights the ratio of gross profit</w:t>
      </w:r>
    </w:p>
    <w:p w:rsidR="00000000" w:rsidDel="00000000" w:rsidP="00000000" w:rsidRDefault="00000000" w:rsidRPr="00000000" w14:paraId="00000035">
      <w:pPr>
        <w:jc w:val="center"/>
        <w:rPr>
          <w:b w:val="1"/>
        </w:rPr>
      </w:pPr>
      <w:r w:rsidDel="00000000" w:rsidR="00000000" w:rsidRPr="00000000">
        <w:rPr/>
        <w:drawing>
          <wp:inline distB="0" distT="0" distL="0" distR="0">
            <wp:extent cx="4572000" cy="2743200"/>
            <wp:effectExtent b="0" l="0" r="0" t="0"/>
            <wp:docPr id="3"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45720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jc w:val="center"/>
        <w:rPr>
          <w:b w:val="1"/>
        </w:rPr>
      </w:pPr>
      <w:r w:rsidDel="00000000" w:rsidR="00000000" w:rsidRPr="00000000">
        <w:rPr>
          <w:b w:val="1"/>
          <w:rtl w:val="0"/>
        </w:rPr>
        <w:t xml:space="preserve">Source: (Creator)</w:t>
      </w:r>
    </w:p>
    <w:p w:rsidR="00000000" w:rsidDel="00000000" w:rsidP="00000000" w:rsidRDefault="00000000" w:rsidRPr="00000000" w14:paraId="00000037">
      <w:pPr>
        <w:rPr/>
      </w:pPr>
      <w:r w:rsidDel="00000000" w:rsidR="00000000" w:rsidRPr="00000000">
        <w:rPr>
          <w:rtl w:val="0"/>
        </w:rPr>
        <w:t xml:space="preserve">The pie chart is presented to show the outcome of the gross profit ratio of Marriot international in 2020 as well as 2021. According to the presented pie chart, it can be illustrated that the outcome for this aspect is 20.21 for 2021 and 13.8 for 2022.</w:t>
      </w:r>
    </w:p>
    <w:p w:rsidR="00000000" w:rsidDel="00000000" w:rsidP="00000000" w:rsidRDefault="00000000" w:rsidRPr="00000000" w14:paraId="00000038">
      <w:pPr>
        <w:rPr>
          <w:b w:val="1"/>
          <w:u w:val="single"/>
        </w:rPr>
      </w:pPr>
      <w:r w:rsidDel="00000000" w:rsidR="00000000" w:rsidRPr="00000000">
        <w:rPr>
          <w:b w:val="1"/>
          <w:u w:val="single"/>
          <w:rtl w:val="0"/>
        </w:rPr>
        <w:t xml:space="preserve">2. Stating the liquidity ratio: </w:t>
      </w:r>
      <w:r w:rsidDel="00000000" w:rsidR="00000000" w:rsidRPr="00000000">
        <w:rPr>
          <w:rtl w:val="0"/>
        </w:rPr>
        <w:t xml:space="preserve">Liquidity is very much needed for any company to fulfil their short-term debts. The liquidity ratio is the measure that highlights the ability of the company to pay its short-term debts and liabilities. It determines the way a business can able to convert its assets and utilise them to fulfil the dues that rise (accountingtools, 2022).</w:t>
      </w:r>
      <w:r w:rsidDel="00000000" w:rsidR="00000000" w:rsidRPr="00000000">
        <w:rPr>
          <w:rtl w:val="0"/>
        </w:rPr>
      </w:r>
    </w:p>
    <w:p w:rsidR="00000000" w:rsidDel="00000000" w:rsidP="00000000" w:rsidRDefault="00000000" w:rsidRPr="00000000" w14:paraId="00000039">
      <w:pPr>
        <w:rPr/>
      </w:pPr>
      <w:r w:rsidDel="00000000" w:rsidR="00000000" w:rsidRPr="00000000">
        <w:rPr>
          <w:b w:val="1"/>
          <w:u w:val="single"/>
          <w:rtl w:val="0"/>
        </w:rPr>
        <w:t xml:space="preserve">a) </w:t>
      </w:r>
      <w:r w:rsidDel="00000000" w:rsidR="00000000" w:rsidRPr="00000000">
        <w:rPr>
          <w:u w:val="single"/>
          <w:rtl w:val="0"/>
        </w:rPr>
        <w:t xml:space="preserve">Current ratio: </w:t>
      </w:r>
      <w:r w:rsidDel="00000000" w:rsidR="00000000" w:rsidRPr="00000000">
        <w:rPr>
          <w:rtl w:val="0"/>
        </w:rPr>
        <w:t xml:space="preserve">It is defined as the capacity of a business to pay its current liabilities and short-term debts. It involves their current assets such as cash, receivables and inventory. The formula to compute the outcome of the current ratio is considered as the split up between current assets as well as current liabilities. The current ratio of Marriot International for 2021 and 2020 is mentioned below.</w:t>
      </w:r>
    </w:p>
    <w:p w:rsidR="00000000" w:rsidDel="00000000" w:rsidP="00000000" w:rsidRDefault="00000000" w:rsidRPr="00000000" w14:paraId="0000003A">
      <w:pPr>
        <w:rPr/>
      </w:pPr>
      <w:r w:rsidDel="00000000" w:rsidR="00000000" w:rsidRPr="00000000">
        <w:rPr>
          <w:rtl w:val="0"/>
        </w:rPr>
      </w:r>
    </w:p>
    <w:tbl>
      <w:tblPr>
        <w:tblStyle w:val="Table3"/>
        <w:tblW w:w="935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3116"/>
        <w:gridCol w:w="3117"/>
        <w:gridCol w:w="3117"/>
        <w:tblGridChange w:id="0">
          <w:tblGrid>
            <w:gridCol w:w="3116"/>
            <w:gridCol w:w="3117"/>
            <w:gridCol w:w="3117"/>
          </w:tblGrid>
        </w:tblGridChange>
      </w:tblGrid>
      <w:tr>
        <w:trPr>
          <w:cantSplit w:val="0"/>
          <w:tblHeader w:val="0"/>
        </w:trPr>
        <w:tc>
          <w:tcPr/>
          <w:p w:rsidR="00000000" w:rsidDel="00000000" w:rsidP="00000000" w:rsidRDefault="00000000" w:rsidRPr="00000000" w14:paraId="0000003B">
            <w:pPr>
              <w:rPr/>
            </w:pPr>
            <w:r w:rsidDel="00000000" w:rsidR="00000000" w:rsidRPr="00000000">
              <w:rPr>
                <w:rtl w:val="0"/>
              </w:rPr>
              <w:t xml:space="preserve">Name of the ratio </w:t>
            </w:r>
          </w:p>
        </w:tc>
        <w:tc>
          <w:tcPr/>
          <w:p w:rsidR="00000000" w:rsidDel="00000000" w:rsidP="00000000" w:rsidRDefault="00000000" w:rsidRPr="00000000" w14:paraId="0000003C">
            <w:pPr>
              <w:rPr/>
            </w:pPr>
            <w:r w:rsidDel="00000000" w:rsidR="00000000" w:rsidRPr="00000000">
              <w:rPr>
                <w:rtl w:val="0"/>
              </w:rPr>
              <w:t xml:space="preserve">2020</w:t>
            </w:r>
          </w:p>
        </w:tc>
        <w:tc>
          <w:tcPr/>
          <w:p w:rsidR="00000000" w:rsidDel="00000000" w:rsidP="00000000" w:rsidRDefault="00000000" w:rsidRPr="00000000" w14:paraId="0000003D">
            <w:pPr>
              <w:rPr/>
            </w:pPr>
            <w:r w:rsidDel="00000000" w:rsidR="00000000" w:rsidRPr="00000000">
              <w:rPr>
                <w:rtl w:val="0"/>
              </w:rPr>
              <w:t xml:space="preserve">2021</w:t>
            </w:r>
          </w:p>
        </w:tc>
      </w:tr>
      <w:tr>
        <w:trPr>
          <w:cantSplit w:val="0"/>
          <w:tblHeader w:val="0"/>
        </w:trPr>
        <w:tc>
          <w:tcPr/>
          <w:p w:rsidR="00000000" w:rsidDel="00000000" w:rsidP="00000000" w:rsidRDefault="00000000" w:rsidRPr="00000000" w14:paraId="0000003E">
            <w:pPr>
              <w:rPr/>
            </w:pPr>
            <w:r w:rsidDel="00000000" w:rsidR="00000000" w:rsidRPr="00000000">
              <w:rPr>
                <w:rtl w:val="0"/>
              </w:rPr>
              <w:t xml:space="preserve">Current ratio</w:t>
            </w:r>
          </w:p>
        </w:tc>
        <w:tc>
          <w:tcPr/>
          <w:p w:rsidR="00000000" w:rsidDel="00000000" w:rsidP="00000000" w:rsidRDefault="00000000" w:rsidRPr="00000000" w14:paraId="0000003F">
            <w:pPr>
              <w:rPr/>
            </w:pPr>
            <w:r w:rsidDel="00000000" w:rsidR="00000000" w:rsidRPr="00000000">
              <w:rPr>
                <w:rtl w:val="0"/>
              </w:rPr>
              <w:t xml:space="preserve">0.49</w:t>
            </w:r>
          </w:p>
        </w:tc>
        <w:tc>
          <w:tcPr/>
          <w:p w:rsidR="00000000" w:rsidDel="00000000" w:rsidP="00000000" w:rsidRDefault="00000000" w:rsidRPr="00000000" w14:paraId="00000040">
            <w:pPr>
              <w:rPr/>
            </w:pPr>
            <w:r w:rsidDel="00000000" w:rsidR="00000000" w:rsidRPr="00000000">
              <w:rPr>
                <w:rtl w:val="0"/>
              </w:rPr>
              <w:t xml:space="preserve">0.56</w:t>
            </w:r>
          </w:p>
        </w:tc>
      </w:tr>
    </w:tbl>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b w:val="1"/>
        </w:rPr>
      </w:pPr>
      <w:r w:rsidDel="00000000" w:rsidR="00000000" w:rsidRPr="00000000">
        <w:rPr>
          <w:b w:val="1"/>
          <w:rtl w:val="0"/>
        </w:rPr>
        <w:t xml:space="preserve">Highlighting the graphical representation of the current ratio</w:t>
      </w:r>
    </w:p>
    <w:p w:rsidR="00000000" w:rsidDel="00000000" w:rsidP="00000000" w:rsidRDefault="00000000" w:rsidRPr="00000000" w14:paraId="00000043">
      <w:pPr>
        <w:jc w:val="center"/>
        <w:rPr>
          <w:b w:val="1"/>
        </w:rPr>
      </w:pPr>
      <w:r w:rsidDel="00000000" w:rsidR="00000000" w:rsidRPr="00000000">
        <w:rPr/>
        <w:drawing>
          <wp:inline distB="0" distT="0" distL="0" distR="0">
            <wp:extent cx="4572000" cy="2743200"/>
            <wp:effectExtent b="0" l="0" r="0" t="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45720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jc w:val="center"/>
        <w:rPr>
          <w:b w:val="1"/>
        </w:rPr>
      </w:pPr>
      <w:r w:rsidDel="00000000" w:rsidR="00000000" w:rsidRPr="00000000">
        <w:rPr>
          <w:b w:val="1"/>
          <w:rtl w:val="0"/>
        </w:rPr>
        <w:t xml:space="preserve">Source: (Creator)</w:t>
      </w:r>
    </w:p>
    <w:p w:rsidR="00000000" w:rsidDel="00000000" w:rsidP="00000000" w:rsidRDefault="00000000" w:rsidRPr="00000000" w14:paraId="00000045">
      <w:pPr>
        <w:rPr/>
      </w:pPr>
      <w:r w:rsidDel="00000000" w:rsidR="00000000" w:rsidRPr="00000000">
        <w:rPr>
          <w:rtl w:val="0"/>
        </w:rPr>
        <w:t xml:space="preserve">The pie chart is prepared to show the outcome of the current ratio of the respective business for the mentioned years. It can be found from the pie chart that the value of the current ratio is 0.56 as well as 0.49 </w:t>
      </w:r>
      <w:r w:rsidDel="00000000" w:rsidR="00000000" w:rsidRPr="00000000">
        <w:rPr>
          <w:highlight w:val="white"/>
          <w:rtl w:val="0"/>
        </w:rPr>
        <w:t xml:space="preserve">(Duffie, 2022)</w:t>
      </w:r>
      <w:r w:rsidDel="00000000" w:rsidR="00000000" w:rsidRPr="00000000">
        <w:rPr>
          <w:rtl w:val="0"/>
        </w:rPr>
        <w:t xml:space="preserve">.</w:t>
      </w:r>
    </w:p>
    <w:p w:rsidR="00000000" w:rsidDel="00000000" w:rsidP="00000000" w:rsidRDefault="00000000" w:rsidRPr="00000000" w14:paraId="00000046">
      <w:pPr>
        <w:rPr/>
      </w:pPr>
      <w:r w:rsidDel="00000000" w:rsidR="00000000" w:rsidRPr="00000000">
        <w:rPr>
          <w:b w:val="1"/>
          <w:u w:val="single"/>
          <w:rtl w:val="0"/>
        </w:rPr>
        <w:t xml:space="preserve">b) </w:t>
      </w:r>
      <w:r w:rsidDel="00000000" w:rsidR="00000000" w:rsidRPr="00000000">
        <w:rPr>
          <w:u w:val="single"/>
          <w:rtl w:val="0"/>
        </w:rPr>
        <w:t xml:space="preserve">Quick ratio: </w:t>
      </w:r>
      <w:r w:rsidDel="00000000" w:rsidR="00000000" w:rsidRPr="00000000">
        <w:rPr>
          <w:rtl w:val="0"/>
        </w:rPr>
        <w:t xml:space="preserve">It is also called as Acid-Test ratio which helps to measure the capability of a company to fulfil their short-term liabilities by taking the overall assets which are adaptable freely into cash. Some examples of assets are accounts receivable, cash and marketable securities. These are mainly considered quick assets since from they can be transformed into cash. Moreover, a tabular form is presented below to highlight the outcome quickly of Marriot International (D'Angelo, 2022).</w:t>
      </w:r>
    </w:p>
    <w:tbl>
      <w:tblPr>
        <w:tblStyle w:val="Table4"/>
        <w:tblW w:w="935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3116"/>
        <w:gridCol w:w="3117"/>
        <w:gridCol w:w="3117"/>
        <w:tblGridChange w:id="0">
          <w:tblGrid>
            <w:gridCol w:w="3116"/>
            <w:gridCol w:w="3117"/>
            <w:gridCol w:w="3117"/>
          </w:tblGrid>
        </w:tblGridChange>
      </w:tblGrid>
      <w:tr>
        <w:trPr>
          <w:cantSplit w:val="0"/>
          <w:tblHeader w:val="0"/>
        </w:trPr>
        <w:tc>
          <w:tcPr/>
          <w:p w:rsidR="00000000" w:rsidDel="00000000" w:rsidP="00000000" w:rsidRDefault="00000000" w:rsidRPr="00000000" w14:paraId="00000047">
            <w:pPr>
              <w:rPr/>
            </w:pPr>
            <w:r w:rsidDel="00000000" w:rsidR="00000000" w:rsidRPr="00000000">
              <w:rPr>
                <w:rtl w:val="0"/>
              </w:rPr>
              <w:t xml:space="preserve">Name of the ratio </w:t>
            </w:r>
          </w:p>
        </w:tc>
        <w:tc>
          <w:tcPr/>
          <w:p w:rsidR="00000000" w:rsidDel="00000000" w:rsidP="00000000" w:rsidRDefault="00000000" w:rsidRPr="00000000" w14:paraId="00000048">
            <w:pPr>
              <w:rPr/>
            </w:pPr>
            <w:r w:rsidDel="00000000" w:rsidR="00000000" w:rsidRPr="00000000">
              <w:rPr>
                <w:rtl w:val="0"/>
              </w:rPr>
              <w:t xml:space="preserve">2020</w:t>
            </w:r>
          </w:p>
        </w:tc>
        <w:tc>
          <w:tcPr/>
          <w:p w:rsidR="00000000" w:rsidDel="00000000" w:rsidP="00000000" w:rsidRDefault="00000000" w:rsidRPr="00000000" w14:paraId="00000049">
            <w:pPr>
              <w:rPr/>
            </w:pPr>
            <w:r w:rsidDel="00000000" w:rsidR="00000000" w:rsidRPr="00000000">
              <w:rPr>
                <w:rtl w:val="0"/>
              </w:rPr>
              <w:t xml:space="preserve">2021</w:t>
            </w:r>
          </w:p>
        </w:tc>
      </w:tr>
      <w:tr>
        <w:trPr>
          <w:cantSplit w:val="0"/>
          <w:tblHeader w:val="0"/>
        </w:trPr>
        <w:tc>
          <w:tcPr/>
          <w:p w:rsidR="00000000" w:rsidDel="00000000" w:rsidP="00000000" w:rsidRDefault="00000000" w:rsidRPr="00000000" w14:paraId="0000004A">
            <w:pPr>
              <w:rPr/>
            </w:pPr>
            <w:r w:rsidDel="00000000" w:rsidR="00000000" w:rsidRPr="00000000">
              <w:rPr>
                <w:rtl w:val="0"/>
              </w:rPr>
              <w:t xml:space="preserve">Quick ratio</w:t>
            </w:r>
          </w:p>
        </w:tc>
        <w:tc>
          <w:tcPr/>
          <w:p w:rsidR="00000000" w:rsidDel="00000000" w:rsidP="00000000" w:rsidRDefault="00000000" w:rsidRPr="00000000" w14:paraId="0000004B">
            <w:pPr>
              <w:rPr/>
            </w:pPr>
            <w:r w:rsidDel="00000000" w:rsidR="00000000" w:rsidRPr="00000000">
              <w:rPr>
                <w:rtl w:val="0"/>
              </w:rPr>
              <w:t xml:space="preserve">0.49</w:t>
            </w:r>
          </w:p>
        </w:tc>
        <w:tc>
          <w:tcPr/>
          <w:p w:rsidR="00000000" w:rsidDel="00000000" w:rsidP="00000000" w:rsidRDefault="00000000" w:rsidRPr="00000000" w14:paraId="0000004C">
            <w:pPr>
              <w:rPr/>
            </w:pPr>
            <w:r w:rsidDel="00000000" w:rsidR="00000000" w:rsidRPr="00000000">
              <w:rPr>
                <w:rtl w:val="0"/>
              </w:rPr>
              <w:t xml:space="preserve">0.56</w:t>
            </w:r>
          </w:p>
        </w:tc>
      </w:tr>
    </w:tbl>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b w:val="1"/>
        </w:rPr>
      </w:pPr>
      <w:r w:rsidDel="00000000" w:rsidR="00000000" w:rsidRPr="00000000">
        <w:rPr>
          <w:b w:val="1"/>
          <w:rtl w:val="0"/>
        </w:rPr>
        <w:t xml:space="preserve">Gauging the graphical representation of the quick ratio</w:t>
      </w:r>
    </w:p>
    <w:p w:rsidR="00000000" w:rsidDel="00000000" w:rsidP="00000000" w:rsidRDefault="00000000" w:rsidRPr="00000000" w14:paraId="0000004F">
      <w:pPr>
        <w:jc w:val="center"/>
        <w:rPr>
          <w:b w:val="1"/>
        </w:rPr>
      </w:pPr>
      <w:r w:rsidDel="00000000" w:rsidR="00000000" w:rsidRPr="00000000">
        <w:rPr/>
        <w:drawing>
          <wp:inline distB="0" distT="0" distL="0" distR="0">
            <wp:extent cx="4572000" cy="2743200"/>
            <wp:effectExtent b="0" l="0" r="0" t="0"/>
            <wp:docPr id="5"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45720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jc w:val="center"/>
        <w:rPr>
          <w:b w:val="1"/>
        </w:rPr>
      </w:pPr>
      <w:r w:rsidDel="00000000" w:rsidR="00000000" w:rsidRPr="00000000">
        <w:rPr>
          <w:b w:val="1"/>
          <w:rtl w:val="0"/>
        </w:rPr>
        <w:t xml:space="preserve">Source: (Creator)</w:t>
      </w:r>
    </w:p>
    <w:p w:rsidR="00000000" w:rsidDel="00000000" w:rsidP="00000000" w:rsidRDefault="00000000" w:rsidRPr="00000000" w14:paraId="00000051">
      <w:pPr>
        <w:rPr/>
      </w:pPr>
      <w:r w:rsidDel="00000000" w:rsidR="00000000" w:rsidRPr="00000000">
        <w:rPr>
          <w:rtl w:val="0"/>
        </w:rPr>
        <w:t xml:space="preserve">The pie chart is conducted to show the quick ratio value of Marriot International for 2020 as well as 2021. According to the above pie chart, it can be found that the value is determined as 0.56 for 2021 and 0.49 for 2020.</w:t>
      </w:r>
    </w:p>
    <w:p w:rsidR="00000000" w:rsidDel="00000000" w:rsidP="00000000" w:rsidRDefault="00000000" w:rsidRPr="00000000" w14:paraId="00000052">
      <w:pPr>
        <w:rPr/>
      </w:pPr>
      <w:r w:rsidDel="00000000" w:rsidR="00000000" w:rsidRPr="00000000">
        <w:rPr>
          <w:b w:val="1"/>
          <w:u w:val="single"/>
          <w:rtl w:val="0"/>
        </w:rPr>
        <w:t xml:space="preserve">3. Gauging the term gearing ratio: </w:t>
      </w:r>
      <w:r w:rsidDel="00000000" w:rsidR="00000000" w:rsidRPr="00000000">
        <w:rPr>
          <w:rtl w:val="0"/>
        </w:rPr>
        <w:t xml:space="preserve">The gearing ratio helps to measure the proportion of the equity and borrowed funds of the company. It highlights the risk connected to finance in which a company is exposed since their debt can lead to several financial difficulties. A tabular form is presented below to highlight the gearing ratio </w:t>
      </w:r>
      <w:r w:rsidDel="00000000" w:rsidR="00000000" w:rsidRPr="00000000">
        <w:rPr>
          <w:highlight w:val="white"/>
          <w:rtl w:val="0"/>
        </w:rPr>
        <w:t xml:space="preserve">(Duffie, 2022)</w:t>
      </w:r>
      <w:r w:rsidDel="00000000" w:rsidR="00000000" w:rsidRPr="00000000">
        <w:rPr>
          <w:rtl w:val="0"/>
        </w:rPr>
        <w:t xml:space="preserve">.</w:t>
      </w:r>
    </w:p>
    <w:p w:rsidR="00000000" w:rsidDel="00000000" w:rsidP="00000000" w:rsidRDefault="00000000" w:rsidRPr="00000000" w14:paraId="00000053">
      <w:pPr>
        <w:rPr/>
      </w:pPr>
      <w:r w:rsidDel="00000000" w:rsidR="00000000" w:rsidRPr="00000000">
        <w:rPr>
          <w:rtl w:val="0"/>
        </w:rPr>
      </w:r>
    </w:p>
    <w:tbl>
      <w:tblPr>
        <w:tblStyle w:val="Table5"/>
        <w:tblW w:w="935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3116"/>
        <w:gridCol w:w="3117"/>
        <w:gridCol w:w="3117"/>
        <w:tblGridChange w:id="0">
          <w:tblGrid>
            <w:gridCol w:w="3116"/>
            <w:gridCol w:w="3117"/>
            <w:gridCol w:w="3117"/>
          </w:tblGrid>
        </w:tblGridChange>
      </w:tblGrid>
      <w:tr>
        <w:trPr>
          <w:cantSplit w:val="0"/>
          <w:tblHeader w:val="0"/>
        </w:trPr>
        <w:tc>
          <w:tcPr/>
          <w:p w:rsidR="00000000" w:rsidDel="00000000" w:rsidP="00000000" w:rsidRDefault="00000000" w:rsidRPr="00000000" w14:paraId="00000054">
            <w:pPr>
              <w:rPr/>
            </w:pPr>
            <w:r w:rsidDel="00000000" w:rsidR="00000000" w:rsidRPr="00000000">
              <w:rPr>
                <w:rtl w:val="0"/>
              </w:rPr>
              <w:t xml:space="preserve">Name of the ratio </w:t>
            </w:r>
          </w:p>
        </w:tc>
        <w:tc>
          <w:tcPr/>
          <w:p w:rsidR="00000000" w:rsidDel="00000000" w:rsidP="00000000" w:rsidRDefault="00000000" w:rsidRPr="00000000" w14:paraId="00000055">
            <w:pPr>
              <w:rPr/>
            </w:pPr>
            <w:r w:rsidDel="00000000" w:rsidR="00000000" w:rsidRPr="00000000">
              <w:rPr>
                <w:rtl w:val="0"/>
              </w:rPr>
              <w:t xml:space="preserve">2020</w:t>
            </w:r>
          </w:p>
        </w:tc>
        <w:tc>
          <w:tcPr/>
          <w:p w:rsidR="00000000" w:rsidDel="00000000" w:rsidP="00000000" w:rsidRDefault="00000000" w:rsidRPr="00000000" w14:paraId="00000056">
            <w:pPr>
              <w:rPr/>
            </w:pPr>
            <w:r w:rsidDel="00000000" w:rsidR="00000000" w:rsidRPr="00000000">
              <w:rPr>
                <w:rtl w:val="0"/>
              </w:rPr>
              <w:t xml:space="preserve">2021</w:t>
            </w:r>
          </w:p>
        </w:tc>
      </w:tr>
      <w:tr>
        <w:trPr>
          <w:cantSplit w:val="0"/>
          <w:tblHeader w:val="0"/>
        </w:trPr>
        <w:tc>
          <w:tcPr/>
          <w:p w:rsidR="00000000" w:rsidDel="00000000" w:rsidP="00000000" w:rsidRDefault="00000000" w:rsidRPr="00000000" w14:paraId="00000057">
            <w:pPr>
              <w:rPr/>
            </w:pPr>
            <w:r w:rsidDel="00000000" w:rsidR="00000000" w:rsidRPr="00000000">
              <w:rPr>
                <w:rtl w:val="0"/>
              </w:rPr>
              <w:t xml:space="preserve">Gearing ratio</w:t>
            </w:r>
          </w:p>
        </w:tc>
        <w:tc>
          <w:tcPr/>
          <w:p w:rsidR="00000000" w:rsidDel="00000000" w:rsidP="00000000" w:rsidRDefault="00000000" w:rsidRPr="00000000" w14:paraId="00000058">
            <w:pPr>
              <w:rPr/>
            </w:pPr>
            <w:r w:rsidDel="00000000" w:rsidR="00000000" w:rsidRPr="00000000">
              <w:rPr>
                <w:rtl w:val="0"/>
              </w:rPr>
              <w:t xml:space="preserve">24.13</w:t>
            </w:r>
          </w:p>
        </w:tc>
        <w:tc>
          <w:tcPr/>
          <w:p w:rsidR="00000000" w:rsidDel="00000000" w:rsidP="00000000" w:rsidRDefault="00000000" w:rsidRPr="00000000" w14:paraId="00000059">
            <w:pPr>
              <w:rPr/>
            </w:pPr>
            <w:r w:rsidDel="00000000" w:rsidR="00000000" w:rsidRPr="00000000">
              <w:rPr>
                <w:rtl w:val="0"/>
              </w:rPr>
              <w:t xml:space="preserve">7.16</w:t>
            </w:r>
          </w:p>
        </w:tc>
      </w:tr>
    </w:tbl>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b w:val="1"/>
        </w:rPr>
      </w:pPr>
      <w:r w:rsidDel="00000000" w:rsidR="00000000" w:rsidRPr="00000000">
        <w:rPr>
          <w:b w:val="1"/>
          <w:rtl w:val="0"/>
        </w:rPr>
        <w:t xml:space="preserve">Gauging the graph that indicates the gearing ratio</w:t>
      </w:r>
    </w:p>
    <w:p w:rsidR="00000000" w:rsidDel="00000000" w:rsidP="00000000" w:rsidRDefault="00000000" w:rsidRPr="00000000" w14:paraId="0000005C">
      <w:pPr>
        <w:jc w:val="center"/>
        <w:rPr>
          <w:b w:val="1"/>
        </w:rPr>
      </w:pPr>
      <w:r w:rsidDel="00000000" w:rsidR="00000000" w:rsidRPr="00000000">
        <w:rPr/>
        <w:drawing>
          <wp:inline distB="0" distT="0" distL="0" distR="0">
            <wp:extent cx="4572000" cy="2743200"/>
            <wp:effectExtent b="0" l="0" r="0" t="0"/>
            <wp:docPr id="4"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45720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jc w:val="center"/>
        <w:rPr>
          <w:b w:val="1"/>
        </w:rPr>
      </w:pPr>
      <w:r w:rsidDel="00000000" w:rsidR="00000000" w:rsidRPr="00000000">
        <w:rPr>
          <w:b w:val="1"/>
          <w:rtl w:val="0"/>
        </w:rPr>
        <w:t xml:space="preserve">Source: (Creator)</w:t>
      </w:r>
    </w:p>
    <w:p w:rsidR="00000000" w:rsidDel="00000000" w:rsidP="00000000" w:rsidRDefault="00000000" w:rsidRPr="00000000" w14:paraId="0000005E">
      <w:pPr>
        <w:rPr/>
      </w:pPr>
      <w:r w:rsidDel="00000000" w:rsidR="00000000" w:rsidRPr="00000000">
        <w:rPr>
          <w:rtl w:val="0"/>
        </w:rPr>
        <w:t xml:space="preserve">The pie chart is prepared to highlight the value of the gearing ratio of Marriot International for 2020 as well as 2021. After the proper analysis of the pie chart, it can be found that the value for 2020 is 24.13 and 7.16 for 2021.</w:t>
      </w:r>
    </w:p>
    <w:p w:rsidR="00000000" w:rsidDel="00000000" w:rsidP="00000000" w:rsidRDefault="00000000" w:rsidRPr="00000000" w14:paraId="0000005F">
      <w:pPr>
        <w:pStyle w:val="Heading2"/>
        <w:rPr/>
      </w:pPr>
      <w:bookmarkStart w:colFirst="0" w:colLast="0" w:name="_3znysh7" w:id="3"/>
      <w:bookmarkEnd w:id="3"/>
      <w:r w:rsidDel="00000000" w:rsidR="00000000" w:rsidRPr="00000000">
        <w:rPr>
          <w:rtl w:val="0"/>
        </w:rPr>
        <w:t xml:space="preserve">Stating the knowledge gathered from the ratio interpretation</w:t>
      </w:r>
    </w:p>
    <w:p w:rsidR="00000000" w:rsidDel="00000000" w:rsidP="00000000" w:rsidRDefault="00000000" w:rsidRPr="00000000" w14:paraId="00000060">
      <w:pPr>
        <w:rPr/>
      </w:pPr>
      <w:r w:rsidDel="00000000" w:rsidR="00000000" w:rsidRPr="00000000">
        <w:rPr>
          <w:u w:val="single"/>
          <w:rtl w:val="0"/>
        </w:rPr>
        <w:t xml:space="preserve">Manipulation of financial statement: </w:t>
      </w:r>
      <w:r w:rsidDel="00000000" w:rsidR="00000000" w:rsidRPr="00000000">
        <w:rPr>
          <w:rtl w:val="0"/>
        </w:rPr>
        <w:t xml:space="preserve">Manipulation of the financial report is defined as the practice of changing the financial record of the company to highlight a false image regarding their financial condition. The management of Marriot International has prepared its financial report in order to monitor their financial health in the market. The financial report is manipulated by the accountant of the respective company for producing a good outcome in their business performance (imarticus, 2022).</w:t>
      </w:r>
    </w:p>
    <w:p w:rsidR="00000000" w:rsidDel="00000000" w:rsidP="00000000" w:rsidRDefault="00000000" w:rsidRPr="00000000" w14:paraId="00000061">
      <w:pPr>
        <w:rPr/>
      </w:pPr>
      <w:r w:rsidDel="00000000" w:rsidR="00000000" w:rsidRPr="00000000">
        <w:rPr>
          <w:u w:val="single"/>
          <w:rtl w:val="0"/>
        </w:rPr>
        <w:t xml:space="preserve">Highlighting the past information: </w:t>
      </w:r>
      <w:r w:rsidDel="00000000" w:rsidR="00000000" w:rsidRPr="00000000">
        <w:rPr>
          <w:rtl w:val="0"/>
        </w:rPr>
        <w:t xml:space="preserve">The overall financial statement sometimes presents past information which is considered a huge limitation of the accounting ratio. It is not able to present the current financial health of a business. The accounting section of the respective business has faced several issues while computing its accurate income. It has occurred due to the lack of exact and current data. The ratio explanation sometimes is not highlighting the future performance of a business (Ingram, 2019).</w:t>
      </w:r>
    </w:p>
    <w:p w:rsidR="00000000" w:rsidDel="00000000" w:rsidP="00000000" w:rsidRDefault="00000000" w:rsidRPr="00000000" w14:paraId="00000062">
      <w:pPr>
        <w:rPr/>
      </w:pPr>
      <w:r w:rsidDel="00000000" w:rsidR="00000000" w:rsidRPr="00000000">
        <w:rPr>
          <w:u w:val="single"/>
          <w:rtl w:val="0"/>
        </w:rPr>
        <w:t xml:space="preserve">Change in the accounting policies: </w:t>
      </w:r>
      <w:r w:rsidDel="00000000" w:rsidR="00000000" w:rsidRPr="00000000">
        <w:rPr>
          <w:rtl w:val="0"/>
        </w:rPr>
        <w:t xml:space="preserve">The management of Marriot International has found that due to some changes in accounting policies, the overall financial report of the company has also been changed. Therefore, the respective company requires to make their financial statement after the completion of changes in accounting policies. It can help the business to make an accurate financial report </w:t>
      </w:r>
      <w:r w:rsidDel="00000000" w:rsidR="00000000" w:rsidRPr="00000000">
        <w:rPr>
          <w:highlight w:val="white"/>
          <w:rtl w:val="0"/>
        </w:rPr>
        <w:t xml:space="preserve">(Duffie, 2022)</w:t>
      </w:r>
      <w:r w:rsidDel="00000000" w:rsidR="00000000" w:rsidRPr="00000000">
        <w:rPr>
          <w:rtl w:val="0"/>
        </w:rPr>
        <w:t xml:space="preserve">.</w:t>
      </w:r>
    </w:p>
    <w:p w:rsidR="00000000" w:rsidDel="00000000" w:rsidP="00000000" w:rsidRDefault="00000000" w:rsidRPr="00000000" w14:paraId="00000063">
      <w:pPr>
        <w:pStyle w:val="Heading2"/>
        <w:rPr/>
      </w:pPr>
      <w:bookmarkStart w:colFirst="0" w:colLast="0" w:name="_2et92p0" w:id="4"/>
      <w:bookmarkEnd w:id="4"/>
      <w:r w:rsidDel="00000000" w:rsidR="00000000" w:rsidRPr="00000000">
        <w:rPr>
          <w:rtl w:val="0"/>
        </w:rPr>
        <w:t xml:space="preserve">Understanding the overall idea of ratio for analysing the financial report</w:t>
      </w:r>
    </w:p>
    <w:p w:rsidR="00000000" w:rsidDel="00000000" w:rsidP="00000000" w:rsidRDefault="00000000" w:rsidRPr="00000000" w14:paraId="00000064">
      <w:pPr>
        <w:rPr/>
      </w:pPr>
      <w:r w:rsidDel="00000000" w:rsidR="00000000" w:rsidRPr="00000000">
        <w:rPr>
          <w:rtl w:val="0"/>
        </w:rPr>
        <w:t xml:space="preserve">Ratio analysis plays a significant role in Hotel management. It helps to estimate the efficiency of Marriot International. The shareholder of the business use ratio for determining their financial health in the market.</w:t>
      </w:r>
    </w:p>
    <w:p w:rsidR="00000000" w:rsidDel="00000000" w:rsidP="00000000" w:rsidRDefault="00000000" w:rsidRPr="00000000" w14:paraId="00000065">
      <w:pPr>
        <w:rPr>
          <w:highlight w:val="white"/>
        </w:rPr>
      </w:pPr>
      <w:r w:rsidDel="00000000" w:rsidR="00000000" w:rsidRPr="00000000">
        <w:rPr>
          <w:u w:val="single"/>
          <w:rtl w:val="0"/>
        </w:rPr>
        <w:t xml:space="preserve">Compare the report with the earlier year: </w:t>
      </w:r>
      <w:r w:rsidDel="00000000" w:rsidR="00000000" w:rsidRPr="00000000">
        <w:rPr>
          <w:rtl w:val="0"/>
        </w:rPr>
        <w:t xml:space="preserve">The analysis of the ratio is significant in order to determine the performance of a business of Marriot International. Through the assistance of ratio interpretation, they can able to know its current financial position. Moreover, they also compare their financial report with the report of the previous year. It can be found from the given link that the income of the respective business is $ 1099 in 2021 and $ 267 in 2020. Along with this, the gross profit for the business has been founded as $ 2,801 and $ 1459 for 2021 as well as 2020 </w:t>
      </w:r>
      <w:r w:rsidDel="00000000" w:rsidR="00000000" w:rsidRPr="00000000">
        <w:rPr>
          <w:highlight w:val="white"/>
          <w:rtl w:val="0"/>
        </w:rPr>
        <w:t xml:space="preserve">(Sopini, 2017)</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66">
      <w:pPr>
        <w:rPr/>
      </w:pPr>
      <w:r w:rsidDel="00000000" w:rsidR="00000000" w:rsidRPr="00000000">
        <w:rPr>
          <w:u w:val="single"/>
          <w:rtl w:val="0"/>
        </w:rPr>
        <w:t xml:space="preserve">Helps to monitor the business performance: </w:t>
      </w:r>
      <w:r w:rsidDel="00000000" w:rsidR="00000000" w:rsidRPr="00000000">
        <w:rPr>
          <w:rtl w:val="0"/>
        </w:rPr>
        <w:t xml:space="preserve">The respective business can able to know its overall performance of the business through the help of ratio interpretation. The management of the business can make effective decisions depending on the outcome of the ratio analysis. In addition to that, they have achieved a net profit of -2.5258 in 2020 and 7.7931 in the year 2021. Marriot International, Inc. has calculated its cash flow with the help of ratio interpretation. The value of the cash flow for the respective business in 2021 is $527. Apart from that, the ratio interpretation assists the business to make an accurate financial report (accountingtools, 2022).</w:t>
      </w:r>
    </w:p>
    <w:p w:rsidR="00000000" w:rsidDel="00000000" w:rsidP="00000000" w:rsidRDefault="00000000" w:rsidRPr="00000000" w14:paraId="00000067">
      <w:pPr>
        <w:pStyle w:val="Heading2"/>
        <w:rPr/>
      </w:pPr>
      <w:bookmarkStart w:colFirst="0" w:colLast="0" w:name="_tyjcwt" w:id="5"/>
      <w:bookmarkEnd w:id="5"/>
      <w:r w:rsidDel="00000000" w:rsidR="00000000" w:rsidRPr="00000000">
        <w:rPr>
          <w:rtl w:val="0"/>
        </w:rPr>
        <w:t xml:space="preserve">Gauging the importance of ratio to make decision</w:t>
      </w:r>
    </w:p>
    <w:p w:rsidR="00000000" w:rsidDel="00000000" w:rsidP="00000000" w:rsidRDefault="00000000" w:rsidRPr="00000000" w14:paraId="00000068">
      <w:pPr>
        <w:rPr/>
      </w:pPr>
      <w:r w:rsidDel="00000000" w:rsidR="00000000" w:rsidRPr="00000000">
        <w:rPr>
          <w:rtl w:val="0"/>
        </w:rPr>
        <w:t xml:space="preserve">The ratio is one of the necessary aspects for any kind of business for making decisions. It helps to enhance the overall productivity of the business. There are several significant ratios that have been demonstrated below.</w:t>
      </w:r>
    </w:p>
    <w:p w:rsidR="00000000" w:rsidDel="00000000" w:rsidP="00000000" w:rsidRDefault="00000000" w:rsidRPr="00000000" w14:paraId="00000069">
      <w:pPr>
        <w:rPr/>
      </w:pPr>
      <w:r w:rsidDel="00000000" w:rsidR="00000000" w:rsidRPr="00000000">
        <w:rPr>
          <w:u w:val="single"/>
          <w:rtl w:val="0"/>
        </w:rPr>
        <w:t xml:space="preserve">Help to measure the solvency: </w:t>
      </w:r>
      <w:r w:rsidDel="00000000" w:rsidR="00000000" w:rsidRPr="00000000">
        <w:rPr>
          <w:rtl w:val="0"/>
        </w:rPr>
        <w:t xml:space="preserve">Ratio interpretation is one of the necessary aspects for measuring the financial strength or solvency of a business. The shareholders can assess the outcomes and make knowledgeable financial decisions. Moreover, they can differentiate the ratio for the past and present periods to make sure that the business is working better compared to the earlier year. It will assist the users to understand the financial position of the business (CFI Team, 2022).</w:t>
      </w:r>
    </w:p>
    <w:p w:rsidR="00000000" w:rsidDel="00000000" w:rsidP="00000000" w:rsidRDefault="00000000" w:rsidRPr="00000000" w14:paraId="0000006A">
      <w:pPr>
        <w:rPr/>
      </w:pPr>
      <w:r w:rsidDel="00000000" w:rsidR="00000000" w:rsidRPr="00000000">
        <w:rPr>
          <w:u w:val="single"/>
          <w:rtl w:val="0"/>
        </w:rPr>
        <w:t xml:space="preserve">Effective coordination and planning: </w:t>
      </w:r>
      <w:r w:rsidDel="00000000" w:rsidR="00000000" w:rsidRPr="00000000">
        <w:rPr>
          <w:rtl w:val="0"/>
        </w:rPr>
        <w:t xml:space="preserve">The analysis of ratio is necessary for the core management of a business. It provides a detailed understanding of necessary metrics. It assists the management in evaluating their results, understanding the causes for the deviancies from their budget and planning efficiently for their future. It helps the business by preparing achievable and realistic forecasts and budgets that can lead the management to make effective decisions regarding their business (Ingram, 2019).</w:t>
      </w:r>
    </w:p>
    <w:p w:rsidR="00000000" w:rsidDel="00000000" w:rsidP="00000000" w:rsidRDefault="00000000" w:rsidRPr="00000000" w14:paraId="0000006B">
      <w:pPr>
        <w:rPr/>
      </w:pPr>
      <w:r w:rsidDel="00000000" w:rsidR="00000000" w:rsidRPr="00000000">
        <w:rPr>
          <w:u w:val="single"/>
          <w:rtl w:val="0"/>
        </w:rPr>
        <w:t xml:space="preserve">Measure the risk of the business: </w:t>
      </w:r>
      <w:r w:rsidDel="00000000" w:rsidR="00000000" w:rsidRPr="00000000">
        <w:rPr>
          <w:rtl w:val="0"/>
        </w:rPr>
        <w:t xml:space="preserve">Ratio analysis help a business to find out the risk of a business and the way management can control it. The estimation of operational leverage and financial leverage assists the company to understand the level of risk that come due to external debt. It also helps the company to make decisions for mitigating the risk of business (Lohrey, 2019).</w:t>
      </w:r>
    </w:p>
    <w:p w:rsidR="00000000" w:rsidDel="00000000" w:rsidP="00000000" w:rsidRDefault="00000000" w:rsidRPr="00000000" w14:paraId="0000006C">
      <w:pPr>
        <w:pStyle w:val="Heading2"/>
        <w:rPr/>
      </w:pPr>
      <w:bookmarkStart w:colFirst="0" w:colLast="0" w:name="_3dy6vkm" w:id="6"/>
      <w:bookmarkEnd w:id="6"/>
      <w:r w:rsidDel="00000000" w:rsidR="00000000" w:rsidRPr="00000000">
        <w:rPr>
          <w:rtl w:val="0"/>
        </w:rPr>
        <w:t xml:space="preserve">Stating the drawbacks of ratio analysis</w:t>
      </w:r>
    </w:p>
    <w:p w:rsidR="00000000" w:rsidDel="00000000" w:rsidP="00000000" w:rsidRDefault="00000000" w:rsidRPr="00000000" w14:paraId="0000006D">
      <w:pPr>
        <w:rPr>
          <w:highlight w:val="white"/>
        </w:rPr>
      </w:pPr>
      <w:r w:rsidDel="00000000" w:rsidR="00000000" w:rsidRPr="00000000">
        <w:rPr>
          <w:u w:val="single"/>
          <w:rtl w:val="0"/>
        </w:rPr>
        <w:t xml:space="preserve">The effect of inflation: </w:t>
      </w:r>
      <w:r w:rsidDel="00000000" w:rsidR="00000000" w:rsidRPr="00000000">
        <w:rPr>
          <w:rtl w:val="0"/>
        </w:rPr>
        <w:t xml:space="preserve">Financial report of a company releases after the end of a period so that there is a difference in time between each publication. Moreover, the accurate prices are not replicated if inflation happens between the time period. Therefore, the outcome through the several periods is not equivalent until inflation is recovered </w:t>
      </w:r>
      <w:r w:rsidDel="00000000" w:rsidR="00000000" w:rsidRPr="00000000">
        <w:rPr>
          <w:highlight w:val="white"/>
          <w:rtl w:val="0"/>
        </w:rPr>
        <w:t xml:space="preserve">(Kumoro et al., 2020)</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6E">
      <w:pPr>
        <w:rPr/>
      </w:pPr>
      <w:r w:rsidDel="00000000" w:rsidR="00000000" w:rsidRPr="00000000">
        <w:rPr>
          <w:u w:val="single"/>
          <w:rtl w:val="0"/>
        </w:rPr>
        <w:t xml:space="preserve">Historical data: </w:t>
      </w:r>
      <w:r w:rsidDel="00000000" w:rsidR="00000000" w:rsidRPr="00000000">
        <w:rPr>
          <w:rtl w:val="0"/>
        </w:rPr>
        <w:t xml:space="preserve">The nature of the ratio analysis is basically historical. It only indicates the past information where the users are mainly focused on obtaining information for the future.</w:t>
      </w:r>
    </w:p>
    <w:p w:rsidR="00000000" w:rsidDel="00000000" w:rsidP="00000000" w:rsidRDefault="00000000" w:rsidRPr="00000000" w14:paraId="0000006F">
      <w:pPr>
        <w:rPr/>
      </w:pPr>
      <w:r w:rsidDel="00000000" w:rsidR="00000000" w:rsidRPr="00000000">
        <w:rPr>
          <w:u w:val="single"/>
          <w:rtl w:val="0"/>
        </w:rPr>
        <w:t xml:space="preserve">Time lag in communication and calculation: </w:t>
      </w:r>
      <w:r w:rsidDel="00000000" w:rsidR="00000000" w:rsidRPr="00000000">
        <w:rPr>
          <w:rtl w:val="0"/>
        </w:rPr>
        <w:t xml:space="preserve">The financial report is conducted after the end of the accounting period and then permitted by an auditor. Several financial reports are circulated after the annual general meeting is over. It needs near about 6 months to 9 months so that there is no utilisation of communication and calculation of ratios (CFI Team, 2022).</w:t>
      </w:r>
    </w:p>
    <w:p w:rsidR="00000000" w:rsidDel="00000000" w:rsidP="00000000" w:rsidRDefault="00000000" w:rsidRPr="00000000" w14:paraId="00000070">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71">
      <w:pPr>
        <w:pStyle w:val="Heading1"/>
        <w:rPr/>
      </w:pPr>
      <w:bookmarkStart w:colFirst="0" w:colLast="0" w:name="_1t3h5sf" w:id="7"/>
      <w:bookmarkEnd w:id="7"/>
      <w:r w:rsidDel="00000000" w:rsidR="00000000" w:rsidRPr="00000000">
        <w:rPr>
          <w:rtl w:val="0"/>
        </w:rPr>
        <w:t xml:space="preserve">Conclusion</w:t>
      </w:r>
    </w:p>
    <w:p w:rsidR="00000000" w:rsidDel="00000000" w:rsidP="00000000" w:rsidRDefault="00000000" w:rsidRPr="00000000" w14:paraId="00000072">
      <w:pPr>
        <w:rPr/>
      </w:pPr>
      <w:r w:rsidDel="00000000" w:rsidR="00000000" w:rsidRPr="00000000">
        <w:rPr>
          <w:rtl w:val="0"/>
        </w:rPr>
        <w:t xml:space="preserve">The specific report has shed light on the different aspects on the basis of the financial statements of Marriot International, Inc. There are several financial ratios such as the current ratio, quick ratio, gearing ratio and liquidity ratio of the company that has also been illustrated in this context. It has also included numerous graphical representations regarding the financial ratios. In addition to that, the importance of ratio analysis to make effective decisions has been illustrated in this report. There are various drawbacks of ratio analysis that have also been elucidated in this report.</w:t>
      </w:r>
    </w:p>
    <w:p w:rsidR="00000000" w:rsidDel="00000000" w:rsidP="00000000" w:rsidRDefault="00000000" w:rsidRPr="00000000" w14:paraId="00000073">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74">
      <w:pPr>
        <w:pStyle w:val="Heading1"/>
        <w:rPr/>
      </w:pPr>
      <w:bookmarkStart w:colFirst="0" w:colLast="0" w:name="_4d34og8" w:id="8"/>
      <w:bookmarkEnd w:id="8"/>
      <w:r w:rsidDel="00000000" w:rsidR="00000000" w:rsidRPr="00000000">
        <w:rPr>
          <w:rtl w:val="0"/>
        </w:rPr>
        <w:t xml:space="preserve">References</w:t>
      </w:r>
    </w:p>
    <w:p w:rsidR="00000000" w:rsidDel="00000000" w:rsidP="00000000" w:rsidRDefault="00000000" w:rsidRPr="00000000" w14:paraId="00000075">
      <w:pPr>
        <w:rPr>
          <w:highlight w:val="white"/>
        </w:rPr>
      </w:pPr>
      <w:r w:rsidDel="00000000" w:rsidR="00000000" w:rsidRPr="00000000">
        <w:rPr>
          <w:highlight w:val="white"/>
          <w:rtl w:val="0"/>
        </w:rPr>
        <w:t xml:space="preserve">accountingtools, (2022). Liquidity ratio analysis. [Online] Available at: https://www.accountingtools.com/articles/liquidity-ratio-analysis.html [Accessed 21 November 2022].</w:t>
      </w:r>
    </w:p>
    <w:p w:rsidR="00000000" w:rsidDel="00000000" w:rsidP="00000000" w:rsidRDefault="00000000" w:rsidRPr="00000000" w14:paraId="00000076">
      <w:pPr>
        <w:rPr>
          <w:highlight w:val="white"/>
        </w:rPr>
      </w:pPr>
      <w:r w:rsidDel="00000000" w:rsidR="00000000" w:rsidRPr="00000000">
        <w:rPr>
          <w:highlight w:val="white"/>
          <w:rtl w:val="0"/>
        </w:rPr>
        <w:t xml:space="preserve">accountingtools, (2022). Ratio analysis definition. [Online] Available at: https://www.accountingtools.com/articles/ratio-analysis.html [Accessed 21 November 2022].</w:t>
      </w:r>
    </w:p>
    <w:p w:rsidR="00000000" w:rsidDel="00000000" w:rsidP="00000000" w:rsidRDefault="00000000" w:rsidRPr="00000000" w14:paraId="00000077">
      <w:pPr>
        <w:rPr>
          <w:highlight w:val="white"/>
        </w:rPr>
      </w:pPr>
      <w:r w:rsidDel="00000000" w:rsidR="00000000" w:rsidRPr="00000000">
        <w:rPr>
          <w:highlight w:val="white"/>
          <w:rtl w:val="0"/>
        </w:rPr>
        <w:t xml:space="preserve">CFI Team, (2022). Ratio Analysis. [Online] Available at: https://corporatefinanceinstitute.com/resources/accounting/ratio-analysis/ [Accessed 23 November 2022].</w:t>
      </w:r>
    </w:p>
    <w:p w:rsidR="00000000" w:rsidDel="00000000" w:rsidP="00000000" w:rsidRDefault="00000000" w:rsidRPr="00000000" w14:paraId="00000078">
      <w:pPr>
        <w:rPr>
          <w:highlight w:val="white"/>
        </w:rPr>
      </w:pPr>
      <w:r w:rsidDel="00000000" w:rsidR="00000000" w:rsidRPr="00000000">
        <w:rPr>
          <w:highlight w:val="white"/>
          <w:rtl w:val="0"/>
        </w:rPr>
        <w:t xml:space="preserve">CFI Team, (2022). What are Accounting Ratios?. [Online] Available at: https://corporatefinanceinstitute.com/resources/accounting/accounting-ratios/ [Accessed 23 November 2022].</w:t>
      </w:r>
    </w:p>
    <w:p w:rsidR="00000000" w:rsidDel="00000000" w:rsidP="00000000" w:rsidRDefault="00000000" w:rsidRPr="00000000" w14:paraId="00000079">
      <w:pPr>
        <w:rPr>
          <w:highlight w:val="white"/>
        </w:rPr>
      </w:pPr>
      <w:r w:rsidDel="00000000" w:rsidR="00000000" w:rsidRPr="00000000">
        <w:rPr>
          <w:highlight w:val="white"/>
          <w:rtl w:val="0"/>
        </w:rPr>
        <w:t xml:space="preserve">D'Angelo, M., (2022). Accounting Ratios and Formulas: The Basics You Need to Know. [Online] Available at: https://www.businessnewsdaily.com/2665-accounting-formulas.html [Accessed 23 November 2022].</w:t>
      </w:r>
    </w:p>
    <w:p w:rsidR="00000000" w:rsidDel="00000000" w:rsidP="00000000" w:rsidRDefault="00000000" w:rsidRPr="00000000" w14:paraId="0000007A">
      <w:pPr>
        <w:rPr>
          <w:highlight w:val="white"/>
        </w:rPr>
      </w:pPr>
      <w:r w:rsidDel="00000000" w:rsidR="00000000" w:rsidRPr="00000000">
        <w:rPr>
          <w:highlight w:val="white"/>
          <w:rtl w:val="0"/>
        </w:rPr>
        <w:t xml:space="preserve">Distanont, A. and Khongmalai, O., (2020). The role of innovation in creating a competitive advantage. </w:t>
      </w:r>
      <w:r w:rsidDel="00000000" w:rsidR="00000000" w:rsidRPr="00000000">
        <w:rPr>
          <w:i w:val="1"/>
          <w:highlight w:val="white"/>
          <w:rtl w:val="0"/>
        </w:rPr>
        <w:t xml:space="preserve">Kasetsart Journal of Social Sciences</w:t>
      </w:r>
      <w:r w:rsidDel="00000000" w:rsidR="00000000" w:rsidRPr="00000000">
        <w:rPr>
          <w:highlight w:val="white"/>
          <w:rtl w:val="0"/>
        </w:rPr>
        <w:t xml:space="preserve">, </w:t>
      </w:r>
      <w:r w:rsidDel="00000000" w:rsidR="00000000" w:rsidRPr="00000000">
        <w:rPr>
          <w:i w:val="1"/>
          <w:highlight w:val="white"/>
          <w:rtl w:val="0"/>
        </w:rPr>
        <w:t xml:space="preserve">41</w:t>
      </w:r>
      <w:r w:rsidDel="00000000" w:rsidR="00000000" w:rsidRPr="00000000">
        <w:rPr>
          <w:highlight w:val="white"/>
          <w:rtl w:val="0"/>
        </w:rPr>
        <w:t xml:space="preserve">(1), pp.15-21.</w:t>
      </w:r>
    </w:p>
    <w:p w:rsidR="00000000" w:rsidDel="00000000" w:rsidP="00000000" w:rsidRDefault="00000000" w:rsidRPr="00000000" w14:paraId="0000007B">
      <w:pPr>
        <w:rPr>
          <w:highlight w:val="white"/>
        </w:rPr>
      </w:pPr>
      <w:r w:rsidDel="00000000" w:rsidR="00000000" w:rsidRPr="00000000">
        <w:rPr>
          <w:highlight w:val="white"/>
          <w:rtl w:val="0"/>
        </w:rPr>
        <w:t xml:space="preserve">Duffie, D., (2022). </w:t>
      </w:r>
      <w:r w:rsidDel="00000000" w:rsidR="00000000" w:rsidRPr="00000000">
        <w:rPr>
          <w:i w:val="1"/>
          <w:highlight w:val="white"/>
          <w:rtl w:val="0"/>
        </w:rPr>
        <w:t xml:space="preserve">Fragmenting Markets: Post-crisis Bank Regulations and Financial Market Liquidity</w:t>
      </w:r>
      <w:r w:rsidDel="00000000" w:rsidR="00000000" w:rsidRPr="00000000">
        <w:rPr>
          <w:highlight w:val="white"/>
          <w:rtl w:val="0"/>
        </w:rPr>
        <w:t xml:space="preserve">. Walter de Gruyter GmbH &amp; Co KG.</w:t>
      </w:r>
    </w:p>
    <w:p w:rsidR="00000000" w:rsidDel="00000000" w:rsidP="00000000" w:rsidRDefault="00000000" w:rsidRPr="00000000" w14:paraId="0000007C">
      <w:pPr>
        <w:rPr>
          <w:highlight w:val="white"/>
        </w:rPr>
      </w:pPr>
      <w:r w:rsidDel="00000000" w:rsidR="00000000" w:rsidRPr="00000000">
        <w:rPr>
          <w:highlight w:val="white"/>
          <w:rtl w:val="0"/>
        </w:rPr>
        <w:t xml:space="preserve">Husna, A. and Satria, I., (2019). Effects of return on asset, debt to asset ratio, current ratio, firm size, and dividend payout ratio on firm value. </w:t>
      </w:r>
      <w:r w:rsidDel="00000000" w:rsidR="00000000" w:rsidRPr="00000000">
        <w:rPr>
          <w:i w:val="1"/>
          <w:highlight w:val="white"/>
          <w:rtl w:val="0"/>
        </w:rPr>
        <w:t xml:space="preserve">International Journal of Economics and Financial Issues</w:t>
      </w:r>
      <w:r w:rsidDel="00000000" w:rsidR="00000000" w:rsidRPr="00000000">
        <w:rPr>
          <w:highlight w:val="white"/>
          <w:rtl w:val="0"/>
        </w:rPr>
        <w:t xml:space="preserve">, </w:t>
      </w:r>
      <w:r w:rsidDel="00000000" w:rsidR="00000000" w:rsidRPr="00000000">
        <w:rPr>
          <w:i w:val="1"/>
          <w:highlight w:val="white"/>
          <w:rtl w:val="0"/>
        </w:rPr>
        <w:t xml:space="preserve">9</w:t>
      </w:r>
      <w:r w:rsidDel="00000000" w:rsidR="00000000" w:rsidRPr="00000000">
        <w:rPr>
          <w:highlight w:val="white"/>
          <w:rtl w:val="0"/>
        </w:rPr>
        <w:t xml:space="preserve">(5), p.50.</w:t>
      </w:r>
    </w:p>
    <w:p w:rsidR="00000000" w:rsidDel="00000000" w:rsidP="00000000" w:rsidRDefault="00000000" w:rsidRPr="00000000" w14:paraId="0000007D">
      <w:pPr>
        <w:rPr>
          <w:highlight w:val="white"/>
        </w:rPr>
      </w:pPr>
      <w:r w:rsidDel="00000000" w:rsidR="00000000" w:rsidRPr="00000000">
        <w:rPr>
          <w:highlight w:val="white"/>
          <w:rtl w:val="0"/>
        </w:rPr>
        <w:t xml:space="preserve">imarticus, (2022). What Are Some Of The Advantages Of Financial Ratio Analysis?. [Online] Available at: https://blog.imarticus.org/what-are-some-of-the-advantages-of-financial-ratio-analysis/ [Accessed 21 November 2022].</w:t>
      </w:r>
    </w:p>
    <w:p w:rsidR="00000000" w:rsidDel="00000000" w:rsidP="00000000" w:rsidRDefault="00000000" w:rsidRPr="00000000" w14:paraId="0000007E">
      <w:pPr>
        <w:rPr>
          <w:highlight w:val="white"/>
        </w:rPr>
      </w:pPr>
      <w:r w:rsidDel="00000000" w:rsidR="00000000" w:rsidRPr="00000000">
        <w:rPr>
          <w:highlight w:val="white"/>
          <w:rtl w:val="0"/>
        </w:rPr>
        <w:t xml:space="preserve">Ingram, D., (2019). The Advantages of Financial Ratios. [Online] Available at: https://smallbusiness.chron.com/advantages-financial-ratios-3973.html [Accessed 21 November 2022].</w:t>
      </w:r>
    </w:p>
    <w:p w:rsidR="00000000" w:rsidDel="00000000" w:rsidP="00000000" w:rsidRDefault="00000000" w:rsidRPr="00000000" w14:paraId="0000007F">
      <w:pPr>
        <w:rPr>
          <w:highlight w:val="white"/>
        </w:rPr>
      </w:pPr>
      <w:r w:rsidDel="00000000" w:rsidR="00000000" w:rsidRPr="00000000">
        <w:rPr>
          <w:highlight w:val="white"/>
          <w:rtl w:val="0"/>
        </w:rPr>
        <w:t xml:space="preserve">Kumoro, D.F.C., Novitasari, D., Yuwono, T. and Asbari, M., (2020). Analysis of the Effect of Quick Ratio (QR), Total Assets Turn Over (TATO), and Debt To Equity Ratio (DER) on Return On Equity (ROE) at PT. XYZ. </w:t>
      </w:r>
      <w:r w:rsidDel="00000000" w:rsidR="00000000" w:rsidRPr="00000000">
        <w:rPr>
          <w:i w:val="1"/>
          <w:highlight w:val="white"/>
          <w:rtl w:val="0"/>
        </w:rPr>
        <w:t xml:space="preserve">Journal of Industrial Engineering &amp; Management Research</w:t>
      </w:r>
      <w:r w:rsidDel="00000000" w:rsidR="00000000" w:rsidRPr="00000000">
        <w:rPr>
          <w:highlight w:val="white"/>
          <w:rtl w:val="0"/>
        </w:rPr>
        <w:t xml:space="preserve">, </w:t>
      </w:r>
      <w:r w:rsidDel="00000000" w:rsidR="00000000" w:rsidRPr="00000000">
        <w:rPr>
          <w:i w:val="1"/>
          <w:highlight w:val="white"/>
          <w:rtl w:val="0"/>
        </w:rPr>
        <w:t xml:space="preserve">1</w:t>
      </w:r>
      <w:r w:rsidDel="00000000" w:rsidR="00000000" w:rsidRPr="00000000">
        <w:rPr>
          <w:highlight w:val="white"/>
          <w:rtl w:val="0"/>
        </w:rPr>
        <w:t xml:space="preserve">(3), pp.166-183.</w:t>
      </w:r>
    </w:p>
    <w:p w:rsidR="00000000" w:rsidDel="00000000" w:rsidP="00000000" w:rsidRDefault="00000000" w:rsidRPr="00000000" w14:paraId="00000080">
      <w:pPr>
        <w:rPr>
          <w:highlight w:val="white"/>
        </w:rPr>
      </w:pPr>
      <w:r w:rsidDel="00000000" w:rsidR="00000000" w:rsidRPr="00000000">
        <w:rPr>
          <w:highlight w:val="white"/>
          <w:rtl w:val="0"/>
        </w:rPr>
        <w:t xml:space="preserve">Lohrey, J., (2019). Importance of Ratio Analysis in Financial Planning. [Online] Available at: https://smallbusiness.chron.com/importance-ratio-analysis-financial-planning-80600.html [Accessed 21 November 2022].</w:t>
      </w:r>
    </w:p>
    <w:p w:rsidR="00000000" w:rsidDel="00000000" w:rsidP="00000000" w:rsidRDefault="00000000" w:rsidRPr="00000000" w14:paraId="00000081">
      <w:pPr>
        <w:rPr>
          <w:highlight w:val="white"/>
        </w:rPr>
      </w:pPr>
      <w:r w:rsidDel="00000000" w:rsidR="00000000" w:rsidRPr="00000000">
        <w:rPr>
          <w:highlight w:val="white"/>
          <w:rtl w:val="0"/>
        </w:rPr>
        <w:t xml:space="preserve">Sopini, P., (2017). Pengaruh Current Ratio Dan Quick Ratio Terhadap Profit Margin Pada PT. Indosat, Tbk Periode 2005-20014. </w:t>
      </w:r>
      <w:r w:rsidDel="00000000" w:rsidR="00000000" w:rsidRPr="00000000">
        <w:rPr>
          <w:i w:val="1"/>
          <w:highlight w:val="white"/>
          <w:rtl w:val="0"/>
        </w:rPr>
        <w:t xml:space="preserve">Jurnal Ilmiah Dikdaya</w:t>
      </w:r>
      <w:r w:rsidDel="00000000" w:rsidR="00000000" w:rsidRPr="00000000">
        <w:rPr>
          <w:highlight w:val="white"/>
          <w:rtl w:val="0"/>
        </w:rPr>
        <w:t xml:space="preserve">, </w:t>
      </w:r>
      <w:r w:rsidDel="00000000" w:rsidR="00000000" w:rsidRPr="00000000">
        <w:rPr>
          <w:i w:val="1"/>
          <w:highlight w:val="white"/>
          <w:rtl w:val="0"/>
        </w:rPr>
        <w:t xml:space="preserve">6</w:t>
      </w:r>
      <w:r w:rsidDel="00000000" w:rsidR="00000000" w:rsidRPr="00000000">
        <w:rPr>
          <w:highlight w:val="white"/>
          <w:rtl w:val="0"/>
        </w:rPr>
        <w:t xml:space="preserve">(1), pp.75-84.</w:t>
      </w:r>
    </w:p>
    <w:p w:rsidR="00000000" w:rsidDel="00000000" w:rsidP="00000000" w:rsidRDefault="00000000" w:rsidRPr="00000000" w14:paraId="00000082">
      <w:pPr>
        <w:rPr>
          <w:highlight w:val="white"/>
        </w:rPr>
      </w:pPr>
      <w:r w:rsidDel="00000000" w:rsidR="00000000" w:rsidRPr="00000000">
        <w:rPr>
          <w:highlight w:val="white"/>
          <w:rtl w:val="0"/>
        </w:rPr>
        <w:t xml:space="preserve">Tan, S., Yang, J., Zhao, X., Hai, T. and Zhang, W., (2018). Gear ratio optimization of a multi-speed transmission for electric dump truck operating on the structure route. </w:t>
      </w:r>
      <w:r w:rsidDel="00000000" w:rsidR="00000000" w:rsidRPr="00000000">
        <w:rPr>
          <w:i w:val="1"/>
          <w:highlight w:val="white"/>
          <w:rtl w:val="0"/>
        </w:rPr>
        <w:t xml:space="preserve">Energies</w:t>
      </w:r>
      <w:r w:rsidDel="00000000" w:rsidR="00000000" w:rsidRPr="00000000">
        <w:rPr>
          <w:highlight w:val="white"/>
          <w:rtl w:val="0"/>
        </w:rPr>
        <w:t xml:space="preserve">, </w:t>
      </w:r>
      <w:r w:rsidDel="00000000" w:rsidR="00000000" w:rsidRPr="00000000">
        <w:rPr>
          <w:i w:val="1"/>
          <w:highlight w:val="white"/>
          <w:rtl w:val="0"/>
        </w:rPr>
        <w:t xml:space="preserve">11</w:t>
      </w:r>
      <w:r w:rsidDel="00000000" w:rsidR="00000000" w:rsidRPr="00000000">
        <w:rPr>
          <w:highlight w:val="white"/>
          <w:rtl w:val="0"/>
        </w:rPr>
        <w:t xml:space="preserve">(6), p.1324.</w:t>
      </w:r>
    </w:p>
    <w:sectPr>
      <w:headerReference r:id="rId11" w:type="default"/>
      <w:footerReference r:id="rId12"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Financial Management for the Hotel Industry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sz w:val="28"/>
      <w:szCs w:val="28"/>
    </w:rPr>
  </w:style>
  <w:style w:type="paragraph" w:styleId="Heading2">
    <w:name w:val="heading 2"/>
    <w:basedOn w:val="Normal"/>
    <w:next w:val="Normal"/>
    <w:pPr>
      <w:keepNext w:val="1"/>
      <w:keepLines w:val="1"/>
      <w:spacing w:after="0" w:before="40" w:lineRule="auto"/>
    </w:pPr>
    <w:rPr>
      <w:b w:val="1"/>
      <w:sz w:val="26"/>
      <w:szCs w:val="26"/>
    </w:rPr>
  </w:style>
  <w:style w:type="paragraph" w:styleId="Heading3">
    <w:name w:val="heading 3"/>
    <w:basedOn w:val="Normal"/>
    <w:next w:val="Normal"/>
    <w:pPr>
      <w:keepNext w:val="1"/>
      <w:keepLines w:val="1"/>
      <w:spacing w:after="0" w:before="40" w:lineRule="auto"/>
    </w:pPr>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tcPr>
      <w:shd w:fill="deebf6" w:val="clear"/>
    </w:tcPr>
    <w:tblStylePr w:type="band1Horz">
      <w:tcPr>
        <w:shd w:fill="bdd7ee" w:val="clear"/>
      </w:tcPr>
    </w:tblStylePr>
    <w:tblStylePr w:type="band1Vert">
      <w:tcPr>
        <w:shd w:fill="bdd7ee" w:val="clear"/>
      </w:tcPr>
    </w:tblStylePr>
    <w:tblStylePr w:type="firstCol">
      <w:rPr>
        <w:b w:val="1"/>
        <w:color w:val="ffffff"/>
      </w:rPr>
      <w:tcPr>
        <w:tcBorders>
          <w:top w:color="ffffff" w:space="0" w:sz="4" w:val="single"/>
          <w:left w:color="ffffff" w:space="0" w:sz="4" w:val="single"/>
          <w:bottom w:color="ffffff" w:space="0" w:sz="4" w:val="single"/>
          <w:insideV w:color="000000" w:space="0" w:sz="0" w:val="nil"/>
        </w:tcBorders>
        <w:shd w:fill="5b9bd5" w:val="clear"/>
      </w:tcPr>
    </w:tblStylePr>
    <w:tblStylePr w:type="firstRow">
      <w:rPr>
        <w:b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5b9bd5" w:val="clear"/>
      </w:tcPr>
    </w:tblStylePr>
    <w:tblStylePr w:type="lastCol">
      <w:rPr>
        <w:b w:val="1"/>
        <w:color w:val="ffffff"/>
      </w:rPr>
      <w:tcPr>
        <w:tcBorders>
          <w:top w:color="ffffff" w:space="0" w:sz="4" w:val="single"/>
          <w:bottom w:color="ffffff" w:space="0" w:sz="4" w:val="single"/>
          <w:right w:color="ffffff" w:space="0" w:sz="4" w:val="single"/>
          <w:insideV w:color="000000" w:space="0" w:sz="0" w:val="nil"/>
        </w:tcBorders>
        <w:shd w:fill="5b9bd5" w:val="clear"/>
      </w:tcPr>
    </w:tblStylePr>
    <w:tblStylePr w:type="lastRow">
      <w:rPr>
        <w:b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5b9bd5" w:val="clear"/>
      </w:tcPr>
    </w:tblStylePr>
  </w:style>
  <w:style w:type="table" w:styleId="Table2">
    <w:basedOn w:val="TableNormal"/>
    <w:pPr>
      <w:spacing w:after="0" w:line="240" w:lineRule="auto"/>
    </w:pPr>
    <w:tblPr>
      <w:tblStyleRowBandSize w:val="1"/>
      <w:tblStyleColBandSize w:val="1"/>
      <w:tblCellMar>
        <w:top w:w="0.0" w:type="dxa"/>
        <w:left w:w="115.0" w:type="dxa"/>
        <w:bottom w:w="0.0" w:type="dxa"/>
        <w:right w:w="115.0" w:type="dxa"/>
      </w:tblCellMar>
    </w:tblPr>
    <w:tcPr>
      <w:shd w:fill="deebf6" w:val="clear"/>
    </w:tcPr>
    <w:tblStylePr w:type="band1Horz">
      <w:tcPr>
        <w:shd w:fill="bdd7ee" w:val="clear"/>
      </w:tcPr>
    </w:tblStylePr>
    <w:tblStylePr w:type="band1Vert">
      <w:tcPr>
        <w:shd w:fill="bdd7ee" w:val="clear"/>
      </w:tcPr>
    </w:tblStylePr>
    <w:tblStylePr w:type="firstCol">
      <w:rPr>
        <w:b w:val="1"/>
        <w:color w:val="ffffff"/>
      </w:rPr>
      <w:tcPr>
        <w:tcBorders>
          <w:top w:color="ffffff" w:space="0" w:sz="4" w:val="single"/>
          <w:left w:color="ffffff" w:space="0" w:sz="4" w:val="single"/>
          <w:bottom w:color="ffffff" w:space="0" w:sz="4" w:val="single"/>
          <w:insideV w:color="000000" w:space="0" w:sz="0" w:val="nil"/>
        </w:tcBorders>
        <w:shd w:fill="5b9bd5" w:val="clear"/>
      </w:tcPr>
    </w:tblStylePr>
    <w:tblStylePr w:type="firstRow">
      <w:rPr>
        <w:b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5b9bd5" w:val="clear"/>
      </w:tcPr>
    </w:tblStylePr>
    <w:tblStylePr w:type="lastCol">
      <w:rPr>
        <w:b w:val="1"/>
        <w:color w:val="ffffff"/>
      </w:rPr>
      <w:tcPr>
        <w:tcBorders>
          <w:top w:color="ffffff" w:space="0" w:sz="4" w:val="single"/>
          <w:bottom w:color="ffffff" w:space="0" w:sz="4" w:val="single"/>
          <w:right w:color="ffffff" w:space="0" w:sz="4" w:val="single"/>
          <w:insideV w:color="000000" w:space="0" w:sz="0" w:val="nil"/>
        </w:tcBorders>
        <w:shd w:fill="5b9bd5" w:val="clear"/>
      </w:tcPr>
    </w:tblStylePr>
    <w:tblStylePr w:type="lastRow">
      <w:rPr>
        <w:b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5b9bd5" w:val="clear"/>
      </w:tcPr>
    </w:tblStylePr>
  </w:style>
  <w:style w:type="table" w:styleId="Table3">
    <w:basedOn w:val="TableNormal"/>
    <w:pPr>
      <w:spacing w:after="0" w:line="240" w:lineRule="auto"/>
    </w:pPr>
    <w:tblPr>
      <w:tblStyleRowBandSize w:val="1"/>
      <w:tblStyleColBandSize w:val="1"/>
      <w:tblCellMar>
        <w:top w:w="0.0" w:type="dxa"/>
        <w:left w:w="115.0" w:type="dxa"/>
        <w:bottom w:w="0.0" w:type="dxa"/>
        <w:right w:w="115.0" w:type="dxa"/>
      </w:tblCellMar>
    </w:tblPr>
    <w:tcPr>
      <w:shd w:fill="deebf6" w:val="clear"/>
    </w:tcPr>
    <w:tblStylePr w:type="band1Horz">
      <w:tcPr>
        <w:shd w:fill="bdd7ee" w:val="clear"/>
      </w:tcPr>
    </w:tblStylePr>
    <w:tblStylePr w:type="band1Vert">
      <w:tcPr>
        <w:shd w:fill="bdd7ee" w:val="clear"/>
      </w:tcPr>
    </w:tblStylePr>
    <w:tblStylePr w:type="firstCol">
      <w:rPr>
        <w:b w:val="1"/>
        <w:color w:val="ffffff"/>
      </w:rPr>
      <w:tcPr>
        <w:tcBorders>
          <w:top w:color="ffffff" w:space="0" w:sz="4" w:val="single"/>
          <w:left w:color="ffffff" w:space="0" w:sz="4" w:val="single"/>
          <w:bottom w:color="ffffff" w:space="0" w:sz="4" w:val="single"/>
          <w:insideV w:color="000000" w:space="0" w:sz="0" w:val="nil"/>
        </w:tcBorders>
        <w:shd w:fill="5b9bd5" w:val="clear"/>
      </w:tcPr>
    </w:tblStylePr>
    <w:tblStylePr w:type="firstRow">
      <w:rPr>
        <w:b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5b9bd5" w:val="clear"/>
      </w:tcPr>
    </w:tblStylePr>
    <w:tblStylePr w:type="lastCol">
      <w:rPr>
        <w:b w:val="1"/>
        <w:color w:val="ffffff"/>
      </w:rPr>
      <w:tcPr>
        <w:tcBorders>
          <w:top w:color="ffffff" w:space="0" w:sz="4" w:val="single"/>
          <w:bottom w:color="ffffff" w:space="0" w:sz="4" w:val="single"/>
          <w:right w:color="ffffff" w:space="0" w:sz="4" w:val="single"/>
          <w:insideV w:color="000000" w:space="0" w:sz="0" w:val="nil"/>
        </w:tcBorders>
        <w:shd w:fill="5b9bd5" w:val="clear"/>
      </w:tcPr>
    </w:tblStylePr>
    <w:tblStylePr w:type="lastRow">
      <w:rPr>
        <w:b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5b9bd5" w:val="clear"/>
      </w:tcPr>
    </w:tblStylePr>
  </w:style>
  <w:style w:type="table" w:styleId="Table4">
    <w:basedOn w:val="TableNormal"/>
    <w:pPr>
      <w:spacing w:after="0" w:line="240" w:lineRule="auto"/>
    </w:pPr>
    <w:tblPr>
      <w:tblStyleRowBandSize w:val="1"/>
      <w:tblStyleColBandSize w:val="1"/>
      <w:tblCellMar>
        <w:top w:w="0.0" w:type="dxa"/>
        <w:left w:w="115.0" w:type="dxa"/>
        <w:bottom w:w="0.0" w:type="dxa"/>
        <w:right w:w="115.0" w:type="dxa"/>
      </w:tblCellMar>
    </w:tblPr>
    <w:tcPr>
      <w:shd w:fill="deebf6" w:val="clear"/>
    </w:tcPr>
    <w:tblStylePr w:type="band1Horz">
      <w:tcPr>
        <w:shd w:fill="bdd7ee" w:val="clear"/>
      </w:tcPr>
    </w:tblStylePr>
    <w:tblStylePr w:type="band1Vert">
      <w:tcPr>
        <w:shd w:fill="bdd7ee" w:val="clear"/>
      </w:tcPr>
    </w:tblStylePr>
    <w:tblStylePr w:type="firstCol">
      <w:rPr>
        <w:b w:val="1"/>
        <w:color w:val="ffffff"/>
      </w:rPr>
      <w:tcPr>
        <w:tcBorders>
          <w:top w:color="ffffff" w:space="0" w:sz="4" w:val="single"/>
          <w:left w:color="ffffff" w:space="0" w:sz="4" w:val="single"/>
          <w:bottom w:color="ffffff" w:space="0" w:sz="4" w:val="single"/>
          <w:insideV w:color="000000" w:space="0" w:sz="0" w:val="nil"/>
        </w:tcBorders>
        <w:shd w:fill="5b9bd5" w:val="clear"/>
      </w:tcPr>
    </w:tblStylePr>
    <w:tblStylePr w:type="firstRow">
      <w:rPr>
        <w:b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5b9bd5" w:val="clear"/>
      </w:tcPr>
    </w:tblStylePr>
    <w:tblStylePr w:type="lastCol">
      <w:rPr>
        <w:b w:val="1"/>
        <w:color w:val="ffffff"/>
      </w:rPr>
      <w:tcPr>
        <w:tcBorders>
          <w:top w:color="ffffff" w:space="0" w:sz="4" w:val="single"/>
          <w:bottom w:color="ffffff" w:space="0" w:sz="4" w:val="single"/>
          <w:right w:color="ffffff" w:space="0" w:sz="4" w:val="single"/>
          <w:insideV w:color="000000" w:space="0" w:sz="0" w:val="nil"/>
        </w:tcBorders>
        <w:shd w:fill="5b9bd5" w:val="clear"/>
      </w:tcPr>
    </w:tblStylePr>
    <w:tblStylePr w:type="lastRow">
      <w:rPr>
        <w:b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5b9bd5" w:val="clear"/>
      </w:tcPr>
    </w:tblStylePr>
  </w:style>
  <w:style w:type="table" w:styleId="Table5">
    <w:basedOn w:val="TableNormal"/>
    <w:pPr>
      <w:spacing w:after="0" w:line="240" w:lineRule="auto"/>
    </w:pPr>
    <w:tblPr>
      <w:tblStyleRowBandSize w:val="1"/>
      <w:tblStyleColBandSize w:val="1"/>
      <w:tblCellMar>
        <w:top w:w="0.0" w:type="dxa"/>
        <w:left w:w="115.0" w:type="dxa"/>
        <w:bottom w:w="0.0" w:type="dxa"/>
        <w:right w:w="115.0" w:type="dxa"/>
      </w:tblCellMar>
    </w:tblPr>
    <w:tcPr>
      <w:shd w:fill="deebf6" w:val="clear"/>
    </w:tcPr>
    <w:tblStylePr w:type="band1Horz">
      <w:tcPr>
        <w:shd w:fill="bdd7ee" w:val="clear"/>
      </w:tcPr>
    </w:tblStylePr>
    <w:tblStylePr w:type="band1Vert">
      <w:tcPr>
        <w:shd w:fill="bdd7ee" w:val="clear"/>
      </w:tcPr>
    </w:tblStylePr>
    <w:tblStylePr w:type="firstCol">
      <w:rPr>
        <w:b w:val="1"/>
        <w:color w:val="ffffff"/>
      </w:rPr>
      <w:tcPr>
        <w:tcBorders>
          <w:top w:color="ffffff" w:space="0" w:sz="4" w:val="single"/>
          <w:left w:color="ffffff" w:space="0" w:sz="4" w:val="single"/>
          <w:bottom w:color="ffffff" w:space="0" w:sz="4" w:val="single"/>
          <w:insideV w:color="000000" w:space="0" w:sz="0" w:val="nil"/>
        </w:tcBorders>
        <w:shd w:fill="5b9bd5" w:val="clear"/>
      </w:tcPr>
    </w:tblStylePr>
    <w:tblStylePr w:type="firstRow">
      <w:rPr>
        <w:b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5b9bd5" w:val="clear"/>
      </w:tcPr>
    </w:tblStylePr>
    <w:tblStylePr w:type="lastCol">
      <w:rPr>
        <w:b w:val="1"/>
        <w:color w:val="ffffff"/>
      </w:rPr>
      <w:tcPr>
        <w:tcBorders>
          <w:top w:color="ffffff" w:space="0" w:sz="4" w:val="single"/>
          <w:bottom w:color="ffffff" w:space="0" w:sz="4" w:val="single"/>
          <w:right w:color="ffffff" w:space="0" w:sz="4" w:val="single"/>
          <w:insideV w:color="000000" w:space="0" w:sz="0" w:val="nil"/>
        </w:tcBorders>
        <w:shd w:fill="5b9bd5" w:val="clear"/>
      </w:tcPr>
    </w:tblStylePr>
    <w:tblStylePr w:type="lastRow">
      <w:rPr>
        <w:b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5b9bd5" w:val="clear"/>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image" Target="media/image2.png"/><Relationship Id="rId12" Type="http://schemas.openxmlformats.org/officeDocument/2006/relationships/footer" Target="footer1.xm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image" Target="media/image4.png"/><Relationship Id="rId7" Type="http://schemas.openxmlformats.org/officeDocument/2006/relationships/image" Target="media/image5.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