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710FC1" w14:textId="6078485A" w:rsidR="00066CBF" w:rsidRDefault="00066CBF" w:rsidP="00D12E7E">
      <w:pPr>
        <w:spacing w:line="360" w:lineRule="auto"/>
        <w:rPr>
          <w:rFonts w:ascii="Arial" w:hAnsi="Arial" w:cs="Arial"/>
          <w:b/>
          <w:bCs/>
          <w:sz w:val="22"/>
          <w:szCs w:val="22"/>
        </w:rPr>
      </w:pPr>
    </w:p>
    <w:p w14:paraId="14396CDA" w14:textId="109535E3" w:rsidR="00066CBF" w:rsidRDefault="00066CBF" w:rsidP="00D12E7E">
      <w:pPr>
        <w:spacing w:line="360" w:lineRule="auto"/>
        <w:rPr>
          <w:rFonts w:ascii="Arial" w:hAnsi="Arial" w:cs="Arial"/>
          <w:b/>
          <w:bCs/>
          <w:sz w:val="22"/>
          <w:szCs w:val="22"/>
        </w:rPr>
      </w:pPr>
    </w:p>
    <w:p w14:paraId="12DD0DD6" w14:textId="361D1EC2" w:rsidR="00066CBF" w:rsidRDefault="00066CBF" w:rsidP="00066CBF">
      <w:pPr>
        <w:tabs>
          <w:tab w:val="left" w:pos="1237"/>
        </w:tabs>
        <w:spacing w:line="360" w:lineRule="auto"/>
        <w:rPr>
          <w:rFonts w:ascii="Arial" w:hAnsi="Arial" w:cs="Arial"/>
          <w:b/>
          <w:bCs/>
          <w:sz w:val="22"/>
          <w:szCs w:val="22"/>
        </w:rPr>
      </w:pPr>
      <w:r>
        <w:rPr>
          <w:rFonts w:ascii="Arial" w:hAnsi="Arial" w:cs="Arial"/>
          <w:b/>
          <w:bCs/>
          <w:sz w:val="22"/>
          <w:szCs w:val="22"/>
        </w:rPr>
        <w:tab/>
      </w:r>
    </w:p>
    <w:p w14:paraId="576B1D3C" w14:textId="564F5F61" w:rsidR="00066CBF" w:rsidRDefault="00066CBF" w:rsidP="00D12E7E">
      <w:pPr>
        <w:spacing w:line="360" w:lineRule="auto"/>
        <w:rPr>
          <w:rFonts w:ascii="Arial" w:hAnsi="Arial" w:cs="Arial"/>
          <w:b/>
          <w:bCs/>
          <w:sz w:val="22"/>
          <w:szCs w:val="22"/>
        </w:rPr>
      </w:pPr>
    </w:p>
    <w:p w14:paraId="0CEE02F5" w14:textId="4F8FB266" w:rsidR="00066CBF" w:rsidRDefault="00617C0C" w:rsidP="00D12E7E">
      <w:pPr>
        <w:spacing w:line="360" w:lineRule="auto"/>
        <w:rPr>
          <w:rFonts w:ascii="Arial" w:hAnsi="Arial" w:cs="Arial"/>
          <w:b/>
          <w:bCs/>
          <w:sz w:val="22"/>
          <w:szCs w:val="22"/>
        </w:rPr>
      </w:pPr>
      <w:r w:rsidRPr="00066CBF">
        <w:rPr>
          <w:rFonts w:ascii="Arial" w:hAnsi="Arial" w:cs="Arial"/>
          <w:b/>
          <w:bCs/>
          <w:noProof/>
          <w:sz w:val="22"/>
          <w:szCs w:val="22"/>
        </w:rPr>
        <w:drawing>
          <wp:inline distT="0" distB="0" distL="0" distR="0" wp14:anchorId="56BBC10E" wp14:editId="7BEA134B">
            <wp:extent cx="4115689" cy="1065007"/>
            <wp:effectExtent l="0" t="0" r="0" b="1905"/>
            <wp:docPr id="5" name="Picture 2" descr="University of Wales Trinity Saint David launches new digital healthcare  course - Digital Health and Care Wales">
              <a:extLst xmlns:a="http://schemas.openxmlformats.org/drawingml/2006/main">
                <a:ext uri="{FF2B5EF4-FFF2-40B4-BE49-F238E27FC236}">
                  <a16:creationId xmlns:a16="http://schemas.microsoft.com/office/drawing/2014/main" id="{9706A602-87CE-115A-B7DB-958CECBDCF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University of Wales Trinity Saint David launches new digital healthcare  course - Digital Health and Care Wales">
                      <a:extLst>
                        <a:ext uri="{FF2B5EF4-FFF2-40B4-BE49-F238E27FC236}">
                          <a16:creationId xmlns:a16="http://schemas.microsoft.com/office/drawing/2014/main" id="{9706A602-87CE-115A-B7DB-958CECBDCF7C}"/>
                        </a:ext>
                      </a:extLs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32115" cy="1069257"/>
                    </a:xfrm>
                    <a:prstGeom prst="rect">
                      <a:avLst/>
                    </a:prstGeom>
                    <a:noFill/>
                  </pic:spPr>
                </pic:pic>
              </a:graphicData>
            </a:graphic>
          </wp:inline>
        </w:drawing>
      </w:r>
    </w:p>
    <w:p w14:paraId="2CEC2295" w14:textId="79F78079" w:rsidR="00066CBF" w:rsidRDefault="00066CBF" w:rsidP="00D12E7E">
      <w:pPr>
        <w:spacing w:line="360" w:lineRule="auto"/>
        <w:rPr>
          <w:rFonts w:ascii="Arial" w:hAnsi="Arial" w:cs="Arial"/>
          <w:b/>
          <w:bCs/>
          <w:sz w:val="22"/>
          <w:szCs w:val="22"/>
        </w:rPr>
      </w:pPr>
    </w:p>
    <w:p w14:paraId="0C1D28A3" w14:textId="77777777" w:rsidR="00617C0C" w:rsidRDefault="00617C0C" w:rsidP="00D12E7E">
      <w:pPr>
        <w:spacing w:line="360" w:lineRule="auto"/>
        <w:rPr>
          <w:rFonts w:ascii="Arial" w:hAnsi="Arial" w:cs="Arial"/>
          <w:b/>
          <w:bCs/>
          <w:sz w:val="22"/>
          <w:szCs w:val="22"/>
        </w:rPr>
      </w:pPr>
    </w:p>
    <w:p w14:paraId="270893B3" w14:textId="36DD06F3" w:rsidR="00066CBF" w:rsidRDefault="00066CBF" w:rsidP="00D12E7E">
      <w:pPr>
        <w:spacing w:line="360" w:lineRule="auto"/>
        <w:rPr>
          <w:rFonts w:ascii="Arial" w:hAnsi="Arial" w:cs="Arial"/>
          <w:b/>
          <w:bCs/>
          <w:sz w:val="22"/>
          <w:szCs w:val="22"/>
        </w:rPr>
      </w:pPr>
    </w:p>
    <w:p w14:paraId="10A73481" w14:textId="6035652F" w:rsidR="00066CBF" w:rsidRPr="00066CBF" w:rsidRDefault="00066CBF" w:rsidP="00066CBF">
      <w:pPr>
        <w:rPr>
          <w:rFonts w:ascii="Arial" w:hAnsi="Arial" w:cs="Arial"/>
          <w:b/>
          <w:bCs/>
          <w:sz w:val="22"/>
          <w:szCs w:val="22"/>
        </w:rPr>
      </w:pPr>
      <w:r w:rsidRPr="00066CBF">
        <w:rPr>
          <w:rFonts w:ascii="Arial" w:hAnsi="Arial" w:cs="Arial"/>
          <w:b/>
          <w:bCs/>
          <w:sz w:val="22"/>
          <w:szCs w:val="22"/>
        </w:rPr>
        <w:t>Student name: Marife Tabalba, Jamiro</w:t>
      </w:r>
      <w:r w:rsidRPr="00066CBF">
        <w:rPr>
          <w:rFonts w:ascii="Arial" w:hAnsi="Arial" w:cs="Arial"/>
          <w:b/>
          <w:bCs/>
          <w:sz w:val="22"/>
          <w:szCs w:val="22"/>
        </w:rPr>
        <w:br/>
        <w:t>Student ID: 2214833 student@uwtsd.ac.uk</w:t>
      </w:r>
      <w:r w:rsidRPr="00066CBF">
        <w:rPr>
          <w:rFonts w:ascii="Arial" w:hAnsi="Arial" w:cs="Arial"/>
          <w:b/>
          <w:bCs/>
          <w:sz w:val="22"/>
          <w:szCs w:val="22"/>
        </w:rPr>
        <w:br/>
        <w:t>Module Name: Introduction to Health and Social Care</w:t>
      </w:r>
      <w:r w:rsidRPr="00066CBF">
        <w:rPr>
          <w:rFonts w:ascii="Arial" w:hAnsi="Arial" w:cs="Arial"/>
          <w:b/>
          <w:bCs/>
          <w:sz w:val="22"/>
          <w:szCs w:val="22"/>
        </w:rPr>
        <w:br/>
        <w:t>Module Code: LCHS4003</w:t>
      </w:r>
      <w:r w:rsidRPr="00066CBF">
        <w:rPr>
          <w:rFonts w:ascii="Arial" w:hAnsi="Arial" w:cs="Arial"/>
          <w:b/>
          <w:bCs/>
          <w:sz w:val="22"/>
          <w:szCs w:val="22"/>
        </w:rPr>
        <w:br/>
        <w:t>Lecturer Name: Umma Suleiman</w:t>
      </w:r>
    </w:p>
    <w:p w14:paraId="084F19B4" w14:textId="034D5F48" w:rsidR="00617C0C" w:rsidRDefault="008B5072" w:rsidP="00D12E7E">
      <w:pPr>
        <w:spacing w:line="360" w:lineRule="auto"/>
        <w:rPr>
          <w:rFonts w:ascii="Arial" w:hAnsi="Arial" w:cs="Arial"/>
          <w:b/>
          <w:bCs/>
          <w:sz w:val="28"/>
          <w:szCs w:val="28"/>
        </w:rPr>
      </w:pPr>
      <w:r>
        <w:rPr>
          <w:noProof/>
          <w:kern w:val="0"/>
        </w:rPr>
        <w:lastRenderedPageBreak/>
      </w:r>
      <w:r w:rsidR="008B5072">
        <w:rPr>
          <w:noProof/>
          <w:kern w:val="0"/>
        </w:rPr>
        <w:object w:dxaOrig="0" w:dyaOrig="0" w14:anchorId="666B94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margin-left:3.4pt;margin-top:26.35pt;width:522pt;height:650.8pt;z-index:251658240;mso-position-horizontal-relative:text;mso-position-vertical-relative:text" wrapcoords="-36 -26 -36 21678 21744 21678 21744 26 21672 -26 -36 -26" stroked="t" strokecolor="#f6f6f6" strokeweight=".5pt">
            <v:imagedata r:id="rId7" o:title=""/>
            <v:shadow on="t"/>
            <w10:wrap type="tight"/>
          </v:shape>
          <o:OLEObject Type="Embed" ProgID="PowerPoint.Slide.12" ShapeID="_x0000_s1030" DrawAspect="Content" ObjectID="_1845977892" r:id="rId8"/>
        </w:object>
      </w:r>
      <w:r w:rsidR="000B553E">
        <w:rPr>
          <w:rFonts w:ascii="Arial" w:hAnsi="Arial" w:cs="Arial"/>
          <w:b/>
          <w:bCs/>
          <w:sz w:val="28"/>
          <w:szCs w:val="28"/>
        </w:rPr>
        <w:t>Poster</w:t>
      </w:r>
    </w:p>
    <w:p w14:paraId="1FF258CF" w14:textId="233ADC3B" w:rsidR="00827E3F" w:rsidRPr="00E923DC" w:rsidRDefault="000B553E" w:rsidP="00D12E7E">
      <w:pPr>
        <w:spacing w:line="360" w:lineRule="auto"/>
        <w:rPr>
          <w:rFonts w:ascii="Arial" w:hAnsi="Arial" w:cs="Arial"/>
          <w:b/>
          <w:bCs/>
          <w:sz w:val="28"/>
          <w:szCs w:val="28"/>
        </w:rPr>
      </w:pPr>
      <w:r>
        <w:rPr>
          <w:rFonts w:ascii="Arial" w:hAnsi="Arial" w:cs="Arial"/>
          <w:b/>
          <w:bCs/>
          <w:sz w:val="28"/>
          <w:szCs w:val="28"/>
        </w:rPr>
        <w:lastRenderedPageBreak/>
        <w:t>Essay</w:t>
      </w:r>
      <w:bookmarkStart w:id="0" w:name="_Hlk235144028"/>
      <w:bookmarkStart w:id="1" w:name="_Hlk235144918"/>
    </w:p>
    <w:p w14:paraId="700C83C8" w14:textId="45CE8C8A" w:rsidR="008E3476" w:rsidRPr="008E3476" w:rsidRDefault="00D12E7E" w:rsidP="00D12E7E">
      <w:pPr>
        <w:spacing w:line="360" w:lineRule="auto"/>
        <w:rPr>
          <w:rFonts w:ascii="Arial" w:hAnsi="Arial" w:cs="Arial"/>
          <w:b/>
          <w:bCs/>
          <w:sz w:val="22"/>
          <w:szCs w:val="22"/>
        </w:rPr>
      </w:pPr>
      <w:r w:rsidRPr="00396C31">
        <w:rPr>
          <w:rFonts w:ascii="Arial" w:hAnsi="Arial" w:cs="Arial"/>
          <w:b/>
          <w:bCs/>
          <w:sz w:val="22"/>
          <w:szCs w:val="22"/>
        </w:rPr>
        <w:t>Introduction</w:t>
      </w:r>
    </w:p>
    <w:bookmarkEnd w:id="0"/>
    <w:p w14:paraId="0156C22F" w14:textId="77777777" w:rsidR="00393DA8" w:rsidRPr="00396C31" w:rsidRDefault="00393DA8" w:rsidP="00393DA8">
      <w:pPr>
        <w:spacing w:line="360" w:lineRule="auto"/>
        <w:rPr>
          <w:rFonts w:ascii="Arial" w:hAnsi="Arial" w:cs="Arial"/>
          <w:sz w:val="22"/>
          <w:szCs w:val="22"/>
        </w:rPr>
      </w:pPr>
      <w:r w:rsidRPr="001E01D2">
        <w:rPr>
          <w:rFonts w:ascii="Arial" w:hAnsi="Arial" w:cs="Arial"/>
          <w:sz w:val="22"/>
          <w:szCs w:val="22"/>
        </w:rPr>
        <w:t xml:space="preserve">In the UK, residential care facilities are an important part of residential care homes. They provide housing, personal care, and daily support to elderly individuals and those with chronic illnesses or disabilities who are unable to live independently. Rather than providing constant nursing care, residential care facilities, as opposed to nursing homes, usually focus on assisting residents with daily activities like eating, dressing, washing, and medication support. These homes work closely with the National Health Service (NHS), local authorities, families, and community healthcare providers to ensure that residents receive the appropriate care. </w:t>
      </w:r>
    </w:p>
    <w:p w14:paraId="23BF3EAC" w14:textId="77777777" w:rsidR="00827E3F" w:rsidRDefault="00827E3F" w:rsidP="00393DA8">
      <w:pPr>
        <w:spacing w:line="360" w:lineRule="auto"/>
        <w:rPr>
          <w:rFonts w:ascii="Arial" w:hAnsi="Arial" w:cs="Arial"/>
          <w:b/>
          <w:bCs/>
          <w:sz w:val="22"/>
          <w:szCs w:val="22"/>
        </w:rPr>
      </w:pPr>
    </w:p>
    <w:p w14:paraId="35C682D2" w14:textId="2F45CC66" w:rsidR="00393DA8" w:rsidRPr="00827E3F" w:rsidRDefault="00393DA8" w:rsidP="00393DA8">
      <w:pPr>
        <w:spacing w:line="360" w:lineRule="auto"/>
        <w:rPr>
          <w:rFonts w:ascii="Arial" w:hAnsi="Arial" w:cs="Arial"/>
          <w:b/>
          <w:bCs/>
          <w:sz w:val="22"/>
          <w:szCs w:val="22"/>
        </w:rPr>
      </w:pPr>
      <w:r w:rsidRPr="00827E3F">
        <w:rPr>
          <w:rFonts w:ascii="Arial" w:hAnsi="Arial" w:cs="Arial"/>
          <w:b/>
          <w:bCs/>
          <w:sz w:val="22"/>
          <w:szCs w:val="22"/>
        </w:rPr>
        <w:t>Origins and Historical Development</w:t>
      </w:r>
    </w:p>
    <w:p w14:paraId="1B95926D" w14:textId="77777777" w:rsidR="00393DA8" w:rsidRDefault="00393DA8" w:rsidP="00393DA8">
      <w:pPr>
        <w:spacing w:line="360" w:lineRule="auto"/>
        <w:rPr>
          <w:rFonts w:ascii="Arial" w:hAnsi="Arial" w:cs="Arial"/>
          <w:sz w:val="22"/>
          <w:szCs w:val="22"/>
        </w:rPr>
      </w:pPr>
      <w:r w:rsidRPr="001E01D2">
        <w:rPr>
          <w:rFonts w:ascii="Arial" w:hAnsi="Arial" w:cs="Arial"/>
          <w:sz w:val="22"/>
          <w:szCs w:val="22"/>
        </w:rPr>
        <w:t xml:space="preserve">The history of residential care homes in the UK has changed significantly over time. Before the twentieth century, care for older people and vulnerable adults was mainly provided by families, religious </w:t>
      </w:r>
      <w:proofErr w:type="spellStart"/>
      <w:r w:rsidRPr="001E01D2">
        <w:rPr>
          <w:rFonts w:ascii="Arial" w:hAnsi="Arial" w:cs="Arial"/>
          <w:sz w:val="22"/>
          <w:szCs w:val="22"/>
        </w:rPr>
        <w:t>organisations</w:t>
      </w:r>
      <w:proofErr w:type="spellEnd"/>
      <w:r w:rsidRPr="001E01D2">
        <w:rPr>
          <w:rFonts w:ascii="Arial" w:hAnsi="Arial" w:cs="Arial"/>
          <w:sz w:val="22"/>
          <w:szCs w:val="22"/>
        </w:rPr>
        <w:t xml:space="preserve">, charities, and workhouses established under the Poor Laws. These institutions often provided only basic accommodation and were associated with poor living conditions and limited personal care (National Archives, 2023). </w:t>
      </w:r>
    </w:p>
    <w:p w14:paraId="541F14CC" w14:textId="77777777" w:rsidR="00393DA8" w:rsidRDefault="00393DA8" w:rsidP="00393DA8">
      <w:pPr>
        <w:spacing w:line="360" w:lineRule="auto"/>
        <w:rPr>
          <w:rFonts w:ascii="Arial" w:hAnsi="Arial" w:cs="Arial"/>
          <w:b/>
          <w:bCs/>
          <w:sz w:val="22"/>
          <w:szCs w:val="22"/>
        </w:rPr>
      </w:pPr>
      <w:r w:rsidRPr="001E01D2">
        <w:rPr>
          <w:rFonts w:ascii="Arial" w:hAnsi="Arial" w:cs="Arial"/>
          <w:sz w:val="22"/>
          <w:szCs w:val="22"/>
        </w:rPr>
        <w:t xml:space="preserve">Following the introduction of the </w:t>
      </w:r>
      <w:r w:rsidRPr="001E01D2">
        <w:rPr>
          <w:rFonts w:ascii="Arial" w:hAnsi="Arial" w:cs="Arial"/>
          <w:b/>
          <w:bCs/>
          <w:sz w:val="22"/>
          <w:szCs w:val="22"/>
        </w:rPr>
        <w:t>National Assistance Act 1948</w:t>
      </w:r>
      <w:r w:rsidRPr="001E01D2">
        <w:rPr>
          <w:rFonts w:ascii="Arial" w:hAnsi="Arial" w:cs="Arial"/>
          <w:sz w:val="22"/>
          <w:szCs w:val="22"/>
        </w:rPr>
        <w:t xml:space="preserve">, the workhouse system was abolished, and local authorities became responsible for providing residential accommodation for people who required care and support (UK Parliament, 1948). During the following decades, improvements in healthcare increased life expectancy, creating greater demand for long-term residential care. Private and voluntary </w:t>
      </w:r>
      <w:proofErr w:type="spellStart"/>
      <w:r w:rsidRPr="001E01D2">
        <w:rPr>
          <w:rFonts w:ascii="Arial" w:hAnsi="Arial" w:cs="Arial"/>
          <w:sz w:val="22"/>
          <w:szCs w:val="22"/>
        </w:rPr>
        <w:t>organisations</w:t>
      </w:r>
      <w:proofErr w:type="spellEnd"/>
      <w:r w:rsidRPr="001E01D2">
        <w:rPr>
          <w:rFonts w:ascii="Arial" w:hAnsi="Arial" w:cs="Arial"/>
          <w:sz w:val="22"/>
          <w:szCs w:val="22"/>
        </w:rPr>
        <w:t xml:space="preserve"> gradually became major providers alongside local authority services (The King's Fund, 2023). </w:t>
      </w:r>
    </w:p>
    <w:p w14:paraId="6B461F15" w14:textId="77777777" w:rsidR="00E923DC" w:rsidRDefault="00E923DC" w:rsidP="00393DA8">
      <w:pPr>
        <w:spacing w:line="360" w:lineRule="auto"/>
        <w:rPr>
          <w:rFonts w:ascii="Arial" w:hAnsi="Arial" w:cs="Arial"/>
          <w:b/>
          <w:bCs/>
          <w:sz w:val="22"/>
          <w:szCs w:val="22"/>
        </w:rPr>
      </w:pPr>
    </w:p>
    <w:p w14:paraId="5A6B23B2" w14:textId="77777777" w:rsidR="00E923DC" w:rsidRDefault="00393DA8" w:rsidP="00393DA8">
      <w:pPr>
        <w:spacing w:line="360" w:lineRule="auto"/>
        <w:rPr>
          <w:rFonts w:ascii="Arial" w:hAnsi="Arial" w:cs="Arial"/>
          <w:b/>
          <w:bCs/>
          <w:sz w:val="22"/>
          <w:szCs w:val="22"/>
        </w:rPr>
      </w:pPr>
      <w:r w:rsidRPr="00396C31">
        <w:rPr>
          <w:rFonts w:ascii="Arial" w:hAnsi="Arial" w:cs="Arial"/>
          <w:b/>
          <w:bCs/>
          <w:sz w:val="22"/>
          <w:szCs w:val="22"/>
        </w:rPr>
        <w:t>How Does It Operate Today?</w:t>
      </w:r>
    </w:p>
    <w:p w14:paraId="3E1798A7" w14:textId="4C4050DE" w:rsidR="00393DA8" w:rsidRPr="00E923DC" w:rsidRDefault="00393DA8" w:rsidP="00393DA8">
      <w:pPr>
        <w:spacing w:line="360" w:lineRule="auto"/>
        <w:rPr>
          <w:rFonts w:ascii="Arial" w:hAnsi="Arial" w:cs="Arial"/>
          <w:b/>
          <w:bCs/>
          <w:sz w:val="22"/>
          <w:szCs w:val="22"/>
        </w:rPr>
      </w:pPr>
      <w:r w:rsidRPr="008E3476">
        <w:rPr>
          <w:rFonts w:ascii="Arial" w:hAnsi="Arial" w:cs="Arial"/>
          <w:sz w:val="22"/>
          <w:szCs w:val="22"/>
        </w:rPr>
        <w:t>In addition to housing, contemporary residential care facilities offer personal care and emotional support in a secure setting. Prior to admission, residents typically go through a care needs assessment, following which a personalized care plan is created based on their social, emotional, and physical needs. When possible, care assistants promote independence while assisting residents with everyday tasks.</w:t>
      </w:r>
    </w:p>
    <w:p w14:paraId="2A482433" w14:textId="77777777" w:rsidR="00393DA8" w:rsidRPr="00396C31" w:rsidRDefault="00393DA8" w:rsidP="00393DA8">
      <w:pPr>
        <w:spacing w:line="360" w:lineRule="auto"/>
        <w:rPr>
          <w:rFonts w:ascii="Arial" w:hAnsi="Arial" w:cs="Arial"/>
          <w:sz w:val="22"/>
          <w:szCs w:val="22"/>
        </w:rPr>
      </w:pPr>
      <w:r w:rsidRPr="008E3476">
        <w:rPr>
          <w:rFonts w:ascii="Arial" w:hAnsi="Arial" w:cs="Arial"/>
          <w:sz w:val="22"/>
          <w:szCs w:val="22"/>
        </w:rPr>
        <w:t xml:space="preserve">Trained caregivers, managers, activity planners, caterers, and housekeepers work in residential care facilities. When residents need specialized care, medical professionals like district nurses, pharmacists, physiotherapists, and general practitioners frequently visit them. </w:t>
      </w:r>
    </w:p>
    <w:p w14:paraId="486E4BE3" w14:textId="77777777" w:rsidR="00393DA8" w:rsidRDefault="00393DA8" w:rsidP="00393DA8">
      <w:pPr>
        <w:spacing w:line="360" w:lineRule="auto"/>
        <w:rPr>
          <w:rFonts w:ascii="Arial" w:hAnsi="Arial" w:cs="Arial"/>
          <w:b/>
          <w:bCs/>
          <w:sz w:val="22"/>
          <w:szCs w:val="22"/>
        </w:rPr>
      </w:pPr>
    </w:p>
    <w:p w14:paraId="28B0AED8" w14:textId="77777777" w:rsidR="00E923DC" w:rsidRDefault="00E923DC" w:rsidP="00393DA8">
      <w:pPr>
        <w:spacing w:line="360" w:lineRule="auto"/>
        <w:rPr>
          <w:rFonts w:ascii="Arial" w:hAnsi="Arial" w:cs="Arial"/>
          <w:b/>
          <w:bCs/>
          <w:sz w:val="22"/>
          <w:szCs w:val="22"/>
        </w:rPr>
      </w:pPr>
    </w:p>
    <w:p w14:paraId="4A6225C5" w14:textId="0DF5C5C4" w:rsidR="00393DA8" w:rsidRDefault="00393DA8" w:rsidP="00393DA8">
      <w:pPr>
        <w:spacing w:line="360" w:lineRule="auto"/>
        <w:rPr>
          <w:rFonts w:ascii="Arial" w:hAnsi="Arial" w:cs="Arial"/>
          <w:b/>
          <w:bCs/>
          <w:sz w:val="22"/>
          <w:szCs w:val="22"/>
        </w:rPr>
      </w:pPr>
      <w:r w:rsidRPr="00396C31">
        <w:rPr>
          <w:rFonts w:ascii="Arial" w:hAnsi="Arial" w:cs="Arial"/>
          <w:b/>
          <w:bCs/>
          <w:sz w:val="22"/>
          <w:szCs w:val="22"/>
        </w:rPr>
        <w:t>Significance in Improving Quality of Life</w:t>
      </w:r>
    </w:p>
    <w:p w14:paraId="3CC6E2C3" w14:textId="77777777" w:rsidR="00393DA8" w:rsidRPr="008E3476" w:rsidRDefault="00393DA8" w:rsidP="00393DA8">
      <w:pPr>
        <w:spacing w:line="360" w:lineRule="auto"/>
        <w:rPr>
          <w:rFonts w:ascii="Arial" w:hAnsi="Arial" w:cs="Arial"/>
          <w:sz w:val="22"/>
          <w:szCs w:val="22"/>
        </w:rPr>
      </w:pPr>
      <w:r w:rsidRPr="008E3476">
        <w:rPr>
          <w:rFonts w:ascii="Arial" w:hAnsi="Arial" w:cs="Arial"/>
          <w:sz w:val="22"/>
          <w:szCs w:val="22"/>
        </w:rPr>
        <w:t>The quality of life for residents is greatly enhanced by residential care facilities. They offer a safe space where vulnerable people can get help while retaining as much autonomy as possible. Through planned activities and regular interactions with staff and other residents, residents also gain companionship, which enhances emotional wellbeing and lessens loneliness.</w:t>
      </w:r>
    </w:p>
    <w:p w14:paraId="34F6250A" w14:textId="77777777" w:rsidR="00393DA8" w:rsidRDefault="00393DA8" w:rsidP="00393DA8">
      <w:pPr>
        <w:spacing w:line="360" w:lineRule="auto"/>
        <w:rPr>
          <w:rFonts w:ascii="Arial" w:hAnsi="Arial" w:cs="Arial"/>
          <w:sz w:val="22"/>
          <w:szCs w:val="22"/>
        </w:rPr>
      </w:pPr>
      <w:r w:rsidRPr="008E3476">
        <w:rPr>
          <w:rFonts w:ascii="Arial" w:hAnsi="Arial" w:cs="Arial"/>
          <w:sz w:val="22"/>
          <w:szCs w:val="22"/>
        </w:rPr>
        <w:t>Professional care lessens the emotional and physical strain of providing care, which benefits families as well. In order to guarantee that residents receive coordinated, person-centered support, families, caregivers, and medical professionals should communicate on a regular basis.</w:t>
      </w:r>
    </w:p>
    <w:p w14:paraId="61F7AE13" w14:textId="1D30689E" w:rsidR="00393DA8" w:rsidRDefault="00393DA8" w:rsidP="00393DA8">
      <w:pPr>
        <w:spacing w:line="360" w:lineRule="auto"/>
        <w:rPr>
          <w:rFonts w:ascii="Arial" w:hAnsi="Arial" w:cs="Arial"/>
          <w:b/>
          <w:bCs/>
          <w:sz w:val="22"/>
          <w:szCs w:val="22"/>
        </w:rPr>
      </w:pPr>
    </w:p>
    <w:p w14:paraId="652A2833" w14:textId="77777777" w:rsidR="00E923DC" w:rsidRDefault="00E923DC" w:rsidP="00393DA8">
      <w:pPr>
        <w:spacing w:line="360" w:lineRule="auto"/>
        <w:rPr>
          <w:rFonts w:ascii="Arial" w:hAnsi="Arial" w:cs="Arial"/>
          <w:b/>
          <w:bCs/>
          <w:sz w:val="22"/>
          <w:szCs w:val="22"/>
        </w:rPr>
      </w:pPr>
    </w:p>
    <w:p w14:paraId="5CE61651" w14:textId="5B4555B4" w:rsidR="00393DA8" w:rsidRPr="00E923DC" w:rsidRDefault="00393DA8" w:rsidP="00393DA8">
      <w:pPr>
        <w:spacing w:line="360" w:lineRule="auto"/>
        <w:rPr>
          <w:rFonts w:ascii="Arial" w:hAnsi="Arial" w:cs="Arial"/>
          <w:b/>
          <w:bCs/>
          <w:sz w:val="22"/>
          <w:szCs w:val="22"/>
        </w:rPr>
      </w:pPr>
      <w:r w:rsidRPr="00396C31">
        <w:rPr>
          <w:rFonts w:ascii="Arial" w:hAnsi="Arial" w:cs="Arial"/>
          <w:b/>
          <w:bCs/>
          <w:sz w:val="22"/>
          <w:szCs w:val="22"/>
        </w:rPr>
        <w:t>Critical Evaluation</w:t>
      </w:r>
    </w:p>
    <w:p w14:paraId="01F2FB45" w14:textId="77777777" w:rsidR="00393DA8" w:rsidRPr="00330E11" w:rsidRDefault="00393DA8" w:rsidP="00393DA8">
      <w:pPr>
        <w:spacing w:line="360" w:lineRule="auto"/>
        <w:rPr>
          <w:rFonts w:ascii="Arial" w:hAnsi="Arial" w:cs="Arial"/>
          <w:sz w:val="22"/>
          <w:szCs w:val="22"/>
        </w:rPr>
      </w:pPr>
      <w:r w:rsidRPr="00330E11">
        <w:rPr>
          <w:rFonts w:ascii="Arial" w:hAnsi="Arial" w:cs="Arial"/>
          <w:sz w:val="22"/>
          <w:szCs w:val="22"/>
        </w:rPr>
        <w:t>Residential care facilities face a number of difficulties despite their significance. Due to challenges in finding and keeping qualified care workers, workforce shortages continue to be a serious problem. Staff well-being and continuity of care may be impacted by heavy workloads, comparatively low pay, and challenging working conditions. Due to rising operating costs in many care facilities and significant personal expenses for some individuals, funding pressures also pose challenges for both providers and residents.</w:t>
      </w:r>
      <w:r w:rsidRPr="00330E11">
        <w:rPr>
          <w:rFonts w:ascii="Arial" w:hAnsi="Arial" w:cs="Arial"/>
          <w:sz w:val="22"/>
          <w:szCs w:val="22"/>
        </w:rPr>
        <w:br/>
        <w:t>Despite the fact that many homes provide exceptional care, inspection reports sometimes point out shortcomings in staffing, medication administration, leadership, and safety. To address these persistent issues, ongoing investment, efficient regulation, and workforce development are crucial.</w:t>
      </w:r>
    </w:p>
    <w:p w14:paraId="619E3160" w14:textId="77777777" w:rsidR="00393DA8" w:rsidRDefault="00393DA8" w:rsidP="00393DA8">
      <w:pPr>
        <w:spacing w:line="360" w:lineRule="auto"/>
        <w:rPr>
          <w:rFonts w:ascii="Arial" w:hAnsi="Arial" w:cs="Arial"/>
          <w:b/>
          <w:bCs/>
          <w:sz w:val="22"/>
          <w:szCs w:val="22"/>
        </w:rPr>
      </w:pPr>
    </w:p>
    <w:p w14:paraId="7D455AEE" w14:textId="77777777" w:rsidR="00393DA8" w:rsidRDefault="00393DA8" w:rsidP="00393DA8">
      <w:pPr>
        <w:spacing w:line="360" w:lineRule="auto"/>
        <w:rPr>
          <w:rFonts w:ascii="Arial" w:hAnsi="Arial" w:cs="Arial"/>
          <w:b/>
          <w:bCs/>
          <w:sz w:val="22"/>
          <w:szCs w:val="22"/>
        </w:rPr>
      </w:pPr>
    </w:p>
    <w:p w14:paraId="68BE4582" w14:textId="77777777" w:rsidR="00393DA8" w:rsidRDefault="00393DA8" w:rsidP="00393DA8">
      <w:pPr>
        <w:spacing w:line="360" w:lineRule="auto"/>
        <w:rPr>
          <w:rFonts w:ascii="Arial" w:hAnsi="Arial" w:cs="Arial"/>
          <w:b/>
          <w:bCs/>
          <w:sz w:val="22"/>
          <w:szCs w:val="22"/>
        </w:rPr>
      </w:pPr>
      <w:r w:rsidRPr="00396C31">
        <w:rPr>
          <w:rFonts w:ascii="Arial" w:hAnsi="Arial" w:cs="Arial"/>
          <w:b/>
          <w:bCs/>
          <w:sz w:val="22"/>
          <w:szCs w:val="22"/>
        </w:rPr>
        <w:t>Conclusion</w:t>
      </w:r>
    </w:p>
    <w:p w14:paraId="667D7F8A" w14:textId="77777777" w:rsidR="00393DA8" w:rsidRPr="00330E11" w:rsidRDefault="00393DA8" w:rsidP="00393DA8">
      <w:pPr>
        <w:spacing w:line="360" w:lineRule="auto"/>
        <w:rPr>
          <w:rFonts w:ascii="Arial" w:hAnsi="Arial" w:cs="Arial"/>
          <w:sz w:val="22"/>
          <w:szCs w:val="22"/>
        </w:rPr>
      </w:pPr>
      <w:r w:rsidRPr="00330E11">
        <w:rPr>
          <w:rFonts w:ascii="Arial" w:hAnsi="Arial" w:cs="Arial"/>
          <w:sz w:val="22"/>
          <w:szCs w:val="22"/>
        </w:rPr>
        <w:t>A crucial component of the adult social care system in the UK, residential care homes offer people who are unable to live independently safe housing, personal care, and social support. Residential care facilities continue to be crucial for enhancing quality of life, assisting families, and relieving pressure on the National Health Service (NHS), despite obstacles like a lack of workers, financial constraints, and rising demand. To guarantee that these services continue to satisfy the evolving needs of the UK's aging population, sustained investment and strict regulation will be required.</w:t>
      </w:r>
    </w:p>
    <w:p w14:paraId="7792BFE0" w14:textId="77777777" w:rsidR="00393DA8" w:rsidRDefault="00393DA8" w:rsidP="00393DA8"/>
    <w:p w14:paraId="487F7AB2" w14:textId="77777777" w:rsidR="00330E11" w:rsidRPr="00396C31" w:rsidRDefault="00330E11" w:rsidP="00750406">
      <w:pPr>
        <w:spacing w:line="360" w:lineRule="auto"/>
        <w:rPr>
          <w:rFonts w:ascii="Arial" w:hAnsi="Arial" w:cs="Arial"/>
          <w:sz w:val="22"/>
          <w:szCs w:val="22"/>
        </w:rPr>
      </w:pPr>
    </w:p>
    <w:p w14:paraId="378F88E7" w14:textId="71DCD2F2" w:rsidR="00750406" w:rsidRPr="00396C31" w:rsidRDefault="00750406" w:rsidP="00D12E7E">
      <w:pPr>
        <w:spacing w:line="360" w:lineRule="auto"/>
        <w:rPr>
          <w:rFonts w:ascii="Arial" w:hAnsi="Arial" w:cs="Arial"/>
          <w:sz w:val="22"/>
          <w:szCs w:val="22"/>
        </w:rPr>
      </w:pPr>
    </w:p>
    <w:p w14:paraId="0AE88BE0" w14:textId="77777777" w:rsidR="00396C31" w:rsidRDefault="00396C31" w:rsidP="00D12E7E">
      <w:pPr>
        <w:spacing w:line="360" w:lineRule="auto"/>
        <w:rPr>
          <w:rFonts w:ascii="Arial" w:hAnsi="Arial" w:cs="Arial"/>
          <w:sz w:val="22"/>
          <w:szCs w:val="22"/>
        </w:rPr>
      </w:pPr>
    </w:p>
    <w:p w14:paraId="501CB347" w14:textId="77777777" w:rsidR="00396C31" w:rsidRDefault="00396C31" w:rsidP="00D12E7E">
      <w:pPr>
        <w:spacing w:line="360" w:lineRule="auto"/>
        <w:rPr>
          <w:rFonts w:ascii="Arial" w:hAnsi="Arial" w:cs="Arial"/>
          <w:sz w:val="22"/>
          <w:szCs w:val="22"/>
        </w:rPr>
      </w:pPr>
    </w:p>
    <w:p w14:paraId="127251F5" w14:textId="77777777" w:rsidR="00396C31" w:rsidRDefault="00396C31" w:rsidP="00D12E7E">
      <w:pPr>
        <w:spacing w:line="360" w:lineRule="auto"/>
        <w:rPr>
          <w:rFonts w:ascii="Arial" w:hAnsi="Arial" w:cs="Arial"/>
          <w:sz w:val="22"/>
          <w:szCs w:val="22"/>
        </w:rPr>
      </w:pPr>
    </w:p>
    <w:bookmarkEnd w:id="1"/>
    <w:p w14:paraId="253D3A40" w14:textId="77777777" w:rsidR="00396C31" w:rsidRDefault="00396C31" w:rsidP="00D12E7E">
      <w:pPr>
        <w:spacing w:line="360" w:lineRule="auto"/>
        <w:rPr>
          <w:rFonts w:ascii="Arial" w:hAnsi="Arial" w:cs="Arial"/>
          <w:sz w:val="22"/>
          <w:szCs w:val="22"/>
        </w:rPr>
      </w:pPr>
    </w:p>
    <w:p w14:paraId="3F95717E" w14:textId="46BEEAA9" w:rsidR="00066CBF" w:rsidRPr="00396C31" w:rsidRDefault="00066CBF" w:rsidP="00D12E7E">
      <w:pPr>
        <w:spacing w:line="360" w:lineRule="auto"/>
        <w:rPr>
          <w:rFonts w:ascii="Arial" w:hAnsi="Arial" w:cs="Arial"/>
          <w:sz w:val="22"/>
          <w:szCs w:val="22"/>
        </w:rPr>
      </w:pPr>
      <w:r w:rsidRPr="00396C31">
        <w:rPr>
          <w:rFonts w:ascii="Arial" w:hAnsi="Arial" w:cs="Arial"/>
          <w:sz w:val="22"/>
          <w:szCs w:val="22"/>
        </w:rPr>
        <w:t xml:space="preserve">References: </w:t>
      </w:r>
    </w:p>
    <w:p w14:paraId="06AA72F3" w14:textId="070B1701" w:rsidR="00066CBF" w:rsidRPr="00396C31" w:rsidRDefault="00066CBF" w:rsidP="00D12E7E">
      <w:pPr>
        <w:spacing w:line="360" w:lineRule="auto"/>
        <w:rPr>
          <w:rFonts w:ascii="Arial" w:hAnsi="Arial" w:cs="Arial"/>
          <w:sz w:val="22"/>
          <w:szCs w:val="22"/>
        </w:rPr>
      </w:pPr>
      <w:r w:rsidRPr="00396C31">
        <w:rPr>
          <w:rFonts w:ascii="Arial" w:hAnsi="Arial" w:cs="Arial"/>
          <w:sz w:val="22"/>
          <w:szCs w:val="22"/>
        </w:rPr>
        <w:t xml:space="preserve">Care Quality Commission (2023) </w:t>
      </w:r>
      <w:r w:rsidRPr="00396C31">
        <w:rPr>
          <w:rStyle w:val="Emphasis"/>
          <w:rFonts w:ascii="Arial" w:hAnsi="Arial" w:cs="Arial"/>
          <w:sz w:val="22"/>
          <w:szCs w:val="22"/>
        </w:rPr>
        <w:t>The state of health care and adult social care in England 2022/23</w:t>
      </w:r>
      <w:r w:rsidRPr="00396C31">
        <w:rPr>
          <w:rFonts w:ascii="Arial" w:hAnsi="Arial" w:cs="Arial"/>
          <w:sz w:val="22"/>
          <w:szCs w:val="22"/>
        </w:rPr>
        <w:t xml:space="preserve">. Available at: </w:t>
      </w:r>
      <w:hyperlink r:id="rId9" w:history="1">
        <w:r w:rsidRPr="00396C31">
          <w:rPr>
            <w:rStyle w:val="Hyperlink"/>
            <w:rFonts w:ascii="Arial" w:hAnsi="Arial" w:cs="Arial"/>
            <w:sz w:val="22"/>
            <w:szCs w:val="22"/>
          </w:rPr>
          <w:t>https://www.cqc.org.uk/publications/major-report/state-care</w:t>
        </w:r>
      </w:hyperlink>
    </w:p>
    <w:p w14:paraId="4F7E3164" w14:textId="4EE129D5" w:rsidR="00066CBF" w:rsidRPr="00396C31" w:rsidRDefault="00066CBF" w:rsidP="00D12E7E">
      <w:pPr>
        <w:spacing w:line="360" w:lineRule="auto"/>
        <w:rPr>
          <w:rFonts w:ascii="Arial" w:hAnsi="Arial" w:cs="Arial"/>
          <w:sz w:val="22"/>
          <w:szCs w:val="22"/>
        </w:rPr>
      </w:pPr>
      <w:r w:rsidRPr="00396C31">
        <w:rPr>
          <w:rFonts w:ascii="Arial" w:hAnsi="Arial" w:cs="Arial"/>
          <w:sz w:val="22"/>
          <w:szCs w:val="22"/>
        </w:rPr>
        <w:t xml:space="preserve">Department of Health and Social Care (2021) </w:t>
      </w:r>
      <w:r w:rsidRPr="00396C31">
        <w:rPr>
          <w:rStyle w:val="Emphasis"/>
          <w:rFonts w:ascii="Arial" w:hAnsi="Arial" w:cs="Arial"/>
          <w:sz w:val="22"/>
          <w:szCs w:val="22"/>
        </w:rPr>
        <w:t>People at the heart of care: adult social care reform white paper</w:t>
      </w:r>
      <w:r w:rsidRPr="00396C31">
        <w:rPr>
          <w:rFonts w:ascii="Arial" w:hAnsi="Arial" w:cs="Arial"/>
          <w:sz w:val="22"/>
          <w:szCs w:val="22"/>
        </w:rPr>
        <w:t xml:space="preserve">. Available at: </w:t>
      </w:r>
      <w:hyperlink r:id="rId10" w:history="1">
        <w:r w:rsidRPr="00396C31">
          <w:rPr>
            <w:rStyle w:val="Hyperlink"/>
            <w:rFonts w:ascii="Arial" w:hAnsi="Arial" w:cs="Arial"/>
            <w:sz w:val="22"/>
            <w:szCs w:val="22"/>
          </w:rPr>
          <w:t>https://www.gov.uk/government/publications/people-at-the-heart-of-care-adult-social-care-reform-white-paper</w:t>
        </w:r>
      </w:hyperlink>
    </w:p>
    <w:p w14:paraId="2F0EA400" w14:textId="77E3A98A" w:rsidR="00066CBF" w:rsidRPr="00396C31" w:rsidRDefault="00066CBF" w:rsidP="00D12E7E">
      <w:pPr>
        <w:spacing w:line="360" w:lineRule="auto"/>
        <w:rPr>
          <w:rFonts w:ascii="Arial" w:hAnsi="Arial" w:cs="Arial"/>
          <w:sz w:val="22"/>
          <w:szCs w:val="22"/>
        </w:rPr>
      </w:pPr>
      <w:r w:rsidRPr="00396C31">
        <w:rPr>
          <w:rFonts w:ascii="Arial" w:hAnsi="Arial" w:cs="Arial"/>
          <w:sz w:val="22"/>
          <w:szCs w:val="22"/>
        </w:rPr>
        <w:t xml:space="preserve">Care Standards Act 2000 (c.14). London: The Stationery Office. Available at: </w:t>
      </w:r>
      <w:hyperlink r:id="rId11" w:history="1">
        <w:r w:rsidRPr="00396C31">
          <w:rPr>
            <w:rStyle w:val="Hyperlink"/>
            <w:rFonts w:ascii="Arial" w:hAnsi="Arial" w:cs="Arial"/>
            <w:sz w:val="22"/>
            <w:szCs w:val="22"/>
          </w:rPr>
          <w:t>https://www.legislation.gov.uk/ukpga/2000/14</w:t>
        </w:r>
      </w:hyperlink>
    </w:p>
    <w:p w14:paraId="73EC0865" w14:textId="299793B6" w:rsidR="00066CBF" w:rsidRPr="00396C31" w:rsidRDefault="00066CBF" w:rsidP="00D12E7E">
      <w:pPr>
        <w:spacing w:line="360" w:lineRule="auto"/>
        <w:rPr>
          <w:rFonts w:ascii="Arial" w:hAnsi="Arial" w:cs="Arial"/>
          <w:sz w:val="22"/>
          <w:szCs w:val="22"/>
        </w:rPr>
      </w:pPr>
      <w:r w:rsidRPr="00396C31">
        <w:rPr>
          <w:rFonts w:ascii="Arial" w:hAnsi="Arial" w:cs="Arial"/>
          <w:sz w:val="22"/>
          <w:szCs w:val="22"/>
        </w:rPr>
        <w:t xml:space="preserve">Katz, M.B. (1996) </w:t>
      </w:r>
      <w:r w:rsidRPr="00396C31">
        <w:rPr>
          <w:rStyle w:val="Emphasis"/>
          <w:rFonts w:ascii="Arial" w:hAnsi="Arial" w:cs="Arial"/>
          <w:sz w:val="22"/>
          <w:szCs w:val="22"/>
        </w:rPr>
        <w:t>In the Shadow of the Poorhouse: A Social History of Welfare in America</w:t>
      </w:r>
      <w:r w:rsidRPr="00396C31">
        <w:rPr>
          <w:rFonts w:ascii="Arial" w:hAnsi="Arial" w:cs="Arial"/>
          <w:sz w:val="22"/>
          <w:szCs w:val="22"/>
        </w:rPr>
        <w:t xml:space="preserve">. 2nd </w:t>
      </w:r>
      <w:proofErr w:type="spellStart"/>
      <w:r w:rsidRPr="00396C31">
        <w:rPr>
          <w:rFonts w:ascii="Arial" w:hAnsi="Arial" w:cs="Arial"/>
          <w:sz w:val="22"/>
          <w:szCs w:val="22"/>
        </w:rPr>
        <w:t>edn</w:t>
      </w:r>
      <w:proofErr w:type="spellEnd"/>
      <w:r w:rsidRPr="00396C31">
        <w:rPr>
          <w:rFonts w:ascii="Arial" w:hAnsi="Arial" w:cs="Arial"/>
          <w:sz w:val="22"/>
          <w:szCs w:val="22"/>
        </w:rPr>
        <w:t>. New York: Basic Books.</w:t>
      </w:r>
    </w:p>
    <w:p w14:paraId="370A7BDE" w14:textId="5CB5F834" w:rsidR="00066CBF" w:rsidRPr="00396C31" w:rsidRDefault="00066CBF" w:rsidP="00D12E7E">
      <w:pPr>
        <w:spacing w:line="360" w:lineRule="auto"/>
        <w:rPr>
          <w:rFonts w:ascii="Arial" w:hAnsi="Arial" w:cs="Arial"/>
          <w:sz w:val="22"/>
          <w:szCs w:val="22"/>
        </w:rPr>
      </w:pPr>
      <w:r w:rsidRPr="00396C31">
        <w:rPr>
          <w:rFonts w:ascii="Arial" w:hAnsi="Arial" w:cs="Arial"/>
          <w:sz w:val="22"/>
          <w:szCs w:val="22"/>
        </w:rPr>
        <w:t xml:space="preserve">Care Quality Commission (2023) </w:t>
      </w:r>
      <w:r w:rsidRPr="00396C31">
        <w:rPr>
          <w:rStyle w:val="Emphasis"/>
          <w:rFonts w:ascii="Arial" w:hAnsi="Arial" w:cs="Arial"/>
          <w:sz w:val="22"/>
          <w:szCs w:val="22"/>
        </w:rPr>
        <w:t>The state of health care and adult social care in England 2022/23</w:t>
      </w:r>
      <w:r w:rsidRPr="00396C31">
        <w:rPr>
          <w:rFonts w:ascii="Arial" w:hAnsi="Arial" w:cs="Arial"/>
          <w:sz w:val="22"/>
          <w:szCs w:val="22"/>
        </w:rPr>
        <w:t xml:space="preserve">. Available at: </w:t>
      </w:r>
      <w:hyperlink r:id="rId12" w:history="1">
        <w:r w:rsidRPr="00396C31">
          <w:rPr>
            <w:rStyle w:val="Hyperlink"/>
            <w:rFonts w:ascii="Arial" w:hAnsi="Arial" w:cs="Arial"/>
            <w:sz w:val="22"/>
            <w:szCs w:val="22"/>
          </w:rPr>
          <w:t>https://www.cqc.org.uk/publications/major-report/state-care</w:t>
        </w:r>
      </w:hyperlink>
    </w:p>
    <w:p w14:paraId="4BFFC1AD" w14:textId="1A46A541" w:rsidR="00066CBF" w:rsidRPr="00396C31" w:rsidRDefault="00066CBF" w:rsidP="00D12E7E">
      <w:pPr>
        <w:spacing w:line="360" w:lineRule="auto"/>
        <w:rPr>
          <w:rFonts w:ascii="Arial" w:hAnsi="Arial" w:cs="Arial"/>
          <w:sz w:val="22"/>
          <w:szCs w:val="22"/>
        </w:rPr>
      </w:pPr>
      <w:r w:rsidRPr="00396C31">
        <w:rPr>
          <w:rFonts w:ascii="Arial" w:hAnsi="Arial" w:cs="Arial"/>
          <w:sz w:val="22"/>
          <w:szCs w:val="22"/>
        </w:rPr>
        <w:t xml:space="preserve">House of Commons Health and Social Care Committee (2021) </w:t>
      </w:r>
      <w:r w:rsidRPr="00396C31">
        <w:rPr>
          <w:rStyle w:val="Emphasis"/>
          <w:rFonts w:ascii="Arial" w:hAnsi="Arial" w:cs="Arial"/>
          <w:sz w:val="22"/>
          <w:szCs w:val="22"/>
        </w:rPr>
        <w:t>The impact of the COVID-19 pandemic on health and social care</w:t>
      </w:r>
      <w:r w:rsidRPr="00396C31">
        <w:rPr>
          <w:rFonts w:ascii="Arial" w:hAnsi="Arial" w:cs="Arial"/>
          <w:sz w:val="22"/>
          <w:szCs w:val="22"/>
        </w:rPr>
        <w:t xml:space="preserve">. London: House of Commons. Available at: </w:t>
      </w:r>
      <w:hyperlink r:id="rId13" w:history="1">
        <w:r w:rsidRPr="00396C31">
          <w:rPr>
            <w:rStyle w:val="Hyperlink"/>
            <w:rFonts w:ascii="Arial" w:hAnsi="Arial" w:cs="Arial"/>
            <w:sz w:val="22"/>
            <w:szCs w:val="22"/>
          </w:rPr>
          <w:t>https://committees.parliament.uk/work/623/the-impact-of-the-covid19-pandemic-on-health-and-social-care/</w:t>
        </w:r>
      </w:hyperlink>
    </w:p>
    <w:p w14:paraId="233E7725" w14:textId="3E5A0DFF" w:rsidR="00066CBF" w:rsidRPr="00396C31" w:rsidRDefault="00066CBF" w:rsidP="00D12E7E">
      <w:pPr>
        <w:spacing w:line="360" w:lineRule="auto"/>
        <w:rPr>
          <w:rFonts w:ascii="Arial" w:hAnsi="Arial" w:cs="Arial"/>
          <w:sz w:val="22"/>
          <w:szCs w:val="22"/>
        </w:rPr>
      </w:pPr>
      <w:r w:rsidRPr="00396C31">
        <w:rPr>
          <w:rFonts w:ascii="Arial" w:hAnsi="Arial" w:cs="Arial"/>
          <w:sz w:val="22"/>
          <w:szCs w:val="22"/>
        </w:rPr>
        <w:t xml:space="preserve">National Audit Office (2021) </w:t>
      </w:r>
      <w:r w:rsidRPr="00396C31">
        <w:rPr>
          <w:rStyle w:val="Emphasis"/>
          <w:rFonts w:ascii="Arial" w:hAnsi="Arial" w:cs="Arial"/>
          <w:sz w:val="22"/>
          <w:szCs w:val="22"/>
        </w:rPr>
        <w:t>The adult social care market in England</w:t>
      </w:r>
      <w:r w:rsidRPr="00396C31">
        <w:rPr>
          <w:rFonts w:ascii="Arial" w:hAnsi="Arial" w:cs="Arial"/>
          <w:sz w:val="22"/>
          <w:szCs w:val="22"/>
        </w:rPr>
        <w:t xml:space="preserve">. London: National Audit Office. Available at: </w:t>
      </w:r>
      <w:hyperlink r:id="rId14" w:history="1">
        <w:r w:rsidRPr="00396C31">
          <w:rPr>
            <w:rStyle w:val="Hyperlink"/>
            <w:rFonts w:ascii="Arial" w:hAnsi="Arial" w:cs="Arial"/>
            <w:sz w:val="22"/>
            <w:szCs w:val="22"/>
          </w:rPr>
          <w:t>https://www.nao.org.uk/reports/the-adult-social-care-market-in-england/</w:t>
        </w:r>
      </w:hyperlink>
    </w:p>
    <w:p w14:paraId="1FD7C7D4" w14:textId="77777777" w:rsidR="00066CBF" w:rsidRDefault="00066CBF" w:rsidP="00D12E7E">
      <w:pPr>
        <w:spacing w:line="360" w:lineRule="auto"/>
      </w:pPr>
    </w:p>
    <w:p w14:paraId="0F51E5F2" w14:textId="77777777" w:rsidR="00066CBF" w:rsidRPr="00D12E7E" w:rsidRDefault="00066CBF" w:rsidP="00D12E7E">
      <w:pPr>
        <w:spacing w:line="360" w:lineRule="auto"/>
        <w:rPr>
          <w:rFonts w:ascii="Arial" w:hAnsi="Arial" w:cs="Arial"/>
          <w:sz w:val="22"/>
          <w:szCs w:val="22"/>
        </w:rPr>
      </w:pPr>
    </w:p>
    <w:sectPr w:rsidR="00066CBF" w:rsidRPr="00D12E7E" w:rsidSect="00827E3F">
      <w:footerReference w:type="default" r:id="rId15"/>
      <w:pgSz w:w="12240" w:h="15840"/>
      <w:pgMar w:top="990" w:right="720" w:bottom="360" w:left="81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11D0D47" w14:textId="77777777" w:rsidR="00D524D7" w:rsidRDefault="00D524D7" w:rsidP="00396C31">
      <w:pPr>
        <w:spacing w:after="0" w:line="240" w:lineRule="auto"/>
      </w:pPr>
      <w:r>
        <w:separator/>
      </w:r>
    </w:p>
  </w:endnote>
  <w:endnote w:type="continuationSeparator" w:id="0">
    <w:p w14:paraId="453EEF8A" w14:textId="77777777" w:rsidR="00D524D7" w:rsidRDefault="00D524D7" w:rsidP="00396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35188039"/>
      <w:docPartObj>
        <w:docPartGallery w:val="Page Numbers (Bottom of Page)"/>
        <w:docPartUnique/>
      </w:docPartObj>
    </w:sdtPr>
    <w:sdtEndPr>
      <w:rPr>
        <w:noProof/>
      </w:rPr>
    </w:sdtEndPr>
    <w:sdtContent>
      <w:p w14:paraId="4143D8E9" w14:textId="0C9F31A2" w:rsidR="00396C31" w:rsidRDefault="00396C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3D13CA" w14:textId="77777777" w:rsidR="00396C31" w:rsidRDefault="00396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9EDD912" w14:textId="77777777" w:rsidR="00D524D7" w:rsidRDefault="00D524D7" w:rsidP="00396C31">
      <w:pPr>
        <w:spacing w:after="0" w:line="240" w:lineRule="auto"/>
      </w:pPr>
      <w:r>
        <w:separator/>
      </w:r>
    </w:p>
  </w:footnote>
  <w:footnote w:type="continuationSeparator" w:id="0">
    <w:p w14:paraId="07FC94C1" w14:textId="77777777" w:rsidR="00D524D7" w:rsidRDefault="00D524D7" w:rsidP="00396C31">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383"/>
    <w:rsid w:val="0004121B"/>
    <w:rsid w:val="00066CBF"/>
    <w:rsid w:val="000B553E"/>
    <w:rsid w:val="001E01D2"/>
    <w:rsid w:val="00323508"/>
    <w:rsid w:val="00330E11"/>
    <w:rsid w:val="00333982"/>
    <w:rsid w:val="00393DA8"/>
    <w:rsid w:val="00396C31"/>
    <w:rsid w:val="004B3BF3"/>
    <w:rsid w:val="004C249A"/>
    <w:rsid w:val="00581481"/>
    <w:rsid w:val="00591FB3"/>
    <w:rsid w:val="00610D84"/>
    <w:rsid w:val="00617C0C"/>
    <w:rsid w:val="006E0B65"/>
    <w:rsid w:val="00725383"/>
    <w:rsid w:val="00750406"/>
    <w:rsid w:val="007E5456"/>
    <w:rsid w:val="00827E3F"/>
    <w:rsid w:val="008B5072"/>
    <w:rsid w:val="008D7DF0"/>
    <w:rsid w:val="008E3476"/>
    <w:rsid w:val="00A374EE"/>
    <w:rsid w:val="00AB0FB2"/>
    <w:rsid w:val="00AE1980"/>
    <w:rsid w:val="00B12BB7"/>
    <w:rsid w:val="00B55BED"/>
    <w:rsid w:val="00BB3ED4"/>
    <w:rsid w:val="00C25D73"/>
    <w:rsid w:val="00C2697D"/>
    <w:rsid w:val="00CA1E06"/>
    <w:rsid w:val="00CD6B90"/>
    <w:rsid w:val="00CF444D"/>
    <w:rsid w:val="00D12E7E"/>
    <w:rsid w:val="00D33A09"/>
    <w:rsid w:val="00D524D7"/>
    <w:rsid w:val="00E05BE8"/>
    <w:rsid w:val="00E923DC"/>
    <w:rsid w:val="00E93AB4"/>
    <w:rsid w:val="00F64F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0E54D88"/>
  <w15:chartTrackingRefBased/>
  <w15:docId w15:val="{7F87D00D-1987-42E5-9DB1-1A48CD37C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3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253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53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53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253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253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3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3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3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3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253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53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53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253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253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3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3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383"/>
    <w:rPr>
      <w:rFonts w:eastAsiaTheme="majorEastAsia" w:cstheme="majorBidi"/>
      <w:color w:val="272727" w:themeColor="text1" w:themeTint="D8"/>
    </w:rPr>
  </w:style>
  <w:style w:type="paragraph" w:styleId="Title">
    <w:name w:val="Title"/>
    <w:basedOn w:val="Normal"/>
    <w:next w:val="Normal"/>
    <w:link w:val="TitleChar"/>
    <w:uiPriority w:val="10"/>
    <w:qFormat/>
    <w:rsid w:val="007253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3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3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3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383"/>
    <w:pPr>
      <w:spacing w:before="160"/>
      <w:jc w:val="center"/>
    </w:pPr>
    <w:rPr>
      <w:i/>
      <w:iCs/>
      <w:color w:val="404040" w:themeColor="text1" w:themeTint="BF"/>
    </w:rPr>
  </w:style>
  <w:style w:type="character" w:customStyle="1" w:styleId="QuoteChar">
    <w:name w:val="Quote Char"/>
    <w:basedOn w:val="DefaultParagraphFont"/>
    <w:link w:val="Quote"/>
    <w:uiPriority w:val="29"/>
    <w:rsid w:val="00725383"/>
    <w:rPr>
      <w:i/>
      <w:iCs/>
      <w:color w:val="404040" w:themeColor="text1" w:themeTint="BF"/>
    </w:rPr>
  </w:style>
  <w:style w:type="paragraph" w:styleId="ListParagraph">
    <w:name w:val="List Paragraph"/>
    <w:basedOn w:val="Normal"/>
    <w:uiPriority w:val="34"/>
    <w:qFormat/>
    <w:rsid w:val="00725383"/>
    <w:pPr>
      <w:ind w:left="720"/>
      <w:contextualSpacing/>
    </w:pPr>
  </w:style>
  <w:style w:type="character" w:styleId="IntenseEmphasis">
    <w:name w:val="Intense Emphasis"/>
    <w:basedOn w:val="DefaultParagraphFont"/>
    <w:uiPriority w:val="21"/>
    <w:qFormat/>
    <w:rsid w:val="00725383"/>
    <w:rPr>
      <w:i/>
      <w:iCs/>
      <w:color w:val="2F5496" w:themeColor="accent1" w:themeShade="BF"/>
    </w:rPr>
  </w:style>
  <w:style w:type="paragraph" w:styleId="IntenseQuote">
    <w:name w:val="Intense Quote"/>
    <w:basedOn w:val="Normal"/>
    <w:next w:val="Normal"/>
    <w:link w:val="IntenseQuoteChar"/>
    <w:uiPriority w:val="30"/>
    <w:qFormat/>
    <w:rsid w:val="007253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5383"/>
    <w:rPr>
      <w:i/>
      <w:iCs/>
      <w:color w:val="2F5496" w:themeColor="accent1" w:themeShade="BF"/>
    </w:rPr>
  </w:style>
  <w:style w:type="character" w:styleId="IntenseReference">
    <w:name w:val="Intense Reference"/>
    <w:basedOn w:val="DefaultParagraphFont"/>
    <w:uiPriority w:val="32"/>
    <w:qFormat/>
    <w:rsid w:val="00725383"/>
    <w:rPr>
      <w:b/>
      <w:bCs/>
      <w:smallCaps/>
      <w:color w:val="2F5496" w:themeColor="accent1" w:themeShade="BF"/>
      <w:spacing w:val="5"/>
    </w:rPr>
  </w:style>
  <w:style w:type="character" w:styleId="Emphasis">
    <w:name w:val="Emphasis"/>
    <w:basedOn w:val="DefaultParagraphFont"/>
    <w:uiPriority w:val="20"/>
    <w:qFormat/>
    <w:rsid w:val="00066CBF"/>
    <w:rPr>
      <w:i/>
      <w:iCs/>
    </w:rPr>
  </w:style>
  <w:style w:type="character" w:styleId="Hyperlink">
    <w:name w:val="Hyperlink"/>
    <w:basedOn w:val="DefaultParagraphFont"/>
    <w:uiPriority w:val="99"/>
    <w:semiHidden/>
    <w:unhideWhenUsed/>
    <w:rsid w:val="00066CBF"/>
    <w:rPr>
      <w:color w:val="0000FF"/>
      <w:u w:val="single"/>
    </w:rPr>
  </w:style>
  <w:style w:type="paragraph" w:styleId="Header">
    <w:name w:val="header"/>
    <w:basedOn w:val="Normal"/>
    <w:link w:val="HeaderChar"/>
    <w:uiPriority w:val="99"/>
    <w:unhideWhenUsed/>
    <w:rsid w:val="00396C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6C31"/>
  </w:style>
  <w:style w:type="paragraph" w:styleId="Footer">
    <w:name w:val="footer"/>
    <w:basedOn w:val="Normal"/>
    <w:link w:val="FooterChar"/>
    <w:uiPriority w:val="99"/>
    <w:unhideWhenUsed/>
    <w:rsid w:val="00396C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6C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479616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hyperlink" Target="https://committees.parliament.uk/work/623/the-impact-of-the-covid19-pandemic-on-health-and-social-care/" TargetMode="Externa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hyperlink" Target="https://www.cqc.org.uk/publications/major-report/state-car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00/14"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gov.uk/government/publications/people-at-the-heart-of-care-adult-social-care-reform-white-paper" TargetMode="External"/><Relationship Id="rId4" Type="http://schemas.openxmlformats.org/officeDocument/2006/relationships/footnotes" Target="footnotes.xml"/><Relationship Id="rId9" Type="http://schemas.openxmlformats.org/officeDocument/2006/relationships/hyperlink" Target="https://www.cqc.org.uk/publications/major-report/state-care" TargetMode="External"/><Relationship Id="rId14" Type="http://schemas.openxmlformats.org/officeDocument/2006/relationships/hyperlink" Target="https://www.nao.org.uk/reports/the-adult-social-care-market-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977</Words>
  <Characters>5572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PC1</dc:creator>
  <cp:keywords/>
  <dc:description/>
  <cp:lastModifiedBy>Marife Tabalba (2214833)</cp:lastModifiedBy>
  <cp:revision>2</cp:revision>
  <dcterms:created xsi:type="dcterms:W3CDTF">2026-07-19T13:52:00Z</dcterms:created>
  <dcterms:modified xsi:type="dcterms:W3CDTF">2026-07-19T13:52:00Z</dcterms:modified>
</cp:coreProperties>
</file>