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82CED6" w14:textId="77777777" w:rsidR="00822473" w:rsidRDefault="00822473" w:rsidP="00235809">
      <w:pPr>
        <w:spacing w:line="360" w:lineRule="auto"/>
        <w:jc w:val="both"/>
        <w:rPr>
          <w:b/>
          <w:bCs/>
          <w:i/>
          <w:iCs/>
          <w:color w:val="000000"/>
          <w:sz w:val="28"/>
          <w:szCs w:val="28"/>
          <w:shd w:val="clear" w:color="auto" w:fill="FFFFFF"/>
        </w:rPr>
      </w:pPr>
    </w:p>
    <w:p w14:paraId="0945C748" w14:textId="77777777" w:rsidR="00822473" w:rsidRDefault="00822473" w:rsidP="00235809">
      <w:pPr>
        <w:spacing w:line="360" w:lineRule="auto"/>
        <w:jc w:val="both"/>
        <w:rPr>
          <w:b/>
          <w:bCs/>
          <w:i/>
          <w:iCs/>
          <w:color w:val="000000"/>
          <w:sz w:val="28"/>
          <w:szCs w:val="28"/>
          <w:shd w:val="clear" w:color="auto" w:fill="FFFFFF"/>
        </w:rPr>
      </w:pPr>
    </w:p>
    <w:p w14:paraId="54FAB8F9" w14:textId="77777777" w:rsidR="00822473" w:rsidRDefault="00822473" w:rsidP="00235809">
      <w:pPr>
        <w:spacing w:line="360" w:lineRule="auto"/>
        <w:jc w:val="both"/>
        <w:rPr>
          <w:b/>
          <w:bCs/>
          <w:i/>
          <w:iCs/>
          <w:color w:val="000000"/>
          <w:sz w:val="28"/>
          <w:szCs w:val="28"/>
          <w:shd w:val="clear" w:color="auto" w:fill="FFFFFF"/>
        </w:rPr>
      </w:pPr>
    </w:p>
    <w:p w14:paraId="3196FB8E" w14:textId="77777777" w:rsidR="00822473" w:rsidRDefault="00822473" w:rsidP="00235809">
      <w:pPr>
        <w:spacing w:line="360" w:lineRule="auto"/>
        <w:jc w:val="both"/>
        <w:rPr>
          <w:b/>
          <w:bCs/>
          <w:i/>
          <w:iCs/>
          <w:color w:val="000000"/>
          <w:sz w:val="28"/>
          <w:szCs w:val="28"/>
          <w:shd w:val="clear" w:color="auto" w:fill="FFFFFF"/>
        </w:rPr>
      </w:pPr>
    </w:p>
    <w:p w14:paraId="083D3AED" w14:textId="77777777" w:rsidR="00822473" w:rsidRDefault="00822473" w:rsidP="00235809">
      <w:pPr>
        <w:spacing w:line="360" w:lineRule="auto"/>
        <w:jc w:val="both"/>
        <w:rPr>
          <w:b/>
          <w:bCs/>
          <w:i/>
          <w:iCs/>
          <w:color w:val="000000"/>
          <w:sz w:val="28"/>
          <w:szCs w:val="28"/>
          <w:shd w:val="clear" w:color="auto" w:fill="FFFFFF"/>
        </w:rPr>
      </w:pPr>
    </w:p>
    <w:p w14:paraId="300A3C63" w14:textId="77777777" w:rsidR="00822473" w:rsidRDefault="00822473" w:rsidP="00235809">
      <w:pPr>
        <w:spacing w:line="360" w:lineRule="auto"/>
        <w:jc w:val="both"/>
        <w:rPr>
          <w:b/>
          <w:bCs/>
          <w:i/>
          <w:iCs/>
          <w:color w:val="000000"/>
          <w:sz w:val="28"/>
          <w:szCs w:val="28"/>
          <w:shd w:val="clear" w:color="auto" w:fill="FFFFFF"/>
        </w:rPr>
      </w:pPr>
    </w:p>
    <w:p w14:paraId="13BB74D7" w14:textId="77777777" w:rsidR="00822473" w:rsidRPr="00822473" w:rsidRDefault="00580BFF" w:rsidP="00822473">
      <w:pPr>
        <w:spacing w:line="360" w:lineRule="auto"/>
        <w:jc w:val="center"/>
        <w:rPr>
          <w:rFonts w:asciiTheme="majorBidi" w:hAnsiTheme="majorBidi" w:cstheme="majorBidi"/>
          <w:b/>
          <w:bCs/>
          <w:sz w:val="32"/>
          <w:szCs w:val="32"/>
          <w:shd w:val="clear" w:color="auto" w:fill="FFFFFF"/>
        </w:rPr>
      </w:pPr>
      <w:r w:rsidRPr="00822473">
        <w:rPr>
          <w:rFonts w:asciiTheme="majorBidi" w:hAnsiTheme="majorBidi" w:cstheme="majorBidi"/>
          <w:b/>
          <w:bCs/>
          <w:sz w:val="32"/>
          <w:szCs w:val="32"/>
          <w:shd w:val="clear" w:color="auto" w:fill="FFFFFF"/>
        </w:rPr>
        <w:t>Title: A Comparison of the marketing methods of two multinational hotel brands</w:t>
      </w:r>
    </w:p>
    <w:p w14:paraId="197E0B8A" w14:textId="01201A6C" w:rsidR="00822473" w:rsidRPr="00822473" w:rsidRDefault="00580BFF" w:rsidP="00822473">
      <w:pPr>
        <w:spacing w:line="360" w:lineRule="auto"/>
        <w:jc w:val="center"/>
        <w:rPr>
          <w:rFonts w:asciiTheme="majorBidi" w:hAnsiTheme="majorBidi" w:cstheme="majorBidi"/>
          <w:b/>
          <w:bCs/>
          <w:sz w:val="32"/>
          <w:szCs w:val="32"/>
        </w:rPr>
      </w:pPr>
      <w:r w:rsidRPr="00822473">
        <w:rPr>
          <w:rFonts w:asciiTheme="majorBidi" w:hAnsiTheme="majorBidi" w:cstheme="majorBidi"/>
          <w:b/>
          <w:bCs/>
          <w:sz w:val="32"/>
          <w:szCs w:val="32"/>
        </w:rPr>
        <w:t>Student Name:</w:t>
      </w:r>
      <w:r w:rsidR="00421270">
        <w:rPr>
          <w:rFonts w:asciiTheme="majorBidi" w:hAnsiTheme="majorBidi" w:cstheme="majorBidi"/>
          <w:b/>
          <w:bCs/>
          <w:sz w:val="32"/>
          <w:szCs w:val="32"/>
        </w:rPr>
        <w:t xml:space="preserve"> Adina Gabriela Constantin</w:t>
      </w:r>
    </w:p>
    <w:p w14:paraId="138D5FCA" w14:textId="1AE449EC" w:rsidR="00822473" w:rsidRPr="00822473" w:rsidRDefault="00580BFF" w:rsidP="00822473">
      <w:pPr>
        <w:spacing w:line="360" w:lineRule="auto"/>
        <w:jc w:val="center"/>
        <w:rPr>
          <w:rFonts w:asciiTheme="majorBidi" w:hAnsiTheme="majorBidi" w:cstheme="majorBidi"/>
          <w:b/>
          <w:bCs/>
          <w:sz w:val="32"/>
          <w:szCs w:val="32"/>
        </w:rPr>
      </w:pPr>
      <w:r w:rsidRPr="00822473">
        <w:rPr>
          <w:rFonts w:asciiTheme="majorBidi" w:hAnsiTheme="majorBidi" w:cstheme="majorBidi"/>
          <w:b/>
          <w:bCs/>
          <w:sz w:val="32"/>
          <w:szCs w:val="32"/>
        </w:rPr>
        <w:t>Student ID:</w:t>
      </w:r>
      <w:r w:rsidR="00421270">
        <w:rPr>
          <w:rFonts w:asciiTheme="majorBidi" w:hAnsiTheme="majorBidi" w:cstheme="majorBidi"/>
          <w:b/>
          <w:bCs/>
          <w:sz w:val="32"/>
          <w:szCs w:val="32"/>
        </w:rPr>
        <w:t>1918112</w:t>
      </w:r>
    </w:p>
    <w:p w14:paraId="31A073C4" w14:textId="77777777" w:rsidR="00822473" w:rsidRPr="00822473" w:rsidRDefault="00580BFF" w:rsidP="00822473">
      <w:pPr>
        <w:spacing w:line="360" w:lineRule="auto"/>
        <w:jc w:val="center"/>
        <w:rPr>
          <w:rFonts w:asciiTheme="majorBidi" w:hAnsiTheme="majorBidi" w:cstheme="majorBidi"/>
          <w:b/>
          <w:bCs/>
          <w:sz w:val="32"/>
          <w:szCs w:val="32"/>
        </w:rPr>
      </w:pPr>
      <w:r w:rsidRPr="00822473">
        <w:rPr>
          <w:rFonts w:asciiTheme="majorBidi" w:hAnsiTheme="majorBidi" w:cstheme="majorBidi"/>
          <w:b/>
          <w:bCs/>
          <w:sz w:val="32"/>
          <w:szCs w:val="32"/>
        </w:rPr>
        <w:t>Module Title: Marketing Essentials BMIH4005</w:t>
      </w:r>
    </w:p>
    <w:p w14:paraId="7386068F" w14:textId="46A69E9F" w:rsidR="00822473" w:rsidRPr="00822473" w:rsidRDefault="00580BFF" w:rsidP="00822473">
      <w:pPr>
        <w:spacing w:line="360" w:lineRule="auto"/>
        <w:jc w:val="center"/>
        <w:rPr>
          <w:rFonts w:asciiTheme="majorBidi" w:hAnsiTheme="majorBidi" w:cstheme="majorBidi"/>
          <w:b/>
          <w:bCs/>
          <w:sz w:val="32"/>
          <w:szCs w:val="32"/>
        </w:rPr>
      </w:pPr>
      <w:r w:rsidRPr="00822473">
        <w:rPr>
          <w:rFonts w:asciiTheme="majorBidi" w:hAnsiTheme="majorBidi" w:cstheme="majorBidi"/>
          <w:b/>
          <w:bCs/>
          <w:sz w:val="32"/>
          <w:szCs w:val="32"/>
        </w:rPr>
        <w:t>Lecturer Name:</w:t>
      </w:r>
      <w:r w:rsidR="00421270">
        <w:rPr>
          <w:rFonts w:asciiTheme="majorBidi" w:hAnsiTheme="majorBidi" w:cstheme="majorBidi"/>
          <w:b/>
          <w:bCs/>
          <w:sz w:val="32"/>
          <w:szCs w:val="32"/>
        </w:rPr>
        <w:t xml:space="preserve"> Dale Clarke</w:t>
      </w:r>
    </w:p>
    <w:p w14:paraId="77B68C6A" w14:textId="77777777" w:rsidR="002050C7" w:rsidRPr="00822473" w:rsidRDefault="00580BFF" w:rsidP="00822473">
      <w:pPr>
        <w:jc w:val="center"/>
        <w:rPr>
          <w:rFonts w:asciiTheme="majorBidi" w:hAnsiTheme="majorBidi" w:cstheme="majorBidi"/>
          <w:b/>
          <w:bCs/>
          <w:sz w:val="32"/>
          <w:szCs w:val="32"/>
        </w:rPr>
      </w:pPr>
      <w:r w:rsidRPr="00822473">
        <w:rPr>
          <w:rFonts w:asciiTheme="majorBidi" w:hAnsiTheme="majorBidi" w:cstheme="majorBidi"/>
          <w:b/>
          <w:bCs/>
          <w:sz w:val="32"/>
          <w:szCs w:val="32"/>
        </w:rPr>
        <w:br w:type="page"/>
      </w:r>
    </w:p>
    <w:p w14:paraId="3135B113" w14:textId="77777777" w:rsidR="002050C7" w:rsidRPr="00814355" w:rsidRDefault="00580BFF" w:rsidP="00814355">
      <w:pPr>
        <w:pStyle w:val="Heading1"/>
        <w:rPr>
          <w:rFonts w:asciiTheme="majorBidi" w:hAnsiTheme="majorBidi"/>
          <w:color w:val="auto"/>
        </w:rPr>
      </w:pPr>
      <w:r w:rsidRPr="00814355">
        <w:rPr>
          <w:rFonts w:asciiTheme="majorBidi" w:hAnsiTheme="majorBidi"/>
          <w:color w:val="auto"/>
        </w:rPr>
        <w:lastRenderedPageBreak/>
        <w:t>Introduction</w:t>
      </w:r>
    </w:p>
    <w:p w14:paraId="73D6F566" w14:textId="77777777" w:rsidR="00345FA2" w:rsidRPr="00235809" w:rsidRDefault="00580BFF" w:rsidP="00D71FF7">
      <w:pPr>
        <w:spacing w:line="360" w:lineRule="auto"/>
        <w:jc w:val="both"/>
        <w:rPr>
          <w:rFonts w:asciiTheme="majorBidi" w:hAnsiTheme="majorBidi" w:cstheme="majorBidi"/>
          <w:sz w:val="24"/>
          <w:szCs w:val="24"/>
        </w:rPr>
      </w:pPr>
      <w:r w:rsidRPr="00D71FF7">
        <w:rPr>
          <w:rFonts w:asciiTheme="majorBidi" w:hAnsiTheme="majorBidi" w:cstheme="majorBidi"/>
          <w:sz w:val="24"/>
          <w:szCs w:val="24"/>
        </w:rPr>
        <w:t>The undertaken essay examines the marketing and advertising approaches of two international hotel chains, Six Senses, and Holiday Inn, and draws comparisons between them. Hotels from the Six Senses and Holiday Inn chains are quite different from one another. Six Senses is a well-known chain of high-end hotels and resorts that provides guests with an unforgettable stay by emphasizing health and sustainability</w:t>
      </w:r>
      <w:sdt>
        <w:sdtPr>
          <w:rPr>
            <w:rFonts w:asciiTheme="majorBidi" w:hAnsiTheme="majorBidi" w:cstheme="majorBidi"/>
            <w:sz w:val="24"/>
            <w:szCs w:val="24"/>
          </w:rPr>
          <w:id w:val="-125013165"/>
          <w:citation/>
        </w:sdtPr>
        <w:sdtContent>
          <w:r w:rsidR="00FE7DD9">
            <w:rPr>
              <w:rFonts w:asciiTheme="majorBidi" w:hAnsiTheme="majorBidi" w:cstheme="majorBidi"/>
              <w:sz w:val="24"/>
              <w:szCs w:val="24"/>
            </w:rPr>
            <w:fldChar w:fldCharType="begin"/>
          </w:r>
          <w:r w:rsidR="00FE7DD9">
            <w:rPr>
              <w:rFonts w:asciiTheme="majorBidi" w:hAnsiTheme="majorBidi" w:cstheme="majorBidi"/>
              <w:sz w:val="24"/>
              <w:szCs w:val="24"/>
            </w:rPr>
            <w:instrText xml:space="preserve"> CITATION Han20 \l 1033 </w:instrText>
          </w:r>
          <w:r w:rsidR="00FE7DD9">
            <w:rPr>
              <w:rFonts w:asciiTheme="majorBidi" w:hAnsiTheme="majorBidi" w:cstheme="majorBidi"/>
              <w:sz w:val="24"/>
              <w:szCs w:val="24"/>
            </w:rPr>
            <w:fldChar w:fldCharType="separate"/>
          </w:r>
          <w:r w:rsidR="00FE7DD9">
            <w:rPr>
              <w:rFonts w:asciiTheme="majorBidi" w:hAnsiTheme="majorBidi" w:cstheme="majorBidi"/>
              <w:noProof/>
              <w:sz w:val="24"/>
              <w:szCs w:val="24"/>
            </w:rPr>
            <w:t xml:space="preserve"> </w:t>
          </w:r>
          <w:r w:rsidR="00FE7DD9" w:rsidRPr="00FE7DD9">
            <w:rPr>
              <w:rFonts w:asciiTheme="majorBidi" w:hAnsiTheme="majorBidi" w:cstheme="majorBidi"/>
              <w:noProof/>
              <w:sz w:val="24"/>
              <w:szCs w:val="24"/>
            </w:rPr>
            <w:t>(Hannonen, 2020)</w:t>
          </w:r>
          <w:r w:rsidR="00FE7DD9">
            <w:rPr>
              <w:rFonts w:asciiTheme="majorBidi" w:hAnsiTheme="majorBidi" w:cstheme="majorBidi"/>
              <w:sz w:val="24"/>
              <w:szCs w:val="24"/>
            </w:rPr>
            <w:fldChar w:fldCharType="end"/>
          </w:r>
        </w:sdtContent>
      </w:sdt>
      <w:r w:rsidRPr="00D71FF7">
        <w:rPr>
          <w:rFonts w:asciiTheme="majorBidi" w:hAnsiTheme="majorBidi" w:cstheme="majorBidi"/>
          <w:sz w:val="24"/>
          <w:szCs w:val="24"/>
        </w:rPr>
        <w:t>. Their homes are often found in scenic, out-of-the-way areas, such as private islands, mountainous regions, and protected wilderness areas. Yoga and meditation sessions, spa services, and nutritious menu selections are just a few of how Six Senses may improve your overall health and well-being. Established in 1995, Six Senses is a chain of high-end hotels and resorts committed to environmental responsibility and guest health and happiness.</w:t>
      </w:r>
      <w:r w:rsidR="002050C7" w:rsidRPr="00235809">
        <w:rPr>
          <w:rFonts w:asciiTheme="majorBidi" w:hAnsiTheme="majorBidi" w:cstheme="majorBidi"/>
          <w:sz w:val="24"/>
          <w:szCs w:val="24"/>
        </w:rPr>
        <w:t xml:space="preserve"> </w:t>
      </w:r>
      <w:r w:rsidRPr="00D71FF7">
        <w:rPr>
          <w:rFonts w:asciiTheme="majorBidi" w:hAnsiTheme="majorBidi" w:cstheme="majorBidi"/>
          <w:sz w:val="24"/>
          <w:szCs w:val="24"/>
        </w:rPr>
        <w:t>They have homes on personal islands, in the highlands, and protected areas of the globe's most beautiful ecosystems. However, Holiday Inn is a chain of moderately priced hotels that welcomes vacationers as well as business visitors</w:t>
      </w:r>
      <w:sdt>
        <w:sdtPr>
          <w:rPr>
            <w:rFonts w:asciiTheme="majorBidi" w:hAnsiTheme="majorBidi" w:cstheme="majorBidi"/>
            <w:sz w:val="24"/>
            <w:szCs w:val="24"/>
          </w:rPr>
          <w:id w:val="-1515923433"/>
          <w:citation/>
        </w:sdtPr>
        <w:sdtContent>
          <w:r w:rsidR="00FE7DD9">
            <w:rPr>
              <w:rFonts w:asciiTheme="majorBidi" w:hAnsiTheme="majorBidi" w:cstheme="majorBidi"/>
              <w:sz w:val="24"/>
              <w:szCs w:val="24"/>
            </w:rPr>
            <w:fldChar w:fldCharType="begin"/>
          </w:r>
          <w:r w:rsidR="00FE7DD9">
            <w:rPr>
              <w:rFonts w:asciiTheme="majorBidi" w:hAnsiTheme="majorBidi" w:cstheme="majorBidi"/>
              <w:sz w:val="24"/>
              <w:szCs w:val="24"/>
            </w:rPr>
            <w:instrText xml:space="preserve"> CITATION Coh15 \l 1033 </w:instrText>
          </w:r>
          <w:r w:rsidR="00FE7DD9">
            <w:rPr>
              <w:rFonts w:asciiTheme="majorBidi" w:hAnsiTheme="majorBidi" w:cstheme="majorBidi"/>
              <w:sz w:val="24"/>
              <w:szCs w:val="24"/>
            </w:rPr>
            <w:fldChar w:fldCharType="separate"/>
          </w:r>
          <w:r w:rsidR="00FE7DD9">
            <w:rPr>
              <w:rFonts w:asciiTheme="majorBidi" w:hAnsiTheme="majorBidi" w:cstheme="majorBidi"/>
              <w:noProof/>
              <w:sz w:val="24"/>
              <w:szCs w:val="24"/>
            </w:rPr>
            <w:t xml:space="preserve"> </w:t>
          </w:r>
          <w:r w:rsidR="00FE7DD9" w:rsidRPr="00FE7DD9">
            <w:rPr>
              <w:rFonts w:asciiTheme="majorBidi" w:hAnsiTheme="majorBidi" w:cstheme="majorBidi"/>
              <w:noProof/>
              <w:sz w:val="24"/>
              <w:szCs w:val="24"/>
            </w:rPr>
            <w:t>(Cohen et al., 2015)</w:t>
          </w:r>
          <w:r w:rsidR="00FE7DD9">
            <w:rPr>
              <w:rFonts w:asciiTheme="majorBidi" w:hAnsiTheme="majorBidi" w:cstheme="majorBidi"/>
              <w:sz w:val="24"/>
              <w:szCs w:val="24"/>
            </w:rPr>
            <w:fldChar w:fldCharType="end"/>
          </w:r>
        </w:sdtContent>
      </w:sdt>
      <w:r w:rsidRPr="00D71FF7">
        <w:rPr>
          <w:rFonts w:asciiTheme="majorBidi" w:hAnsiTheme="majorBidi" w:cstheme="majorBidi"/>
          <w:sz w:val="24"/>
          <w:szCs w:val="24"/>
        </w:rPr>
        <w:t>. Their hotels and motels have common facilities including on-site gyms, restaurants, and conference spaces, and are often found in high-traffic areas of cities or major tourist sites. They now have over 1100 sites with over 224,382 rooms. At Holiday Inn, we prioritize eco-friendliness, cutting-edge amenities, and the comfort of our guests.</w:t>
      </w:r>
    </w:p>
    <w:p w14:paraId="18913F8C" w14:textId="77777777" w:rsidR="002050C7" w:rsidRPr="00814355" w:rsidRDefault="00580BFF" w:rsidP="00814355">
      <w:pPr>
        <w:pStyle w:val="Heading1"/>
        <w:rPr>
          <w:rFonts w:asciiTheme="majorBidi" w:hAnsiTheme="majorBidi"/>
          <w:color w:val="auto"/>
        </w:rPr>
      </w:pPr>
      <w:r w:rsidRPr="00814355">
        <w:rPr>
          <w:rFonts w:asciiTheme="majorBidi" w:hAnsiTheme="majorBidi"/>
          <w:color w:val="auto"/>
        </w:rPr>
        <w:t>Main Body</w:t>
      </w:r>
    </w:p>
    <w:p w14:paraId="173F8A25" w14:textId="77777777" w:rsidR="002050C7" w:rsidRPr="00235809" w:rsidRDefault="00580BFF" w:rsidP="00D71FF7">
      <w:pPr>
        <w:spacing w:line="360" w:lineRule="auto"/>
        <w:jc w:val="both"/>
        <w:rPr>
          <w:rFonts w:asciiTheme="majorBidi" w:hAnsiTheme="majorBidi" w:cstheme="majorBidi"/>
          <w:sz w:val="24"/>
          <w:szCs w:val="24"/>
        </w:rPr>
      </w:pPr>
      <w:r w:rsidRPr="00D71FF7">
        <w:rPr>
          <w:rFonts w:asciiTheme="majorBidi" w:hAnsiTheme="majorBidi" w:cstheme="majorBidi"/>
          <w:sz w:val="24"/>
          <w:szCs w:val="24"/>
        </w:rPr>
        <w:t>Marketing is more crucial than ever before in the hotel industry due to the increased competition in recent years. Successful businesses in this industry have climbed to their current position via the pioneering use of marketing strategies that have enabled them to shape products and services to meet the specific requirements of individual customers. Six Senses is a reputable firm that consistently exceeds customer expectations, and it has made distinguishing itself from competitors a top priority since its start. Over the years, this luxury brand has improved its services by prioritizing a more relaxing ambiance</w:t>
      </w:r>
      <w:sdt>
        <w:sdtPr>
          <w:rPr>
            <w:rFonts w:asciiTheme="majorBidi" w:hAnsiTheme="majorBidi" w:cstheme="majorBidi"/>
            <w:sz w:val="24"/>
            <w:szCs w:val="24"/>
          </w:rPr>
          <w:id w:val="656270287"/>
          <w:citation/>
        </w:sdtPr>
        <w:sdtContent>
          <w:r w:rsidR="00FE7DD9">
            <w:rPr>
              <w:rFonts w:asciiTheme="majorBidi" w:hAnsiTheme="majorBidi" w:cstheme="majorBidi"/>
              <w:sz w:val="24"/>
              <w:szCs w:val="24"/>
            </w:rPr>
            <w:fldChar w:fldCharType="begin"/>
          </w:r>
          <w:r w:rsidR="00FE7DD9">
            <w:rPr>
              <w:rFonts w:asciiTheme="majorBidi" w:hAnsiTheme="majorBidi" w:cstheme="majorBidi"/>
              <w:sz w:val="24"/>
              <w:szCs w:val="24"/>
            </w:rPr>
            <w:instrText xml:space="preserve"> CITATION Man201 \l 1033 </w:instrText>
          </w:r>
          <w:r w:rsidR="00FE7DD9">
            <w:rPr>
              <w:rFonts w:asciiTheme="majorBidi" w:hAnsiTheme="majorBidi" w:cstheme="majorBidi"/>
              <w:sz w:val="24"/>
              <w:szCs w:val="24"/>
            </w:rPr>
            <w:fldChar w:fldCharType="separate"/>
          </w:r>
          <w:r w:rsidR="00FE7DD9">
            <w:rPr>
              <w:rFonts w:asciiTheme="majorBidi" w:hAnsiTheme="majorBidi" w:cstheme="majorBidi"/>
              <w:noProof/>
              <w:sz w:val="24"/>
              <w:szCs w:val="24"/>
            </w:rPr>
            <w:t xml:space="preserve"> </w:t>
          </w:r>
          <w:r w:rsidR="00FE7DD9" w:rsidRPr="00FE7DD9">
            <w:rPr>
              <w:rFonts w:asciiTheme="majorBidi" w:hAnsiTheme="majorBidi" w:cstheme="majorBidi"/>
              <w:noProof/>
              <w:sz w:val="24"/>
              <w:szCs w:val="24"/>
            </w:rPr>
            <w:t>(Mancinelli, 2020)</w:t>
          </w:r>
          <w:r w:rsidR="00FE7DD9">
            <w:rPr>
              <w:rFonts w:asciiTheme="majorBidi" w:hAnsiTheme="majorBidi" w:cstheme="majorBidi"/>
              <w:sz w:val="24"/>
              <w:szCs w:val="24"/>
            </w:rPr>
            <w:fldChar w:fldCharType="end"/>
          </w:r>
        </w:sdtContent>
      </w:sdt>
      <w:r w:rsidRPr="00D71FF7">
        <w:rPr>
          <w:rFonts w:asciiTheme="majorBidi" w:hAnsiTheme="majorBidi" w:cstheme="majorBidi"/>
          <w:sz w:val="24"/>
          <w:szCs w:val="24"/>
        </w:rPr>
        <w:t>. It may charge greater rates since it provides high-end services and facilities.</w:t>
      </w:r>
      <w:r w:rsidRPr="00235809">
        <w:rPr>
          <w:rFonts w:asciiTheme="majorBidi" w:hAnsiTheme="majorBidi" w:cstheme="majorBidi"/>
          <w:sz w:val="24"/>
          <w:szCs w:val="24"/>
        </w:rPr>
        <w:t xml:space="preserve"> </w:t>
      </w:r>
      <w:r w:rsidRPr="00D71FF7">
        <w:rPr>
          <w:rFonts w:asciiTheme="majorBidi" w:hAnsiTheme="majorBidi" w:cstheme="majorBidi"/>
          <w:sz w:val="24"/>
          <w:szCs w:val="24"/>
        </w:rPr>
        <w:t>Six Senses promotes its wares in a variety of methods, but word of mouth is among its most important. Compared to the exclusive Six Senses, the Holiday Inn caters to budget-conscious travelers, entrepreneurs, and their families. The hotel's linked rooms are a great selling point since they enable parents to maintain an eye on their kids wherever they are</w:t>
      </w:r>
      <w:sdt>
        <w:sdtPr>
          <w:rPr>
            <w:rFonts w:asciiTheme="majorBidi" w:hAnsiTheme="majorBidi" w:cstheme="majorBidi"/>
            <w:sz w:val="24"/>
            <w:szCs w:val="24"/>
          </w:rPr>
          <w:id w:val="-1024785052"/>
          <w:citation/>
        </w:sdtPr>
        <w:sdtContent>
          <w:r w:rsidR="0076375B">
            <w:rPr>
              <w:rFonts w:asciiTheme="majorBidi" w:hAnsiTheme="majorBidi" w:cstheme="majorBidi"/>
              <w:sz w:val="24"/>
              <w:szCs w:val="24"/>
            </w:rPr>
            <w:fldChar w:fldCharType="begin"/>
          </w:r>
          <w:r w:rsidR="0076375B">
            <w:rPr>
              <w:rFonts w:asciiTheme="majorBidi" w:hAnsiTheme="majorBidi" w:cstheme="majorBidi"/>
              <w:sz w:val="24"/>
              <w:szCs w:val="24"/>
            </w:rPr>
            <w:instrText xml:space="preserve"> CITATION Oly20 \l 1033 </w:instrText>
          </w:r>
          <w:r w:rsidR="0076375B">
            <w:rPr>
              <w:rFonts w:asciiTheme="majorBidi" w:hAnsiTheme="majorBidi" w:cstheme="majorBidi"/>
              <w:sz w:val="24"/>
              <w:szCs w:val="24"/>
            </w:rPr>
            <w:fldChar w:fldCharType="separate"/>
          </w:r>
          <w:r w:rsidR="0076375B">
            <w:rPr>
              <w:rFonts w:asciiTheme="majorBidi" w:hAnsiTheme="majorBidi" w:cstheme="majorBidi"/>
              <w:noProof/>
              <w:sz w:val="24"/>
              <w:szCs w:val="24"/>
            </w:rPr>
            <w:t xml:space="preserve"> </w:t>
          </w:r>
          <w:r w:rsidR="0076375B" w:rsidRPr="0076375B">
            <w:rPr>
              <w:rFonts w:asciiTheme="majorBidi" w:hAnsiTheme="majorBidi" w:cstheme="majorBidi"/>
              <w:noProof/>
              <w:sz w:val="24"/>
              <w:szCs w:val="24"/>
            </w:rPr>
            <w:t>(Olya et al., 2020)</w:t>
          </w:r>
          <w:r w:rsidR="0076375B">
            <w:rPr>
              <w:rFonts w:asciiTheme="majorBidi" w:hAnsiTheme="majorBidi" w:cstheme="majorBidi"/>
              <w:sz w:val="24"/>
              <w:szCs w:val="24"/>
            </w:rPr>
            <w:fldChar w:fldCharType="end"/>
          </w:r>
        </w:sdtContent>
      </w:sdt>
      <w:r w:rsidRPr="00D71FF7">
        <w:rPr>
          <w:rFonts w:asciiTheme="majorBidi" w:hAnsiTheme="majorBidi" w:cstheme="majorBidi"/>
          <w:sz w:val="24"/>
          <w:szCs w:val="24"/>
        </w:rPr>
        <w:t>.</w:t>
      </w:r>
    </w:p>
    <w:p w14:paraId="7BA36E53" w14:textId="77777777" w:rsidR="002050C7" w:rsidRPr="00235809" w:rsidRDefault="00580BFF" w:rsidP="00235809">
      <w:pPr>
        <w:spacing w:line="360" w:lineRule="auto"/>
        <w:jc w:val="both"/>
        <w:rPr>
          <w:rFonts w:asciiTheme="majorBidi" w:hAnsiTheme="majorBidi" w:cstheme="majorBidi"/>
          <w:sz w:val="24"/>
          <w:szCs w:val="24"/>
        </w:rPr>
      </w:pPr>
      <w:r w:rsidRPr="00D71FF7">
        <w:rPr>
          <w:rFonts w:asciiTheme="majorBidi" w:hAnsiTheme="majorBidi" w:cstheme="majorBidi"/>
          <w:sz w:val="24"/>
          <w:szCs w:val="24"/>
        </w:rPr>
        <w:lastRenderedPageBreak/>
        <w:t>Holiday Inn's priority is making its guests feel at home, thus it offers several services and facilities to ensure their comfort and safety</w:t>
      </w:r>
      <w:sdt>
        <w:sdtPr>
          <w:rPr>
            <w:rFonts w:asciiTheme="majorBidi" w:hAnsiTheme="majorBidi" w:cstheme="majorBidi"/>
            <w:sz w:val="24"/>
            <w:szCs w:val="24"/>
          </w:rPr>
          <w:id w:val="2143528512"/>
          <w:citation/>
        </w:sdtPr>
        <w:sdtContent>
          <w:r w:rsidR="00FE7DD9">
            <w:rPr>
              <w:rFonts w:asciiTheme="majorBidi" w:hAnsiTheme="majorBidi" w:cstheme="majorBidi"/>
              <w:sz w:val="24"/>
              <w:szCs w:val="24"/>
            </w:rPr>
            <w:fldChar w:fldCharType="begin"/>
          </w:r>
          <w:r w:rsidR="00FE7DD9">
            <w:rPr>
              <w:rFonts w:asciiTheme="majorBidi" w:hAnsiTheme="majorBidi" w:cstheme="majorBidi"/>
              <w:sz w:val="24"/>
              <w:szCs w:val="24"/>
            </w:rPr>
            <w:instrText xml:space="preserve"> CITATION Pal171 \l 1033 </w:instrText>
          </w:r>
          <w:r w:rsidR="00FE7DD9">
            <w:rPr>
              <w:rFonts w:asciiTheme="majorBidi" w:hAnsiTheme="majorBidi" w:cstheme="majorBidi"/>
              <w:sz w:val="24"/>
              <w:szCs w:val="24"/>
            </w:rPr>
            <w:fldChar w:fldCharType="separate"/>
          </w:r>
          <w:r w:rsidR="00FE7DD9">
            <w:rPr>
              <w:rFonts w:asciiTheme="majorBidi" w:hAnsiTheme="majorBidi" w:cstheme="majorBidi"/>
              <w:noProof/>
              <w:sz w:val="24"/>
              <w:szCs w:val="24"/>
            </w:rPr>
            <w:t xml:space="preserve"> </w:t>
          </w:r>
          <w:r w:rsidR="00FE7DD9" w:rsidRPr="00FE7DD9">
            <w:rPr>
              <w:rFonts w:asciiTheme="majorBidi" w:hAnsiTheme="majorBidi" w:cstheme="majorBidi"/>
              <w:noProof/>
              <w:sz w:val="24"/>
              <w:szCs w:val="24"/>
            </w:rPr>
            <w:t>(Palmatier et al., 2017)</w:t>
          </w:r>
          <w:r w:rsidR="00FE7DD9">
            <w:rPr>
              <w:rFonts w:asciiTheme="majorBidi" w:hAnsiTheme="majorBidi" w:cstheme="majorBidi"/>
              <w:sz w:val="24"/>
              <w:szCs w:val="24"/>
            </w:rPr>
            <w:fldChar w:fldCharType="end"/>
          </w:r>
        </w:sdtContent>
      </w:sdt>
      <w:r w:rsidRPr="00D71FF7">
        <w:rPr>
          <w:rFonts w:asciiTheme="majorBidi" w:hAnsiTheme="majorBidi" w:cstheme="majorBidi"/>
          <w:sz w:val="24"/>
          <w:szCs w:val="24"/>
        </w:rPr>
        <w:t>. All Holiday Inns provide guests with the comforts of an onboard restaurant. Holiday Inn's price structure is more nuanced than Six Senses', with several tiers for different types of guests (Flex, Semi-flex, Advance, etc.). While Six Senses spends just a tiny fraction of what Holiday Inn does on marketing, the latter spends millions across both digital and traditional media.</w:t>
      </w:r>
    </w:p>
    <w:p w14:paraId="47CC71E5" w14:textId="77777777" w:rsidR="002050C7" w:rsidRPr="00235809" w:rsidRDefault="00580BFF" w:rsidP="00580BFF">
      <w:pPr>
        <w:spacing w:line="360" w:lineRule="auto"/>
        <w:jc w:val="both"/>
        <w:rPr>
          <w:rFonts w:asciiTheme="majorBidi" w:hAnsiTheme="majorBidi" w:cstheme="majorBidi"/>
          <w:sz w:val="24"/>
          <w:szCs w:val="24"/>
        </w:rPr>
      </w:pPr>
      <w:r w:rsidRPr="00580BFF">
        <w:rPr>
          <w:rFonts w:asciiTheme="majorBidi" w:hAnsiTheme="majorBidi" w:cstheme="majorBidi"/>
          <w:sz w:val="24"/>
          <w:szCs w:val="24"/>
        </w:rPr>
        <w:t xml:space="preserve">Holiday Inn's concentration on the mid-range hotel industry and its enormous number of locations across the world suggests that it commands a greater market share than Six Senses, which caters primarily to the luxury hotel sector. Yet, Six Senses is a specialized luxury brand which has built a solid image for sustainability and wellbeing among rich travellers searching for </w:t>
      </w:r>
      <w:r>
        <w:rPr>
          <w:rFonts w:asciiTheme="majorBidi" w:hAnsiTheme="majorBidi" w:cstheme="majorBidi"/>
          <w:sz w:val="24"/>
          <w:szCs w:val="24"/>
        </w:rPr>
        <w:t>out-of-the-ordinary experiences</w:t>
      </w:r>
      <w:sdt>
        <w:sdtPr>
          <w:rPr>
            <w:rFonts w:asciiTheme="majorBidi" w:hAnsiTheme="majorBidi" w:cstheme="majorBidi"/>
            <w:sz w:val="24"/>
            <w:szCs w:val="24"/>
          </w:rPr>
          <w:id w:val="248471742"/>
          <w:citation/>
        </w:sdtPr>
        <w:sdtContent>
          <w:r w:rsidR="00FE7DD9">
            <w:rPr>
              <w:rFonts w:asciiTheme="majorBidi" w:hAnsiTheme="majorBidi" w:cstheme="majorBidi"/>
              <w:sz w:val="24"/>
              <w:szCs w:val="24"/>
            </w:rPr>
            <w:fldChar w:fldCharType="begin"/>
          </w:r>
          <w:r w:rsidR="00FE7DD9">
            <w:rPr>
              <w:rFonts w:asciiTheme="majorBidi" w:hAnsiTheme="majorBidi" w:cstheme="majorBidi"/>
              <w:sz w:val="24"/>
              <w:szCs w:val="24"/>
            </w:rPr>
            <w:instrText xml:space="preserve"> CITATION Wal171 \l 1033 </w:instrText>
          </w:r>
          <w:r w:rsidR="00FE7DD9">
            <w:rPr>
              <w:rFonts w:asciiTheme="majorBidi" w:hAnsiTheme="majorBidi" w:cstheme="majorBidi"/>
              <w:sz w:val="24"/>
              <w:szCs w:val="24"/>
            </w:rPr>
            <w:fldChar w:fldCharType="separate"/>
          </w:r>
          <w:r w:rsidR="00FE7DD9">
            <w:rPr>
              <w:rFonts w:asciiTheme="majorBidi" w:hAnsiTheme="majorBidi" w:cstheme="majorBidi"/>
              <w:noProof/>
              <w:sz w:val="24"/>
              <w:szCs w:val="24"/>
            </w:rPr>
            <w:t xml:space="preserve"> </w:t>
          </w:r>
          <w:r w:rsidR="00FE7DD9" w:rsidRPr="00FE7DD9">
            <w:rPr>
              <w:rFonts w:asciiTheme="majorBidi" w:hAnsiTheme="majorBidi" w:cstheme="majorBidi"/>
              <w:noProof/>
              <w:sz w:val="24"/>
              <w:szCs w:val="24"/>
            </w:rPr>
            <w:t>(Wallis, 2017)</w:t>
          </w:r>
          <w:r w:rsidR="00FE7DD9">
            <w:rPr>
              <w:rFonts w:asciiTheme="majorBidi" w:hAnsiTheme="majorBidi" w:cstheme="majorBidi"/>
              <w:sz w:val="24"/>
              <w:szCs w:val="24"/>
            </w:rPr>
            <w:fldChar w:fldCharType="end"/>
          </w:r>
        </w:sdtContent>
      </w:sdt>
      <w:r w:rsidRPr="00235809">
        <w:rPr>
          <w:rFonts w:asciiTheme="majorBidi" w:hAnsiTheme="majorBidi" w:cstheme="majorBidi"/>
          <w:sz w:val="24"/>
          <w:szCs w:val="24"/>
        </w:rPr>
        <w:t xml:space="preserve">. </w:t>
      </w:r>
      <w:r w:rsidRPr="00580BFF">
        <w:rPr>
          <w:rFonts w:asciiTheme="majorBidi" w:hAnsiTheme="majorBidi" w:cstheme="majorBidi"/>
          <w:sz w:val="24"/>
          <w:szCs w:val="24"/>
        </w:rPr>
        <w:t>Although its market share is less than some of the more well-known luxury hotel businesses, its reputation is still high. Six Senses' market share is substantially less than that of other renowned luxury hotel companies like Four Seasons, Mandarin Oriental, and Ritz-Carlton. While there are many high-end lodging options, Six Senses stands out for its dedication to sustainability, client wellness, and exceptional service.</w:t>
      </w:r>
      <w:r w:rsidR="002B674C" w:rsidRPr="002B674C">
        <w:rPr>
          <w:rFonts w:asciiTheme="majorBidi" w:hAnsiTheme="majorBidi" w:cstheme="majorBidi"/>
          <w:sz w:val="24"/>
          <w:szCs w:val="24"/>
        </w:rPr>
        <w:t xml:space="preserve"> It aims to attract wealthy tourists who want privacy, personalized attention, and unforgettable adventures by portraying itself as a leader in the ultra-luxury sector. When compared to other mid-scale hotel brands like Hilton Garden Inn, Courtyard by Marriott, and Novotel, Holiday Inn has a bigger market share</w:t>
      </w:r>
      <w:sdt>
        <w:sdtPr>
          <w:rPr>
            <w:rFonts w:asciiTheme="majorBidi" w:hAnsiTheme="majorBidi" w:cstheme="majorBidi"/>
            <w:sz w:val="24"/>
            <w:szCs w:val="24"/>
          </w:rPr>
          <w:id w:val="1637676356"/>
          <w:citation/>
        </w:sdtPr>
        <w:sdtContent>
          <w:r w:rsidR="00CF2E12">
            <w:rPr>
              <w:rFonts w:asciiTheme="majorBidi" w:hAnsiTheme="majorBidi" w:cstheme="majorBidi"/>
              <w:sz w:val="24"/>
              <w:szCs w:val="24"/>
            </w:rPr>
            <w:fldChar w:fldCharType="begin"/>
          </w:r>
          <w:r w:rsidR="00CF2E12">
            <w:rPr>
              <w:rFonts w:asciiTheme="majorBidi" w:hAnsiTheme="majorBidi" w:cstheme="majorBidi"/>
              <w:sz w:val="24"/>
              <w:szCs w:val="24"/>
            </w:rPr>
            <w:instrText xml:space="preserve"> CITATION Buh19 \l 1033 </w:instrText>
          </w:r>
          <w:r w:rsidR="00CF2E12">
            <w:rPr>
              <w:rFonts w:asciiTheme="majorBidi" w:hAnsiTheme="majorBidi" w:cstheme="majorBidi"/>
              <w:sz w:val="24"/>
              <w:szCs w:val="24"/>
            </w:rPr>
            <w:fldChar w:fldCharType="separate"/>
          </w:r>
          <w:r w:rsidR="00CF2E12">
            <w:rPr>
              <w:rFonts w:asciiTheme="majorBidi" w:hAnsiTheme="majorBidi" w:cstheme="majorBidi"/>
              <w:noProof/>
              <w:sz w:val="24"/>
              <w:szCs w:val="24"/>
            </w:rPr>
            <w:t xml:space="preserve"> </w:t>
          </w:r>
          <w:r w:rsidR="00CF2E12" w:rsidRPr="00CF2E12">
            <w:rPr>
              <w:rFonts w:asciiTheme="majorBidi" w:hAnsiTheme="majorBidi" w:cstheme="majorBidi"/>
              <w:noProof/>
              <w:sz w:val="24"/>
              <w:szCs w:val="24"/>
            </w:rPr>
            <w:t>(Buhalis et al., 2019)</w:t>
          </w:r>
          <w:r w:rsidR="00CF2E12">
            <w:rPr>
              <w:rFonts w:asciiTheme="majorBidi" w:hAnsiTheme="majorBidi" w:cstheme="majorBidi"/>
              <w:sz w:val="24"/>
              <w:szCs w:val="24"/>
            </w:rPr>
            <w:fldChar w:fldCharType="end"/>
          </w:r>
        </w:sdtContent>
      </w:sdt>
      <w:r w:rsidR="002B674C" w:rsidRPr="002B674C">
        <w:rPr>
          <w:rFonts w:asciiTheme="majorBidi" w:hAnsiTheme="majorBidi" w:cstheme="majorBidi"/>
          <w:sz w:val="24"/>
          <w:szCs w:val="24"/>
        </w:rPr>
        <w:t>. Holiday Inn targets customers in the middle of the hotel pricing spectrum, those searching for a decent level of service without breaking the bank. The company's image appeals to families, travelers on business, and tourists because of its contemporary design, cutting-edge technology, and commitment to environmentalism</w:t>
      </w:r>
      <w:sdt>
        <w:sdtPr>
          <w:rPr>
            <w:rFonts w:asciiTheme="majorBidi" w:hAnsiTheme="majorBidi" w:cstheme="majorBidi"/>
            <w:sz w:val="24"/>
            <w:szCs w:val="24"/>
          </w:rPr>
          <w:id w:val="-774935299"/>
          <w:citation/>
        </w:sdtPr>
        <w:sdtContent>
          <w:r w:rsidR="00FE7DD9">
            <w:rPr>
              <w:rFonts w:asciiTheme="majorBidi" w:hAnsiTheme="majorBidi" w:cstheme="majorBidi"/>
              <w:sz w:val="24"/>
              <w:szCs w:val="24"/>
            </w:rPr>
            <w:fldChar w:fldCharType="begin"/>
          </w:r>
          <w:r w:rsidR="00FE7DD9">
            <w:rPr>
              <w:rFonts w:asciiTheme="majorBidi" w:hAnsiTheme="majorBidi" w:cstheme="majorBidi"/>
              <w:sz w:val="24"/>
              <w:szCs w:val="24"/>
            </w:rPr>
            <w:instrText xml:space="preserve"> CITATION Als21 \l 1033 </w:instrText>
          </w:r>
          <w:r w:rsidR="00FE7DD9">
            <w:rPr>
              <w:rFonts w:asciiTheme="majorBidi" w:hAnsiTheme="majorBidi" w:cstheme="majorBidi"/>
              <w:sz w:val="24"/>
              <w:szCs w:val="24"/>
            </w:rPr>
            <w:fldChar w:fldCharType="separate"/>
          </w:r>
          <w:r w:rsidR="00FE7DD9">
            <w:rPr>
              <w:rFonts w:asciiTheme="majorBidi" w:hAnsiTheme="majorBidi" w:cstheme="majorBidi"/>
              <w:noProof/>
              <w:sz w:val="24"/>
              <w:szCs w:val="24"/>
            </w:rPr>
            <w:t xml:space="preserve"> </w:t>
          </w:r>
          <w:r w:rsidR="00FE7DD9" w:rsidRPr="00FE7DD9">
            <w:rPr>
              <w:rFonts w:asciiTheme="majorBidi" w:hAnsiTheme="majorBidi" w:cstheme="majorBidi"/>
              <w:noProof/>
              <w:sz w:val="24"/>
              <w:szCs w:val="24"/>
            </w:rPr>
            <w:t>(Alsharari, 2021)</w:t>
          </w:r>
          <w:r w:rsidR="00FE7DD9">
            <w:rPr>
              <w:rFonts w:asciiTheme="majorBidi" w:hAnsiTheme="majorBidi" w:cstheme="majorBidi"/>
              <w:sz w:val="24"/>
              <w:szCs w:val="24"/>
            </w:rPr>
            <w:fldChar w:fldCharType="end"/>
          </w:r>
        </w:sdtContent>
      </w:sdt>
      <w:r w:rsidR="002B674C" w:rsidRPr="002B674C">
        <w:rPr>
          <w:rFonts w:asciiTheme="majorBidi" w:hAnsiTheme="majorBidi" w:cstheme="majorBidi"/>
          <w:sz w:val="24"/>
          <w:szCs w:val="24"/>
        </w:rPr>
        <w:t>.</w:t>
      </w:r>
    </w:p>
    <w:p w14:paraId="093A2EE5" w14:textId="77777777" w:rsidR="002050C7" w:rsidRPr="00235809" w:rsidRDefault="00000000" w:rsidP="002B674C">
      <w:pPr>
        <w:spacing w:line="360" w:lineRule="auto"/>
        <w:jc w:val="both"/>
        <w:rPr>
          <w:rFonts w:asciiTheme="majorBidi" w:hAnsiTheme="majorBidi" w:cstheme="majorBidi"/>
          <w:sz w:val="24"/>
          <w:szCs w:val="24"/>
        </w:rPr>
      </w:pPr>
      <w:sdt>
        <w:sdtPr>
          <w:rPr>
            <w:rFonts w:asciiTheme="majorBidi" w:hAnsiTheme="majorBidi" w:cstheme="majorBidi"/>
            <w:sz w:val="24"/>
            <w:szCs w:val="24"/>
          </w:rPr>
          <w:id w:val="1404570742"/>
          <w:citation/>
        </w:sdtPr>
        <w:sdtContent>
          <w:r w:rsidR="00580BFF">
            <w:rPr>
              <w:rFonts w:asciiTheme="majorBidi" w:hAnsiTheme="majorBidi" w:cstheme="majorBidi"/>
              <w:sz w:val="24"/>
              <w:szCs w:val="24"/>
            </w:rPr>
            <w:fldChar w:fldCharType="begin"/>
          </w:r>
          <w:r w:rsidR="00580BFF">
            <w:rPr>
              <w:rFonts w:asciiTheme="majorBidi" w:hAnsiTheme="majorBidi" w:cstheme="majorBidi"/>
              <w:sz w:val="24"/>
              <w:szCs w:val="24"/>
            </w:rPr>
            <w:instrText xml:space="preserve"> CITATION Zuz16 \l 1033 </w:instrText>
          </w:r>
          <w:r w:rsidR="00580BFF">
            <w:rPr>
              <w:rFonts w:asciiTheme="majorBidi" w:hAnsiTheme="majorBidi" w:cstheme="majorBidi"/>
              <w:sz w:val="24"/>
              <w:szCs w:val="24"/>
            </w:rPr>
            <w:fldChar w:fldCharType="separate"/>
          </w:r>
          <w:r w:rsidR="00580BFF" w:rsidRPr="00BF1626">
            <w:rPr>
              <w:rFonts w:asciiTheme="majorBidi" w:hAnsiTheme="majorBidi" w:cstheme="majorBidi"/>
              <w:noProof/>
              <w:sz w:val="24"/>
              <w:szCs w:val="24"/>
            </w:rPr>
            <w:t>(Zuzana, 2016)</w:t>
          </w:r>
          <w:r w:rsidR="00580BFF">
            <w:rPr>
              <w:rFonts w:asciiTheme="majorBidi" w:hAnsiTheme="majorBidi" w:cstheme="majorBidi"/>
              <w:sz w:val="24"/>
              <w:szCs w:val="24"/>
            </w:rPr>
            <w:fldChar w:fldCharType="end"/>
          </w:r>
        </w:sdtContent>
      </w:sdt>
      <w:r w:rsidR="00580BFF">
        <w:rPr>
          <w:rFonts w:asciiTheme="majorBidi" w:hAnsiTheme="majorBidi" w:cstheme="majorBidi"/>
          <w:sz w:val="24"/>
          <w:szCs w:val="24"/>
        </w:rPr>
        <w:t xml:space="preserve"> studied that t</w:t>
      </w:r>
      <w:r w:rsidR="002B674C" w:rsidRPr="002B674C">
        <w:rPr>
          <w:rFonts w:asciiTheme="majorBidi" w:hAnsiTheme="majorBidi" w:cstheme="majorBidi"/>
          <w:sz w:val="24"/>
          <w:szCs w:val="24"/>
        </w:rPr>
        <w:t>he purpose of a company's brand may be disseminated to its target audience via any number of promotional strategies. Segmentation, targeting, and positioning are just a few of the other areas of marketing strategy that benefit greatly from STP analysis. Six Senses has segmented the market by income level since it targets well-off customers</w:t>
      </w:r>
      <w:sdt>
        <w:sdtPr>
          <w:rPr>
            <w:rFonts w:asciiTheme="majorBidi" w:hAnsiTheme="majorBidi" w:cstheme="majorBidi"/>
            <w:sz w:val="24"/>
            <w:szCs w:val="24"/>
          </w:rPr>
          <w:id w:val="1513031500"/>
          <w:citation/>
        </w:sdtPr>
        <w:sdtContent>
          <w:r w:rsidR="00FE7DD9">
            <w:rPr>
              <w:rFonts w:asciiTheme="majorBidi" w:hAnsiTheme="majorBidi" w:cstheme="majorBidi"/>
              <w:sz w:val="24"/>
              <w:szCs w:val="24"/>
            </w:rPr>
            <w:fldChar w:fldCharType="begin"/>
          </w:r>
          <w:r w:rsidR="00FE7DD9">
            <w:rPr>
              <w:rFonts w:asciiTheme="majorBidi" w:hAnsiTheme="majorBidi" w:cstheme="majorBidi"/>
              <w:sz w:val="24"/>
              <w:szCs w:val="24"/>
            </w:rPr>
            <w:instrText xml:space="preserve"> CITATION Ham21 \l 1033 </w:instrText>
          </w:r>
          <w:r w:rsidR="00FE7DD9">
            <w:rPr>
              <w:rFonts w:asciiTheme="majorBidi" w:hAnsiTheme="majorBidi" w:cstheme="majorBidi"/>
              <w:sz w:val="24"/>
              <w:szCs w:val="24"/>
            </w:rPr>
            <w:fldChar w:fldCharType="separate"/>
          </w:r>
          <w:r w:rsidR="00FE7DD9">
            <w:rPr>
              <w:rFonts w:asciiTheme="majorBidi" w:hAnsiTheme="majorBidi" w:cstheme="majorBidi"/>
              <w:noProof/>
              <w:sz w:val="24"/>
              <w:szCs w:val="24"/>
            </w:rPr>
            <w:t xml:space="preserve"> </w:t>
          </w:r>
          <w:r w:rsidR="00FE7DD9" w:rsidRPr="00FE7DD9">
            <w:rPr>
              <w:rFonts w:asciiTheme="majorBidi" w:hAnsiTheme="majorBidi" w:cstheme="majorBidi"/>
              <w:noProof/>
              <w:sz w:val="24"/>
              <w:szCs w:val="24"/>
            </w:rPr>
            <w:t>(Hamadneh et al., 2021)</w:t>
          </w:r>
          <w:r w:rsidR="00FE7DD9">
            <w:rPr>
              <w:rFonts w:asciiTheme="majorBidi" w:hAnsiTheme="majorBidi" w:cstheme="majorBidi"/>
              <w:sz w:val="24"/>
              <w:szCs w:val="24"/>
            </w:rPr>
            <w:fldChar w:fldCharType="end"/>
          </w:r>
        </w:sdtContent>
      </w:sdt>
      <w:r w:rsidR="002B674C" w:rsidRPr="002B674C">
        <w:rPr>
          <w:rFonts w:asciiTheme="majorBidi" w:hAnsiTheme="majorBidi" w:cstheme="majorBidi"/>
          <w:sz w:val="24"/>
          <w:szCs w:val="24"/>
        </w:rPr>
        <w:t xml:space="preserve">. Holiday Inn, on the other hand, has segmented the market according to demographics like marital status, gender, age, and number of friends and family members. The next step for most companies after market segmentation is to zero in on those who provide the </w:t>
      </w:r>
      <w:r w:rsidR="002B674C" w:rsidRPr="002B674C">
        <w:rPr>
          <w:rFonts w:asciiTheme="majorBidi" w:hAnsiTheme="majorBidi" w:cstheme="majorBidi"/>
          <w:sz w:val="24"/>
          <w:szCs w:val="24"/>
        </w:rPr>
        <w:lastRenderedPageBreak/>
        <w:t>most promising leads for product promotion. Six Senses primarily markets to the business elite, celebrities, influential people, across the globe sports figures, government officials, the wealthy, etc., because of the luxury brand's repute for providing exceptional service to these particular demographics.</w:t>
      </w:r>
      <w:r w:rsidR="00580BFF" w:rsidRPr="00235809">
        <w:rPr>
          <w:rFonts w:asciiTheme="majorBidi" w:hAnsiTheme="majorBidi" w:cstheme="majorBidi"/>
          <w:sz w:val="24"/>
          <w:szCs w:val="24"/>
        </w:rPr>
        <w:t xml:space="preserve"> </w:t>
      </w:r>
      <w:r w:rsidR="002B674C" w:rsidRPr="002B674C">
        <w:rPr>
          <w:rFonts w:asciiTheme="majorBidi" w:hAnsiTheme="majorBidi" w:cstheme="majorBidi"/>
          <w:sz w:val="24"/>
          <w:szCs w:val="24"/>
        </w:rPr>
        <w:t>Holiday Inn, on the other hand, is aimed at budget-conscious tourists, hikers, and families</w:t>
      </w:r>
      <w:sdt>
        <w:sdtPr>
          <w:rPr>
            <w:rFonts w:asciiTheme="majorBidi" w:hAnsiTheme="majorBidi" w:cstheme="majorBidi"/>
            <w:sz w:val="24"/>
            <w:szCs w:val="24"/>
          </w:rPr>
          <w:id w:val="147949870"/>
          <w:citation/>
        </w:sdtPr>
        <w:sdtContent>
          <w:r w:rsidR="00FE7DD9">
            <w:rPr>
              <w:rFonts w:asciiTheme="majorBidi" w:hAnsiTheme="majorBidi" w:cstheme="majorBidi"/>
              <w:sz w:val="24"/>
              <w:szCs w:val="24"/>
            </w:rPr>
            <w:fldChar w:fldCharType="begin"/>
          </w:r>
          <w:r w:rsidR="00FE7DD9">
            <w:rPr>
              <w:rFonts w:asciiTheme="majorBidi" w:hAnsiTheme="majorBidi" w:cstheme="majorBidi"/>
              <w:sz w:val="24"/>
              <w:szCs w:val="24"/>
            </w:rPr>
            <w:instrText xml:space="preserve"> CITATION Meh21 \l 1033 </w:instrText>
          </w:r>
          <w:r w:rsidR="00FE7DD9">
            <w:rPr>
              <w:rFonts w:asciiTheme="majorBidi" w:hAnsiTheme="majorBidi" w:cstheme="majorBidi"/>
              <w:sz w:val="24"/>
              <w:szCs w:val="24"/>
            </w:rPr>
            <w:fldChar w:fldCharType="separate"/>
          </w:r>
          <w:r w:rsidR="00FE7DD9">
            <w:rPr>
              <w:rFonts w:asciiTheme="majorBidi" w:hAnsiTheme="majorBidi" w:cstheme="majorBidi"/>
              <w:noProof/>
              <w:sz w:val="24"/>
              <w:szCs w:val="24"/>
            </w:rPr>
            <w:t xml:space="preserve"> </w:t>
          </w:r>
          <w:r w:rsidR="00FE7DD9" w:rsidRPr="00FE7DD9">
            <w:rPr>
              <w:rFonts w:asciiTheme="majorBidi" w:hAnsiTheme="majorBidi" w:cstheme="majorBidi"/>
              <w:noProof/>
              <w:sz w:val="24"/>
              <w:szCs w:val="24"/>
            </w:rPr>
            <w:t>(Mehmood, 2021)</w:t>
          </w:r>
          <w:r w:rsidR="00FE7DD9">
            <w:rPr>
              <w:rFonts w:asciiTheme="majorBidi" w:hAnsiTheme="majorBidi" w:cstheme="majorBidi"/>
              <w:sz w:val="24"/>
              <w:szCs w:val="24"/>
            </w:rPr>
            <w:fldChar w:fldCharType="end"/>
          </w:r>
        </w:sdtContent>
      </w:sdt>
      <w:r w:rsidR="002B674C" w:rsidRPr="002B674C">
        <w:rPr>
          <w:rFonts w:asciiTheme="majorBidi" w:hAnsiTheme="majorBidi" w:cstheme="majorBidi"/>
          <w:sz w:val="24"/>
          <w:szCs w:val="24"/>
        </w:rPr>
        <w:t>. A well-considered positioning strategy may help a firm stand out in the minds of its target customers. For example, Six Senses engages significant individuals and companies via sponsorship of occasions. It presents itself as an international network of luxury hotels renowned for exceptional facilities and services. In contrast, Holiday Inn advertises itself as the best-value hotel in the United States, and its amenities are generally held in higher esteem</w:t>
      </w:r>
      <w:sdt>
        <w:sdtPr>
          <w:rPr>
            <w:rFonts w:asciiTheme="majorBidi" w:hAnsiTheme="majorBidi" w:cstheme="majorBidi"/>
            <w:sz w:val="24"/>
            <w:szCs w:val="24"/>
          </w:rPr>
          <w:id w:val="-51856373"/>
          <w:citation/>
        </w:sdtPr>
        <w:sdtContent>
          <w:r w:rsidR="00CF2E12">
            <w:rPr>
              <w:rFonts w:asciiTheme="majorBidi" w:hAnsiTheme="majorBidi" w:cstheme="majorBidi"/>
              <w:sz w:val="24"/>
              <w:szCs w:val="24"/>
            </w:rPr>
            <w:fldChar w:fldCharType="begin"/>
          </w:r>
          <w:r w:rsidR="00CF2E12">
            <w:rPr>
              <w:rFonts w:asciiTheme="majorBidi" w:hAnsiTheme="majorBidi" w:cstheme="majorBidi"/>
              <w:sz w:val="24"/>
              <w:szCs w:val="24"/>
            </w:rPr>
            <w:instrText xml:space="preserve"> CITATION XuF17 \l 1033 </w:instrText>
          </w:r>
          <w:r w:rsidR="00CF2E12">
            <w:rPr>
              <w:rFonts w:asciiTheme="majorBidi" w:hAnsiTheme="majorBidi" w:cstheme="majorBidi"/>
              <w:sz w:val="24"/>
              <w:szCs w:val="24"/>
            </w:rPr>
            <w:fldChar w:fldCharType="separate"/>
          </w:r>
          <w:r w:rsidR="00CF2E12">
            <w:rPr>
              <w:rFonts w:asciiTheme="majorBidi" w:hAnsiTheme="majorBidi" w:cstheme="majorBidi"/>
              <w:noProof/>
              <w:sz w:val="24"/>
              <w:szCs w:val="24"/>
            </w:rPr>
            <w:t xml:space="preserve"> </w:t>
          </w:r>
          <w:r w:rsidR="00CF2E12" w:rsidRPr="00CF2E12">
            <w:rPr>
              <w:rFonts w:asciiTheme="majorBidi" w:hAnsiTheme="majorBidi" w:cstheme="majorBidi"/>
              <w:noProof/>
              <w:sz w:val="24"/>
              <w:szCs w:val="24"/>
            </w:rPr>
            <w:t>(Xu et al., 2017)</w:t>
          </w:r>
          <w:r w:rsidR="00CF2E12">
            <w:rPr>
              <w:rFonts w:asciiTheme="majorBidi" w:hAnsiTheme="majorBidi" w:cstheme="majorBidi"/>
              <w:sz w:val="24"/>
              <w:szCs w:val="24"/>
            </w:rPr>
            <w:fldChar w:fldCharType="end"/>
          </w:r>
        </w:sdtContent>
      </w:sdt>
      <w:r w:rsidR="002B674C" w:rsidRPr="002B674C">
        <w:rPr>
          <w:rFonts w:asciiTheme="majorBidi" w:hAnsiTheme="majorBidi" w:cstheme="majorBidi"/>
          <w:sz w:val="24"/>
          <w:szCs w:val="24"/>
        </w:rPr>
        <w:t>.</w:t>
      </w:r>
    </w:p>
    <w:p w14:paraId="1825AC5C" w14:textId="77777777" w:rsidR="002050C7" w:rsidRPr="00235809" w:rsidRDefault="00580BFF" w:rsidP="002B674C">
      <w:pPr>
        <w:spacing w:line="360" w:lineRule="auto"/>
        <w:jc w:val="both"/>
        <w:rPr>
          <w:rFonts w:asciiTheme="majorBidi" w:hAnsiTheme="majorBidi" w:cstheme="majorBidi"/>
          <w:sz w:val="24"/>
          <w:szCs w:val="24"/>
        </w:rPr>
      </w:pPr>
      <w:r w:rsidRPr="002B674C">
        <w:rPr>
          <w:rFonts w:asciiTheme="majorBidi" w:hAnsiTheme="majorBidi" w:cstheme="majorBidi"/>
          <w:sz w:val="24"/>
          <w:szCs w:val="24"/>
        </w:rPr>
        <w:t xml:space="preserve">Both the upscale Six Senses and the comparatively affordable Holiday Inn chains have a responsibility to their guests as well as additional participants to operate responsibly. </w:t>
      </w:r>
      <w:sdt>
        <w:sdtPr>
          <w:rPr>
            <w:rFonts w:asciiTheme="majorBidi" w:hAnsiTheme="majorBidi" w:cstheme="majorBidi"/>
            <w:sz w:val="24"/>
            <w:szCs w:val="24"/>
          </w:rPr>
          <w:id w:val="-623774751"/>
          <w:citation/>
        </w:sdtPr>
        <w:sdtContent>
          <w:r w:rsidR="00BF1626">
            <w:rPr>
              <w:rFonts w:asciiTheme="majorBidi" w:hAnsiTheme="majorBidi" w:cstheme="majorBidi"/>
              <w:sz w:val="24"/>
              <w:szCs w:val="24"/>
            </w:rPr>
            <w:fldChar w:fldCharType="begin"/>
          </w:r>
          <w:r w:rsidR="00BF1626">
            <w:rPr>
              <w:rFonts w:asciiTheme="majorBidi" w:hAnsiTheme="majorBidi" w:cstheme="majorBidi"/>
              <w:sz w:val="24"/>
              <w:szCs w:val="24"/>
            </w:rPr>
            <w:instrText xml:space="preserve"> CITATION Sha211 \l 1033 </w:instrText>
          </w:r>
          <w:r w:rsidR="00BF1626">
            <w:rPr>
              <w:rFonts w:asciiTheme="majorBidi" w:hAnsiTheme="majorBidi" w:cstheme="majorBidi"/>
              <w:sz w:val="24"/>
              <w:szCs w:val="24"/>
            </w:rPr>
            <w:fldChar w:fldCharType="separate"/>
          </w:r>
          <w:r w:rsidR="00BF1626" w:rsidRPr="00BF1626">
            <w:rPr>
              <w:rFonts w:asciiTheme="majorBidi" w:hAnsiTheme="majorBidi" w:cstheme="majorBidi"/>
              <w:noProof/>
              <w:sz w:val="24"/>
              <w:szCs w:val="24"/>
            </w:rPr>
            <w:t>(Shankar &amp; Jain, 2021)</w:t>
          </w:r>
          <w:r w:rsidR="00BF1626">
            <w:rPr>
              <w:rFonts w:asciiTheme="majorBidi" w:hAnsiTheme="majorBidi" w:cstheme="majorBidi"/>
              <w:sz w:val="24"/>
              <w:szCs w:val="24"/>
            </w:rPr>
            <w:fldChar w:fldCharType="end"/>
          </w:r>
        </w:sdtContent>
      </w:sdt>
      <w:r w:rsidR="00BF1626">
        <w:rPr>
          <w:rFonts w:asciiTheme="majorBidi" w:hAnsiTheme="majorBidi" w:cstheme="majorBidi"/>
          <w:sz w:val="24"/>
          <w:szCs w:val="24"/>
        </w:rPr>
        <w:t xml:space="preserve"> explains that </w:t>
      </w:r>
      <w:r w:rsidRPr="002B674C">
        <w:rPr>
          <w:rFonts w:asciiTheme="majorBidi" w:hAnsiTheme="majorBidi" w:cstheme="majorBidi"/>
          <w:sz w:val="24"/>
          <w:szCs w:val="24"/>
        </w:rPr>
        <w:t xml:space="preserve">Green marketers promote environmentally friendly </w:t>
      </w:r>
      <w:r w:rsidR="00FE7DD9" w:rsidRPr="002B674C">
        <w:rPr>
          <w:rFonts w:asciiTheme="majorBidi" w:hAnsiTheme="majorBidi" w:cstheme="majorBidi"/>
          <w:sz w:val="24"/>
          <w:szCs w:val="24"/>
        </w:rPr>
        <w:t>practices</w:t>
      </w:r>
      <w:r w:rsidRPr="002B674C">
        <w:rPr>
          <w:rFonts w:asciiTheme="majorBidi" w:hAnsiTheme="majorBidi" w:cstheme="majorBidi"/>
          <w:sz w:val="24"/>
          <w:szCs w:val="24"/>
        </w:rPr>
        <w:t xml:space="preserve"> inside an </w:t>
      </w:r>
      <w:r w:rsidR="00FE7DD9" w:rsidRPr="002B674C">
        <w:rPr>
          <w:rFonts w:asciiTheme="majorBidi" w:hAnsiTheme="majorBidi" w:cstheme="majorBidi"/>
          <w:sz w:val="24"/>
          <w:szCs w:val="24"/>
        </w:rPr>
        <w:t>organization</w:t>
      </w:r>
      <w:r w:rsidRPr="002B674C">
        <w:rPr>
          <w:rFonts w:asciiTheme="majorBidi" w:hAnsiTheme="majorBidi" w:cstheme="majorBidi"/>
          <w:sz w:val="24"/>
          <w:szCs w:val="24"/>
        </w:rPr>
        <w:t xml:space="preserve"> to boost its public standing. Six Senses has reduced its energy use by 30% thanks to its commitment to sustainability measures including using environmentally conscious materials and construction technologies. Over eighty percent of the waste produced by their hotels is recycled or repurposed because of their intensive recycling plan. In addition, they anticipate reducing their consumption of water by 35% by 2021 as a result of their purchase of extremely effective plumbing fixtures</w:t>
      </w:r>
      <w:sdt>
        <w:sdtPr>
          <w:rPr>
            <w:rFonts w:asciiTheme="majorBidi" w:hAnsiTheme="majorBidi" w:cstheme="majorBidi"/>
            <w:sz w:val="24"/>
            <w:szCs w:val="24"/>
          </w:rPr>
          <w:id w:val="-193084054"/>
          <w:citation/>
        </w:sdtPr>
        <w:sdtContent>
          <w:r w:rsidR="006D7DDA">
            <w:rPr>
              <w:rFonts w:asciiTheme="majorBidi" w:hAnsiTheme="majorBidi" w:cstheme="majorBidi"/>
              <w:sz w:val="24"/>
              <w:szCs w:val="24"/>
            </w:rPr>
            <w:fldChar w:fldCharType="begin"/>
          </w:r>
          <w:r w:rsidR="006D7DDA">
            <w:rPr>
              <w:rFonts w:asciiTheme="majorBidi" w:hAnsiTheme="majorBidi" w:cstheme="majorBidi"/>
              <w:sz w:val="24"/>
              <w:szCs w:val="24"/>
            </w:rPr>
            <w:instrText xml:space="preserve"> CITATION Oba21 \l 1033 </w:instrText>
          </w:r>
          <w:r w:rsidR="006D7DDA">
            <w:rPr>
              <w:rFonts w:asciiTheme="majorBidi" w:hAnsiTheme="majorBidi" w:cstheme="majorBidi"/>
              <w:sz w:val="24"/>
              <w:szCs w:val="24"/>
            </w:rPr>
            <w:fldChar w:fldCharType="separate"/>
          </w:r>
          <w:r w:rsidR="006D7DDA">
            <w:rPr>
              <w:rFonts w:asciiTheme="majorBidi" w:hAnsiTheme="majorBidi" w:cstheme="majorBidi"/>
              <w:noProof/>
              <w:sz w:val="24"/>
              <w:szCs w:val="24"/>
            </w:rPr>
            <w:t xml:space="preserve"> </w:t>
          </w:r>
          <w:r w:rsidR="006D7DDA" w:rsidRPr="006D7DDA">
            <w:rPr>
              <w:rFonts w:asciiTheme="majorBidi" w:hAnsiTheme="majorBidi" w:cstheme="majorBidi"/>
              <w:noProof/>
              <w:sz w:val="24"/>
              <w:szCs w:val="24"/>
            </w:rPr>
            <w:t>(Obaid, 2021)</w:t>
          </w:r>
          <w:r w:rsidR="006D7DDA">
            <w:rPr>
              <w:rFonts w:asciiTheme="majorBidi" w:hAnsiTheme="majorBidi" w:cstheme="majorBidi"/>
              <w:sz w:val="24"/>
              <w:szCs w:val="24"/>
            </w:rPr>
            <w:fldChar w:fldCharType="end"/>
          </w:r>
        </w:sdtContent>
      </w:sdt>
      <w:r w:rsidRPr="002B674C">
        <w:rPr>
          <w:rFonts w:asciiTheme="majorBidi" w:hAnsiTheme="majorBidi" w:cstheme="majorBidi"/>
          <w:sz w:val="24"/>
          <w:szCs w:val="24"/>
        </w:rPr>
        <w:t>.</w:t>
      </w:r>
      <w:r w:rsidRPr="00235809">
        <w:rPr>
          <w:rFonts w:asciiTheme="majorBidi" w:hAnsiTheme="majorBidi" w:cstheme="majorBidi"/>
          <w:sz w:val="24"/>
          <w:szCs w:val="24"/>
        </w:rPr>
        <w:t xml:space="preserve"> </w:t>
      </w:r>
      <w:r w:rsidRPr="002B674C">
        <w:rPr>
          <w:rFonts w:asciiTheme="majorBidi" w:hAnsiTheme="majorBidi" w:cstheme="majorBidi"/>
          <w:sz w:val="24"/>
          <w:szCs w:val="24"/>
        </w:rPr>
        <w:t>Holiday Inn is aiming to reduce its carbon impact in the same way that other businesses are. They want to eliminate the usage of disposable plastics in their hotels by 2025. Another indicator of Holiday Inn's concern for the environment is the thorough trash management system. Both Six Senses and Holiday Inn are making efforts to become more environmentally sustainable, which is great news for both the world and their bottom lines. Hotels may demonstrate their commitment to sustainability and responsibility to their users by emphasizing and promoting environmentally friendly practices</w:t>
      </w:r>
      <w:sdt>
        <w:sdtPr>
          <w:rPr>
            <w:rFonts w:asciiTheme="majorBidi" w:hAnsiTheme="majorBidi" w:cstheme="majorBidi"/>
            <w:sz w:val="24"/>
            <w:szCs w:val="24"/>
          </w:rPr>
          <w:id w:val="-1597552392"/>
          <w:citation/>
        </w:sdtPr>
        <w:sdtContent>
          <w:r w:rsidR="004158BB">
            <w:rPr>
              <w:rFonts w:asciiTheme="majorBidi" w:hAnsiTheme="majorBidi" w:cstheme="majorBidi"/>
              <w:sz w:val="24"/>
              <w:szCs w:val="24"/>
            </w:rPr>
            <w:fldChar w:fldCharType="begin"/>
          </w:r>
          <w:r w:rsidR="004158BB">
            <w:rPr>
              <w:rFonts w:asciiTheme="majorBidi" w:hAnsiTheme="majorBidi" w:cstheme="majorBidi"/>
              <w:sz w:val="24"/>
              <w:szCs w:val="24"/>
            </w:rPr>
            <w:instrText xml:space="preserve"> CITATION Nad17 \l 1033 </w:instrText>
          </w:r>
          <w:r w:rsidR="004158BB">
            <w:rPr>
              <w:rFonts w:asciiTheme="majorBidi" w:hAnsiTheme="majorBidi" w:cstheme="majorBidi"/>
              <w:sz w:val="24"/>
              <w:szCs w:val="24"/>
            </w:rPr>
            <w:fldChar w:fldCharType="separate"/>
          </w:r>
          <w:r w:rsidR="004158BB">
            <w:rPr>
              <w:rFonts w:asciiTheme="majorBidi" w:hAnsiTheme="majorBidi" w:cstheme="majorBidi"/>
              <w:noProof/>
              <w:sz w:val="24"/>
              <w:szCs w:val="24"/>
            </w:rPr>
            <w:t xml:space="preserve"> </w:t>
          </w:r>
          <w:r w:rsidR="004158BB" w:rsidRPr="004158BB">
            <w:rPr>
              <w:rFonts w:asciiTheme="majorBidi" w:hAnsiTheme="majorBidi" w:cstheme="majorBidi"/>
              <w:noProof/>
              <w:sz w:val="24"/>
              <w:szCs w:val="24"/>
            </w:rPr>
            <w:t>(Nadzri &amp; Musa, 2017)</w:t>
          </w:r>
          <w:r w:rsidR="004158BB">
            <w:rPr>
              <w:rFonts w:asciiTheme="majorBidi" w:hAnsiTheme="majorBidi" w:cstheme="majorBidi"/>
              <w:sz w:val="24"/>
              <w:szCs w:val="24"/>
            </w:rPr>
            <w:fldChar w:fldCharType="end"/>
          </w:r>
        </w:sdtContent>
      </w:sdt>
      <w:r w:rsidRPr="002B674C">
        <w:rPr>
          <w:rFonts w:asciiTheme="majorBidi" w:hAnsiTheme="majorBidi" w:cstheme="majorBidi"/>
          <w:sz w:val="24"/>
          <w:szCs w:val="24"/>
        </w:rPr>
        <w:t>.</w:t>
      </w:r>
    </w:p>
    <w:p w14:paraId="7851FC7E" w14:textId="77777777" w:rsidR="002050C7" w:rsidRPr="00235809" w:rsidRDefault="00580BFF" w:rsidP="002B674C">
      <w:pPr>
        <w:spacing w:line="360" w:lineRule="auto"/>
        <w:jc w:val="both"/>
        <w:rPr>
          <w:rFonts w:asciiTheme="majorBidi" w:hAnsiTheme="majorBidi" w:cstheme="majorBidi"/>
          <w:sz w:val="24"/>
          <w:szCs w:val="24"/>
        </w:rPr>
      </w:pPr>
      <w:r w:rsidRPr="002B674C">
        <w:rPr>
          <w:rFonts w:asciiTheme="majorBidi" w:hAnsiTheme="majorBidi" w:cstheme="majorBidi"/>
          <w:sz w:val="24"/>
          <w:szCs w:val="24"/>
        </w:rPr>
        <w:t xml:space="preserve">The tourism and hospitality sectors have been hit hard by the government's reaction to the Covid-19 epidemic, which has resulted in tight travel limitations. Both the Six Senses and the Holiday Inn have implemented measures to keep their guests safe from the virus. The Six Senses team is committed to protecting guests against the dissemination of Covid-19 by providing a safe and </w:t>
      </w:r>
      <w:r w:rsidRPr="002B674C">
        <w:rPr>
          <w:rFonts w:asciiTheme="majorBidi" w:hAnsiTheme="majorBidi" w:cstheme="majorBidi"/>
          <w:sz w:val="24"/>
          <w:szCs w:val="24"/>
        </w:rPr>
        <w:lastRenderedPageBreak/>
        <w:t>clean environment</w:t>
      </w:r>
      <w:sdt>
        <w:sdtPr>
          <w:rPr>
            <w:rFonts w:asciiTheme="majorBidi" w:hAnsiTheme="majorBidi" w:cstheme="majorBidi"/>
            <w:sz w:val="24"/>
            <w:szCs w:val="24"/>
          </w:rPr>
          <w:id w:val="-1839758301"/>
          <w:citation/>
        </w:sdtPr>
        <w:sdtContent>
          <w:r w:rsidR="006D7DDA">
            <w:rPr>
              <w:rFonts w:asciiTheme="majorBidi" w:hAnsiTheme="majorBidi" w:cstheme="majorBidi"/>
              <w:sz w:val="24"/>
              <w:szCs w:val="24"/>
            </w:rPr>
            <w:fldChar w:fldCharType="begin"/>
          </w:r>
          <w:r w:rsidR="006D7DDA">
            <w:rPr>
              <w:rFonts w:asciiTheme="majorBidi" w:hAnsiTheme="majorBidi" w:cstheme="majorBidi"/>
              <w:sz w:val="24"/>
              <w:szCs w:val="24"/>
            </w:rPr>
            <w:instrText xml:space="preserve"> CITATION Cha17 \l 1033 </w:instrText>
          </w:r>
          <w:r w:rsidR="006D7DDA">
            <w:rPr>
              <w:rFonts w:asciiTheme="majorBidi" w:hAnsiTheme="majorBidi" w:cstheme="majorBidi"/>
              <w:sz w:val="24"/>
              <w:szCs w:val="24"/>
            </w:rPr>
            <w:fldChar w:fldCharType="separate"/>
          </w:r>
          <w:r w:rsidR="006D7DDA">
            <w:rPr>
              <w:rFonts w:asciiTheme="majorBidi" w:hAnsiTheme="majorBidi" w:cstheme="majorBidi"/>
              <w:noProof/>
              <w:sz w:val="24"/>
              <w:szCs w:val="24"/>
            </w:rPr>
            <w:t xml:space="preserve"> </w:t>
          </w:r>
          <w:r w:rsidR="006D7DDA" w:rsidRPr="006D7DDA">
            <w:rPr>
              <w:rFonts w:asciiTheme="majorBidi" w:hAnsiTheme="majorBidi" w:cstheme="majorBidi"/>
              <w:noProof/>
              <w:sz w:val="24"/>
              <w:szCs w:val="24"/>
            </w:rPr>
            <w:t>(Chahal &amp; RanI, 2017)</w:t>
          </w:r>
          <w:r w:rsidR="006D7DDA">
            <w:rPr>
              <w:rFonts w:asciiTheme="majorBidi" w:hAnsiTheme="majorBidi" w:cstheme="majorBidi"/>
              <w:sz w:val="24"/>
              <w:szCs w:val="24"/>
            </w:rPr>
            <w:fldChar w:fldCharType="end"/>
          </w:r>
        </w:sdtContent>
      </w:sdt>
      <w:r w:rsidRPr="002B674C">
        <w:rPr>
          <w:rFonts w:asciiTheme="majorBidi" w:hAnsiTheme="majorBidi" w:cstheme="majorBidi"/>
          <w:sz w:val="24"/>
          <w:szCs w:val="24"/>
        </w:rPr>
        <w:t>. Electrostatic sprayers and disinfectant products for hospitals are just two examples of the cleaning technologies they've embraced to meet stringent hygiene standards in public spaces. To further guarantee the security of the nourishment and drink provided to visitors in their rooms, Six Senses is modifying its business operations and dining processes.</w:t>
      </w:r>
      <w:r w:rsidRPr="00235809">
        <w:rPr>
          <w:rFonts w:asciiTheme="majorBidi" w:hAnsiTheme="majorBidi" w:cstheme="majorBidi"/>
          <w:sz w:val="24"/>
          <w:szCs w:val="24"/>
        </w:rPr>
        <w:t xml:space="preserve"> </w:t>
      </w:r>
      <w:r w:rsidRPr="002B674C">
        <w:rPr>
          <w:rFonts w:asciiTheme="majorBidi" w:hAnsiTheme="majorBidi" w:cstheme="majorBidi"/>
          <w:sz w:val="24"/>
          <w:szCs w:val="24"/>
        </w:rPr>
        <w:t>Holiday Inn has established its business in the competitive landscape by implementing stringent safety measures in response to the pandemic. They've put up barriers like screening in the lobby and automated hand sanitizer dispensers to keep visitors at bay</w:t>
      </w:r>
      <w:sdt>
        <w:sdtPr>
          <w:rPr>
            <w:rFonts w:asciiTheme="majorBidi" w:hAnsiTheme="majorBidi" w:cstheme="majorBidi"/>
            <w:sz w:val="24"/>
            <w:szCs w:val="24"/>
          </w:rPr>
          <w:id w:val="1572080442"/>
          <w:citation/>
        </w:sdtPr>
        <w:sdtContent>
          <w:r w:rsidR="006D7DDA">
            <w:rPr>
              <w:rFonts w:asciiTheme="majorBidi" w:hAnsiTheme="majorBidi" w:cstheme="majorBidi"/>
              <w:sz w:val="24"/>
              <w:szCs w:val="24"/>
            </w:rPr>
            <w:fldChar w:fldCharType="begin"/>
          </w:r>
          <w:r w:rsidR="006D7DDA">
            <w:rPr>
              <w:rFonts w:asciiTheme="majorBidi" w:hAnsiTheme="majorBidi" w:cstheme="majorBidi"/>
              <w:sz w:val="24"/>
              <w:szCs w:val="24"/>
            </w:rPr>
            <w:instrText xml:space="preserve"> CITATION Her15 \l 1033 </w:instrText>
          </w:r>
          <w:r w:rsidR="006D7DDA">
            <w:rPr>
              <w:rFonts w:asciiTheme="majorBidi" w:hAnsiTheme="majorBidi" w:cstheme="majorBidi"/>
              <w:sz w:val="24"/>
              <w:szCs w:val="24"/>
            </w:rPr>
            <w:fldChar w:fldCharType="separate"/>
          </w:r>
          <w:r w:rsidR="006D7DDA">
            <w:rPr>
              <w:rFonts w:asciiTheme="majorBidi" w:hAnsiTheme="majorBidi" w:cstheme="majorBidi"/>
              <w:noProof/>
              <w:sz w:val="24"/>
              <w:szCs w:val="24"/>
            </w:rPr>
            <w:t xml:space="preserve"> </w:t>
          </w:r>
          <w:r w:rsidR="006D7DDA" w:rsidRPr="006D7DDA">
            <w:rPr>
              <w:rFonts w:asciiTheme="majorBidi" w:hAnsiTheme="majorBidi" w:cstheme="majorBidi"/>
              <w:noProof/>
              <w:sz w:val="24"/>
              <w:szCs w:val="24"/>
            </w:rPr>
            <w:t>(Herrero et al., 2015)</w:t>
          </w:r>
          <w:r w:rsidR="006D7DDA">
            <w:rPr>
              <w:rFonts w:asciiTheme="majorBidi" w:hAnsiTheme="majorBidi" w:cstheme="majorBidi"/>
              <w:sz w:val="24"/>
              <w:szCs w:val="24"/>
            </w:rPr>
            <w:fldChar w:fldCharType="end"/>
          </w:r>
        </w:sdtContent>
      </w:sdt>
      <w:r w:rsidRPr="002B674C">
        <w:rPr>
          <w:rFonts w:asciiTheme="majorBidi" w:hAnsiTheme="majorBidi" w:cstheme="majorBidi"/>
          <w:sz w:val="24"/>
          <w:szCs w:val="24"/>
        </w:rPr>
        <w:t>. The Holiday Inn Cleanliness and Prevention Label is a quality assurance scheme for housekeeping services that ensures the highest standards of cleanliness and security are maintained at all times. Both Six Senses and Holiday Inn have provided their employees with safety equipment out of concern for their mental health. Taking these measures during this pandemic demonstrates how highly they regard the health as well as security of their guests and employees</w:t>
      </w:r>
      <w:sdt>
        <w:sdtPr>
          <w:rPr>
            <w:rFonts w:asciiTheme="majorBidi" w:hAnsiTheme="majorBidi" w:cstheme="majorBidi"/>
            <w:sz w:val="24"/>
            <w:szCs w:val="24"/>
          </w:rPr>
          <w:id w:val="1776283159"/>
          <w:citation/>
        </w:sdtPr>
        <w:sdtContent>
          <w:r w:rsidR="00F463B4">
            <w:rPr>
              <w:rFonts w:asciiTheme="majorBidi" w:hAnsiTheme="majorBidi" w:cstheme="majorBidi"/>
              <w:sz w:val="24"/>
              <w:szCs w:val="24"/>
            </w:rPr>
            <w:fldChar w:fldCharType="begin"/>
          </w:r>
          <w:r w:rsidR="00F463B4">
            <w:rPr>
              <w:rFonts w:asciiTheme="majorBidi" w:hAnsiTheme="majorBidi" w:cstheme="majorBidi"/>
              <w:sz w:val="24"/>
              <w:szCs w:val="24"/>
            </w:rPr>
            <w:instrText xml:space="preserve"> CITATION Ioa15 \l 1033 </w:instrText>
          </w:r>
          <w:r w:rsidR="00F463B4">
            <w:rPr>
              <w:rFonts w:asciiTheme="majorBidi" w:hAnsiTheme="majorBidi" w:cstheme="majorBidi"/>
              <w:sz w:val="24"/>
              <w:szCs w:val="24"/>
            </w:rPr>
            <w:fldChar w:fldCharType="separate"/>
          </w:r>
          <w:r w:rsidR="00F463B4">
            <w:rPr>
              <w:rFonts w:asciiTheme="majorBidi" w:hAnsiTheme="majorBidi" w:cstheme="majorBidi"/>
              <w:noProof/>
              <w:sz w:val="24"/>
              <w:szCs w:val="24"/>
            </w:rPr>
            <w:t xml:space="preserve"> </w:t>
          </w:r>
          <w:r w:rsidR="00F463B4" w:rsidRPr="00F463B4">
            <w:rPr>
              <w:rFonts w:asciiTheme="majorBidi" w:hAnsiTheme="majorBidi" w:cstheme="majorBidi"/>
              <w:noProof/>
              <w:sz w:val="24"/>
              <w:szCs w:val="24"/>
            </w:rPr>
            <w:t>(Ioanid et al., 2015)</w:t>
          </w:r>
          <w:r w:rsidR="00F463B4">
            <w:rPr>
              <w:rFonts w:asciiTheme="majorBidi" w:hAnsiTheme="majorBidi" w:cstheme="majorBidi"/>
              <w:sz w:val="24"/>
              <w:szCs w:val="24"/>
            </w:rPr>
            <w:fldChar w:fldCharType="end"/>
          </w:r>
        </w:sdtContent>
      </w:sdt>
      <w:r w:rsidRPr="002B674C">
        <w:rPr>
          <w:rFonts w:asciiTheme="majorBidi" w:hAnsiTheme="majorBidi" w:cstheme="majorBidi"/>
          <w:sz w:val="24"/>
          <w:szCs w:val="24"/>
        </w:rPr>
        <w:t>.</w:t>
      </w:r>
    </w:p>
    <w:p w14:paraId="7C505B04" w14:textId="77777777" w:rsidR="002050C7" w:rsidRPr="00814355" w:rsidRDefault="00580BFF" w:rsidP="00814355">
      <w:pPr>
        <w:pStyle w:val="Heading1"/>
        <w:rPr>
          <w:rFonts w:asciiTheme="majorBidi" w:hAnsiTheme="majorBidi"/>
          <w:color w:val="auto"/>
        </w:rPr>
      </w:pPr>
      <w:r w:rsidRPr="00814355">
        <w:rPr>
          <w:rFonts w:asciiTheme="majorBidi" w:hAnsiTheme="majorBidi"/>
          <w:color w:val="auto"/>
        </w:rPr>
        <w:t>Conclusion</w:t>
      </w:r>
    </w:p>
    <w:p w14:paraId="31C0A25D" w14:textId="77777777" w:rsidR="00626FD1" w:rsidRDefault="00580BFF" w:rsidP="002B674C">
      <w:pPr>
        <w:spacing w:line="360" w:lineRule="auto"/>
        <w:jc w:val="both"/>
        <w:rPr>
          <w:rFonts w:asciiTheme="majorBidi" w:hAnsiTheme="majorBidi" w:cstheme="majorBidi"/>
          <w:sz w:val="24"/>
          <w:szCs w:val="24"/>
        </w:rPr>
      </w:pPr>
      <w:r w:rsidRPr="002B674C">
        <w:rPr>
          <w:rFonts w:asciiTheme="majorBidi" w:hAnsiTheme="majorBidi" w:cstheme="majorBidi"/>
          <w:sz w:val="24"/>
          <w:szCs w:val="24"/>
        </w:rPr>
        <w:t>The purpose of this study is to compare and contrast the marketing approaches used by two major hotel chains: Six Senses and Holiday Inn. The article begins with an overview of both hotel companies before delving into an analysis of their respective pricing strategies, advertising campaigns, and complementary amenity bundles. By poring through business data and market statistics, the author also assesses the hotels' competitors.</w:t>
      </w:r>
      <w:r w:rsidR="002050C7" w:rsidRPr="00235809">
        <w:rPr>
          <w:rFonts w:asciiTheme="majorBidi" w:hAnsiTheme="majorBidi" w:cstheme="majorBidi"/>
          <w:sz w:val="24"/>
          <w:szCs w:val="24"/>
        </w:rPr>
        <w:t xml:space="preserve"> </w:t>
      </w:r>
      <w:r w:rsidRPr="002B674C">
        <w:rPr>
          <w:rFonts w:asciiTheme="majorBidi" w:hAnsiTheme="majorBidi" w:cstheme="majorBidi"/>
          <w:sz w:val="24"/>
          <w:szCs w:val="24"/>
        </w:rPr>
        <w:t>The essay also evaluates the environmental initiatives of Holiday Inn and Six Senses. It's not hard to tell that Six Senses is a luxury hotel chain with properties all over the globe and that Holiday Inn is an additional wallet-friendly alternative having hotels throughout the entire globe as well. The measures that these hotel chains took to guarantee the security and well-being of their guests throughout the Covid-19 epidemic are also the subject of this research. This article compares and contrasts the marketing strategies used by Six Senses and Holiday Inn, two of the most dominant businesses in the industries they operate in.</w:t>
      </w:r>
    </w:p>
    <w:p w14:paraId="462191A4" w14:textId="77777777" w:rsidR="00626FD1" w:rsidRDefault="00580BFF">
      <w:pPr>
        <w:rPr>
          <w:rFonts w:asciiTheme="majorBidi" w:hAnsiTheme="majorBidi" w:cstheme="majorBidi"/>
          <w:sz w:val="24"/>
          <w:szCs w:val="24"/>
        </w:rPr>
      </w:pPr>
      <w:r>
        <w:rPr>
          <w:rFonts w:asciiTheme="majorBidi" w:hAnsiTheme="majorBidi" w:cstheme="majorBidi"/>
          <w:sz w:val="24"/>
          <w:szCs w:val="24"/>
        </w:rPr>
        <w:br w:type="page"/>
      </w:r>
    </w:p>
    <w:sdt>
      <w:sdtPr>
        <w:rPr>
          <w:rFonts w:asciiTheme="minorHAnsi" w:eastAsiaTheme="minorHAnsi" w:hAnsiTheme="minorHAnsi" w:cstheme="minorBidi"/>
          <w:b w:val="0"/>
          <w:bCs w:val="0"/>
          <w:color w:val="auto"/>
          <w:sz w:val="22"/>
          <w:szCs w:val="22"/>
        </w:rPr>
        <w:id w:val="-791291659"/>
        <w:docPartObj>
          <w:docPartGallery w:val="Bibliographies"/>
          <w:docPartUnique/>
        </w:docPartObj>
      </w:sdtPr>
      <w:sdtEndPr>
        <w:rPr>
          <w:rFonts w:asciiTheme="majorBidi" w:hAnsiTheme="majorBidi"/>
          <w:sz w:val="24"/>
          <w:szCs w:val="24"/>
        </w:rPr>
      </w:sdtEndPr>
      <w:sdtContent>
        <w:p w14:paraId="10DD21D7" w14:textId="77777777" w:rsidR="00626FD1" w:rsidRPr="00626FD1" w:rsidRDefault="00580BFF" w:rsidP="00626FD1">
          <w:pPr>
            <w:pStyle w:val="Heading1"/>
            <w:rPr>
              <w:rFonts w:asciiTheme="majorBidi" w:hAnsiTheme="majorBidi"/>
              <w:color w:val="auto"/>
            </w:rPr>
          </w:pPr>
          <w:r w:rsidRPr="00626FD1">
            <w:rPr>
              <w:rFonts w:asciiTheme="majorBidi" w:hAnsiTheme="majorBidi"/>
              <w:color w:val="auto"/>
            </w:rPr>
            <w:t>References</w:t>
          </w:r>
        </w:p>
        <w:sdt>
          <w:sdtPr>
            <w:id w:val="111145805"/>
            <w:bibliography/>
          </w:sdtPr>
          <w:sdtEndPr>
            <w:rPr>
              <w:rFonts w:asciiTheme="majorBidi" w:hAnsiTheme="majorBidi" w:cstheme="majorBidi"/>
              <w:sz w:val="24"/>
              <w:szCs w:val="24"/>
            </w:rPr>
          </w:sdtEndPr>
          <w:sdtContent>
            <w:p w14:paraId="0E67DFBE" w14:textId="77777777" w:rsidR="00626FD1" w:rsidRPr="00626FD1" w:rsidRDefault="00580BFF" w:rsidP="00626FD1">
              <w:pPr>
                <w:pStyle w:val="Bibliography"/>
                <w:spacing w:line="360" w:lineRule="auto"/>
                <w:jc w:val="both"/>
                <w:rPr>
                  <w:rFonts w:asciiTheme="majorBidi" w:hAnsiTheme="majorBidi" w:cstheme="majorBidi"/>
                  <w:noProof/>
                  <w:sz w:val="24"/>
                  <w:szCs w:val="24"/>
                </w:rPr>
              </w:pPr>
              <w:r w:rsidRPr="00626FD1">
                <w:rPr>
                  <w:rFonts w:asciiTheme="majorBidi" w:hAnsiTheme="majorBidi" w:cstheme="majorBidi"/>
                  <w:sz w:val="24"/>
                  <w:szCs w:val="24"/>
                </w:rPr>
                <w:fldChar w:fldCharType="begin"/>
              </w:r>
              <w:r w:rsidRPr="00626FD1">
                <w:rPr>
                  <w:rFonts w:asciiTheme="majorBidi" w:hAnsiTheme="majorBidi" w:cstheme="majorBidi"/>
                  <w:sz w:val="24"/>
                  <w:szCs w:val="24"/>
                </w:rPr>
                <w:instrText xml:space="preserve"> BIBLIOGRAPHY </w:instrText>
              </w:r>
              <w:r w:rsidRPr="00626FD1">
                <w:rPr>
                  <w:rFonts w:asciiTheme="majorBidi" w:hAnsiTheme="majorBidi" w:cstheme="majorBidi"/>
                  <w:sz w:val="24"/>
                  <w:szCs w:val="24"/>
                </w:rPr>
                <w:fldChar w:fldCharType="separate"/>
              </w:r>
              <w:r w:rsidRPr="00626FD1">
                <w:rPr>
                  <w:rFonts w:asciiTheme="majorBidi" w:hAnsiTheme="majorBidi" w:cstheme="majorBidi"/>
                  <w:noProof/>
                  <w:sz w:val="24"/>
                  <w:szCs w:val="24"/>
                </w:rPr>
                <w:t xml:space="preserve">Alsharari, N., 2021. Integrating blockchain technology with the Internet of Things to efficiency. </w:t>
              </w:r>
              <w:r w:rsidRPr="00626FD1">
                <w:rPr>
                  <w:rFonts w:asciiTheme="majorBidi" w:hAnsiTheme="majorBidi" w:cstheme="majorBidi"/>
                  <w:i/>
                  <w:iCs/>
                  <w:noProof/>
                  <w:sz w:val="24"/>
                  <w:szCs w:val="24"/>
                </w:rPr>
                <w:t>International Journal of Innovation and Technology Management</w:t>
              </w:r>
              <w:r w:rsidRPr="00626FD1">
                <w:rPr>
                  <w:rFonts w:asciiTheme="majorBidi" w:hAnsiTheme="majorBidi" w:cstheme="majorBidi"/>
                  <w:noProof/>
                  <w:sz w:val="24"/>
                  <w:szCs w:val="24"/>
                </w:rPr>
                <w:t>, 1, p.1–13.</w:t>
              </w:r>
            </w:p>
            <w:p w14:paraId="41FF3D10" w14:textId="77777777" w:rsidR="00626FD1" w:rsidRPr="00626FD1" w:rsidRDefault="00580BFF" w:rsidP="00626FD1">
              <w:pPr>
                <w:pStyle w:val="Bibliography"/>
                <w:spacing w:line="360" w:lineRule="auto"/>
                <w:jc w:val="both"/>
                <w:rPr>
                  <w:rFonts w:asciiTheme="majorBidi" w:hAnsiTheme="majorBidi" w:cstheme="majorBidi"/>
                  <w:noProof/>
                  <w:sz w:val="24"/>
                  <w:szCs w:val="24"/>
                </w:rPr>
              </w:pPr>
              <w:r w:rsidRPr="00626FD1">
                <w:rPr>
                  <w:rFonts w:asciiTheme="majorBidi" w:hAnsiTheme="majorBidi" w:cstheme="majorBidi"/>
                  <w:noProof/>
                  <w:sz w:val="24"/>
                  <w:szCs w:val="24"/>
                </w:rPr>
                <w:t xml:space="preserve">Buhalis, D. et al., 2019. Technological disruptions in services: lessons from tourism and hospitality. </w:t>
              </w:r>
              <w:r w:rsidRPr="00626FD1">
                <w:rPr>
                  <w:rFonts w:asciiTheme="majorBidi" w:hAnsiTheme="majorBidi" w:cstheme="majorBidi"/>
                  <w:i/>
                  <w:iCs/>
                  <w:noProof/>
                  <w:sz w:val="24"/>
                  <w:szCs w:val="24"/>
                </w:rPr>
                <w:t>J. Serv. Manag</w:t>
              </w:r>
              <w:r w:rsidRPr="00626FD1">
                <w:rPr>
                  <w:rFonts w:asciiTheme="majorBidi" w:hAnsiTheme="majorBidi" w:cstheme="majorBidi"/>
                  <w:noProof/>
                  <w:sz w:val="24"/>
                  <w:szCs w:val="24"/>
                </w:rPr>
                <w:t>, 30(4), p.484–506.</w:t>
              </w:r>
            </w:p>
            <w:p w14:paraId="77D65BC3" w14:textId="77777777" w:rsidR="00626FD1" w:rsidRPr="00626FD1" w:rsidRDefault="00580BFF" w:rsidP="00626FD1">
              <w:pPr>
                <w:pStyle w:val="Bibliography"/>
                <w:spacing w:line="360" w:lineRule="auto"/>
                <w:jc w:val="both"/>
                <w:rPr>
                  <w:rFonts w:asciiTheme="majorBidi" w:hAnsiTheme="majorBidi" w:cstheme="majorBidi"/>
                  <w:noProof/>
                  <w:sz w:val="24"/>
                  <w:szCs w:val="24"/>
                </w:rPr>
              </w:pPr>
              <w:r w:rsidRPr="00626FD1">
                <w:rPr>
                  <w:rFonts w:asciiTheme="majorBidi" w:hAnsiTheme="majorBidi" w:cstheme="majorBidi"/>
                  <w:noProof/>
                  <w:sz w:val="24"/>
                  <w:szCs w:val="24"/>
                </w:rPr>
                <w:t xml:space="preserve">Chahal, H. &amp; RanI, A., 2017. How trust moderates social media engagement and brand equity. </w:t>
              </w:r>
              <w:r w:rsidRPr="00626FD1">
                <w:rPr>
                  <w:rFonts w:asciiTheme="majorBidi" w:hAnsiTheme="majorBidi" w:cstheme="majorBidi"/>
                  <w:i/>
                  <w:iCs/>
                  <w:noProof/>
                  <w:sz w:val="24"/>
                  <w:szCs w:val="24"/>
                </w:rPr>
                <w:t>Journal of Research in Interactive Marketing</w:t>
              </w:r>
              <w:r w:rsidRPr="00626FD1">
                <w:rPr>
                  <w:rFonts w:asciiTheme="majorBidi" w:hAnsiTheme="majorBidi" w:cstheme="majorBidi"/>
                  <w:noProof/>
                  <w:sz w:val="24"/>
                  <w:szCs w:val="24"/>
                </w:rPr>
                <w:t>, 11(3), p.312–335.</w:t>
              </w:r>
            </w:p>
            <w:p w14:paraId="758B3695" w14:textId="77777777" w:rsidR="00626FD1" w:rsidRPr="00626FD1" w:rsidRDefault="00580BFF" w:rsidP="00626FD1">
              <w:pPr>
                <w:pStyle w:val="Bibliography"/>
                <w:spacing w:line="360" w:lineRule="auto"/>
                <w:jc w:val="both"/>
                <w:rPr>
                  <w:rFonts w:asciiTheme="majorBidi" w:hAnsiTheme="majorBidi" w:cstheme="majorBidi"/>
                  <w:noProof/>
                  <w:sz w:val="24"/>
                  <w:szCs w:val="24"/>
                </w:rPr>
              </w:pPr>
              <w:r w:rsidRPr="00626FD1">
                <w:rPr>
                  <w:rFonts w:asciiTheme="majorBidi" w:hAnsiTheme="majorBidi" w:cstheme="majorBidi"/>
                  <w:noProof/>
                  <w:sz w:val="24"/>
                  <w:szCs w:val="24"/>
                </w:rPr>
                <w:t xml:space="preserve">Cohen, S., Duncan, T. &amp; Thulemark, M., 2015. Lifestyle mobilities: the crossroads of travel, leisure, and migration. </w:t>
              </w:r>
              <w:r w:rsidRPr="00626FD1">
                <w:rPr>
                  <w:rFonts w:asciiTheme="majorBidi" w:hAnsiTheme="majorBidi" w:cstheme="majorBidi"/>
                  <w:i/>
                  <w:iCs/>
                  <w:noProof/>
                  <w:sz w:val="24"/>
                  <w:szCs w:val="24"/>
                </w:rPr>
                <w:t>Mobilities</w:t>
              </w:r>
              <w:r w:rsidRPr="00626FD1">
                <w:rPr>
                  <w:rFonts w:asciiTheme="majorBidi" w:hAnsiTheme="majorBidi" w:cstheme="majorBidi"/>
                  <w:noProof/>
                  <w:sz w:val="24"/>
                  <w:szCs w:val="24"/>
                </w:rPr>
                <w:t>, 10(1), p.155–172.</w:t>
              </w:r>
            </w:p>
            <w:p w14:paraId="78B9DDF3" w14:textId="77777777" w:rsidR="00626FD1" w:rsidRPr="00626FD1" w:rsidRDefault="00580BFF" w:rsidP="00626FD1">
              <w:pPr>
                <w:pStyle w:val="Bibliography"/>
                <w:spacing w:line="360" w:lineRule="auto"/>
                <w:jc w:val="both"/>
                <w:rPr>
                  <w:rFonts w:asciiTheme="majorBidi" w:hAnsiTheme="majorBidi" w:cstheme="majorBidi"/>
                  <w:noProof/>
                  <w:sz w:val="24"/>
                  <w:szCs w:val="24"/>
                </w:rPr>
              </w:pPr>
              <w:r w:rsidRPr="00626FD1">
                <w:rPr>
                  <w:rFonts w:asciiTheme="majorBidi" w:hAnsiTheme="majorBidi" w:cstheme="majorBidi"/>
                  <w:noProof/>
                  <w:sz w:val="24"/>
                  <w:szCs w:val="24"/>
                </w:rPr>
                <w:t xml:space="preserve">Hamadneh, S., Pedersen, O. &amp; Al Kurdi, B., 2021. An investigation of the role of supply chain visibility in the Scottish food supply chain. </w:t>
              </w:r>
              <w:r w:rsidRPr="00626FD1">
                <w:rPr>
                  <w:rFonts w:asciiTheme="majorBidi" w:hAnsiTheme="majorBidi" w:cstheme="majorBidi"/>
                  <w:i/>
                  <w:iCs/>
                  <w:noProof/>
                  <w:sz w:val="24"/>
                  <w:szCs w:val="24"/>
                </w:rPr>
                <w:t>Journal of Legal, Ethical and Regulatory Issue</w:t>
              </w:r>
              <w:r w:rsidRPr="00626FD1">
                <w:rPr>
                  <w:rFonts w:asciiTheme="majorBidi" w:hAnsiTheme="majorBidi" w:cstheme="majorBidi"/>
                  <w:noProof/>
                  <w:sz w:val="24"/>
                  <w:szCs w:val="24"/>
                </w:rPr>
                <w:t>s, 24, p.1–12.</w:t>
              </w:r>
            </w:p>
            <w:p w14:paraId="0D849BCE" w14:textId="77777777" w:rsidR="00626FD1" w:rsidRPr="00626FD1" w:rsidRDefault="00580BFF" w:rsidP="00626FD1">
              <w:pPr>
                <w:pStyle w:val="Bibliography"/>
                <w:spacing w:line="360" w:lineRule="auto"/>
                <w:jc w:val="both"/>
                <w:rPr>
                  <w:rFonts w:asciiTheme="majorBidi" w:hAnsiTheme="majorBidi" w:cstheme="majorBidi"/>
                  <w:noProof/>
                  <w:sz w:val="24"/>
                  <w:szCs w:val="24"/>
                </w:rPr>
              </w:pPr>
              <w:r w:rsidRPr="00626FD1">
                <w:rPr>
                  <w:rFonts w:asciiTheme="majorBidi" w:hAnsiTheme="majorBidi" w:cstheme="majorBidi"/>
                  <w:noProof/>
                  <w:sz w:val="24"/>
                  <w:szCs w:val="24"/>
                </w:rPr>
                <w:t xml:space="preserve">Hannonen, O., 2020. In search of a digital nomad: defining the phenomenon. </w:t>
              </w:r>
              <w:r w:rsidRPr="00626FD1">
                <w:rPr>
                  <w:rFonts w:asciiTheme="majorBidi" w:hAnsiTheme="majorBidi" w:cstheme="majorBidi"/>
                  <w:i/>
                  <w:iCs/>
                  <w:noProof/>
                  <w:sz w:val="24"/>
                  <w:szCs w:val="24"/>
                </w:rPr>
                <w:t>Information Technology &amp; Tourism</w:t>
              </w:r>
              <w:r w:rsidRPr="00626FD1">
                <w:rPr>
                  <w:rFonts w:asciiTheme="majorBidi" w:hAnsiTheme="majorBidi" w:cstheme="majorBidi"/>
                  <w:noProof/>
                  <w:sz w:val="24"/>
                  <w:szCs w:val="24"/>
                </w:rPr>
                <w:t>, 22(3), p.335–353.</w:t>
              </w:r>
            </w:p>
            <w:p w14:paraId="3359F04C" w14:textId="77777777" w:rsidR="00626FD1" w:rsidRPr="00626FD1" w:rsidRDefault="00580BFF" w:rsidP="00626FD1">
              <w:pPr>
                <w:pStyle w:val="Bibliography"/>
                <w:spacing w:line="360" w:lineRule="auto"/>
                <w:jc w:val="both"/>
                <w:rPr>
                  <w:rFonts w:asciiTheme="majorBidi" w:hAnsiTheme="majorBidi" w:cstheme="majorBidi"/>
                  <w:noProof/>
                  <w:sz w:val="24"/>
                  <w:szCs w:val="24"/>
                </w:rPr>
              </w:pPr>
              <w:r w:rsidRPr="00626FD1">
                <w:rPr>
                  <w:rFonts w:asciiTheme="majorBidi" w:hAnsiTheme="majorBidi" w:cstheme="majorBidi"/>
                  <w:noProof/>
                  <w:sz w:val="24"/>
                  <w:szCs w:val="24"/>
                </w:rPr>
                <w:t xml:space="preserve">Herrero, Á., San Martíh, H. &amp; Hernández, J., 2015. How online search behavior is influenced by user-generated content on review websites and hotel interactive websites. </w:t>
              </w:r>
              <w:r w:rsidRPr="00626FD1">
                <w:rPr>
                  <w:rFonts w:asciiTheme="majorBidi" w:hAnsiTheme="majorBidi" w:cstheme="majorBidi"/>
                  <w:i/>
                  <w:iCs/>
                  <w:noProof/>
                  <w:sz w:val="24"/>
                  <w:szCs w:val="24"/>
                </w:rPr>
                <w:t>International Journal of Contemporary Hospitality Management</w:t>
              </w:r>
              <w:r w:rsidRPr="00626FD1">
                <w:rPr>
                  <w:rFonts w:asciiTheme="majorBidi" w:hAnsiTheme="majorBidi" w:cstheme="majorBidi"/>
                  <w:noProof/>
                  <w:sz w:val="24"/>
                  <w:szCs w:val="24"/>
                </w:rPr>
                <w:t>, 27(7), p.1573–1597.</w:t>
              </w:r>
            </w:p>
            <w:p w14:paraId="1C6471DF" w14:textId="77777777" w:rsidR="00626FD1" w:rsidRPr="00626FD1" w:rsidRDefault="00580BFF" w:rsidP="00626FD1">
              <w:pPr>
                <w:pStyle w:val="Bibliography"/>
                <w:spacing w:line="360" w:lineRule="auto"/>
                <w:jc w:val="both"/>
                <w:rPr>
                  <w:rFonts w:asciiTheme="majorBidi" w:hAnsiTheme="majorBidi" w:cstheme="majorBidi"/>
                  <w:noProof/>
                  <w:sz w:val="24"/>
                  <w:szCs w:val="24"/>
                </w:rPr>
              </w:pPr>
              <w:r w:rsidRPr="00626FD1">
                <w:rPr>
                  <w:rFonts w:asciiTheme="majorBidi" w:hAnsiTheme="majorBidi" w:cstheme="majorBidi"/>
                  <w:noProof/>
                  <w:sz w:val="24"/>
                  <w:szCs w:val="24"/>
                </w:rPr>
                <w:t xml:space="preserve">Ioanid, A., Militaru, G. &amp; Mihai, P., 2015. Social media strategies for organizations using influencers’ power. </w:t>
              </w:r>
              <w:r w:rsidRPr="00626FD1">
                <w:rPr>
                  <w:rFonts w:asciiTheme="majorBidi" w:hAnsiTheme="majorBidi" w:cstheme="majorBidi"/>
                  <w:i/>
                  <w:iCs/>
                  <w:noProof/>
                  <w:sz w:val="24"/>
                  <w:szCs w:val="24"/>
                </w:rPr>
                <w:t>European Scientific Journal</w:t>
              </w:r>
              <w:r w:rsidRPr="00626FD1">
                <w:rPr>
                  <w:rFonts w:asciiTheme="majorBidi" w:hAnsiTheme="majorBidi" w:cstheme="majorBidi"/>
                  <w:noProof/>
                  <w:sz w:val="24"/>
                  <w:szCs w:val="24"/>
                </w:rPr>
                <w:t>, 11(10), p.139–143.</w:t>
              </w:r>
            </w:p>
            <w:p w14:paraId="54713ED1" w14:textId="77777777" w:rsidR="00626FD1" w:rsidRPr="00626FD1" w:rsidRDefault="00580BFF" w:rsidP="00626FD1">
              <w:pPr>
                <w:pStyle w:val="Bibliography"/>
                <w:spacing w:line="360" w:lineRule="auto"/>
                <w:jc w:val="both"/>
                <w:rPr>
                  <w:rFonts w:asciiTheme="majorBidi" w:hAnsiTheme="majorBidi" w:cstheme="majorBidi"/>
                  <w:noProof/>
                  <w:sz w:val="24"/>
                  <w:szCs w:val="24"/>
                </w:rPr>
              </w:pPr>
              <w:r w:rsidRPr="00626FD1">
                <w:rPr>
                  <w:rFonts w:asciiTheme="majorBidi" w:hAnsiTheme="majorBidi" w:cstheme="majorBidi"/>
                  <w:noProof/>
                  <w:sz w:val="24"/>
                  <w:szCs w:val="24"/>
                </w:rPr>
                <w:t xml:space="preserve">Mancinelli, F., 2020. Digital nomads, freedom, responsibility, and the neoliberal order. </w:t>
              </w:r>
              <w:r w:rsidRPr="00626FD1">
                <w:rPr>
                  <w:rFonts w:asciiTheme="majorBidi" w:hAnsiTheme="majorBidi" w:cstheme="majorBidi"/>
                  <w:i/>
                  <w:iCs/>
                  <w:noProof/>
                  <w:sz w:val="24"/>
                  <w:szCs w:val="24"/>
                </w:rPr>
                <w:t>Information Technology and Tourism</w:t>
              </w:r>
              <w:r w:rsidRPr="00626FD1">
                <w:rPr>
                  <w:rFonts w:asciiTheme="majorBidi" w:hAnsiTheme="majorBidi" w:cstheme="majorBidi"/>
                  <w:noProof/>
                  <w:sz w:val="24"/>
                  <w:szCs w:val="24"/>
                </w:rPr>
                <w:t>, 22, p.417–437.</w:t>
              </w:r>
            </w:p>
            <w:p w14:paraId="1783CAB8" w14:textId="77777777" w:rsidR="00626FD1" w:rsidRPr="00626FD1" w:rsidRDefault="00580BFF" w:rsidP="00626FD1">
              <w:pPr>
                <w:pStyle w:val="Bibliography"/>
                <w:spacing w:line="360" w:lineRule="auto"/>
                <w:jc w:val="both"/>
                <w:rPr>
                  <w:rFonts w:asciiTheme="majorBidi" w:hAnsiTheme="majorBidi" w:cstheme="majorBidi"/>
                  <w:noProof/>
                  <w:sz w:val="24"/>
                  <w:szCs w:val="24"/>
                </w:rPr>
              </w:pPr>
              <w:r w:rsidRPr="00626FD1">
                <w:rPr>
                  <w:rFonts w:asciiTheme="majorBidi" w:hAnsiTheme="majorBidi" w:cstheme="majorBidi"/>
                  <w:noProof/>
                  <w:sz w:val="24"/>
                  <w:szCs w:val="24"/>
                </w:rPr>
                <w:t xml:space="preserve">Mehmood, T., 2021. Do information technology competencies and fleet management practices lead to effective service delivery? empirical evidence from the e-commerce industry. </w:t>
              </w:r>
              <w:r w:rsidRPr="00626FD1">
                <w:rPr>
                  <w:rFonts w:asciiTheme="majorBidi" w:hAnsiTheme="majorBidi" w:cstheme="majorBidi"/>
                  <w:i/>
                  <w:iCs/>
                  <w:noProof/>
                  <w:sz w:val="24"/>
                  <w:szCs w:val="24"/>
                </w:rPr>
                <w:t>International Journal of Innovation and Technology Management</w:t>
              </w:r>
              <w:r w:rsidRPr="00626FD1">
                <w:rPr>
                  <w:rFonts w:asciiTheme="majorBidi" w:hAnsiTheme="majorBidi" w:cstheme="majorBidi"/>
                  <w:noProof/>
                  <w:sz w:val="24"/>
                  <w:szCs w:val="24"/>
                </w:rPr>
                <w:t>, 1, p.14–41.</w:t>
              </w:r>
            </w:p>
            <w:p w14:paraId="3604B2CF" w14:textId="77777777" w:rsidR="00626FD1" w:rsidRPr="00626FD1" w:rsidRDefault="00580BFF" w:rsidP="00626FD1">
              <w:pPr>
                <w:pStyle w:val="Bibliography"/>
                <w:spacing w:line="360" w:lineRule="auto"/>
                <w:jc w:val="both"/>
                <w:rPr>
                  <w:rFonts w:asciiTheme="majorBidi" w:hAnsiTheme="majorBidi" w:cstheme="majorBidi"/>
                  <w:noProof/>
                  <w:sz w:val="24"/>
                  <w:szCs w:val="24"/>
                </w:rPr>
              </w:pPr>
              <w:r w:rsidRPr="00626FD1">
                <w:rPr>
                  <w:rFonts w:asciiTheme="majorBidi" w:hAnsiTheme="majorBidi" w:cstheme="majorBidi"/>
                  <w:noProof/>
                  <w:sz w:val="24"/>
                  <w:szCs w:val="24"/>
                </w:rPr>
                <w:t xml:space="preserve">Nadzri, W. &amp; Musa, R., 2017. Investigating psychometric elements measuring brand experience scale. </w:t>
              </w:r>
              <w:r w:rsidRPr="00626FD1">
                <w:rPr>
                  <w:rFonts w:asciiTheme="majorBidi" w:hAnsiTheme="majorBidi" w:cstheme="majorBidi"/>
                  <w:i/>
                  <w:iCs/>
                  <w:noProof/>
                  <w:sz w:val="24"/>
                  <w:szCs w:val="24"/>
                </w:rPr>
                <w:t>Advanced Science Letters</w:t>
              </w:r>
              <w:r w:rsidRPr="00626FD1">
                <w:rPr>
                  <w:rFonts w:asciiTheme="majorBidi" w:hAnsiTheme="majorBidi" w:cstheme="majorBidi"/>
                  <w:noProof/>
                  <w:sz w:val="24"/>
                  <w:szCs w:val="24"/>
                </w:rPr>
                <w:t>, 23(3), p.7521–7524.</w:t>
              </w:r>
            </w:p>
            <w:p w14:paraId="6D4C915A" w14:textId="77777777" w:rsidR="00626FD1" w:rsidRPr="00626FD1" w:rsidRDefault="00580BFF" w:rsidP="00626FD1">
              <w:pPr>
                <w:pStyle w:val="Bibliography"/>
                <w:spacing w:line="360" w:lineRule="auto"/>
                <w:jc w:val="both"/>
                <w:rPr>
                  <w:rFonts w:asciiTheme="majorBidi" w:hAnsiTheme="majorBidi" w:cstheme="majorBidi"/>
                  <w:noProof/>
                  <w:sz w:val="24"/>
                  <w:szCs w:val="24"/>
                </w:rPr>
              </w:pPr>
              <w:r w:rsidRPr="00626FD1">
                <w:rPr>
                  <w:rFonts w:asciiTheme="majorBidi" w:hAnsiTheme="majorBidi" w:cstheme="majorBidi"/>
                  <w:noProof/>
                  <w:sz w:val="24"/>
                  <w:szCs w:val="24"/>
                </w:rPr>
                <w:lastRenderedPageBreak/>
                <w:t xml:space="preserve">Obaid, A.J., 2021. Assessment of smart home assistants as an IoT. </w:t>
              </w:r>
              <w:r w:rsidRPr="00626FD1">
                <w:rPr>
                  <w:rFonts w:asciiTheme="majorBidi" w:hAnsiTheme="majorBidi" w:cstheme="majorBidi"/>
                  <w:i/>
                  <w:iCs/>
                  <w:noProof/>
                  <w:sz w:val="24"/>
                  <w:szCs w:val="24"/>
                </w:rPr>
                <w:t>International Journal of Computer Integrated Manufacturing</w:t>
              </w:r>
              <w:r w:rsidRPr="00626FD1">
                <w:rPr>
                  <w:rFonts w:asciiTheme="majorBidi" w:hAnsiTheme="majorBidi" w:cstheme="majorBidi"/>
                  <w:noProof/>
                  <w:sz w:val="24"/>
                  <w:szCs w:val="24"/>
                </w:rPr>
                <w:t>, 1, p.18–36.</w:t>
              </w:r>
            </w:p>
            <w:p w14:paraId="2D7127F3" w14:textId="77777777" w:rsidR="00626FD1" w:rsidRPr="00626FD1" w:rsidRDefault="00580BFF" w:rsidP="00626FD1">
              <w:pPr>
                <w:pStyle w:val="Bibliography"/>
                <w:spacing w:line="360" w:lineRule="auto"/>
                <w:jc w:val="both"/>
                <w:rPr>
                  <w:rFonts w:asciiTheme="majorBidi" w:hAnsiTheme="majorBidi" w:cstheme="majorBidi"/>
                  <w:noProof/>
                  <w:sz w:val="24"/>
                  <w:szCs w:val="24"/>
                </w:rPr>
              </w:pPr>
              <w:r w:rsidRPr="00626FD1">
                <w:rPr>
                  <w:rFonts w:asciiTheme="majorBidi" w:hAnsiTheme="majorBidi" w:cstheme="majorBidi"/>
                  <w:noProof/>
                  <w:sz w:val="24"/>
                  <w:szCs w:val="24"/>
                </w:rPr>
                <w:t xml:space="preserve">Olya, H., Jung, T., Tom Dieck, M. &amp; Ryu, K., 2020. Engaging visitors of science festivals using augmented reality: asymmetrical modeling. </w:t>
              </w:r>
              <w:r w:rsidRPr="00626FD1">
                <w:rPr>
                  <w:rFonts w:asciiTheme="majorBidi" w:hAnsiTheme="majorBidi" w:cstheme="majorBidi"/>
                  <w:i/>
                  <w:iCs/>
                  <w:noProof/>
                  <w:sz w:val="24"/>
                  <w:szCs w:val="24"/>
                </w:rPr>
                <w:t>Int. J. Contemp. Hosp. Manag</w:t>
              </w:r>
              <w:r w:rsidRPr="00626FD1">
                <w:rPr>
                  <w:rFonts w:asciiTheme="majorBidi" w:hAnsiTheme="majorBidi" w:cstheme="majorBidi"/>
                  <w:noProof/>
                  <w:sz w:val="24"/>
                  <w:szCs w:val="24"/>
                </w:rPr>
                <w:t>, 32(2), p.769–796.</w:t>
              </w:r>
            </w:p>
            <w:p w14:paraId="691671A9" w14:textId="77777777" w:rsidR="00626FD1" w:rsidRPr="00626FD1" w:rsidRDefault="00580BFF" w:rsidP="00626FD1">
              <w:pPr>
                <w:pStyle w:val="Bibliography"/>
                <w:spacing w:line="360" w:lineRule="auto"/>
                <w:jc w:val="both"/>
                <w:rPr>
                  <w:rFonts w:asciiTheme="majorBidi" w:hAnsiTheme="majorBidi" w:cstheme="majorBidi"/>
                  <w:noProof/>
                  <w:sz w:val="24"/>
                  <w:szCs w:val="24"/>
                </w:rPr>
              </w:pPr>
              <w:r w:rsidRPr="00626FD1">
                <w:rPr>
                  <w:rFonts w:asciiTheme="majorBidi" w:hAnsiTheme="majorBidi" w:cstheme="majorBidi"/>
                  <w:noProof/>
                  <w:sz w:val="24"/>
                  <w:szCs w:val="24"/>
                </w:rPr>
                <w:t xml:space="preserve">Palmatier, R., Houston, M. &amp; Hulland, J., 2017. Review articles: purpose, process, and structure. </w:t>
              </w:r>
              <w:r w:rsidRPr="00626FD1">
                <w:rPr>
                  <w:rFonts w:asciiTheme="majorBidi" w:hAnsiTheme="majorBidi" w:cstheme="majorBidi"/>
                  <w:i/>
                  <w:iCs/>
                  <w:noProof/>
                  <w:sz w:val="24"/>
                  <w:szCs w:val="24"/>
                </w:rPr>
                <w:t>Journal of the Academy of Marketing Science</w:t>
              </w:r>
              <w:r w:rsidRPr="00626FD1">
                <w:rPr>
                  <w:rFonts w:asciiTheme="majorBidi" w:hAnsiTheme="majorBidi" w:cstheme="majorBidi"/>
                  <w:noProof/>
                  <w:sz w:val="24"/>
                  <w:szCs w:val="24"/>
                </w:rPr>
                <w:t>, 46(1), p.1–5.</w:t>
              </w:r>
            </w:p>
            <w:p w14:paraId="1D135F2D" w14:textId="77777777" w:rsidR="00626FD1" w:rsidRPr="00626FD1" w:rsidRDefault="00580BFF" w:rsidP="00626FD1">
              <w:pPr>
                <w:pStyle w:val="Bibliography"/>
                <w:spacing w:line="360" w:lineRule="auto"/>
                <w:jc w:val="both"/>
                <w:rPr>
                  <w:rFonts w:asciiTheme="majorBidi" w:hAnsiTheme="majorBidi" w:cstheme="majorBidi"/>
                  <w:noProof/>
                  <w:sz w:val="24"/>
                  <w:szCs w:val="24"/>
                </w:rPr>
              </w:pPr>
              <w:r w:rsidRPr="00626FD1">
                <w:rPr>
                  <w:rFonts w:asciiTheme="majorBidi" w:hAnsiTheme="majorBidi" w:cstheme="majorBidi"/>
                  <w:noProof/>
                  <w:sz w:val="24"/>
                  <w:szCs w:val="24"/>
                </w:rPr>
                <w:t xml:space="preserve">Shankar, A. &amp; Jain, S., 2021. Factors affecting luxury consumers' web rooming intention: A moderated-mediation approach. </w:t>
              </w:r>
              <w:r w:rsidRPr="00626FD1">
                <w:rPr>
                  <w:rFonts w:asciiTheme="majorBidi" w:hAnsiTheme="majorBidi" w:cstheme="majorBidi"/>
                  <w:i/>
                  <w:iCs/>
                  <w:noProof/>
                  <w:sz w:val="24"/>
                  <w:szCs w:val="24"/>
                </w:rPr>
                <w:t>Journal of Retailing and Consumer Services</w:t>
              </w:r>
              <w:r w:rsidRPr="00626FD1">
                <w:rPr>
                  <w:rFonts w:asciiTheme="majorBidi" w:hAnsiTheme="majorBidi" w:cstheme="majorBidi"/>
                  <w:noProof/>
                  <w:sz w:val="24"/>
                  <w:szCs w:val="24"/>
                </w:rPr>
                <w:t>, 58, p.102306.</w:t>
              </w:r>
            </w:p>
            <w:p w14:paraId="0B3701B7" w14:textId="77777777" w:rsidR="00626FD1" w:rsidRPr="00626FD1" w:rsidRDefault="00580BFF" w:rsidP="00626FD1">
              <w:pPr>
                <w:pStyle w:val="Bibliography"/>
                <w:spacing w:line="360" w:lineRule="auto"/>
                <w:jc w:val="both"/>
                <w:rPr>
                  <w:rFonts w:asciiTheme="majorBidi" w:hAnsiTheme="majorBidi" w:cstheme="majorBidi"/>
                  <w:noProof/>
                  <w:sz w:val="24"/>
                  <w:szCs w:val="24"/>
                </w:rPr>
              </w:pPr>
              <w:r w:rsidRPr="00626FD1">
                <w:rPr>
                  <w:rFonts w:asciiTheme="majorBidi" w:hAnsiTheme="majorBidi" w:cstheme="majorBidi"/>
                  <w:noProof/>
                  <w:sz w:val="24"/>
                  <w:szCs w:val="24"/>
                </w:rPr>
                <w:t xml:space="preserve">Wallis, R., 2017. Myths and imaginaries: depictions of lifestyle migration in Country Style magazine. </w:t>
              </w:r>
              <w:r w:rsidRPr="00626FD1">
                <w:rPr>
                  <w:rFonts w:asciiTheme="majorBidi" w:hAnsiTheme="majorBidi" w:cstheme="majorBidi"/>
                  <w:i/>
                  <w:iCs/>
                  <w:noProof/>
                  <w:sz w:val="24"/>
                  <w:szCs w:val="24"/>
                </w:rPr>
                <w:t>Rural Society</w:t>
              </w:r>
              <w:r w:rsidRPr="00626FD1">
                <w:rPr>
                  <w:rFonts w:asciiTheme="majorBidi" w:hAnsiTheme="majorBidi" w:cstheme="majorBidi"/>
                  <w:noProof/>
                  <w:sz w:val="24"/>
                  <w:szCs w:val="24"/>
                </w:rPr>
                <w:t>, 26(1), p.18–29.</w:t>
              </w:r>
            </w:p>
            <w:p w14:paraId="58497E14" w14:textId="77777777" w:rsidR="00626FD1" w:rsidRPr="00626FD1" w:rsidRDefault="00580BFF" w:rsidP="00626FD1">
              <w:pPr>
                <w:pStyle w:val="Bibliography"/>
                <w:spacing w:line="360" w:lineRule="auto"/>
                <w:jc w:val="both"/>
                <w:rPr>
                  <w:rFonts w:asciiTheme="majorBidi" w:hAnsiTheme="majorBidi" w:cstheme="majorBidi"/>
                  <w:noProof/>
                  <w:sz w:val="24"/>
                  <w:szCs w:val="24"/>
                </w:rPr>
              </w:pPr>
              <w:r w:rsidRPr="00626FD1">
                <w:rPr>
                  <w:rFonts w:asciiTheme="majorBidi" w:hAnsiTheme="majorBidi" w:cstheme="majorBidi"/>
                  <w:noProof/>
                  <w:sz w:val="24"/>
                  <w:szCs w:val="24"/>
                </w:rPr>
                <w:t xml:space="preserve">Xu, F., Buhalis, D. &amp; Weber, J., 2017. Serious games and the gamification of tourism. </w:t>
              </w:r>
              <w:r w:rsidRPr="00626FD1">
                <w:rPr>
                  <w:rFonts w:asciiTheme="majorBidi" w:hAnsiTheme="majorBidi" w:cstheme="majorBidi"/>
                  <w:i/>
                  <w:iCs/>
                  <w:noProof/>
                  <w:sz w:val="24"/>
                  <w:szCs w:val="24"/>
                </w:rPr>
                <w:t>Tour. Manag.</w:t>
              </w:r>
              <w:r w:rsidRPr="00626FD1">
                <w:rPr>
                  <w:rFonts w:asciiTheme="majorBidi" w:hAnsiTheme="majorBidi" w:cstheme="majorBidi"/>
                  <w:noProof/>
                  <w:sz w:val="24"/>
                  <w:szCs w:val="24"/>
                </w:rPr>
                <w:t>, 60, p.244–256.</w:t>
              </w:r>
            </w:p>
            <w:p w14:paraId="1676B2BD" w14:textId="77777777" w:rsidR="00626FD1" w:rsidRPr="00626FD1" w:rsidRDefault="00580BFF" w:rsidP="00626FD1">
              <w:pPr>
                <w:pStyle w:val="Bibliography"/>
                <w:spacing w:line="360" w:lineRule="auto"/>
                <w:jc w:val="both"/>
                <w:rPr>
                  <w:rFonts w:asciiTheme="majorBidi" w:hAnsiTheme="majorBidi" w:cstheme="majorBidi"/>
                  <w:noProof/>
                  <w:sz w:val="24"/>
                  <w:szCs w:val="24"/>
                </w:rPr>
              </w:pPr>
              <w:r w:rsidRPr="00626FD1">
                <w:rPr>
                  <w:rFonts w:asciiTheme="majorBidi" w:hAnsiTheme="majorBidi" w:cstheme="majorBidi"/>
                  <w:noProof/>
                  <w:sz w:val="24"/>
                  <w:szCs w:val="24"/>
                </w:rPr>
                <w:t xml:space="preserve">Zuzana, W., 2016. Requirements for brand managers and product managers responsible for the competitiveness of products and brands. </w:t>
              </w:r>
              <w:r w:rsidRPr="00626FD1">
                <w:rPr>
                  <w:rFonts w:asciiTheme="majorBidi" w:hAnsiTheme="majorBidi" w:cstheme="majorBidi"/>
                  <w:i/>
                  <w:iCs/>
                  <w:noProof/>
                  <w:sz w:val="24"/>
                  <w:szCs w:val="24"/>
                </w:rPr>
                <w:t>Journal of Competitiveness</w:t>
              </w:r>
              <w:r w:rsidRPr="00626FD1">
                <w:rPr>
                  <w:rFonts w:asciiTheme="majorBidi" w:hAnsiTheme="majorBidi" w:cstheme="majorBidi"/>
                  <w:noProof/>
                  <w:sz w:val="24"/>
                  <w:szCs w:val="24"/>
                </w:rPr>
                <w:t>, 8(3), p.5–21.</w:t>
              </w:r>
            </w:p>
            <w:p w14:paraId="62B3BE98" w14:textId="77777777" w:rsidR="00626FD1" w:rsidRPr="00626FD1" w:rsidRDefault="00580BFF" w:rsidP="00626FD1">
              <w:pPr>
                <w:spacing w:line="360" w:lineRule="auto"/>
                <w:jc w:val="both"/>
                <w:rPr>
                  <w:rFonts w:asciiTheme="majorBidi" w:hAnsiTheme="majorBidi" w:cstheme="majorBidi"/>
                  <w:sz w:val="24"/>
                  <w:szCs w:val="24"/>
                </w:rPr>
              </w:pPr>
              <w:r w:rsidRPr="00626FD1">
                <w:rPr>
                  <w:rFonts w:asciiTheme="majorBidi" w:hAnsiTheme="majorBidi" w:cstheme="majorBidi"/>
                  <w:b/>
                  <w:bCs/>
                  <w:noProof/>
                  <w:sz w:val="24"/>
                  <w:szCs w:val="24"/>
                </w:rPr>
                <w:fldChar w:fldCharType="end"/>
              </w:r>
            </w:p>
          </w:sdtContent>
        </w:sdt>
      </w:sdtContent>
    </w:sdt>
    <w:p w14:paraId="24A3C76E" w14:textId="77777777" w:rsidR="002050C7" w:rsidRPr="00626FD1" w:rsidRDefault="002050C7" w:rsidP="00626FD1">
      <w:pPr>
        <w:spacing w:line="360" w:lineRule="auto"/>
        <w:jc w:val="both"/>
        <w:rPr>
          <w:rFonts w:asciiTheme="majorBidi" w:hAnsiTheme="majorBidi" w:cstheme="majorBidi"/>
          <w:sz w:val="28"/>
          <w:szCs w:val="28"/>
        </w:rPr>
      </w:pPr>
    </w:p>
    <w:sectPr w:rsidR="002050C7" w:rsidRPr="00626FD1" w:rsidSect="00540AC3">
      <w:pgSz w:w="12240" w:h="15840"/>
      <w:pgMar w:top="1440" w:right="1440" w:bottom="1440" w:left="1440" w:header="720" w:footer="720" w:gutter="0"/>
      <w:pgBorders w:offsetFrom="page">
        <w:top w:val="single" w:sz="12" w:space="24" w:color="auto"/>
        <w:left w:val="single" w:sz="12" w:space="24" w:color="auto"/>
        <w:bottom w:val="single" w:sz="12" w:space="24" w:color="auto"/>
        <w:right w:val="single" w:sz="12" w:space="24" w:color="auto"/>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Tahoma">
    <w:panose1 w:val="00000000000000000000"/>
    <w:charset w:val="00"/>
    <w:family w:val="swiss"/>
    <w:notTrueType/>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50C7"/>
    <w:rsid w:val="002050C7"/>
    <w:rsid w:val="00235809"/>
    <w:rsid w:val="0026563D"/>
    <w:rsid w:val="002B674C"/>
    <w:rsid w:val="00345FA2"/>
    <w:rsid w:val="004158BB"/>
    <w:rsid w:val="00421270"/>
    <w:rsid w:val="00540AC3"/>
    <w:rsid w:val="00580BFF"/>
    <w:rsid w:val="00626FD1"/>
    <w:rsid w:val="006D7DDA"/>
    <w:rsid w:val="0076375B"/>
    <w:rsid w:val="00814355"/>
    <w:rsid w:val="00822473"/>
    <w:rsid w:val="00BF1626"/>
    <w:rsid w:val="00CF2E12"/>
    <w:rsid w:val="00D71FF7"/>
    <w:rsid w:val="00DE6F5C"/>
    <w:rsid w:val="00F463B4"/>
    <w:rsid w:val="00FE7DD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AC7B6A"/>
  <w15:docId w15:val="{517DFD31-0D72-4ED4-8F0C-E1E1560F32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1435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14355"/>
    <w:rPr>
      <w:rFonts w:asciiTheme="majorHAnsi" w:eastAsiaTheme="majorEastAsia" w:hAnsiTheme="majorHAnsi" w:cstheme="majorBidi"/>
      <w:b/>
      <w:bCs/>
      <w:color w:val="365F91" w:themeColor="accent1" w:themeShade="BF"/>
      <w:sz w:val="28"/>
      <w:szCs w:val="28"/>
    </w:rPr>
  </w:style>
  <w:style w:type="paragraph" w:styleId="BalloonText">
    <w:name w:val="Balloon Text"/>
    <w:basedOn w:val="Normal"/>
    <w:link w:val="BalloonTextChar"/>
    <w:uiPriority w:val="99"/>
    <w:semiHidden/>
    <w:unhideWhenUsed/>
    <w:rsid w:val="00FE7DD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E7DD9"/>
    <w:rPr>
      <w:rFonts w:ascii="Tahoma" w:hAnsi="Tahoma" w:cs="Tahoma"/>
      <w:sz w:val="16"/>
      <w:szCs w:val="16"/>
    </w:rPr>
  </w:style>
  <w:style w:type="paragraph" w:styleId="Bibliography">
    <w:name w:val="Bibliography"/>
    <w:basedOn w:val="Normal"/>
    <w:next w:val="Normal"/>
    <w:uiPriority w:val="37"/>
    <w:unhideWhenUsed/>
    <w:rsid w:val="00626F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XSL" StyleName="Harvard - Anglia*">
  <b:Source>
    <b:Tag>Han20</b:Tag>
    <b:SourceType>JournalArticle</b:SourceType>
    <b:Guid>{83586E06-3DE0-429F-9650-1DB2B34E0CE7}</b:Guid>
    <b:Author>
      <b:Author>
        <b:NameList>
          <b:Person>
            <b:Last>Hannonen</b:Last>
            <b:First>O</b:First>
          </b:Person>
        </b:NameList>
      </b:Author>
    </b:Author>
    <b:Title> In search of a digital nomad: defining the phenomenon</b:Title>
    <b:JournalName>Information Technology &amp; Tourism</b:JournalName>
    <b:Year>2020</b:Year>
    <b:Pages>335–353</b:Pages>
    <b:Volume>22</b:Volume>
    <b:Issue>3</b:Issue>
    <b:RefOrder>1</b:RefOrder>
  </b:Source>
  <b:Source>
    <b:Tag>Coh15</b:Tag>
    <b:SourceType>JournalArticle</b:SourceType>
    <b:Guid>{825BF9BB-FAED-4010-838E-F41B7E567A6E}</b:Guid>
    <b:Author>
      <b:Author>
        <b:NameList>
          <b:Person>
            <b:Last>Cohen</b:Last>
            <b:First>S</b:First>
          </b:Person>
          <b:Person>
            <b:Last>Duncan</b:Last>
            <b:First>T</b:First>
          </b:Person>
          <b:Person>
            <b:Last>Thulemark</b:Last>
            <b:First>M</b:First>
          </b:Person>
        </b:NameList>
      </b:Author>
    </b:Author>
    <b:Title>Lifestyle mobilities: the crossroads of travel, leisure and migration</b:Title>
    <b:JournalName>Mobilities</b:JournalName>
    <b:Year>2015</b:Year>
    <b:Pages>155–172</b:Pages>
    <b:Volume>10</b:Volume>
    <b:Issue>1</b:Issue>
    <b:RefOrder>2</b:RefOrder>
  </b:Source>
  <b:Source>
    <b:Tag>Man201</b:Tag>
    <b:SourceType>JournalArticle</b:SourceType>
    <b:Guid>{CD31F281-7C39-440B-948E-56D47512E670}</b:Guid>
    <b:Author>
      <b:Author>
        <b:NameList>
          <b:Person>
            <b:Last>Mancinelli</b:Last>
            <b:First>F</b:First>
          </b:Person>
        </b:NameList>
      </b:Author>
    </b:Author>
    <b:Title>Digital nomads, freedom, responsibility and the neoliberal order</b:Title>
    <b:JournalName>Information Technology and Tourism</b:JournalName>
    <b:Year>2020</b:Year>
    <b:Pages>417–437</b:Pages>
    <b:Volume>22</b:Volume>
    <b:RefOrder>3</b:RefOrder>
  </b:Source>
  <b:Source>
    <b:Tag>Pal171</b:Tag>
    <b:SourceType>JournalArticle</b:SourceType>
    <b:Guid>{8E677500-7269-4658-BDB2-1DA41FCF4FB0}</b:Guid>
    <b:Author>
      <b:Author>
        <b:NameList>
          <b:Person>
            <b:Last>Palmatier</b:Last>
            <b:First>R</b:First>
          </b:Person>
          <b:Person>
            <b:Last>Houston</b:Last>
            <b:First>M</b:First>
          </b:Person>
          <b:Person>
            <b:Last> Hulland</b:Last>
            <b:First>J</b:First>
          </b:Person>
        </b:NameList>
      </b:Author>
    </b:Author>
    <b:Title>Review articles: purpose, process, and structure</b:Title>
    <b:JournalName>Journal of the Academy of Marketing Science</b:JournalName>
    <b:Year>2017</b:Year>
    <b:Pages>1–5</b:Pages>
    <b:Volume>46</b:Volume>
    <b:Issue>1</b:Issue>
    <b:RefOrder>5</b:RefOrder>
  </b:Source>
  <b:Source>
    <b:Tag>Wal171</b:Tag>
    <b:SourceType>JournalArticle</b:SourceType>
    <b:Guid>{CA6665DE-E97A-4D8C-B83F-81231BAA08B5}</b:Guid>
    <b:Author>
      <b:Author>
        <b:NameList>
          <b:Person>
            <b:Last>Wallis</b:Last>
            <b:First>R</b:First>
          </b:Person>
        </b:NameList>
      </b:Author>
    </b:Author>
    <b:Title>Myths and imaginaries: depictions of lifestyle migration in Country Style magazine</b:Title>
    <b:JournalName>Rural Society</b:JournalName>
    <b:Year>2017</b:Year>
    <b:Pages>18–29</b:Pages>
    <b:Volume>26</b:Volume>
    <b:Issue>1</b:Issue>
    <b:RefOrder>6</b:RefOrder>
  </b:Source>
  <b:Source>
    <b:Tag>Als21</b:Tag>
    <b:SourceType>JournalArticle</b:SourceType>
    <b:Guid>{D2B1D838-96C4-494D-9B01-6079075B2814}</b:Guid>
    <b:Author>
      <b:Author>
        <b:NameList>
          <b:Person>
            <b:Last>Alsharari</b:Last>
            <b:First>N</b:First>
          </b:Person>
        </b:NameList>
      </b:Author>
    </b:Author>
    <b:Title> Integrating blockchain technology with internet of things to efficiency </b:Title>
    <b:JournalName>International Journal of Innovation and Technology Management</b:JournalName>
    <b:Year>2021</b:Year>
    <b:Pages>1–13</b:Pages>
    <b:Volume>1</b:Volume>
    <b:RefOrder>8</b:RefOrder>
  </b:Source>
  <b:Source>
    <b:Tag>Ham21</b:Tag>
    <b:SourceType>JournalArticle</b:SourceType>
    <b:Guid>{ECB50947-AC08-4D64-BA38-63406549A645}</b:Guid>
    <b:Author>
      <b:Author>
        <b:NameList>
          <b:Person>
            <b:Last>Hamadneh</b:Last>
            <b:First>S</b:First>
          </b:Person>
          <b:Person>
            <b:Last> Pedersen</b:Last>
            <b:First>O</b:First>
          </b:Person>
          <b:Person>
            <b:Last>Al Kurdi</b:Last>
            <b:First>B</b:First>
          </b:Person>
        </b:NameList>
      </b:Author>
    </b:Author>
    <b:Title>An investigation of the role of supply chain visibility into the scottish bood supply chain</b:Title>
    <b:JournalName>Journal of Legal, Ethical and Regulatory IssueS</b:JournalName>
    <b:Year>2021</b:Year>
    <b:Pages>1–12</b:Pages>
    <b:Volume>24</b:Volume>
    <b:RefOrder>10</b:RefOrder>
  </b:Source>
  <b:Source>
    <b:Tag>Meh21</b:Tag>
    <b:SourceType>JournalArticle</b:SourceType>
    <b:Guid>{F795AF7D-F6D6-4BA7-8671-1A461B74AF32}</b:Guid>
    <b:Author>
      <b:Author>
        <b:NameList>
          <b:Person>
            <b:Last>Mehmood</b:Last>
            <b:First>T</b:First>
          </b:Person>
        </b:NameList>
      </b:Author>
    </b:Author>
    <b:Title>Does information technology competencies and fleet management practices lead to effective service delivery? empirical evidence from e-commerce industry</b:Title>
    <b:JournalName>International Journal of Innovation and Technology Management</b:JournalName>
    <b:Year>2021</b:Year>
    <b:Pages>14–41</b:Pages>
    <b:Volume>1</b:Volume>
    <b:RefOrder>11</b:RefOrder>
  </b:Source>
  <b:Source>
    <b:Tag>Oba21</b:Tag>
    <b:SourceType>JournalArticle</b:SourceType>
    <b:Guid>{5F363B37-4494-4479-81D2-4C6B4A82128A}</b:Guid>
    <b:Author>
      <b:Author>
        <b:NameList>
          <b:Person>
            <b:Last>Obaid</b:Last>
            <b:First>A.J</b:First>
          </b:Person>
        </b:NameList>
      </b:Author>
    </b:Author>
    <b:Title>Assessment of smart home assistants as an IoT</b:Title>
    <b:JournalName> International Journal of Computer Integrated Manufacturing</b:JournalName>
    <b:Year>2021</b:Year>
    <b:Pages>18–36</b:Pages>
    <b:Volume>1</b:Volume>
    <b:RefOrder>14</b:RefOrder>
  </b:Source>
  <b:Source>
    <b:Tag>Cha17</b:Tag>
    <b:SourceType>JournalArticle</b:SourceType>
    <b:Guid>{0A68CC79-3E3C-4193-837C-EA170AE203A3}</b:Guid>
    <b:Author>
      <b:Author>
        <b:NameList>
          <b:Person>
            <b:Last>Chahal</b:Last>
            <b:First>H</b:First>
          </b:Person>
          <b:Person>
            <b:Last>RanI</b:Last>
            <b:First>A</b:First>
          </b:Person>
        </b:NameList>
      </b:Author>
    </b:Author>
    <b:Title>How trust moderates social media engagement and brand equity</b:Title>
    <b:JournalName>Journal of Research in Interactive Marketing</b:JournalName>
    <b:Year>2017</b:Year>
    <b:Pages>312–335</b:Pages>
    <b:Volume>11</b:Volume>
    <b:Issue>3</b:Issue>
    <b:RefOrder>16</b:RefOrder>
  </b:Source>
  <b:Source>
    <b:Tag>Her15</b:Tag>
    <b:SourceType>JournalArticle</b:SourceType>
    <b:Guid>{1D3C6142-5A3B-47A2-BED8-44535D0736C5}</b:Guid>
    <b:Author>
      <b:Author>
        <b:NameList>
          <b:Person>
            <b:Last>Herrero</b:Last>
            <b:First>Á</b:First>
          </b:Person>
          <b:Person>
            <b:Last>San Martíh</b:Last>
            <b:First>H</b:First>
          </b:Person>
          <b:Person>
            <b:Last> Hernández</b:Last>
            <b:First>J</b:First>
          </b:Person>
        </b:NameList>
      </b:Author>
    </b:Author>
    <b:Title>How online search behavior is influenced by user-generated content on review websites and hotel interactive websites</b:Title>
    <b:JournalName>International Journal of Contemporary Hospitality Management</b:JournalName>
    <b:Year>2015</b:Year>
    <b:Pages>1573–1597</b:Pages>
    <b:Volume>27</b:Volume>
    <b:Issue>7</b:Issue>
    <b:RefOrder>17</b:RefOrder>
  </b:Source>
  <b:Source>
    <b:Tag>Ioa15</b:Tag>
    <b:SourceType>JournalArticle</b:SourceType>
    <b:Guid>{B47965FE-49A5-4993-B456-E4335F6AA824}</b:Guid>
    <b:Author>
      <b:Author>
        <b:NameList>
          <b:Person>
            <b:Last>Ioanid</b:Last>
            <b:First>A</b:First>
          </b:Person>
          <b:Person>
            <b:Last>Militaru</b:Last>
            <b:First>G</b:First>
          </b:Person>
          <b:Person>
            <b:Last> Mihai</b:Last>
            <b:First>P</b:First>
          </b:Person>
        </b:NameList>
      </b:Author>
    </b:Author>
    <b:Title>Social media strategies for organizations using influencers’ power</b:Title>
    <b:JournalName>European Scientific Journal</b:JournalName>
    <b:Year>2015</b:Year>
    <b:Pages>139–143</b:Pages>
    <b:Volume>11</b:Volume>
    <b:Issue>10</b:Issue>
    <b:RefOrder>18</b:RefOrder>
  </b:Source>
  <b:Source>
    <b:Tag>Nad17</b:Tag>
    <b:SourceType>JournalArticle</b:SourceType>
    <b:Guid>{E33E9543-E5F6-419A-87BC-3CE611C8004A}</b:Guid>
    <b:Author>
      <b:Author>
        <b:NameList>
          <b:Person>
            <b:Last>Nadzri</b:Last>
            <b:First>W</b:First>
          </b:Person>
          <b:Person>
            <b:Last> Musa</b:Last>
            <b:First>R</b:First>
          </b:Person>
        </b:NameList>
      </b:Author>
    </b:Author>
    <b:Title>Investigating psychometric elements measuring brand experience scale</b:Title>
    <b:JournalName>Advanced Science Letters</b:JournalName>
    <b:Year>2017</b:Year>
    <b:Pages>7521–7524</b:Pages>
    <b:Volume>23</b:Volume>
    <b:Issue>3</b:Issue>
    <b:RefOrder>15</b:RefOrder>
  </b:Source>
  <b:Source>
    <b:Tag>Sha211</b:Tag>
    <b:SourceType>JournalArticle</b:SourceType>
    <b:Guid>{2B62B677-07D1-4150-909B-7A38F9DCD538}</b:Guid>
    <b:Author>
      <b:Author>
        <b:NameList>
          <b:Person>
            <b:Last>Shankar</b:Last>
            <b:First>A</b:First>
          </b:Person>
          <b:Person>
            <b:Last>Jain</b:Last>
            <b:First>S</b:First>
          </b:Person>
        </b:NameList>
      </b:Author>
    </b:Author>
    <b:Title>Factors affecting luxury consumers’ webrooming intention: A moderated-mediation approach</b:Title>
    <b:JournalName>Journal of Retailing and Consumer Services</b:JournalName>
    <b:Year>2021</b:Year>
    <b:Pages>102306</b:Pages>
    <b:Volume>58</b:Volume>
    <b:RefOrder>13</b:RefOrder>
  </b:Source>
  <b:Source>
    <b:Tag>Zuz16</b:Tag>
    <b:SourceType>JournalArticle</b:SourceType>
    <b:Guid>{CC89DA3A-15F1-4F48-B09E-F8D606834974}</b:Guid>
    <b:Author>
      <b:Author>
        <b:NameList>
          <b:Person>
            <b:Last>Zuzana</b:Last>
            <b:First>W</b:First>
          </b:Person>
        </b:NameList>
      </b:Author>
    </b:Author>
    <b:Title>Requirements for brand managers and product managers responsible for competitiveness of product and brands</b:Title>
    <b:JournalName>Journal of Competitiveness</b:JournalName>
    <b:Year>2016</b:Year>
    <b:Pages>5–21</b:Pages>
    <b:Volume>8</b:Volume>
    <b:Issue>3</b:Issue>
    <b:RefOrder>9</b:RefOrder>
  </b:Source>
  <b:Source>
    <b:Tag>Oly20</b:Tag>
    <b:SourceType>JournalArticle</b:SourceType>
    <b:Guid>{94E4C11A-DDCC-4240-A31D-A4D80B26910C}</b:Guid>
    <b:Author>
      <b:Author>
        <b:NameList>
          <b:Person>
            <b:Last>Olya</b:Last>
            <b:First>H</b:First>
          </b:Person>
          <b:Person>
            <b:Last>Jung</b:Last>
            <b:First>T</b:First>
          </b:Person>
          <b:Person>
            <b:Last>Tom Dieck</b:Last>
            <b:First>M</b:First>
          </b:Person>
          <b:Person>
            <b:Last>Ryu</b:Last>
            <b:First>K</b:First>
          </b:Person>
        </b:NameList>
      </b:Author>
    </b:Author>
    <b:Title>Engaging visitors of science festivals using augmented reality: asymmetrical modelling</b:Title>
    <b:JournalName>Int. J. Contemp. Hosp. Manag</b:JournalName>
    <b:Year>2020</b:Year>
    <b:Pages>769–796</b:Pages>
    <b:Volume>32</b:Volume>
    <b:Issue>2</b:Issue>
    <b:RefOrder>4</b:RefOrder>
  </b:Source>
  <b:Source>
    <b:Tag>Buh19</b:Tag>
    <b:SourceType>JournalArticle</b:SourceType>
    <b:Guid>{38EDAE5A-B4CA-4D97-B9CE-BEABC8B95B8B}</b:Guid>
    <b:Author>
      <b:Author>
        <b:NameList>
          <b:Person>
            <b:Last>Buhalis</b:Last>
            <b:First>D</b:First>
          </b:Person>
          <b:Person>
            <b:Last>Harwood</b:Last>
            <b:First>T</b:First>
          </b:Person>
          <b:Person>
            <b:Last>Bogicevic</b:Last>
            <b:First>V</b:First>
          </b:Person>
          <b:Person>
            <b:Last>Viglia</b:Last>
            <b:First>G</b:First>
          </b:Person>
          <b:Person>
            <b:Last> Beldona</b:Last>
          </b:Person>
        </b:NameList>
      </b:Author>
    </b:Author>
    <b:Title>Technological disruptions in services: lessons from tourism and hospitality</b:Title>
    <b:JournalName>J. Serv. Manag</b:JournalName>
    <b:Year>2019</b:Year>
    <b:Pages>484–506</b:Pages>
    <b:Volume>30</b:Volume>
    <b:Issue>4</b:Issue>
    <b:RefOrder>7</b:RefOrder>
  </b:Source>
  <b:Source>
    <b:Tag>XuF17</b:Tag>
    <b:SourceType>JournalArticle</b:SourceType>
    <b:Guid>{F7E3D8B7-8AEA-43DE-8E0E-81E3378FCCA6}</b:Guid>
    <b:Author>
      <b:Author>
        <b:NameList>
          <b:Person>
            <b:Last>Xu</b:Last>
            <b:First>F</b:First>
          </b:Person>
          <b:Person>
            <b:Last> Buhalis</b:Last>
            <b:First>D</b:First>
          </b:Person>
          <b:Person>
            <b:Last>Weber</b:Last>
            <b:First>J</b:First>
          </b:Person>
        </b:NameList>
      </b:Author>
    </b:Author>
    <b:Title>Serious games and the gamification of tourism</b:Title>
    <b:JournalName>Tour. Manag.</b:JournalName>
    <b:Year>2017</b:Year>
    <b:Pages>244–256</b:Pages>
    <b:Volume>60</b:Volume>
    <b:RefOrder>12</b:RefOrder>
  </b:Source>
</b:Sources>
</file>

<file path=customXml/itemProps1.xml><?xml version="1.0" encoding="utf-8"?>
<ds:datastoreItem xmlns:ds="http://schemas.openxmlformats.org/officeDocument/2006/customXml" ds:itemID="{C78E38D5-0FF1-472D-997F-A3A94C84ED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2088</Words>
  <Characters>11903</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Allama</dc:creator>
  <cp:lastModifiedBy>Alexandru Constantin</cp:lastModifiedBy>
  <cp:revision>2</cp:revision>
  <dcterms:created xsi:type="dcterms:W3CDTF">2023-05-18T12:39:00Z</dcterms:created>
  <dcterms:modified xsi:type="dcterms:W3CDTF">2023-05-18T12:39:00Z</dcterms:modified>
</cp:coreProperties>
</file>