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E4A92" w:rsidRPr="000A1855" w:rsidRDefault="00F4210C" w:rsidP="001C20CB">
      <w:pPr>
        <w:spacing w:line="480" w:lineRule="auto"/>
        <w:jc w:val="center"/>
        <w:rPr>
          <w:b/>
          <w:sz w:val="24"/>
          <w:szCs w:val="24"/>
          <w:u w:val="single"/>
        </w:rPr>
      </w:pPr>
      <w:r w:rsidRPr="000A1855">
        <w:rPr>
          <w:b/>
          <w:sz w:val="24"/>
          <w:szCs w:val="24"/>
          <w:u w:val="single"/>
        </w:rPr>
        <w:t>Effective Teaching, Learning and Assessment</w:t>
      </w:r>
    </w:p>
    <w:p w:rsidR="00EA49E9" w:rsidRPr="000A1855" w:rsidRDefault="003724D9" w:rsidP="001C20CB">
      <w:pPr>
        <w:spacing w:line="480" w:lineRule="auto"/>
        <w:rPr>
          <w:sz w:val="24"/>
          <w:szCs w:val="24"/>
        </w:rPr>
      </w:pPr>
      <w:r w:rsidRPr="000A1855">
        <w:rPr>
          <w:sz w:val="24"/>
          <w:szCs w:val="24"/>
        </w:rPr>
        <w:t>For this Microteaching session, I chose to</w:t>
      </w:r>
      <w:r w:rsidR="00755EC3" w:rsidRPr="000A1855">
        <w:rPr>
          <w:sz w:val="24"/>
          <w:szCs w:val="24"/>
        </w:rPr>
        <w:t xml:space="preserve"> explain and</w:t>
      </w:r>
      <w:r w:rsidRPr="000A1855">
        <w:rPr>
          <w:sz w:val="24"/>
          <w:szCs w:val="24"/>
        </w:rPr>
        <w:t xml:space="preserve"> discuss two different paintings with a group of my peers</w:t>
      </w:r>
      <w:r w:rsidR="005F6509" w:rsidRPr="000A1855">
        <w:rPr>
          <w:sz w:val="24"/>
          <w:szCs w:val="24"/>
        </w:rPr>
        <w:t xml:space="preserve"> acting as students</w:t>
      </w:r>
      <w:r w:rsidR="00755EC3" w:rsidRPr="000A1855">
        <w:rPr>
          <w:sz w:val="24"/>
          <w:szCs w:val="24"/>
        </w:rPr>
        <w:t xml:space="preserve"> using Socratic questioning, offering suggestions and encouraging students to share personal views and preferences throughout the session (A1</w:t>
      </w:r>
      <w:r w:rsidR="00F94CA1" w:rsidRPr="000A1855">
        <w:rPr>
          <w:sz w:val="24"/>
          <w:szCs w:val="24"/>
        </w:rPr>
        <w:t xml:space="preserve">, A3, </w:t>
      </w:r>
      <w:proofErr w:type="gramStart"/>
      <w:r w:rsidR="00F94CA1" w:rsidRPr="000A1855">
        <w:rPr>
          <w:sz w:val="24"/>
          <w:szCs w:val="24"/>
        </w:rPr>
        <w:t>V1</w:t>
      </w:r>
      <w:proofErr w:type="gramEnd"/>
      <w:r w:rsidR="00F94CA1" w:rsidRPr="000A1855">
        <w:rPr>
          <w:sz w:val="24"/>
          <w:szCs w:val="24"/>
        </w:rPr>
        <w:t>)</w:t>
      </w:r>
      <w:r w:rsidRPr="000A1855">
        <w:rPr>
          <w:sz w:val="24"/>
          <w:szCs w:val="24"/>
        </w:rPr>
        <w:t>.</w:t>
      </w:r>
      <w:r w:rsidR="00EA49E9" w:rsidRPr="000A1855">
        <w:rPr>
          <w:sz w:val="24"/>
          <w:szCs w:val="24"/>
        </w:rPr>
        <w:t xml:space="preserve"> The topic chosen for the Microteach was engagement with philosophical principles and thinkers via the medium of renaissance and neoclassical art. I chose the topic of philosophy, echoing Pitrik &amp; Santos’ (2006, p.6) assertion that:</w:t>
      </w:r>
    </w:p>
    <w:p w:rsidR="00EA49E9" w:rsidRPr="000A1855" w:rsidRDefault="00EA49E9" w:rsidP="001C20CB">
      <w:pPr>
        <w:spacing w:line="480" w:lineRule="auto"/>
        <w:ind w:left="720"/>
        <w:rPr>
          <w:sz w:val="24"/>
          <w:szCs w:val="24"/>
        </w:rPr>
      </w:pPr>
      <w:r w:rsidRPr="000A1855">
        <w:rPr>
          <w:sz w:val="24"/>
          <w:szCs w:val="24"/>
        </w:rPr>
        <w:t>In education, key issues have always been that of deep and persistent learning that allows all participants to develop or grow as whole persons rather than just extend their knowledge on some subject matter or practice.</w:t>
      </w:r>
    </w:p>
    <w:p w:rsidR="00D13663" w:rsidRPr="000A1855" w:rsidRDefault="005009B0" w:rsidP="001C20CB">
      <w:pPr>
        <w:spacing w:line="480" w:lineRule="auto"/>
        <w:rPr>
          <w:sz w:val="24"/>
          <w:szCs w:val="24"/>
        </w:rPr>
      </w:pPr>
      <w:r w:rsidRPr="000A1855">
        <w:rPr>
          <w:sz w:val="24"/>
          <w:szCs w:val="24"/>
        </w:rPr>
        <w:t>As philosophy</w:t>
      </w:r>
      <w:r w:rsidR="00250729" w:rsidRPr="000A1855">
        <w:rPr>
          <w:sz w:val="24"/>
          <w:szCs w:val="24"/>
        </w:rPr>
        <w:t xml:space="preserve"> and education are fundamentally linked (for example, the first universities were opened by Plato and Aristotle), and as philosophy</w:t>
      </w:r>
      <w:r w:rsidRPr="000A1855">
        <w:rPr>
          <w:sz w:val="24"/>
          <w:szCs w:val="24"/>
        </w:rPr>
        <w:t xml:space="preserve"> encourages critical reflection, I saw key links between the philosophical approach and students’ own andragogic, self-directed learning. By choosing to explore the nature of philosophy and self-directed learning through the medium of art, I sought to encourage learning by providing visual stimulation as well as a topic for discussion and academic criticism</w:t>
      </w:r>
      <w:r w:rsidR="007877CD" w:rsidRPr="000A1855">
        <w:rPr>
          <w:sz w:val="24"/>
          <w:szCs w:val="24"/>
        </w:rPr>
        <w:t xml:space="preserve"> (K2, K3, </w:t>
      </w:r>
      <w:proofErr w:type="gramStart"/>
      <w:r w:rsidR="007877CD" w:rsidRPr="000A1855">
        <w:rPr>
          <w:sz w:val="24"/>
          <w:szCs w:val="24"/>
        </w:rPr>
        <w:t>V3</w:t>
      </w:r>
      <w:proofErr w:type="gramEnd"/>
      <w:r w:rsidR="007877CD" w:rsidRPr="000A1855">
        <w:rPr>
          <w:sz w:val="24"/>
          <w:szCs w:val="24"/>
        </w:rPr>
        <w:t>)</w:t>
      </w:r>
      <w:r w:rsidRPr="000A1855">
        <w:rPr>
          <w:sz w:val="24"/>
          <w:szCs w:val="24"/>
        </w:rPr>
        <w:t xml:space="preserve">. </w:t>
      </w:r>
      <w:r w:rsidR="00DE6968" w:rsidRPr="000A1855">
        <w:rPr>
          <w:sz w:val="24"/>
          <w:szCs w:val="24"/>
        </w:rPr>
        <w:t>On the topic of visual stimulation, Minton (2004, p. 165) suggests that ‘since we learn 70 per cent of our information by seeing, visual stimuli are particularly powerful’</w:t>
      </w:r>
      <w:r w:rsidR="00855A2E" w:rsidRPr="000A1855">
        <w:rPr>
          <w:sz w:val="24"/>
          <w:szCs w:val="24"/>
        </w:rPr>
        <w:t>, hence the use of artwork to explore the main themes of the Microteach</w:t>
      </w:r>
      <w:r w:rsidR="00DE6968" w:rsidRPr="000A1855">
        <w:rPr>
          <w:sz w:val="24"/>
          <w:szCs w:val="24"/>
        </w:rPr>
        <w:t>.</w:t>
      </w:r>
      <w:r w:rsidR="007877CD" w:rsidRPr="000A1855">
        <w:rPr>
          <w:sz w:val="24"/>
          <w:szCs w:val="24"/>
        </w:rPr>
        <w:t xml:space="preserve"> </w:t>
      </w:r>
      <w:r w:rsidR="00D13663" w:rsidRPr="000A1855">
        <w:rPr>
          <w:sz w:val="24"/>
          <w:szCs w:val="24"/>
        </w:rPr>
        <w:t xml:space="preserve">The session was constructed as a seminar, in the sense that ‘the tone of the seminars is not meant to be rigid but thoughtful and to emphasize evidence over emotion in the group discussions’ (Harasim, </w:t>
      </w:r>
      <w:r w:rsidR="00855A2E" w:rsidRPr="000A1855">
        <w:rPr>
          <w:sz w:val="24"/>
          <w:szCs w:val="24"/>
        </w:rPr>
        <w:t xml:space="preserve">2017, p.145). I chose to conduct the Microteach in this manner as a key feature of the session was to be student interaction and </w:t>
      </w:r>
      <w:r w:rsidR="00855A2E" w:rsidRPr="000A1855">
        <w:rPr>
          <w:sz w:val="24"/>
          <w:szCs w:val="24"/>
        </w:rPr>
        <w:lastRenderedPageBreak/>
        <w:t xml:space="preserve">discussion with each other, in addition to </w:t>
      </w:r>
      <w:r w:rsidR="00E72917" w:rsidRPr="000A1855">
        <w:rPr>
          <w:sz w:val="24"/>
          <w:szCs w:val="24"/>
        </w:rPr>
        <w:t>lecture material</w:t>
      </w:r>
      <w:r w:rsidR="00855A2E" w:rsidRPr="000A1855">
        <w:rPr>
          <w:sz w:val="24"/>
          <w:szCs w:val="24"/>
        </w:rPr>
        <w:t xml:space="preserve"> delivered in a more traditional, informative manner</w:t>
      </w:r>
      <w:r w:rsidR="006F6FFF" w:rsidRPr="000A1855">
        <w:rPr>
          <w:sz w:val="24"/>
          <w:szCs w:val="24"/>
        </w:rPr>
        <w:t xml:space="preserve"> (A2, A4, K1, K2, </w:t>
      </w:r>
      <w:proofErr w:type="gramStart"/>
      <w:r w:rsidR="006F6FFF" w:rsidRPr="000A1855">
        <w:rPr>
          <w:sz w:val="24"/>
          <w:szCs w:val="24"/>
        </w:rPr>
        <w:t>K3</w:t>
      </w:r>
      <w:proofErr w:type="gramEnd"/>
      <w:r w:rsidR="006F6FFF" w:rsidRPr="000A1855">
        <w:rPr>
          <w:sz w:val="24"/>
          <w:szCs w:val="24"/>
        </w:rPr>
        <w:t>)</w:t>
      </w:r>
      <w:r w:rsidR="00855A2E" w:rsidRPr="000A1855">
        <w:rPr>
          <w:sz w:val="24"/>
          <w:szCs w:val="24"/>
        </w:rPr>
        <w:t>.</w:t>
      </w:r>
      <w:r w:rsidR="006F6FFF" w:rsidRPr="000A1855">
        <w:rPr>
          <w:sz w:val="24"/>
          <w:szCs w:val="24"/>
        </w:rPr>
        <w:t xml:space="preserve"> </w:t>
      </w:r>
      <w:r w:rsidR="00855A2E" w:rsidRPr="000A1855">
        <w:rPr>
          <w:sz w:val="24"/>
          <w:szCs w:val="24"/>
        </w:rPr>
        <w:t xml:space="preserve"> </w:t>
      </w:r>
    </w:p>
    <w:p w:rsidR="00D54AD7" w:rsidRDefault="005009B0" w:rsidP="001C20CB">
      <w:pPr>
        <w:spacing w:line="480" w:lineRule="auto"/>
        <w:ind w:firstLine="720"/>
        <w:rPr>
          <w:sz w:val="24"/>
          <w:szCs w:val="24"/>
        </w:rPr>
      </w:pPr>
      <w:r w:rsidRPr="000A1855">
        <w:rPr>
          <w:sz w:val="24"/>
          <w:szCs w:val="24"/>
        </w:rPr>
        <w:t>W</w:t>
      </w:r>
      <w:r w:rsidR="00CA5456" w:rsidRPr="000A1855">
        <w:rPr>
          <w:sz w:val="24"/>
          <w:szCs w:val="24"/>
        </w:rPr>
        <w:t xml:space="preserve">hilst designing the format for this Microteach, I was aware that ‘although extensive pedagogical research exists in art education and museum education, it does not consider art history taught primarily in a classroom context’ (Spivey </w:t>
      </w:r>
      <w:r w:rsidR="00CA5456" w:rsidRPr="000A1855">
        <w:rPr>
          <w:i/>
          <w:sz w:val="24"/>
          <w:szCs w:val="24"/>
        </w:rPr>
        <w:t>et al,</w:t>
      </w:r>
      <w:r w:rsidR="00BD2FE4" w:rsidRPr="000A1855">
        <w:rPr>
          <w:i/>
          <w:sz w:val="24"/>
          <w:szCs w:val="24"/>
        </w:rPr>
        <w:t xml:space="preserve"> </w:t>
      </w:r>
      <w:r w:rsidR="00BD2FE4" w:rsidRPr="000A1855">
        <w:rPr>
          <w:sz w:val="24"/>
          <w:szCs w:val="24"/>
        </w:rPr>
        <w:t>2017, p. 5).</w:t>
      </w:r>
      <w:r w:rsidR="00CA5456" w:rsidRPr="000A1855">
        <w:rPr>
          <w:i/>
          <w:sz w:val="24"/>
          <w:szCs w:val="24"/>
        </w:rPr>
        <w:t xml:space="preserve"> </w:t>
      </w:r>
      <w:r w:rsidR="00BD2FE4" w:rsidRPr="000A1855">
        <w:rPr>
          <w:sz w:val="24"/>
          <w:szCs w:val="24"/>
        </w:rPr>
        <w:t>Therefore, the contemporary</w:t>
      </w:r>
      <w:r w:rsidR="00DA6075">
        <w:rPr>
          <w:sz w:val="24"/>
          <w:szCs w:val="24"/>
        </w:rPr>
        <w:t xml:space="preserve"> pedagogies and</w:t>
      </w:r>
      <w:r w:rsidR="00BD2FE4" w:rsidRPr="000A1855">
        <w:rPr>
          <w:sz w:val="24"/>
          <w:szCs w:val="24"/>
        </w:rPr>
        <w:t xml:space="preserve"> </w:t>
      </w:r>
      <w:r w:rsidR="007877CD" w:rsidRPr="000A1855">
        <w:rPr>
          <w:sz w:val="24"/>
          <w:szCs w:val="24"/>
        </w:rPr>
        <w:t>teaching methods</w:t>
      </w:r>
      <w:r w:rsidR="00943B58" w:rsidRPr="000A1855">
        <w:rPr>
          <w:sz w:val="24"/>
          <w:szCs w:val="24"/>
        </w:rPr>
        <w:t xml:space="preserve"> I chose to employ were</w:t>
      </w:r>
      <w:r w:rsidR="00BD2FE4" w:rsidRPr="000A1855">
        <w:rPr>
          <w:sz w:val="24"/>
          <w:szCs w:val="24"/>
        </w:rPr>
        <w:t xml:space="preserve"> a combination of Malcolm Knowles’ andragogic style, acknowledging students ‘desire for more equality between the teacher and learner in terms of choosing the content and style of delivery’ (Bates, 2016, p. 60), and Robin Alexander’s principles of ‘dialogic teaching’, where ‘classroom dialogue is an essential tool for learning where learner involvement is what happens throughout the lesson’ (Bates, 2016, p. 246</w:t>
      </w:r>
      <w:r w:rsidR="007371A0" w:rsidRPr="000A1855">
        <w:rPr>
          <w:sz w:val="24"/>
          <w:szCs w:val="24"/>
        </w:rPr>
        <w:t>, A1, A3, K3, V1</w:t>
      </w:r>
      <w:r w:rsidR="00BD2FE4" w:rsidRPr="000A1855">
        <w:rPr>
          <w:sz w:val="24"/>
          <w:szCs w:val="24"/>
        </w:rPr>
        <w:t>)</w:t>
      </w:r>
      <w:r w:rsidR="00C03563" w:rsidRPr="000A1855">
        <w:rPr>
          <w:sz w:val="24"/>
          <w:szCs w:val="24"/>
        </w:rPr>
        <w:t>.  Celli &amp; Young (2017, p. 68</w:t>
      </w:r>
      <w:r w:rsidR="007877CD" w:rsidRPr="000A1855">
        <w:rPr>
          <w:sz w:val="24"/>
          <w:szCs w:val="24"/>
        </w:rPr>
        <w:t>) clearly</w:t>
      </w:r>
      <w:r w:rsidR="00C03563" w:rsidRPr="000A1855">
        <w:rPr>
          <w:sz w:val="24"/>
          <w:szCs w:val="24"/>
        </w:rPr>
        <w:t xml:space="preserve"> define the difference between pedagogy and andragogy, explaining that</w:t>
      </w:r>
      <w:r w:rsidR="00D54AD7">
        <w:rPr>
          <w:sz w:val="24"/>
          <w:szCs w:val="24"/>
        </w:rPr>
        <w:t>:</w:t>
      </w:r>
    </w:p>
    <w:p w:rsidR="009E0157" w:rsidRDefault="00D54AD7" w:rsidP="009E0157">
      <w:pPr>
        <w:spacing w:line="480" w:lineRule="auto"/>
        <w:ind w:left="720" w:firstLine="60"/>
        <w:rPr>
          <w:sz w:val="24"/>
          <w:szCs w:val="24"/>
        </w:rPr>
      </w:pPr>
      <w:r>
        <w:rPr>
          <w:sz w:val="24"/>
          <w:szCs w:val="24"/>
        </w:rPr>
        <w:t>I</w:t>
      </w:r>
      <w:r w:rsidR="00C03563" w:rsidRPr="000A1855">
        <w:rPr>
          <w:sz w:val="24"/>
          <w:szCs w:val="24"/>
        </w:rPr>
        <w:t>n pedagogy, learning is the responsibility of the teacher who is apt to use external motivators and where the student plays a submissive role. Andragogy, however, places the responsibility for learning on the adult student who is internally motivated and needs to know wh</w:t>
      </w:r>
      <w:r>
        <w:rPr>
          <w:sz w:val="24"/>
          <w:szCs w:val="24"/>
        </w:rPr>
        <w:t>y the information is important.</w:t>
      </w:r>
      <w:r w:rsidR="007877CD" w:rsidRPr="000A1855">
        <w:rPr>
          <w:sz w:val="24"/>
          <w:szCs w:val="24"/>
        </w:rPr>
        <w:t xml:space="preserve"> </w:t>
      </w:r>
    </w:p>
    <w:p w:rsidR="00D13663" w:rsidRPr="000A1855" w:rsidRDefault="00755EC3" w:rsidP="009E0157">
      <w:pPr>
        <w:spacing w:line="480" w:lineRule="auto"/>
        <w:rPr>
          <w:sz w:val="24"/>
          <w:szCs w:val="24"/>
        </w:rPr>
      </w:pPr>
      <w:r w:rsidRPr="000A1855">
        <w:rPr>
          <w:sz w:val="24"/>
          <w:szCs w:val="24"/>
        </w:rPr>
        <w:t xml:space="preserve">The </w:t>
      </w:r>
      <w:r w:rsidR="003724D9" w:rsidRPr="000A1855">
        <w:rPr>
          <w:sz w:val="24"/>
          <w:szCs w:val="24"/>
        </w:rPr>
        <w:t xml:space="preserve">first painting was </w:t>
      </w:r>
      <w:r w:rsidR="003724D9" w:rsidRPr="000A1855">
        <w:rPr>
          <w:i/>
          <w:sz w:val="24"/>
          <w:szCs w:val="24"/>
        </w:rPr>
        <w:t xml:space="preserve">The School of Athens </w:t>
      </w:r>
      <w:r w:rsidR="003724D9" w:rsidRPr="000A1855">
        <w:rPr>
          <w:sz w:val="24"/>
          <w:szCs w:val="24"/>
        </w:rPr>
        <w:t xml:space="preserve">by Rafael, and the second, </w:t>
      </w:r>
      <w:r w:rsidR="003724D9" w:rsidRPr="000A1855">
        <w:rPr>
          <w:i/>
          <w:sz w:val="24"/>
          <w:szCs w:val="24"/>
        </w:rPr>
        <w:t>The Death of Socrates</w:t>
      </w:r>
      <w:r w:rsidR="003724D9" w:rsidRPr="000A1855">
        <w:rPr>
          <w:sz w:val="24"/>
          <w:szCs w:val="24"/>
        </w:rPr>
        <w:t xml:space="preserve"> by Jacques-Louis David.</w:t>
      </w:r>
      <w:r w:rsidR="00F94CA1" w:rsidRPr="000A1855">
        <w:rPr>
          <w:sz w:val="24"/>
          <w:szCs w:val="24"/>
        </w:rPr>
        <w:t xml:space="preserve"> I began t</w:t>
      </w:r>
      <w:r w:rsidR="003724D9" w:rsidRPr="000A1855">
        <w:rPr>
          <w:sz w:val="24"/>
          <w:szCs w:val="24"/>
        </w:rPr>
        <w:t xml:space="preserve">he session </w:t>
      </w:r>
      <w:r w:rsidR="00F94CA1" w:rsidRPr="000A1855">
        <w:rPr>
          <w:sz w:val="24"/>
          <w:szCs w:val="24"/>
        </w:rPr>
        <w:t xml:space="preserve">by </w:t>
      </w:r>
      <w:r w:rsidR="00855A2E" w:rsidRPr="000A1855">
        <w:rPr>
          <w:sz w:val="24"/>
          <w:szCs w:val="24"/>
        </w:rPr>
        <w:t>informatively</w:t>
      </w:r>
      <w:r w:rsidR="00F94CA1" w:rsidRPr="000A1855">
        <w:rPr>
          <w:sz w:val="24"/>
          <w:szCs w:val="24"/>
        </w:rPr>
        <w:t xml:space="preserve"> explaining</w:t>
      </w:r>
      <w:r w:rsidR="003724D9" w:rsidRPr="000A1855">
        <w:rPr>
          <w:sz w:val="24"/>
          <w:szCs w:val="24"/>
        </w:rPr>
        <w:t xml:space="preserve"> the background</w:t>
      </w:r>
      <w:r w:rsidR="00F94CA1" w:rsidRPr="000A1855">
        <w:rPr>
          <w:sz w:val="24"/>
          <w:szCs w:val="24"/>
        </w:rPr>
        <w:t xml:space="preserve"> </w:t>
      </w:r>
      <w:r w:rsidR="003724D9" w:rsidRPr="000A1855">
        <w:rPr>
          <w:sz w:val="24"/>
          <w:szCs w:val="24"/>
        </w:rPr>
        <w:t xml:space="preserve">of </w:t>
      </w:r>
      <w:r w:rsidR="003724D9" w:rsidRPr="000A1855">
        <w:rPr>
          <w:i/>
          <w:sz w:val="24"/>
          <w:szCs w:val="24"/>
        </w:rPr>
        <w:t>The School of Athens</w:t>
      </w:r>
      <w:r w:rsidR="003724D9" w:rsidRPr="000A1855">
        <w:rPr>
          <w:sz w:val="24"/>
          <w:szCs w:val="24"/>
        </w:rPr>
        <w:t>, including the location of the fresco, under what circumstances it was commissioned, and what material was used to create it</w:t>
      </w:r>
      <w:r w:rsidR="00F94CA1" w:rsidRPr="000A1855">
        <w:rPr>
          <w:sz w:val="24"/>
          <w:szCs w:val="24"/>
        </w:rPr>
        <w:t xml:space="preserve"> (K1, K2)</w:t>
      </w:r>
      <w:r w:rsidR="003724D9" w:rsidRPr="000A1855">
        <w:rPr>
          <w:sz w:val="24"/>
          <w:szCs w:val="24"/>
        </w:rPr>
        <w:t xml:space="preserve">. Its historical context was discussed, in addition to the traditional reading of the fresco as a dichotomy between the Platonic mode of philosophical enquiry (namely transcendence, the numinous, </w:t>
      </w:r>
      <w:r w:rsidR="00552BF4" w:rsidRPr="000A1855">
        <w:rPr>
          <w:sz w:val="24"/>
          <w:szCs w:val="24"/>
        </w:rPr>
        <w:t xml:space="preserve">and forms) </w:t>
      </w:r>
      <w:r w:rsidR="00552BF4" w:rsidRPr="000A1855">
        <w:rPr>
          <w:sz w:val="24"/>
          <w:szCs w:val="24"/>
        </w:rPr>
        <w:lastRenderedPageBreak/>
        <w:t>and the Aristotelian mode (virtue, earthly discovery and science). The surrounding figures were named and illustrated through example (</w:t>
      </w:r>
      <w:r w:rsidR="00DF6755" w:rsidRPr="000A1855">
        <w:rPr>
          <w:sz w:val="24"/>
          <w:szCs w:val="24"/>
        </w:rPr>
        <w:t>i.e.</w:t>
      </w:r>
      <w:r w:rsidR="00552BF4" w:rsidRPr="000A1855">
        <w:rPr>
          <w:sz w:val="24"/>
          <w:szCs w:val="24"/>
        </w:rPr>
        <w:t xml:space="preserve"> Euclid and his geometric work beside him), with particular reference given to Alexander </w:t>
      </w:r>
      <w:r w:rsidR="00DF6755" w:rsidRPr="000A1855">
        <w:rPr>
          <w:sz w:val="24"/>
          <w:szCs w:val="24"/>
        </w:rPr>
        <w:t>the</w:t>
      </w:r>
      <w:r w:rsidR="00552BF4" w:rsidRPr="000A1855">
        <w:rPr>
          <w:sz w:val="24"/>
          <w:szCs w:val="24"/>
        </w:rPr>
        <w:t xml:space="preserve"> Great and the subsequent formation of the great Library of Alexandria. Furthermore, the Hellenic and Roman </w:t>
      </w:r>
      <w:r w:rsidR="00943B58" w:rsidRPr="000A1855">
        <w:rPr>
          <w:sz w:val="24"/>
          <w:szCs w:val="24"/>
        </w:rPr>
        <w:t>architecture</w:t>
      </w:r>
      <w:r w:rsidR="00552BF4" w:rsidRPr="000A1855">
        <w:rPr>
          <w:sz w:val="24"/>
          <w:szCs w:val="24"/>
        </w:rPr>
        <w:t xml:space="preserve"> of the painting </w:t>
      </w:r>
      <w:r w:rsidR="00943B58" w:rsidRPr="000A1855">
        <w:rPr>
          <w:sz w:val="24"/>
          <w:szCs w:val="24"/>
        </w:rPr>
        <w:t>was</w:t>
      </w:r>
      <w:r w:rsidR="00552BF4" w:rsidRPr="000A1855">
        <w:rPr>
          <w:sz w:val="24"/>
          <w:szCs w:val="24"/>
        </w:rPr>
        <w:t xml:space="preserve"> highlighted, suggesting the adoption of major </w:t>
      </w:r>
      <w:r w:rsidR="00336F70">
        <w:rPr>
          <w:sz w:val="24"/>
          <w:szCs w:val="24"/>
        </w:rPr>
        <w:t>Greek</w:t>
      </w:r>
      <w:r w:rsidR="003D68B4">
        <w:rPr>
          <w:sz w:val="24"/>
          <w:szCs w:val="24"/>
        </w:rPr>
        <w:t xml:space="preserve"> philosophical</w:t>
      </w:r>
      <w:r w:rsidR="00552BF4" w:rsidRPr="000A1855">
        <w:rPr>
          <w:sz w:val="24"/>
          <w:szCs w:val="24"/>
        </w:rPr>
        <w:t xml:space="preserve"> work as part of the Catholic Church’s own history, with refe</w:t>
      </w:r>
      <w:r w:rsidRPr="000A1855">
        <w:rPr>
          <w:sz w:val="24"/>
          <w:szCs w:val="24"/>
        </w:rPr>
        <w:t>rence given to the surrounding four</w:t>
      </w:r>
      <w:r w:rsidR="00552BF4" w:rsidRPr="000A1855">
        <w:rPr>
          <w:sz w:val="24"/>
          <w:szCs w:val="24"/>
        </w:rPr>
        <w:t xml:space="preserve"> frescoes that adorn the adjacent walls in the Papal Apartments. This is significant, as </w:t>
      </w:r>
      <w:r w:rsidR="00552BF4" w:rsidRPr="000A1855">
        <w:rPr>
          <w:i/>
          <w:sz w:val="24"/>
          <w:szCs w:val="24"/>
        </w:rPr>
        <w:t>The School of Athens</w:t>
      </w:r>
      <w:r w:rsidR="00552BF4" w:rsidRPr="000A1855">
        <w:rPr>
          <w:sz w:val="24"/>
          <w:szCs w:val="24"/>
        </w:rPr>
        <w:t xml:space="preserve"> faces a fresco depicting the key figures of Christian theology, arguably likening and elevating mankind’s academic work to the importance of the coming of Christ. The </w:t>
      </w:r>
      <w:r w:rsidR="00552BF4" w:rsidRPr="000A1855">
        <w:rPr>
          <w:i/>
          <w:sz w:val="24"/>
          <w:szCs w:val="24"/>
        </w:rPr>
        <w:t>Death of Socrates</w:t>
      </w:r>
      <w:r w:rsidR="00552BF4" w:rsidRPr="000A1855">
        <w:rPr>
          <w:sz w:val="24"/>
          <w:szCs w:val="24"/>
        </w:rPr>
        <w:t xml:space="preserve"> was then introduced, highlighting its key features such as the</w:t>
      </w:r>
      <w:r w:rsidR="00ED1FDA" w:rsidRPr="000A1855">
        <w:rPr>
          <w:sz w:val="24"/>
          <w:szCs w:val="24"/>
        </w:rPr>
        <w:t xml:space="preserve"> relative</w:t>
      </w:r>
      <w:r w:rsidR="00552BF4" w:rsidRPr="000A1855">
        <w:rPr>
          <w:sz w:val="24"/>
          <w:szCs w:val="24"/>
        </w:rPr>
        <w:t xml:space="preserve"> blandness of the background, the heroic stature of Socrates, the imposition of Plato into the chamber and David’s own signature under the figure of Crito, suggesting at his affinity with him as a pupil of Socrates. The story of Socrates’ death was discussed</w:t>
      </w:r>
      <w:r w:rsidR="00673CD4" w:rsidRPr="000A1855">
        <w:rPr>
          <w:sz w:val="24"/>
          <w:szCs w:val="24"/>
        </w:rPr>
        <w:t xml:space="preserve"> </w:t>
      </w:r>
      <w:r w:rsidR="00943B58" w:rsidRPr="000A1855">
        <w:rPr>
          <w:sz w:val="24"/>
          <w:szCs w:val="24"/>
        </w:rPr>
        <w:t>(</w:t>
      </w:r>
      <w:r w:rsidR="00673CD4" w:rsidRPr="000A1855">
        <w:rPr>
          <w:sz w:val="24"/>
          <w:szCs w:val="24"/>
        </w:rPr>
        <w:t xml:space="preserve">using a copy of </w:t>
      </w:r>
      <w:r w:rsidR="00673CD4" w:rsidRPr="000A1855">
        <w:rPr>
          <w:i/>
          <w:sz w:val="24"/>
          <w:szCs w:val="24"/>
        </w:rPr>
        <w:t xml:space="preserve">The Apology </w:t>
      </w:r>
      <w:r w:rsidR="00673CD4" w:rsidRPr="000A1855">
        <w:rPr>
          <w:sz w:val="24"/>
          <w:szCs w:val="24"/>
        </w:rPr>
        <w:t xml:space="preserve">by Plato as a </w:t>
      </w:r>
      <w:r w:rsidRPr="000A1855">
        <w:rPr>
          <w:sz w:val="24"/>
          <w:szCs w:val="24"/>
        </w:rPr>
        <w:t>learning tool</w:t>
      </w:r>
      <w:r w:rsidR="00F94CA1" w:rsidRPr="000A1855">
        <w:rPr>
          <w:sz w:val="24"/>
          <w:szCs w:val="24"/>
        </w:rPr>
        <w:t xml:space="preserve"> for students to physically engage with</w:t>
      </w:r>
      <w:r w:rsidR="00943B58" w:rsidRPr="000A1855">
        <w:rPr>
          <w:sz w:val="24"/>
          <w:szCs w:val="24"/>
        </w:rPr>
        <w:t>)</w:t>
      </w:r>
      <w:r w:rsidR="00552BF4" w:rsidRPr="000A1855">
        <w:rPr>
          <w:sz w:val="24"/>
          <w:szCs w:val="24"/>
        </w:rPr>
        <w:t xml:space="preserve">, in addition to David’s own role as a painter during the French Revolution and his adoption of Socratic ideals as an inspiration for the morals that the Revolution should </w:t>
      </w:r>
      <w:r w:rsidR="00943B58" w:rsidRPr="000A1855">
        <w:rPr>
          <w:sz w:val="24"/>
          <w:szCs w:val="24"/>
        </w:rPr>
        <w:t>aspire towards</w:t>
      </w:r>
      <w:r w:rsidR="00552BF4" w:rsidRPr="000A1855">
        <w:rPr>
          <w:sz w:val="24"/>
          <w:szCs w:val="24"/>
        </w:rPr>
        <w:t>. Students were encouraged to discuss which of the two paintings they preferred and their reasons why</w:t>
      </w:r>
      <w:r w:rsidR="00ED1FDA" w:rsidRPr="000A1855">
        <w:rPr>
          <w:sz w:val="24"/>
          <w:szCs w:val="24"/>
        </w:rPr>
        <w:t xml:space="preserve"> (A2, K2, V1)</w:t>
      </w:r>
      <w:r w:rsidR="00552BF4" w:rsidRPr="000A1855">
        <w:rPr>
          <w:sz w:val="24"/>
          <w:szCs w:val="24"/>
        </w:rPr>
        <w:t xml:space="preserve">, as well as tasked with discussing how similar figures and similar Greek histories had been adopted in radically different ways; by the Catholic Church during the Renaissance, but also by French Revolutionaries seeking to overthrow the traditional Church and aristocracy of 1790s France. </w:t>
      </w:r>
    </w:p>
    <w:p w:rsidR="00755EC3" w:rsidRPr="000A1855" w:rsidRDefault="00755EC3" w:rsidP="001C20CB">
      <w:pPr>
        <w:spacing w:line="480" w:lineRule="auto"/>
        <w:ind w:firstLine="720"/>
        <w:rPr>
          <w:sz w:val="24"/>
          <w:szCs w:val="24"/>
        </w:rPr>
      </w:pPr>
      <w:r w:rsidRPr="000A1855">
        <w:rPr>
          <w:sz w:val="24"/>
          <w:szCs w:val="24"/>
        </w:rPr>
        <w:t>Critically reflecting upon the session, there are a number of issues that can be considered. Firstly, i</w:t>
      </w:r>
      <w:r w:rsidR="00673CD4" w:rsidRPr="000A1855">
        <w:rPr>
          <w:sz w:val="24"/>
          <w:szCs w:val="24"/>
        </w:rPr>
        <w:t xml:space="preserve">n order for students to more fully examine some of the key aspects of both paintings, several handouts were printed and distributed among 3 separate groups. </w:t>
      </w:r>
      <w:r w:rsidR="00673CD4" w:rsidRPr="000A1855">
        <w:rPr>
          <w:sz w:val="24"/>
          <w:szCs w:val="24"/>
        </w:rPr>
        <w:lastRenderedPageBreak/>
        <w:t xml:space="preserve">The session was also delivered using a PowerPoint presentation that included both works of art, an example of Roman architecture that appears in </w:t>
      </w:r>
      <w:r w:rsidR="00673CD4" w:rsidRPr="000A1855">
        <w:rPr>
          <w:i/>
          <w:sz w:val="24"/>
          <w:szCs w:val="24"/>
        </w:rPr>
        <w:t xml:space="preserve">The School of Athens </w:t>
      </w:r>
      <w:r w:rsidR="00673CD4" w:rsidRPr="000A1855">
        <w:rPr>
          <w:sz w:val="24"/>
          <w:szCs w:val="24"/>
        </w:rPr>
        <w:t>to furthe</w:t>
      </w:r>
      <w:r w:rsidR="002F2522">
        <w:rPr>
          <w:sz w:val="24"/>
          <w:szCs w:val="24"/>
        </w:rPr>
        <w:t>r discussion, and also a pictori</w:t>
      </w:r>
      <w:r w:rsidR="00673CD4" w:rsidRPr="000A1855">
        <w:rPr>
          <w:sz w:val="24"/>
          <w:szCs w:val="24"/>
        </w:rPr>
        <w:t>al map of Alexander’s empire at its height, to</w:t>
      </w:r>
      <w:r w:rsidR="00704EA9" w:rsidRPr="000A1855">
        <w:rPr>
          <w:sz w:val="24"/>
          <w:szCs w:val="24"/>
        </w:rPr>
        <w:t xml:space="preserve"> visually</w:t>
      </w:r>
      <w:r w:rsidR="00673CD4" w:rsidRPr="000A1855">
        <w:rPr>
          <w:sz w:val="24"/>
          <w:szCs w:val="24"/>
        </w:rPr>
        <w:t xml:space="preserve"> demonstrate the location of Alexandria as a place of learning</w:t>
      </w:r>
      <w:r w:rsidR="00F94CA1" w:rsidRPr="000A1855">
        <w:rPr>
          <w:sz w:val="24"/>
          <w:szCs w:val="24"/>
        </w:rPr>
        <w:t xml:space="preserve"> (A1, A4, K1, </w:t>
      </w:r>
      <w:proofErr w:type="gramStart"/>
      <w:r w:rsidR="00F94CA1" w:rsidRPr="000A1855">
        <w:rPr>
          <w:sz w:val="24"/>
          <w:szCs w:val="24"/>
        </w:rPr>
        <w:t>K4</w:t>
      </w:r>
      <w:proofErr w:type="gramEnd"/>
      <w:r w:rsidR="00F94CA1" w:rsidRPr="000A1855">
        <w:rPr>
          <w:sz w:val="24"/>
          <w:szCs w:val="24"/>
        </w:rPr>
        <w:t>)</w:t>
      </w:r>
      <w:r w:rsidR="00673CD4" w:rsidRPr="000A1855">
        <w:rPr>
          <w:sz w:val="24"/>
          <w:szCs w:val="24"/>
        </w:rPr>
        <w:t>.</w:t>
      </w:r>
      <w:r w:rsidRPr="000A1855">
        <w:rPr>
          <w:sz w:val="24"/>
          <w:szCs w:val="24"/>
        </w:rPr>
        <w:t xml:space="preserve"> The discussion aspect of the Microteach was fundamental to the session, as Smilkstein (2003, p.30; A1, A4, K3) suggests that: </w:t>
      </w:r>
    </w:p>
    <w:p w:rsidR="00755EC3" w:rsidRPr="000A1855" w:rsidRDefault="00755EC3" w:rsidP="001C20CB">
      <w:pPr>
        <w:spacing w:line="480" w:lineRule="auto"/>
        <w:ind w:left="720"/>
        <w:rPr>
          <w:sz w:val="24"/>
          <w:szCs w:val="24"/>
        </w:rPr>
      </w:pPr>
      <w:r w:rsidRPr="000A1855">
        <w:rPr>
          <w:sz w:val="24"/>
          <w:szCs w:val="24"/>
        </w:rPr>
        <w:t>When teachers duplicate in the classroom the same conditions and processes by which students learn outside the classroom, students are able to experience the same motivation, enjoyment, and success with school subjects in the classroom that they experience with activities outside the classroom.</w:t>
      </w:r>
    </w:p>
    <w:p w:rsidR="00F94CA1" w:rsidRPr="000A1855" w:rsidRDefault="00673CD4" w:rsidP="001C20CB">
      <w:pPr>
        <w:spacing w:line="480" w:lineRule="auto"/>
        <w:rPr>
          <w:sz w:val="24"/>
          <w:szCs w:val="24"/>
        </w:rPr>
      </w:pPr>
      <w:r w:rsidRPr="000A1855">
        <w:rPr>
          <w:sz w:val="24"/>
          <w:szCs w:val="24"/>
        </w:rPr>
        <w:t xml:space="preserve"> </w:t>
      </w:r>
      <w:r w:rsidR="00F94CA1" w:rsidRPr="000A1855">
        <w:rPr>
          <w:sz w:val="24"/>
          <w:szCs w:val="24"/>
        </w:rPr>
        <w:t xml:space="preserve">By keeping the Microteach session relatively discursive, promoting high levels of student participation and engagement, I sought to replicate the ‘same conditions and processes’ that Smilkstein discusses. Whilst designing the Microteach, I was aware of the potential issues arising from a more andragogic approach to student learning. </w:t>
      </w:r>
      <w:r w:rsidR="00704EA9" w:rsidRPr="000A1855">
        <w:rPr>
          <w:sz w:val="24"/>
          <w:szCs w:val="24"/>
        </w:rPr>
        <w:t>These issues are elucidated</w:t>
      </w:r>
      <w:r w:rsidR="00F94CA1" w:rsidRPr="000A1855">
        <w:rPr>
          <w:sz w:val="24"/>
          <w:szCs w:val="24"/>
        </w:rPr>
        <w:t xml:space="preserve"> by B</w:t>
      </w:r>
      <w:r w:rsidR="006F05C1" w:rsidRPr="000A1855">
        <w:rPr>
          <w:sz w:val="24"/>
          <w:szCs w:val="24"/>
        </w:rPr>
        <w:t>h</w:t>
      </w:r>
      <w:r w:rsidR="00F94CA1" w:rsidRPr="000A1855">
        <w:rPr>
          <w:sz w:val="24"/>
          <w:szCs w:val="24"/>
        </w:rPr>
        <w:t>agat &amp; O’Neill (2011, p. 126), who suggest that</w:t>
      </w:r>
      <w:r w:rsidR="007E0C2E" w:rsidRPr="000A1855">
        <w:rPr>
          <w:sz w:val="24"/>
          <w:szCs w:val="24"/>
        </w:rPr>
        <w:t>:</w:t>
      </w:r>
    </w:p>
    <w:p w:rsidR="00F94CA1" w:rsidRPr="000A1855" w:rsidRDefault="00F94CA1" w:rsidP="001C20CB">
      <w:pPr>
        <w:spacing w:line="480" w:lineRule="auto"/>
        <w:ind w:left="720"/>
        <w:rPr>
          <w:sz w:val="24"/>
          <w:szCs w:val="24"/>
        </w:rPr>
      </w:pPr>
      <w:r w:rsidRPr="000A1855">
        <w:rPr>
          <w:sz w:val="24"/>
          <w:szCs w:val="24"/>
        </w:rPr>
        <w:t xml:space="preserve">This cultural shift in emphasis from tutor-led to student-led study and the responsibility of managing one’s own learning, often within a more complex and diverse learning environment, is particularly challenging for non-traditional students. </w:t>
      </w:r>
    </w:p>
    <w:p w:rsidR="006F05C1" w:rsidRPr="000A1855" w:rsidRDefault="007E0C2E" w:rsidP="001C20CB">
      <w:pPr>
        <w:spacing w:line="480" w:lineRule="auto"/>
        <w:rPr>
          <w:sz w:val="24"/>
          <w:szCs w:val="24"/>
        </w:rPr>
      </w:pPr>
      <w:r w:rsidRPr="000A1855">
        <w:rPr>
          <w:sz w:val="24"/>
          <w:szCs w:val="24"/>
        </w:rPr>
        <w:t xml:space="preserve">For students who prefer more </w:t>
      </w:r>
      <w:r w:rsidR="00704EA9" w:rsidRPr="000A1855">
        <w:rPr>
          <w:sz w:val="24"/>
          <w:szCs w:val="24"/>
        </w:rPr>
        <w:t xml:space="preserve">informative </w:t>
      </w:r>
      <w:r w:rsidRPr="000A1855">
        <w:rPr>
          <w:sz w:val="24"/>
          <w:szCs w:val="24"/>
        </w:rPr>
        <w:t>content delivery rather than peer discussion, my Microteach would perhaps not cater to their individual learning style. However, during the Microteach itself, the session actually felt somewhat geared toward</w:t>
      </w:r>
      <w:r w:rsidR="00704EA9" w:rsidRPr="000A1855">
        <w:rPr>
          <w:sz w:val="24"/>
          <w:szCs w:val="24"/>
        </w:rPr>
        <w:t xml:space="preserve"> informative</w:t>
      </w:r>
      <w:r w:rsidRPr="000A1855">
        <w:rPr>
          <w:sz w:val="24"/>
          <w:szCs w:val="24"/>
        </w:rPr>
        <w:t xml:space="preserve"> content delivery rather than a more properly andragogic discussion; as there was so much information to cover for students who have perhaps had minimal engagement with the </w:t>
      </w:r>
      <w:r w:rsidRPr="000A1855">
        <w:rPr>
          <w:sz w:val="24"/>
          <w:szCs w:val="24"/>
        </w:rPr>
        <w:lastRenderedPageBreak/>
        <w:t xml:space="preserve">subject in question before, the session could have seemed at times to be less discursive and more pedagogical than intended. The presence of so many figures in each painting and the discussion of a select number could still be overwhelming for those students who are not familiar with </w:t>
      </w:r>
      <w:r w:rsidR="00704EA9" w:rsidRPr="000A1855">
        <w:rPr>
          <w:sz w:val="24"/>
          <w:szCs w:val="24"/>
        </w:rPr>
        <w:t>philosophical and</w:t>
      </w:r>
      <w:r w:rsidRPr="000A1855">
        <w:rPr>
          <w:sz w:val="24"/>
          <w:szCs w:val="24"/>
        </w:rPr>
        <w:t xml:space="preserve"> academic thinkers or art history in general. </w:t>
      </w:r>
    </w:p>
    <w:p w:rsidR="003E4A2F" w:rsidRPr="000A1855" w:rsidRDefault="006F05C1" w:rsidP="001C20CB">
      <w:pPr>
        <w:spacing w:line="480" w:lineRule="auto"/>
        <w:ind w:firstLine="720"/>
        <w:rPr>
          <w:sz w:val="24"/>
          <w:szCs w:val="24"/>
        </w:rPr>
      </w:pPr>
      <w:r w:rsidRPr="000A1855">
        <w:rPr>
          <w:sz w:val="24"/>
          <w:szCs w:val="24"/>
        </w:rPr>
        <w:t>Despite this, however, students were keen to engage with their peers, share ideas and discuss the paintings in greater detail</w:t>
      </w:r>
      <w:r w:rsidR="00312102" w:rsidRPr="000A1855">
        <w:rPr>
          <w:sz w:val="24"/>
          <w:szCs w:val="24"/>
        </w:rPr>
        <w:t xml:space="preserve"> (K2, K3, </w:t>
      </w:r>
      <w:proofErr w:type="gramStart"/>
      <w:r w:rsidR="00312102" w:rsidRPr="000A1855">
        <w:rPr>
          <w:sz w:val="24"/>
          <w:szCs w:val="24"/>
        </w:rPr>
        <w:t>V1</w:t>
      </w:r>
      <w:proofErr w:type="gramEnd"/>
      <w:r w:rsidR="00312102" w:rsidRPr="000A1855">
        <w:rPr>
          <w:sz w:val="24"/>
          <w:szCs w:val="24"/>
        </w:rPr>
        <w:t>)</w:t>
      </w:r>
      <w:r w:rsidRPr="000A1855">
        <w:rPr>
          <w:sz w:val="24"/>
          <w:szCs w:val="24"/>
        </w:rPr>
        <w:t>.</w:t>
      </w:r>
      <w:r w:rsidR="003E437A" w:rsidRPr="000A1855">
        <w:rPr>
          <w:sz w:val="24"/>
          <w:szCs w:val="24"/>
        </w:rPr>
        <w:t xml:space="preserve"> To this end, the Microteach fulfilled at least certain aspects of what Goodman &amp; Goodman (1990, p.239) describe as ‘liberating pedagogy’, where ‘the learners must own the process of their learning’.</w:t>
      </w:r>
      <w:r w:rsidRPr="000A1855">
        <w:rPr>
          <w:sz w:val="24"/>
          <w:szCs w:val="24"/>
        </w:rPr>
        <w:t xml:space="preserve"> This being said, due to the small group size there was less diversity of opinion or discussion than perhaps would have been ideal. </w:t>
      </w:r>
      <w:r w:rsidR="00312102" w:rsidRPr="000A1855">
        <w:rPr>
          <w:sz w:val="24"/>
          <w:szCs w:val="24"/>
        </w:rPr>
        <w:t>Reflecting</w:t>
      </w:r>
      <w:r w:rsidR="005F0E2C">
        <w:rPr>
          <w:sz w:val="24"/>
          <w:szCs w:val="24"/>
        </w:rPr>
        <w:t xml:space="preserve"> critically</w:t>
      </w:r>
      <w:r w:rsidR="00312102" w:rsidRPr="000A1855">
        <w:rPr>
          <w:sz w:val="24"/>
          <w:szCs w:val="24"/>
        </w:rPr>
        <w:t xml:space="preserve"> upon</w:t>
      </w:r>
      <w:r w:rsidRPr="000A1855">
        <w:rPr>
          <w:sz w:val="24"/>
          <w:szCs w:val="24"/>
        </w:rPr>
        <w:t xml:space="preserve"> the focus on </w:t>
      </w:r>
      <w:r w:rsidR="005F0E2C">
        <w:rPr>
          <w:sz w:val="24"/>
          <w:szCs w:val="24"/>
        </w:rPr>
        <w:t xml:space="preserve">informative </w:t>
      </w:r>
      <w:r w:rsidRPr="000A1855">
        <w:rPr>
          <w:sz w:val="24"/>
          <w:szCs w:val="24"/>
        </w:rPr>
        <w:t>content and historical explanation, Freire’s (1993, p.52) critique of ‘narrative character’ is especially significant, as he suggests that ‘the outstanding characteristic of this narrative education, then, is the sonority of words, not their transforming power. (…) The student memorizes, and repeats these phrases without perceiving what four times four really means.’</w:t>
      </w:r>
      <w:r w:rsidR="0042636A" w:rsidRPr="000A1855">
        <w:rPr>
          <w:sz w:val="24"/>
          <w:szCs w:val="24"/>
        </w:rPr>
        <w:t xml:space="preserve"> However, with regards to Freire’s wider aim of raising critical consciousness, what Dirkx (1998, p.2) describes as ‘the ability to analyse, pose questions, and take action on the social, political, cultural and economic contexts that influence and shape (our) lives’, the Microteaching session certainly encouraged students to think critically of how different religious and political institutions have adopted the same historical narrative and interpreted events to suit their own agendas</w:t>
      </w:r>
      <w:r w:rsidR="003E4A2F" w:rsidRPr="000A1855">
        <w:rPr>
          <w:sz w:val="24"/>
          <w:szCs w:val="24"/>
        </w:rPr>
        <w:t xml:space="preserve"> (A2, A4, K1, K2)</w:t>
      </w:r>
      <w:r w:rsidR="0042636A" w:rsidRPr="000A1855">
        <w:rPr>
          <w:sz w:val="24"/>
          <w:szCs w:val="24"/>
        </w:rPr>
        <w:t xml:space="preserve">. </w:t>
      </w:r>
    </w:p>
    <w:p w:rsidR="00E043AB" w:rsidRDefault="005F0E2C" w:rsidP="001C20CB">
      <w:pPr>
        <w:spacing w:line="480" w:lineRule="auto"/>
        <w:ind w:firstLine="720"/>
        <w:rPr>
          <w:sz w:val="24"/>
          <w:szCs w:val="24"/>
        </w:rPr>
      </w:pPr>
      <w:r>
        <w:rPr>
          <w:sz w:val="24"/>
          <w:szCs w:val="24"/>
        </w:rPr>
        <w:t xml:space="preserve">The primary method of assessment for this Microteach was summative. I chose to use an informal, discussion-based method of assessment as, due to the nature of the topic and the construction of the session itself, a peer discussion and basic engagement with </w:t>
      </w:r>
      <w:r>
        <w:rPr>
          <w:sz w:val="24"/>
          <w:szCs w:val="24"/>
        </w:rPr>
        <w:lastRenderedPageBreak/>
        <w:t xml:space="preserve">philosophical ideas was a realistic expectation for achievement by the end of the session. As many of the students are specialists in many different fields, anything beyond studying the entry-level of the topic that I could discuss in 45 minutes would be overly optimistic, or place too much expectation on the students. This does, however, have its limitations. For example, Wallace (2004, p.69) </w:t>
      </w:r>
      <w:r w:rsidR="002F2522">
        <w:rPr>
          <w:sz w:val="24"/>
          <w:szCs w:val="24"/>
        </w:rPr>
        <w:t>asserts</w:t>
      </w:r>
      <w:r>
        <w:rPr>
          <w:sz w:val="24"/>
          <w:szCs w:val="24"/>
        </w:rPr>
        <w:t xml:space="preserve"> that</w:t>
      </w:r>
      <w:r w:rsidR="00E043AB">
        <w:rPr>
          <w:sz w:val="24"/>
          <w:szCs w:val="24"/>
        </w:rPr>
        <w:t>:</w:t>
      </w:r>
    </w:p>
    <w:p w:rsidR="00E043AB" w:rsidRDefault="00E043AB" w:rsidP="001C20CB">
      <w:pPr>
        <w:spacing w:line="480" w:lineRule="auto"/>
        <w:ind w:left="720"/>
        <w:rPr>
          <w:sz w:val="24"/>
          <w:szCs w:val="24"/>
        </w:rPr>
      </w:pPr>
      <w:r>
        <w:rPr>
          <w:sz w:val="24"/>
          <w:szCs w:val="24"/>
        </w:rPr>
        <w:t xml:space="preserve">An assessment is reliable if different teachers carrying out the assessment come up with the same result. The clearer the criteria, the more reliable the assessment will be. (…) The slightest room for ambiguity in the interpretation of criteria puts the reliability of assessment at risk. </w:t>
      </w:r>
    </w:p>
    <w:p w:rsidR="00E043AB" w:rsidRDefault="00E043AB" w:rsidP="001C20CB">
      <w:pPr>
        <w:spacing w:line="480" w:lineRule="auto"/>
        <w:rPr>
          <w:sz w:val="24"/>
          <w:szCs w:val="24"/>
        </w:rPr>
      </w:pPr>
      <w:r>
        <w:rPr>
          <w:sz w:val="24"/>
          <w:szCs w:val="24"/>
        </w:rPr>
        <w:t>This kind of ambiguity that Wallace discusses is clearly an uneasy presence when relying solely upon summative assessment. However, Wallace (2004, p.69</w:t>
      </w:r>
      <w:r w:rsidR="00AF56C1">
        <w:rPr>
          <w:sz w:val="24"/>
          <w:szCs w:val="24"/>
        </w:rPr>
        <w:t>, A1, A3, K2, K5</w:t>
      </w:r>
      <w:r>
        <w:rPr>
          <w:sz w:val="24"/>
          <w:szCs w:val="24"/>
        </w:rPr>
        <w:t>) also acknowledges that:</w:t>
      </w:r>
    </w:p>
    <w:p w:rsidR="00E043AB" w:rsidRDefault="00E043AB" w:rsidP="001C20CB">
      <w:pPr>
        <w:spacing w:line="480" w:lineRule="auto"/>
        <w:ind w:left="720"/>
        <w:rPr>
          <w:sz w:val="24"/>
          <w:szCs w:val="24"/>
        </w:rPr>
      </w:pPr>
      <w:r>
        <w:rPr>
          <w:sz w:val="24"/>
          <w:szCs w:val="24"/>
        </w:rPr>
        <w:t>In some subjects, such as English literature or the fine arts, criteria for assessment are far harder to formulate without losing in the process some essential component, such as critical sensibility, which is difficult to articulate accurately in terms of observable outcomes.</w:t>
      </w:r>
    </w:p>
    <w:p w:rsidR="003E4A2F" w:rsidRDefault="00E043AB" w:rsidP="001C20CB">
      <w:pPr>
        <w:spacing w:line="480" w:lineRule="auto"/>
        <w:rPr>
          <w:sz w:val="24"/>
          <w:szCs w:val="24"/>
        </w:rPr>
      </w:pPr>
      <w:r>
        <w:rPr>
          <w:sz w:val="24"/>
          <w:szCs w:val="24"/>
        </w:rPr>
        <w:t xml:space="preserve">While it may be harder to formulate assessment criteria for certain subjects such as philosophy and art, this demonstrates the use of an external verifier or moderator to ensure that assessment decisions are reliable, and should certainly be kept in mind whilst teaching on placement. </w:t>
      </w:r>
      <w:r w:rsidR="005F0E2C">
        <w:rPr>
          <w:sz w:val="24"/>
          <w:szCs w:val="24"/>
        </w:rPr>
        <w:t xml:space="preserve"> </w:t>
      </w:r>
      <w:r w:rsidR="007E0C2E" w:rsidRPr="000A1855">
        <w:rPr>
          <w:sz w:val="24"/>
          <w:szCs w:val="24"/>
        </w:rPr>
        <w:t xml:space="preserve">In hindsight, it may have been </w:t>
      </w:r>
      <w:r w:rsidR="00832643">
        <w:rPr>
          <w:sz w:val="24"/>
          <w:szCs w:val="24"/>
        </w:rPr>
        <w:t>useful</w:t>
      </w:r>
      <w:r w:rsidR="007E0C2E" w:rsidRPr="000A1855">
        <w:rPr>
          <w:sz w:val="24"/>
          <w:szCs w:val="24"/>
        </w:rPr>
        <w:t xml:space="preserve"> to employ the use of a group activity or questionnaire, or perhaps even a small quiz so as to demonstrate the progress of students’ knowledge and understanding, and also to make </w:t>
      </w:r>
      <w:r w:rsidR="00CA5456" w:rsidRPr="000A1855">
        <w:rPr>
          <w:sz w:val="24"/>
          <w:szCs w:val="24"/>
        </w:rPr>
        <w:t xml:space="preserve">full use of the allotted time. This use of a summative assessment would have met Nicol’s (2008, p. 5) recommendations </w:t>
      </w:r>
      <w:r w:rsidR="007877CD" w:rsidRPr="000A1855">
        <w:rPr>
          <w:sz w:val="24"/>
          <w:szCs w:val="24"/>
        </w:rPr>
        <w:t xml:space="preserve">for </w:t>
      </w:r>
      <w:r w:rsidR="007877CD" w:rsidRPr="000A1855">
        <w:rPr>
          <w:sz w:val="24"/>
          <w:szCs w:val="24"/>
        </w:rPr>
        <w:lastRenderedPageBreak/>
        <w:t xml:space="preserve">enhancement themes </w:t>
      </w:r>
      <w:r w:rsidR="00CA5456" w:rsidRPr="000A1855">
        <w:rPr>
          <w:sz w:val="24"/>
          <w:szCs w:val="24"/>
        </w:rPr>
        <w:t xml:space="preserve">that </w:t>
      </w:r>
      <w:r w:rsidR="00EA49E9" w:rsidRPr="000A1855">
        <w:rPr>
          <w:sz w:val="24"/>
          <w:szCs w:val="24"/>
        </w:rPr>
        <w:t>assessment and feedback should be ‘supporting the development of learning groups and communities’ and ensuring ‘that summative assessment has a positive impact on learning’.</w:t>
      </w:r>
      <w:r w:rsidR="006F05C1" w:rsidRPr="000A1855">
        <w:rPr>
          <w:sz w:val="24"/>
          <w:szCs w:val="24"/>
        </w:rPr>
        <w:t xml:space="preserve"> </w:t>
      </w:r>
      <w:r w:rsidR="007E0C2E" w:rsidRPr="000A1855">
        <w:rPr>
          <w:sz w:val="24"/>
          <w:szCs w:val="24"/>
        </w:rPr>
        <w:t>Using a worksheet to</w:t>
      </w:r>
      <w:r w:rsidR="006F05C1" w:rsidRPr="000A1855">
        <w:rPr>
          <w:sz w:val="24"/>
          <w:szCs w:val="24"/>
        </w:rPr>
        <w:t xml:space="preserve"> write some of the key figures, features, philosophical ideas and so on</w:t>
      </w:r>
      <w:r w:rsidR="007E0C2E" w:rsidRPr="000A1855">
        <w:rPr>
          <w:sz w:val="24"/>
          <w:szCs w:val="24"/>
        </w:rPr>
        <w:t xml:space="preserve">, for example, would have </w:t>
      </w:r>
      <w:r w:rsidR="00EA49E9" w:rsidRPr="000A1855">
        <w:rPr>
          <w:sz w:val="24"/>
          <w:szCs w:val="24"/>
        </w:rPr>
        <w:t xml:space="preserve">demonstrated the progression in student knowledge and identified any gaps between current and desired performance. </w:t>
      </w:r>
      <w:r w:rsidR="007E0C2E" w:rsidRPr="000A1855">
        <w:rPr>
          <w:sz w:val="24"/>
          <w:szCs w:val="24"/>
        </w:rPr>
        <w:t xml:space="preserve"> </w:t>
      </w:r>
      <w:r w:rsidR="003E4A2F" w:rsidRPr="000A1855">
        <w:rPr>
          <w:sz w:val="24"/>
          <w:szCs w:val="24"/>
        </w:rPr>
        <w:t>Had this</w:t>
      </w:r>
      <w:r w:rsidR="00002E84">
        <w:rPr>
          <w:sz w:val="24"/>
          <w:szCs w:val="24"/>
        </w:rPr>
        <w:t xml:space="preserve"> been achieved, it would have me</w:t>
      </w:r>
      <w:r w:rsidR="003E4A2F" w:rsidRPr="000A1855">
        <w:rPr>
          <w:sz w:val="24"/>
          <w:szCs w:val="24"/>
        </w:rPr>
        <w:t>t the HEA UKPSF Core Knowledge criteria K5, pertaining to assessing and evaluating the effectiveness of teaching.</w:t>
      </w:r>
    </w:p>
    <w:p w:rsidR="00002E84" w:rsidRDefault="00002E84" w:rsidP="001C20CB">
      <w:pPr>
        <w:spacing w:line="480" w:lineRule="auto"/>
        <w:ind w:firstLine="720"/>
        <w:rPr>
          <w:sz w:val="24"/>
          <w:szCs w:val="24"/>
        </w:rPr>
      </w:pPr>
      <w:r>
        <w:rPr>
          <w:sz w:val="24"/>
          <w:szCs w:val="24"/>
        </w:rPr>
        <w:t>On the topic of enhancement themes, the key theme to this particular Microteaching session was communication. While the role of the lecturer requires a good deal of skill in communication and should not be ignored, the use of peer discussion to encourage students to share their own ideas and critically evaluate them on their merits is perhaps a more significant feature of the construction of the session. One of the major reasons I chose to use communication as an enhancement theme was to encourage students to think differently; what Burnett (2002, p.21) describes as leaving the ‘comfort zone’, where he suggests that:</w:t>
      </w:r>
    </w:p>
    <w:p w:rsidR="00002E84" w:rsidRDefault="00002E84" w:rsidP="001C20CB">
      <w:pPr>
        <w:spacing w:line="480" w:lineRule="auto"/>
        <w:ind w:left="720"/>
        <w:rPr>
          <w:sz w:val="24"/>
          <w:szCs w:val="24"/>
        </w:rPr>
      </w:pPr>
      <w:r>
        <w:rPr>
          <w:sz w:val="24"/>
          <w:szCs w:val="24"/>
        </w:rPr>
        <w:t>Personal change and growth will never take place unless you occasionally step out of your comfort zone. Unless you try something different and allow your mind to grow there is a danger that you will be stuck in time and never change.</w:t>
      </w:r>
    </w:p>
    <w:p w:rsidR="00673CD4" w:rsidRDefault="00690E3A" w:rsidP="008B1E21">
      <w:pPr>
        <w:spacing w:line="480" w:lineRule="auto"/>
        <w:rPr>
          <w:sz w:val="24"/>
          <w:szCs w:val="24"/>
        </w:rPr>
      </w:pPr>
      <w:r>
        <w:rPr>
          <w:sz w:val="24"/>
          <w:szCs w:val="24"/>
        </w:rPr>
        <w:t>Using communication as an enhancement theme was also particularly useful with regards to maintaining the integrity of following the andragogic and dialogic pedagogies of Knowles and Alexander</w:t>
      </w:r>
      <w:r w:rsidR="00AF56C1">
        <w:rPr>
          <w:sz w:val="24"/>
          <w:szCs w:val="24"/>
        </w:rPr>
        <w:t xml:space="preserve"> (A4, A5,</w:t>
      </w:r>
      <w:r w:rsidR="00336F70">
        <w:rPr>
          <w:sz w:val="24"/>
          <w:szCs w:val="24"/>
        </w:rPr>
        <w:t xml:space="preserve"> </w:t>
      </w:r>
      <w:proofErr w:type="gramStart"/>
      <w:r w:rsidR="00AF56C1">
        <w:rPr>
          <w:sz w:val="24"/>
          <w:szCs w:val="24"/>
        </w:rPr>
        <w:t>K6</w:t>
      </w:r>
      <w:proofErr w:type="gramEnd"/>
      <w:r w:rsidR="00AF56C1">
        <w:rPr>
          <w:sz w:val="24"/>
          <w:szCs w:val="24"/>
        </w:rPr>
        <w:t>)</w:t>
      </w:r>
      <w:r>
        <w:rPr>
          <w:sz w:val="24"/>
          <w:szCs w:val="24"/>
        </w:rPr>
        <w:t>. Furthermore, Zwozdiak-Myers (2012, p.147) also notes that in research into effective teaching, ‘communication between teachers and pupils’ features as one of the central components to the success of pupils.</w:t>
      </w:r>
      <w:r w:rsidR="008B1E21">
        <w:rPr>
          <w:sz w:val="24"/>
          <w:szCs w:val="24"/>
        </w:rPr>
        <w:t xml:space="preserve"> </w:t>
      </w:r>
      <w:r w:rsidR="00673CD4" w:rsidRPr="000A1855">
        <w:rPr>
          <w:sz w:val="24"/>
          <w:szCs w:val="24"/>
        </w:rPr>
        <w:t xml:space="preserve">During the Microteach, students </w:t>
      </w:r>
      <w:r w:rsidR="00673CD4" w:rsidRPr="000A1855">
        <w:rPr>
          <w:sz w:val="24"/>
          <w:szCs w:val="24"/>
        </w:rPr>
        <w:lastRenderedPageBreak/>
        <w:t>were consistently asked questions and encouraged to produce their own ideas with regards to who the figures depicted were, what their significance in the painting was, how their presence impacts the political message of the painting, and how the same event can be adopted by both orthodox Catholics and radical deistic Revolutionaries to portray an ideal of society and mankind in general</w:t>
      </w:r>
      <w:r w:rsidR="00F94CA1" w:rsidRPr="000A1855">
        <w:rPr>
          <w:sz w:val="24"/>
          <w:szCs w:val="24"/>
        </w:rPr>
        <w:t xml:space="preserve"> (A3, K3, V1)</w:t>
      </w:r>
      <w:r w:rsidR="00673CD4" w:rsidRPr="000A1855">
        <w:rPr>
          <w:sz w:val="24"/>
          <w:szCs w:val="24"/>
        </w:rPr>
        <w:t xml:space="preserve">. </w:t>
      </w:r>
      <w:r>
        <w:rPr>
          <w:sz w:val="24"/>
          <w:szCs w:val="24"/>
        </w:rPr>
        <w:t xml:space="preserve"> This communication between teachers and pupils that Zwozdiak-Myers mentions is evident in the questioning, and was one of the ways in which dialogic and andragogic pedagogies were implemented throughout the session.</w:t>
      </w:r>
      <w:r w:rsidR="00336F70">
        <w:rPr>
          <w:sz w:val="24"/>
          <w:szCs w:val="24"/>
        </w:rPr>
        <w:t xml:space="preserve"> </w:t>
      </w:r>
      <w:r w:rsidR="003E4A2F" w:rsidRPr="000A1855">
        <w:rPr>
          <w:sz w:val="24"/>
          <w:szCs w:val="24"/>
        </w:rPr>
        <w:t xml:space="preserve">However, as the group was relatively small (only 5 or 6 students), this meant that some students were more keen to share ideas than others, and once again is perhaps a signifier that a greater diversity of opinion would have come from a larger group and benefited the session overall. In future sessions, assessment elements such as a worksheet or quiz could be employed as a group activity so as to engage those students who are </w:t>
      </w:r>
      <w:proofErr w:type="gramStart"/>
      <w:r w:rsidR="003E4A2F" w:rsidRPr="000A1855">
        <w:rPr>
          <w:sz w:val="24"/>
          <w:szCs w:val="24"/>
        </w:rPr>
        <w:t>more shy</w:t>
      </w:r>
      <w:proofErr w:type="gramEnd"/>
      <w:r w:rsidR="003E4A2F" w:rsidRPr="000A1855">
        <w:rPr>
          <w:sz w:val="24"/>
          <w:szCs w:val="24"/>
        </w:rPr>
        <w:t xml:space="preserve">, to provide summative assessment for myself as the lecturer and to make full use of the 45 minutes given for the session. </w:t>
      </w:r>
    </w:p>
    <w:p w:rsidR="00DE6968" w:rsidRDefault="001A5537" w:rsidP="001C20CB">
      <w:pPr>
        <w:spacing w:line="480" w:lineRule="auto"/>
        <w:ind w:firstLine="720"/>
        <w:rPr>
          <w:sz w:val="24"/>
          <w:szCs w:val="24"/>
        </w:rPr>
      </w:pPr>
      <w:r>
        <w:rPr>
          <w:sz w:val="24"/>
          <w:szCs w:val="24"/>
        </w:rPr>
        <w:t>Over</w:t>
      </w:r>
      <w:r w:rsidR="00F37925">
        <w:rPr>
          <w:sz w:val="24"/>
          <w:szCs w:val="24"/>
        </w:rPr>
        <w:t>all, the Microteach session was w</w:t>
      </w:r>
      <w:r w:rsidR="00690E3A">
        <w:rPr>
          <w:sz w:val="24"/>
          <w:szCs w:val="24"/>
        </w:rPr>
        <w:t>ell received by students and in conclusion, were the session to be run again, the introduction of a group activity or some small form of assessment would have been included so as to more properly examine the students’ progress from the beginning of the session</w:t>
      </w:r>
      <w:r w:rsidR="00685D83">
        <w:rPr>
          <w:sz w:val="24"/>
          <w:szCs w:val="24"/>
        </w:rPr>
        <w:t>. The theme of discussion and communication fit neatly with the contemporary pedagogies of andragogy and dialogic teaching employed for the Microteach, and the informal feedback from students at the end of the session was very positive.</w:t>
      </w:r>
    </w:p>
    <w:p w:rsidR="008B1E21" w:rsidRPr="000A1855" w:rsidRDefault="008B1E21" w:rsidP="001C20CB">
      <w:pPr>
        <w:spacing w:line="480" w:lineRule="auto"/>
        <w:ind w:firstLine="720"/>
        <w:rPr>
          <w:sz w:val="24"/>
          <w:szCs w:val="24"/>
        </w:rPr>
      </w:pPr>
      <w:bookmarkStart w:id="0" w:name="_GoBack"/>
      <w:bookmarkEnd w:id="0"/>
    </w:p>
    <w:sdt>
      <w:sdtPr>
        <w:rPr>
          <w:rFonts w:asciiTheme="minorHAnsi" w:eastAsiaTheme="minorHAnsi" w:hAnsiTheme="minorHAnsi" w:cstheme="minorBidi"/>
          <w:color w:val="auto"/>
          <w:sz w:val="24"/>
          <w:szCs w:val="24"/>
          <w:lang w:val="en-GB"/>
        </w:rPr>
        <w:id w:val="1768417437"/>
        <w:docPartObj>
          <w:docPartGallery w:val="Bibliographies"/>
          <w:docPartUnique/>
        </w:docPartObj>
      </w:sdtPr>
      <w:sdtEndPr/>
      <w:sdtContent>
        <w:p w:rsidR="00535091" w:rsidRPr="000A1855" w:rsidRDefault="00535091" w:rsidP="001C20CB">
          <w:pPr>
            <w:pStyle w:val="Heading1"/>
            <w:spacing w:line="480" w:lineRule="auto"/>
            <w:rPr>
              <w:rFonts w:asciiTheme="minorHAnsi" w:hAnsiTheme="minorHAnsi"/>
              <w:color w:val="auto"/>
              <w:sz w:val="24"/>
              <w:szCs w:val="24"/>
            </w:rPr>
          </w:pPr>
          <w:r w:rsidRPr="000A1855">
            <w:rPr>
              <w:rFonts w:asciiTheme="minorHAnsi" w:hAnsiTheme="minorHAnsi"/>
              <w:color w:val="auto"/>
              <w:sz w:val="24"/>
              <w:szCs w:val="24"/>
            </w:rPr>
            <w:t>Bibliography</w:t>
          </w:r>
        </w:p>
        <w:sdt>
          <w:sdtPr>
            <w:rPr>
              <w:sz w:val="24"/>
              <w:szCs w:val="24"/>
            </w:rPr>
            <w:id w:val="111145805"/>
            <w:bibliography/>
          </w:sdtPr>
          <w:sdtEndPr/>
          <w:sdtContent>
            <w:p w:rsidR="001C20CB" w:rsidRDefault="00535091" w:rsidP="001C20CB">
              <w:pPr>
                <w:pStyle w:val="Bibliography"/>
                <w:spacing w:line="480" w:lineRule="auto"/>
                <w:ind w:left="720" w:hanging="720"/>
                <w:rPr>
                  <w:noProof/>
                  <w:sz w:val="24"/>
                  <w:szCs w:val="24"/>
                  <w:lang w:val="en-US"/>
                </w:rPr>
              </w:pPr>
              <w:r w:rsidRPr="000A1855">
                <w:rPr>
                  <w:sz w:val="24"/>
                  <w:szCs w:val="24"/>
                </w:rPr>
                <w:fldChar w:fldCharType="begin"/>
              </w:r>
              <w:r w:rsidRPr="000A1855">
                <w:rPr>
                  <w:sz w:val="24"/>
                  <w:szCs w:val="24"/>
                </w:rPr>
                <w:instrText xml:space="preserve"> BIBLIOGRAPHY </w:instrText>
              </w:r>
              <w:r w:rsidRPr="000A1855">
                <w:rPr>
                  <w:sz w:val="24"/>
                  <w:szCs w:val="24"/>
                </w:rPr>
                <w:fldChar w:fldCharType="separate"/>
              </w:r>
              <w:r w:rsidR="001C20CB">
                <w:rPr>
                  <w:noProof/>
                  <w:lang w:val="en-US"/>
                </w:rPr>
                <w:t xml:space="preserve">Bates, R. (2016). </w:t>
              </w:r>
              <w:r w:rsidR="001C20CB">
                <w:rPr>
                  <w:i/>
                  <w:iCs/>
                  <w:noProof/>
                  <w:lang w:val="en-US"/>
                </w:rPr>
                <w:t>Learning Theories Simplified.</w:t>
              </w:r>
              <w:r w:rsidR="001C20CB">
                <w:rPr>
                  <w:noProof/>
                  <w:lang w:val="en-US"/>
                </w:rPr>
                <w:t xml:space="preserve"> London: Sage.</w:t>
              </w:r>
            </w:p>
            <w:p w:rsidR="001C20CB" w:rsidRDefault="001C20CB" w:rsidP="001C20CB">
              <w:pPr>
                <w:pStyle w:val="Bibliography"/>
                <w:spacing w:line="480" w:lineRule="auto"/>
                <w:ind w:left="720" w:hanging="720"/>
                <w:rPr>
                  <w:noProof/>
                  <w:lang w:val="en-US"/>
                </w:rPr>
              </w:pPr>
              <w:r>
                <w:rPr>
                  <w:noProof/>
                  <w:lang w:val="en-US"/>
                </w:rPr>
                <w:t xml:space="preserve">Bhagat, D., &amp; O'Neill, P. (2011). </w:t>
              </w:r>
              <w:r>
                <w:rPr>
                  <w:i/>
                  <w:iCs/>
                  <w:noProof/>
                  <w:lang w:val="en-US"/>
                </w:rPr>
                <w:t>Inclusive Practices, Inclusive Pedagogies: Learning from Widening Participation research in Art and Design Higher Education.</w:t>
              </w:r>
              <w:r>
                <w:rPr>
                  <w:noProof/>
                  <w:lang w:val="en-US"/>
                </w:rPr>
                <w:t xml:space="preserve"> Croydon: CPI Group.</w:t>
              </w:r>
            </w:p>
            <w:p w:rsidR="001C20CB" w:rsidRDefault="001C20CB" w:rsidP="001C20CB">
              <w:pPr>
                <w:pStyle w:val="Bibliography"/>
                <w:spacing w:line="480" w:lineRule="auto"/>
                <w:ind w:left="720" w:hanging="720"/>
                <w:rPr>
                  <w:noProof/>
                  <w:lang w:val="en-US"/>
                </w:rPr>
              </w:pPr>
              <w:r>
                <w:rPr>
                  <w:noProof/>
                  <w:lang w:val="en-US"/>
                </w:rPr>
                <w:t xml:space="preserve">Burnett, G. (2002). </w:t>
              </w:r>
              <w:r>
                <w:rPr>
                  <w:i/>
                  <w:iCs/>
                  <w:noProof/>
                  <w:lang w:val="en-US"/>
                </w:rPr>
                <w:t>Learning to Learn: Making Learning Work For All Students.</w:t>
              </w:r>
              <w:r>
                <w:rPr>
                  <w:noProof/>
                  <w:lang w:val="en-US"/>
                </w:rPr>
                <w:t xml:space="preserve"> Glasgow: Crown House Publishing Ltd.</w:t>
              </w:r>
            </w:p>
            <w:p w:rsidR="001C20CB" w:rsidRDefault="001C20CB" w:rsidP="001C20CB">
              <w:pPr>
                <w:pStyle w:val="Bibliography"/>
                <w:spacing w:line="480" w:lineRule="auto"/>
                <w:ind w:left="720" w:hanging="720"/>
                <w:rPr>
                  <w:noProof/>
                  <w:lang w:val="en-US"/>
                </w:rPr>
              </w:pPr>
              <w:r>
                <w:rPr>
                  <w:noProof/>
                  <w:lang w:val="en-US"/>
                </w:rPr>
                <w:t xml:space="preserve">Celli, L. M., &amp; Young, N. D. (2017, September 4). Contemporary Pedagogy for the Adult Learning. </w:t>
              </w:r>
              <w:r>
                <w:rPr>
                  <w:i/>
                  <w:iCs/>
                  <w:noProof/>
                  <w:lang w:val="en-US"/>
                </w:rPr>
                <w:t>PUPIL: International Journal of Teaching, Education and Learning</w:t>
              </w:r>
              <w:r>
                <w:rPr>
                  <w:noProof/>
                  <w:lang w:val="en-US"/>
                </w:rPr>
                <w:t>, 67-77.</w:t>
              </w:r>
            </w:p>
            <w:p w:rsidR="001C20CB" w:rsidRDefault="001C20CB" w:rsidP="001C20CB">
              <w:pPr>
                <w:pStyle w:val="Bibliography"/>
                <w:spacing w:line="480" w:lineRule="auto"/>
                <w:ind w:left="720" w:hanging="720"/>
                <w:rPr>
                  <w:noProof/>
                  <w:lang w:val="en-US"/>
                </w:rPr>
              </w:pPr>
              <w:r>
                <w:rPr>
                  <w:noProof/>
                  <w:lang w:val="en-US"/>
                </w:rPr>
                <w:t xml:space="preserve">Dirkx, J. M. (1998). Transformative Learning Theory in the Practice of Adult Education: An Overview. </w:t>
              </w:r>
              <w:r>
                <w:rPr>
                  <w:i/>
                  <w:iCs/>
                  <w:noProof/>
                  <w:lang w:val="en-US"/>
                </w:rPr>
                <w:t>PAACE Journal for Lifelong Learning, 7</w:t>
              </w:r>
              <w:r>
                <w:rPr>
                  <w:noProof/>
                  <w:lang w:val="en-US"/>
                </w:rPr>
                <w:t>, 1-14.</w:t>
              </w:r>
            </w:p>
            <w:p w:rsidR="001C20CB" w:rsidRDefault="001C20CB" w:rsidP="001C20CB">
              <w:pPr>
                <w:pStyle w:val="Bibliography"/>
                <w:spacing w:line="480" w:lineRule="auto"/>
                <w:ind w:left="720" w:hanging="720"/>
                <w:rPr>
                  <w:noProof/>
                  <w:lang w:val="en-US"/>
                </w:rPr>
              </w:pPr>
              <w:r>
                <w:rPr>
                  <w:noProof/>
                  <w:lang w:val="en-US"/>
                </w:rPr>
                <w:t xml:space="preserve">Freire, P. (1993). </w:t>
              </w:r>
              <w:r>
                <w:rPr>
                  <w:i/>
                  <w:iCs/>
                  <w:noProof/>
                  <w:lang w:val="en-US"/>
                </w:rPr>
                <w:t>Pedagogy of the Oppressed.</w:t>
              </w:r>
              <w:r>
                <w:rPr>
                  <w:noProof/>
                  <w:lang w:val="en-US"/>
                </w:rPr>
                <w:t xml:space="preserve"> (M. B. Ramos, Trans.) St. Ives: Penguin.</w:t>
              </w:r>
            </w:p>
            <w:p w:rsidR="001C20CB" w:rsidRDefault="001C20CB" w:rsidP="001C20CB">
              <w:pPr>
                <w:pStyle w:val="Bibliography"/>
                <w:spacing w:line="480" w:lineRule="auto"/>
                <w:ind w:left="720" w:hanging="720"/>
                <w:rPr>
                  <w:noProof/>
                  <w:lang w:val="en-US"/>
                </w:rPr>
              </w:pPr>
              <w:r>
                <w:rPr>
                  <w:noProof/>
                  <w:lang w:val="en-US"/>
                </w:rPr>
                <w:t xml:space="preserve">Goodman, Y., &amp; Goodman, K. (1990). </w:t>
              </w:r>
              <w:r>
                <w:rPr>
                  <w:i/>
                  <w:iCs/>
                  <w:noProof/>
                  <w:lang w:val="en-US"/>
                </w:rPr>
                <w:t>Vygotsky and Education: Instructional Implications and Applications of Sociohistorical Psychology.</w:t>
              </w:r>
              <w:r>
                <w:rPr>
                  <w:noProof/>
                  <w:lang w:val="en-US"/>
                </w:rPr>
                <w:t xml:space="preserve"> (L. C. Moll, Ed.) Cambridge: Cambridge University Press.</w:t>
              </w:r>
            </w:p>
            <w:p w:rsidR="001C20CB" w:rsidRDefault="001C20CB" w:rsidP="001C20CB">
              <w:pPr>
                <w:pStyle w:val="Bibliography"/>
                <w:spacing w:line="480" w:lineRule="auto"/>
                <w:ind w:left="720" w:hanging="720"/>
                <w:rPr>
                  <w:noProof/>
                  <w:lang w:val="en-US"/>
                </w:rPr>
              </w:pPr>
              <w:r>
                <w:rPr>
                  <w:noProof/>
                  <w:lang w:val="en-US"/>
                </w:rPr>
                <w:t xml:space="preserve">Harasim, L. (2017). </w:t>
              </w:r>
              <w:r>
                <w:rPr>
                  <w:i/>
                  <w:iCs/>
                  <w:noProof/>
                  <w:lang w:val="en-US"/>
                </w:rPr>
                <w:t>Learning Theory and Online Technologies</w:t>
              </w:r>
              <w:r>
                <w:rPr>
                  <w:noProof/>
                  <w:lang w:val="en-US"/>
                </w:rPr>
                <w:t xml:space="preserve"> (2nd ed.). New York: Routledge.</w:t>
              </w:r>
            </w:p>
            <w:p w:rsidR="001C20CB" w:rsidRDefault="001C20CB" w:rsidP="001C20CB">
              <w:pPr>
                <w:pStyle w:val="Bibliography"/>
                <w:spacing w:line="480" w:lineRule="auto"/>
                <w:ind w:left="720" w:hanging="720"/>
                <w:rPr>
                  <w:noProof/>
                  <w:lang w:val="en-US"/>
                </w:rPr>
              </w:pPr>
              <w:r>
                <w:rPr>
                  <w:noProof/>
                  <w:lang w:val="en-US"/>
                </w:rPr>
                <w:t xml:space="preserve">Minton, D. (2004). </w:t>
              </w:r>
              <w:r>
                <w:rPr>
                  <w:i/>
                  <w:iCs/>
                  <w:noProof/>
                  <w:lang w:val="en-US"/>
                </w:rPr>
                <w:t>Teaching Skills in Further &amp; Adult Education.</w:t>
              </w:r>
              <w:r>
                <w:rPr>
                  <w:noProof/>
                  <w:lang w:val="en-US"/>
                </w:rPr>
                <w:t xml:space="preserve"> London: City &amp; Guilds of London Institute.</w:t>
              </w:r>
            </w:p>
            <w:p w:rsidR="001C20CB" w:rsidRDefault="001C20CB" w:rsidP="001C20CB">
              <w:pPr>
                <w:pStyle w:val="Bibliography"/>
                <w:spacing w:line="480" w:lineRule="auto"/>
                <w:ind w:left="720" w:hanging="720"/>
                <w:rPr>
                  <w:noProof/>
                  <w:lang w:val="en-US"/>
                </w:rPr>
              </w:pPr>
              <w:r>
                <w:rPr>
                  <w:noProof/>
                  <w:lang w:val="en-US"/>
                </w:rPr>
                <w:t xml:space="preserve">Motschnig-Pitrik, R., &amp; Santos, A. (2006). The Person Centered Approach to Teaching and Learning as Exemplified in a Course in Organizational Development. </w:t>
              </w:r>
              <w:r>
                <w:rPr>
                  <w:i/>
                  <w:iCs/>
                  <w:noProof/>
                  <w:lang w:val="en-US"/>
                </w:rPr>
                <w:t>Zeitschrift für Hochschulentwicklung, 1</w:t>
              </w:r>
              <w:r>
                <w:rPr>
                  <w:noProof/>
                  <w:lang w:val="en-US"/>
                </w:rPr>
                <w:t>(4), 6.</w:t>
              </w:r>
            </w:p>
            <w:p w:rsidR="001C20CB" w:rsidRDefault="001C20CB" w:rsidP="001C20CB">
              <w:pPr>
                <w:pStyle w:val="Bibliography"/>
                <w:spacing w:line="480" w:lineRule="auto"/>
                <w:ind w:left="720" w:hanging="720"/>
                <w:rPr>
                  <w:noProof/>
                  <w:lang w:val="en-US"/>
                </w:rPr>
              </w:pPr>
              <w:r>
                <w:rPr>
                  <w:noProof/>
                  <w:lang w:val="en-US"/>
                </w:rPr>
                <w:t xml:space="preserve">Nicol, D. (2008). </w:t>
              </w:r>
              <w:r>
                <w:rPr>
                  <w:i/>
                  <w:iCs/>
                  <w:noProof/>
                  <w:lang w:val="en-US"/>
                </w:rPr>
                <w:t>Quality Enhancement Themes: Transforming Assessment and Feedback.</w:t>
              </w:r>
              <w:r>
                <w:rPr>
                  <w:noProof/>
                  <w:lang w:val="en-US"/>
                </w:rPr>
                <w:t xml:space="preserve"> Centre for Academic Practice and Learning Enhancement. Strathclyde: University of Strathclyde.</w:t>
              </w:r>
            </w:p>
            <w:p w:rsidR="001C20CB" w:rsidRDefault="001C20CB" w:rsidP="001C20CB">
              <w:pPr>
                <w:pStyle w:val="Bibliography"/>
                <w:spacing w:line="480" w:lineRule="auto"/>
                <w:ind w:left="720" w:hanging="720"/>
                <w:rPr>
                  <w:noProof/>
                  <w:lang w:val="en-US"/>
                </w:rPr>
              </w:pPr>
              <w:r>
                <w:rPr>
                  <w:noProof/>
                  <w:lang w:val="en-US"/>
                </w:rPr>
                <w:t xml:space="preserve">Smilkstein, R. (2003). </w:t>
              </w:r>
              <w:r>
                <w:rPr>
                  <w:i/>
                  <w:iCs/>
                  <w:noProof/>
                  <w:lang w:val="en-US"/>
                </w:rPr>
                <w:t>We're Born to Learn.</w:t>
              </w:r>
              <w:r>
                <w:rPr>
                  <w:noProof/>
                  <w:lang w:val="en-US"/>
                </w:rPr>
                <w:t xml:space="preserve"> California: Corwin Press.</w:t>
              </w:r>
            </w:p>
            <w:p w:rsidR="001C20CB" w:rsidRDefault="001C20CB" w:rsidP="001C20CB">
              <w:pPr>
                <w:pStyle w:val="Bibliography"/>
                <w:spacing w:line="480" w:lineRule="auto"/>
                <w:ind w:left="720" w:hanging="720"/>
                <w:rPr>
                  <w:noProof/>
                  <w:lang w:val="en-US"/>
                </w:rPr>
              </w:pPr>
              <w:r>
                <w:rPr>
                  <w:noProof/>
                  <w:lang w:val="en-US"/>
                </w:rPr>
                <w:lastRenderedPageBreak/>
                <w:t xml:space="preserve">Spivey, V. B., Giuntini, P., McGarry, R., Fisher, M. M., Shelby, K., &amp; Wentrack, K. (2015). </w:t>
              </w:r>
              <w:r>
                <w:rPr>
                  <w:i/>
                  <w:iCs/>
                  <w:noProof/>
                  <w:lang w:val="en-US"/>
                </w:rPr>
                <w:t>White Paper on the Need for a Journal of Scholarship of Teaching and Learning in Art History.</w:t>
              </w:r>
              <w:r>
                <w:rPr>
                  <w:noProof/>
                  <w:lang w:val="en-US"/>
                </w:rPr>
                <w:t xml:space="preserve"> Art History teaching Resources. Retrieved November 20, 2017, from http://arthistoryteachingresources.org/2015/11/ahtr-releases-white-paper/</w:t>
              </w:r>
            </w:p>
            <w:p w:rsidR="001C20CB" w:rsidRDefault="001C20CB" w:rsidP="001C20CB">
              <w:pPr>
                <w:pStyle w:val="Bibliography"/>
                <w:spacing w:line="480" w:lineRule="auto"/>
                <w:ind w:left="720" w:hanging="720"/>
                <w:rPr>
                  <w:noProof/>
                  <w:lang w:val="en-US"/>
                </w:rPr>
              </w:pPr>
              <w:r>
                <w:rPr>
                  <w:noProof/>
                  <w:lang w:val="en-US"/>
                </w:rPr>
                <w:t xml:space="preserve">Wallace, S. (2004). </w:t>
              </w:r>
              <w:r>
                <w:rPr>
                  <w:i/>
                  <w:iCs/>
                  <w:noProof/>
                  <w:lang w:val="en-US"/>
                </w:rPr>
                <w:t>Teaching &amp; Supporting Learning in Further Education.</w:t>
              </w:r>
              <w:r>
                <w:rPr>
                  <w:noProof/>
                  <w:lang w:val="en-US"/>
                </w:rPr>
                <w:t xml:space="preserve"> Exeter: Learning Matters Ltd.</w:t>
              </w:r>
            </w:p>
            <w:p w:rsidR="001C20CB" w:rsidRDefault="001C20CB" w:rsidP="001C20CB">
              <w:pPr>
                <w:pStyle w:val="Bibliography"/>
                <w:spacing w:line="480" w:lineRule="auto"/>
                <w:ind w:left="720" w:hanging="720"/>
                <w:rPr>
                  <w:noProof/>
                  <w:lang w:val="en-US"/>
                </w:rPr>
              </w:pPr>
              <w:r>
                <w:rPr>
                  <w:noProof/>
                  <w:lang w:val="en-US"/>
                </w:rPr>
                <w:t xml:space="preserve">Zwozdiak-Myers, P. (2012). </w:t>
              </w:r>
              <w:r>
                <w:rPr>
                  <w:i/>
                  <w:iCs/>
                  <w:noProof/>
                  <w:lang w:val="en-US"/>
                </w:rPr>
                <w:t>The Teacher's Reflective Practice Handbook.</w:t>
              </w:r>
              <w:r>
                <w:rPr>
                  <w:noProof/>
                  <w:lang w:val="en-US"/>
                </w:rPr>
                <w:t xml:space="preserve"> Oxon: Routledge.</w:t>
              </w:r>
            </w:p>
            <w:p w:rsidR="00535091" w:rsidRPr="000A1855" w:rsidRDefault="00535091" w:rsidP="001C20CB">
              <w:pPr>
                <w:spacing w:line="480" w:lineRule="auto"/>
                <w:rPr>
                  <w:sz w:val="24"/>
                  <w:szCs w:val="24"/>
                </w:rPr>
              </w:pPr>
              <w:r w:rsidRPr="000A1855">
                <w:rPr>
                  <w:b/>
                  <w:bCs/>
                  <w:noProof/>
                  <w:sz w:val="24"/>
                  <w:szCs w:val="24"/>
                </w:rPr>
                <w:fldChar w:fldCharType="end"/>
              </w:r>
            </w:p>
          </w:sdtContent>
        </w:sdt>
      </w:sdtContent>
    </w:sdt>
    <w:p w:rsidR="00535091" w:rsidRPr="000A1855" w:rsidRDefault="00535091" w:rsidP="001C20CB">
      <w:pPr>
        <w:spacing w:line="480" w:lineRule="auto"/>
        <w:rPr>
          <w:sz w:val="24"/>
          <w:szCs w:val="24"/>
        </w:rPr>
      </w:pPr>
    </w:p>
    <w:p w:rsidR="00535619" w:rsidRPr="000A1855" w:rsidRDefault="00535619" w:rsidP="001C20CB">
      <w:pPr>
        <w:spacing w:line="480" w:lineRule="auto"/>
        <w:rPr>
          <w:sz w:val="24"/>
          <w:szCs w:val="24"/>
        </w:rPr>
      </w:pPr>
    </w:p>
    <w:p w:rsidR="0089277B" w:rsidRPr="000A1855" w:rsidRDefault="0089277B" w:rsidP="001C20CB">
      <w:pPr>
        <w:spacing w:line="480" w:lineRule="auto"/>
        <w:rPr>
          <w:sz w:val="24"/>
          <w:szCs w:val="24"/>
        </w:rPr>
      </w:pPr>
    </w:p>
    <w:p w:rsidR="00535091" w:rsidRPr="000A1855" w:rsidRDefault="00535091" w:rsidP="001C20CB">
      <w:pPr>
        <w:spacing w:line="480" w:lineRule="auto"/>
        <w:rPr>
          <w:sz w:val="24"/>
          <w:szCs w:val="24"/>
        </w:rPr>
      </w:pPr>
    </w:p>
    <w:p w:rsidR="00535091" w:rsidRPr="000A1855" w:rsidRDefault="00535091" w:rsidP="001C20CB">
      <w:pPr>
        <w:spacing w:line="480" w:lineRule="auto"/>
        <w:rPr>
          <w:sz w:val="24"/>
          <w:szCs w:val="24"/>
        </w:rPr>
      </w:pPr>
    </w:p>
    <w:p w:rsidR="00535091" w:rsidRPr="000A1855" w:rsidRDefault="00535091" w:rsidP="001C20CB">
      <w:pPr>
        <w:spacing w:line="480" w:lineRule="auto"/>
        <w:rPr>
          <w:sz w:val="24"/>
          <w:szCs w:val="24"/>
        </w:rPr>
      </w:pPr>
    </w:p>
    <w:p w:rsidR="00535091" w:rsidRPr="000A1855" w:rsidRDefault="00535091" w:rsidP="001C20CB">
      <w:pPr>
        <w:spacing w:line="480" w:lineRule="auto"/>
        <w:rPr>
          <w:sz w:val="24"/>
          <w:szCs w:val="24"/>
        </w:rPr>
      </w:pPr>
    </w:p>
    <w:p w:rsidR="0089277B" w:rsidRPr="000A1855" w:rsidRDefault="0089277B" w:rsidP="001C20CB">
      <w:pPr>
        <w:spacing w:line="480" w:lineRule="auto"/>
        <w:rPr>
          <w:sz w:val="24"/>
          <w:szCs w:val="24"/>
        </w:rPr>
      </w:pPr>
    </w:p>
    <w:sectPr w:rsidR="0089277B" w:rsidRPr="000A1855">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C0B52" w:rsidRDefault="008C0B52" w:rsidP="008C0B52">
      <w:pPr>
        <w:spacing w:after="0" w:line="240" w:lineRule="auto"/>
      </w:pPr>
      <w:r>
        <w:separator/>
      </w:r>
    </w:p>
  </w:endnote>
  <w:endnote w:type="continuationSeparator" w:id="0">
    <w:p w:rsidR="008C0B52" w:rsidRDefault="008C0B52" w:rsidP="008C0B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46566248"/>
      <w:docPartObj>
        <w:docPartGallery w:val="Page Numbers (Bottom of Page)"/>
        <w:docPartUnique/>
      </w:docPartObj>
    </w:sdtPr>
    <w:sdtEndPr>
      <w:rPr>
        <w:noProof/>
      </w:rPr>
    </w:sdtEndPr>
    <w:sdtContent>
      <w:p w:rsidR="008C0B52" w:rsidRDefault="008C0B52">
        <w:pPr>
          <w:pStyle w:val="Footer"/>
          <w:jc w:val="center"/>
        </w:pPr>
        <w:r>
          <w:fldChar w:fldCharType="begin"/>
        </w:r>
        <w:r>
          <w:instrText xml:space="preserve"> PAGE   \* MERGEFORMAT </w:instrText>
        </w:r>
        <w:r>
          <w:fldChar w:fldCharType="separate"/>
        </w:r>
        <w:r w:rsidR="008B1E21">
          <w:rPr>
            <w:noProof/>
          </w:rPr>
          <w:t>10</w:t>
        </w:r>
        <w:r>
          <w:rPr>
            <w:noProof/>
          </w:rPr>
          <w:fldChar w:fldCharType="end"/>
        </w:r>
      </w:p>
    </w:sdtContent>
  </w:sdt>
  <w:p w:rsidR="008C0B52" w:rsidRDefault="008C0B5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C0B52" w:rsidRDefault="008C0B52" w:rsidP="008C0B52">
      <w:pPr>
        <w:spacing w:after="0" w:line="240" w:lineRule="auto"/>
      </w:pPr>
      <w:r>
        <w:separator/>
      </w:r>
    </w:p>
  </w:footnote>
  <w:footnote w:type="continuationSeparator" w:id="0">
    <w:p w:rsidR="008C0B52" w:rsidRDefault="008C0B52" w:rsidP="008C0B5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C0B52" w:rsidRDefault="00F4210C">
    <w:pPr>
      <w:pStyle w:val="Header"/>
    </w:pPr>
    <w:r>
      <w:t>1703597</w:t>
    </w:r>
    <w:r>
      <w:ptab w:relativeTo="margin" w:alignment="center" w:leader="none"/>
    </w:r>
    <w:r>
      <w:ptab w:relativeTo="margin" w:alignment="right" w:leader="none"/>
    </w:r>
    <w:r>
      <w:t>M6X02269/ PCET6002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12B4"/>
    <w:rsid w:val="00002E84"/>
    <w:rsid w:val="00066C5F"/>
    <w:rsid w:val="00097A5C"/>
    <w:rsid w:val="000A1855"/>
    <w:rsid w:val="00115B42"/>
    <w:rsid w:val="00145B96"/>
    <w:rsid w:val="001935A8"/>
    <w:rsid w:val="001A5537"/>
    <w:rsid w:val="001B6033"/>
    <w:rsid w:val="001C20CB"/>
    <w:rsid w:val="001D3392"/>
    <w:rsid w:val="001F231D"/>
    <w:rsid w:val="00215CFD"/>
    <w:rsid w:val="002244B1"/>
    <w:rsid w:val="002359FC"/>
    <w:rsid w:val="00250729"/>
    <w:rsid w:val="0028268E"/>
    <w:rsid w:val="002948DD"/>
    <w:rsid w:val="002A004C"/>
    <w:rsid w:val="002D0ECD"/>
    <w:rsid w:val="002F2522"/>
    <w:rsid w:val="002F5B0C"/>
    <w:rsid w:val="00306C01"/>
    <w:rsid w:val="00312102"/>
    <w:rsid w:val="0032049D"/>
    <w:rsid w:val="00336F70"/>
    <w:rsid w:val="003670E7"/>
    <w:rsid w:val="003677B1"/>
    <w:rsid w:val="003724D9"/>
    <w:rsid w:val="0039738A"/>
    <w:rsid w:val="003B377E"/>
    <w:rsid w:val="003D68B4"/>
    <w:rsid w:val="003E35F6"/>
    <w:rsid w:val="003E437A"/>
    <w:rsid w:val="003E4A2F"/>
    <w:rsid w:val="00416B03"/>
    <w:rsid w:val="0042636A"/>
    <w:rsid w:val="00435A67"/>
    <w:rsid w:val="00440A4E"/>
    <w:rsid w:val="00451BFA"/>
    <w:rsid w:val="00464E1F"/>
    <w:rsid w:val="0046523A"/>
    <w:rsid w:val="005009B0"/>
    <w:rsid w:val="005018DC"/>
    <w:rsid w:val="00535091"/>
    <w:rsid w:val="00535619"/>
    <w:rsid w:val="00552BF4"/>
    <w:rsid w:val="005759F8"/>
    <w:rsid w:val="005E3F7F"/>
    <w:rsid w:val="005F0E2C"/>
    <w:rsid w:val="005F6509"/>
    <w:rsid w:val="0060721A"/>
    <w:rsid w:val="00660917"/>
    <w:rsid w:val="00662F94"/>
    <w:rsid w:val="00673CD4"/>
    <w:rsid w:val="00685D83"/>
    <w:rsid w:val="00690E3A"/>
    <w:rsid w:val="006B166F"/>
    <w:rsid w:val="006E0CD4"/>
    <w:rsid w:val="006F05C1"/>
    <w:rsid w:val="006F6FFF"/>
    <w:rsid w:val="00704EA9"/>
    <w:rsid w:val="00712DD9"/>
    <w:rsid w:val="007371A0"/>
    <w:rsid w:val="00744B60"/>
    <w:rsid w:val="007543A4"/>
    <w:rsid w:val="00755EC3"/>
    <w:rsid w:val="007757FB"/>
    <w:rsid w:val="007758B9"/>
    <w:rsid w:val="007814B1"/>
    <w:rsid w:val="007877CD"/>
    <w:rsid w:val="007E0C2E"/>
    <w:rsid w:val="007E0F6C"/>
    <w:rsid w:val="007E4CC2"/>
    <w:rsid w:val="007F5663"/>
    <w:rsid w:val="007F7B95"/>
    <w:rsid w:val="00832643"/>
    <w:rsid w:val="0083616E"/>
    <w:rsid w:val="00855A2E"/>
    <w:rsid w:val="0089277B"/>
    <w:rsid w:val="008B1E21"/>
    <w:rsid w:val="008C0B52"/>
    <w:rsid w:val="008E4A92"/>
    <w:rsid w:val="00900D56"/>
    <w:rsid w:val="0093386F"/>
    <w:rsid w:val="00943B58"/>
    <w:rsid w:val="00947CF7"/>
    <w:rsid w:val="009A6176"/>
    <w:rsid w:val="009D430C"/>
    <w:rsid w:val="009E0157"/>
    <w:rsid w:val="009F0A1C"/>
    <w:rsid w:val="009F5044"/>
    <w:rsid w:val="00A15A5D"/>
    <w:rsid w:val="00A32F0B"/>
    <w:rsid w:val="00A37485"/>
    <w:rsid w:val="00A44F64"/>
    <w:rsid w:val="00A4648E"/>
    <w:rsid w:val="00A560AE"/>
    <w:rsid w:val="00A57F4C"/>
    <w:rsid w:val="00A75488"/>
    <w:rsid w:val="00AA360B"/>
    <w:rsid w:val="00AF13F9"/>
    <w:rsid w:val="00AF4133"/>
    <w:rsid w:val="00AF56C1"/>
    <w:rsid w:val="00B019DF"/>
    <w:rsid w:val="00B02FE0"/>
    <w:rsid w:val="00B42F2A"/>
    <w:rsid w:val="00B76621"/>
    <w:rsid w:val="00B77FD4"/>
    <w:rsid w:val="00B849E3"/>
    <w:rsid w:val="00BA3A26"/>
    <w:rsid w:val="00BB33F2"/>
    <w:rsid w:val="00BC71A0"/>
    <w:rsid w:val="00BD01D2"/>
    <w:rsid w:val="00BD2FE4"/>
    <w:rsid w:val="00BD481A"/>
    <w:rsid w:val="00BF41E9"/>
    <w:rsid w:val="00BF5DA3"/>
    <w:rsid w:val="00C03563"/>
    <w:rsid w:val="00C14C05"/>
    <w:rsid w:val="00C17C8D"/>
    <w:rsid w:val="00C7345E"/>
    <w:rsid w:val="00C92791"/>
    <w:rsid w:val="00CA5456"/>
    <w:rsid w:val="00CE5494"/>
    <w:rsid w:val="00CF45C1"/>
    <w:rsid w:val="00D13663"/>
    <w:rsid w:val="00D512B4"/>
    <w:rsid w:val="00D54AD7"/>
    <w:rsid w:val="00DA6075"/>
    <w:rsid w:val="00DB7F2F"/>
    <w:rsid w:val="00DE6968"/>
    <w:rsid w:val="00DF6755"/>
    <w:rsid w:val="00E01057"/>
    <w:rsid w:val="00E043AB"/>
    <w:rsid w:val="00E11AAC"/>
    <w:rsid w:val="00E36320"/>
    <w:rsid w:val="00E72917"/>
    <w:rsid w:val="00E868E5"/>
    <w:rsid w:val="00E91464"/>
    <w:rsid w:val="00EA49E9"/>
    <w:rsid w:val="00EB2A59"/>
    <w:rsid w:val="00ED0C9A"/>
    <w:rsid w:val="00ED1FDA"/>
    <w:rsid w:val="00EF16C6"/>
    <w:rsid w:val="00F33AA0"/>
    <w:rsid w:val="00F37925"/>
    <w:rsid w:val="00F4210C"/>
    <w:rsid w:val="00F94CA1"/>
    <w:rsid w:val="00FB0965"/>
    <w:rsid w:val="00FB104F"/>
    <w:rsid w:val="00FF7B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85FDCFC-06A4-4600-94EF-EAD33494F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8E4A92"/>
    <w:pPr>
      <w:keepNext/>
      <w:keepLines/>
      <w:spacing w:before="240" w:after="0"/>
      <w:outlineLvl w:val="0"/>
    </w:pPr>
    <w:rPr>
      <w:rFonts w:asciiTheme="majorHAnsi" w:eastAsiaTheme="majorEastAsia" w:hAnsiTheme="majorHAnsi" w:cstheme="majorBidi"/>
      <w:color w:val="2E74B5"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E4A92"/>
    <w:rPr>
      <w:rFonts w:asciiTheme="majorHAnsi" w:eastAsiaTheme="majorEastAsia" w:hAnsiTheme="majorHAnsi" w:cstheme="majorBidi"/>
      <w:color w:val="2E74B5" w:themeColor="accent1" w:themeShade="BF"/>
      <w:sz w:val="32"/>
      <w:szCs w:val="32"/>
      <w:lang w:val="en-US"/>
    </w:rPr>
  </w:style>
  <w:style w:type="paragraph" w:styleId="Bibliography">
    <w:name w:val="Bibliography"/>
    <w:basedOn w:val="Normal"/>
    <w:next w:val="Normal"/>
    <w:uiPriority w:val="37"/>
    <w:unhideWhenUsed/>
    <w:rsid w:val="008E4A92"/>
  </w:style>
  <w:style w:type="paragraph" w:styleId="Header">
    <w:name w:val="header"/>
    <w:basedOn w:val="Normal"/>
    <w:link w:val="HeaderChar"/>
    <w:uiPriority w:val="99"/>
    <w:unhideWhenUsed/>
    <w:rsid w:val="008C0B52"/>
    <w:pPr>
      <w:tabs>
        <w:tab w:val="center" w:pos="4513"/>
        <w:tab w:val="right" w:pos="9026"/>
      </w:tabs>
      <w:spacing w:after="0" w:line="240" w:lineRule="auto"/>
    </w:pPr>
  </w:style>
  <w:style w:type="character" w:customStyle="1" w:styleId="HeaderChar">
    <w:name w:val="Header Char"/>
    <w:basedOn w:val="DefaultParagraphFont"/>
    <w:link w:val="Header"/>
    <w:uiPriority w:val="99"/>
    <w:rsid w:val="008C0B52"/>
  </w:style>
  <w:style w:type="paragraph" w:styleId="Footer">
    <w:name w:val="footer"/>
    <w:basedOn w:val="Normal"/>
    <w:link w:val="FooterChar"/>
    <w:uiPriority w:val="99"/>
    <w:unhideWhenUsed/>
    <w:rsid w:val="008C0B52"/>
    <w:pPr>
      <w:tabs>
        <w:tab w:val="center" w:pos="4513"/>
        <w:tab w:val="right" w:pos="9026"/>
      </w:tabs>
      <w:spacing w:after="0" w:line="240" w:lineRule="auto"/>
    </w:pPr>
  </w:style>
  <w:style w:type="character" w:customStyle="1" w:styleId="FooterChar">
    <w:name w:val="Footer Char"/>
    <w:basedOn w:val="DefaultParagraphFont"/>
    <w:link w:val="Footer"/>
    <w:uiPriority w:val="99"/>
    <w:rsid w:val="008C0B52"/>
  </w:style>
  <w:style w:type="paragraph" w:styleId="BalloonText">
    <w:name w:val="Balloon Text"/>
    <w:basedOn w:val="Normal"/>
    <w:link w:val="BalloonTextChar"/>
    <w:uiPriority w:val="99"/>
    <w:semiHidden/>
    <w:unhideWhenUsed/>
    <w:rsid w:val="001F231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F231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7279996">
      <w:bodyDiv w:val="1"/>
      <w:marLeft w:val="0"/>
      <w:marRight w:val="0"/>
      <w:marTop w:val="0"/>
      <w:marBottom w:val="0"/>
      <w:divBdr>
        <w:top w:val="none" w:sz="0" w:space="0" w:color="auto"/>
        <w:left w:val="none" w:sz="0" w:space="0" w:color="auto"/>
        <w:bottom w:val="none" w:sz="0" w:space="0" w:color="auto"/>
        <w:right w:val="none" w:sz="0" w:space="0" w:color="auto"/>
      </w:divBdr>
    </w:div>
    <w:div w:id="375590789">
      <w:bodyDiv w:val="1"/>
      <w:marLeft w:val="0"/>
      <w:marRight w:val="0"/>
      <w:marTop w:val="0"/>
      <w:marBottom w:val="0"/>
      <w:divBdr>
        <w:top w:val="none" w:sz="0" w:space="0" w:color="auto"/>
        <w:left w:val="none" w:sz="0" w:space="0" w:color="auto"/>
        <w:bottom w:val="none" w:sz="0" w:space="0" w:color="auto"/>
        <w:right w:val="none" w:sz="0" w:space="0" w:color="auto"/>
      </w:divBdr>
    </w:div>
    <w:div w:id="408432599">
      <w:bodyDiv w:val="1"/>
      <w:marLeft w:val="0"/>
      <w:marRight w:val="0"/>
      <w:marTop w:val="0"/>
      <w:marBottom w:val="0"/>
      <w:divBdr>
        <w:top w:val="none" w:sz="0" w:space="0" w:color="auto"/>
        <w:left w:val="none" w:sz="0" w:space="0" w:color="auto"/>
        <w:bottom w:val="none" w:sz="0" w:space="0" w:color="auto"/>
        <w:right w:val="none" w:sz="0" w:space="0" w:color="auto"/>
      </w:divBdr>
    </w:div>
    <w:div w:id="536743047">
      <w:bodyDiv w:val="1"/>
      <w:marLeft w:val="0"/>
      <w:marRight w:val="0"/>
      <w:marTop w:val="0"/>
      <w:marBottom w:val="0"/>
      <w:divBdr>
        <w:top w:val="none" w:sz="0" w:space="0" w:color="auto"/>
        <w:left w:val="none" w:sz="0" w:space="0" w:color="auto"/>
        <w:bottom w:val="none" w:sz="0" w:space="0" w:color="auto"/>
        <w:right w:val="none" w:sz="0" w:space="0" w:color="auto"/>
      </w:divBdr>
    </w:div>
    <w:div w:id="711272142">
      <w:bodyDiv w:val="1"/>
      <w:marLeft w:val="0"/>
      <w:marRight w:val="0"/>
      <w:marTop w:val="0"/>
      <w:marBottom w:val="0"/>
      <w:divBdr>
        <w:top w:val="none" w:sz="0" w:space="0" w:color="auto"/>
        <w:left w:val="none" w:sz="0" w:space="0" w:color="auto"/>
        <w:bottom w:val="none" w:sz="0" w:space="0" w:color="auto"/>
        <w:right w:val="none" w:sz="0" w:space="0" w:color="auto"/>
      </w:divBdr>
    </w:div>
    <w:div w:id="855924861">
      <w:bodyDiv w:val="1"/>
      <w:marLeft w:val="0"/>
      <w:marRight w:val="0"/>
      <w:marTop w:val="0"/>
      <w:marBottom w:val="0"/>
      <w:divBdr>
        <w:top w:val="none" w:sz="0" w:space="0" w:color="auto"/>
        <w:left w:val="none" w:sz="0" w:space="0" w:color="auto"/>
        <w:bottom w:val="none" w:sz="0" w:space="0" w:color="auto"/>
        <w:right w:val="none" w:sz="0" w:space="0" w:color="auto"/>
      </w:divBdr>
    </w:div>
    <w:div w:id="863708300">
      <w:bodyDiv w:val="1"/>
      <w:marLeft w:val="0"/>
      <w:marRight w:val="0"/>
      <w:marTop w:val="0"/>
      <w:marBottom w:val="0"/>
      <w:divBdr>
        <w:top w:val="none" w:sz="0" w:space="0" w:color="auto"/>
        <w:left w:val="none" w:sz="0" w:space="0" w:color="auto"/>
        <w:bottom w:val="none" w:sz="0" w:space="0" w:color="auto"/>
        <w:right w:val="none" w:sz="0" w:space="0" w:color="auto"/>
      </w:divBdr>
    </w:div>
    <w:div w:id="886258088">
      <w:bodyDiv w:val="1"/>
      <w:marLeft w:val="0"/>
      <w:marRight w:val="0"/>
      <w:marTop w:val="0"/>
      <w:marBottom w:val="0"/>
      <w:divBdr>
        <w:top w:val="none" w:sz="0" w:space="0" w:color="auto"/>
        <w:left w:val="none" w:sz="0" w:space="0" w:color="auto"/>
        <w:bottom w:val="none" w:sz="0" w:space="0" w:color="auto"/>
        <w:right w:val="none" w:sz="0" w:space="0" w:color="auto"/>
      </w:divBdr>
    </w:div>
    <w:div w:id="889615131">
      <w:bodyDiv w:val="1"/>
      <w:marLeft w:val="0"/>
      <w:marRight w:val="0"/>
      <w:marTop w:val="0"/>
      <w:marBottom w:val="0"/>
      <w:divBdr>
        <w:top w:val="none" w:sz="0" w:space="0" w:color="auto"/>
        <w:left w:val="none" w:sz="0" w:space="0" w:color="auto"/>
        <w:bottom w:val="none" w:sz="0" w:space="0" w:color="auto"/>
        <w:right w:val="none" w:sz="0" w:space="0" w:color="auto"/>
      </w:divBdr>
    </w:div>
    <w:div w:id="904223156">
      <w:bodyDiv w:val="1"/>
      <w:marLeft w:val="0"/>
      <w:marRight w:val="0"/>
      <w:marTop w:val="0"/>
      <w:marBottom w:val="0"/>
      <w:divBdr>
        <w:top w:val="none" w:sz="0" w:space="0" w:color="auto"/>
        <w:left w:val="none" w:sz="0" w:space="0" w:color="auto"/>
        <w:bottom w:val="none" w:sz="0" w:space="0" w:color="auto"/>
        <w:right w:val="none" w:sz="0" w:space="0" w:color="auto"/>
      </w:divBdr>
    </w:div>
    <w:div w:id="1073049234">
      <w:bodyDiv w:val="1"/>
      <w:marLeft w:val="0"/>
      <w:marRight w:val="0"/>
      <w:marTop w:val="0"/>
      <w:marBottom w:val="0"/>
      <w:divBdr>
        <w:top w:val="none" w:sz="0" w:space="0" w:color="auto"/>
        <w:left w:val="none" w:sz="0" w:space="0" w:color="auto"/>
        <w:bottom w:val="none" w:sz="0" w:space="0" w:color="auto"/>
        <w:right w:val="none" w:sz="0" w:space="0" w:color="auto"/>
      </w:divBdr>
    </w:div>
    <w:div w:id="1223060901">
      <w:bodyDiv w:val="1"/>
      <w:marLeft w:val="0"/>
      <w:marRight w:val="0"/>
      <w:marTop w:val="0"/>
      <w:marBottom w:val="0"/>
      <w:divBdr>
        <w:top w:val="none" w:sz="0" w:space="0" w:color="auto"/>
        <w:left w:val="none" w:sz="0" w:space="0" w:color="auto"/>
        <w:bottom w:val="none" w:sz="0" w:space="0" w:color="auto"/>
        <w:right w:val="none" w:sz="0" w:space="0" w:color="auto"/>
      </w:divBdr>
    </w:div>
    <w:div w:id="1228877529">
      <w:bodyDiv w:val="1"/>
      <w:marLeft w:val="0"/>
      <w:marRight w:val="0"/>
      <w:marTop w:val="0"/>
      <w:marBottom w:val="0"/>
      <w:divBdr>
        <w:top w:val="none" w:sz="0" w:space="0" w:color="auto"/>
        <w:left w:val="none" w:sz="0" w:space="0" w:color="auto"/>
        <w:bottom w:val="none" w:sz="0" w:space="0" w:color="auto"/>
        <w:right w:val="none" w:sz="0" w:space="0" w:color="auto"/>
      </w:divBdr>
    </w:div>
    <w:div w:id="1587222685">
      <w:bodyDiv w:val="1"/>
      <w:marLeft w:val="0"/>
      <w:marRight w:val="0"/>
      <w:marTop w:val="0"/>
      <w:marBottom w:val="0"/>
      <w:divBdr>
        <w:top w:val="none" w:sz="0" w:space="0" w:color="auto"/>
        <w:left w:val="none" w:sz="0" w:space="0" w:color="auto"/>
        <w:bottom w:val="none" w:sz="0" w:space="0" w:color="auto"/>
        <w:right w:val="none" w:sz="0" w:space="0" w:color="auto"/>
      </w:divBdr>
    </w:div>
    <w:div w:id="1689212331">
      <w:bodyDiv w:val="1"/>
      <w:marLeft w:val="0"/>
      <w:marRight w:val="0"/>
      <w:marTop w:val="0"/>
      <w:marBottom w:val="0"/>
      <w:divBdr>
        <w:top w:val="none" w:sz="0" w:space="0" w:color="auto"/>
        <w:left w:val="none" w:sz="0" w:space="0" w:color="auto"/>
        <w:bottom w:val="none" w:sz="0" w:space="0" w:color="auto"/>
        <w:right w:val="none" w:sz="0" w:space="0" w:color="auto"/>
      </w:divBdr>
    </w:div>
    <w:div w:id="2059818449">
      <w:bodyDiv w:val="1"/>
      <w:marLeft w:val="0"/>
      <w:marRight w:val="0"/>
      <w:marTop w:val="0"/>
      <w:marBottom w:val="0"/>
      <w:divBdr>
        <w:top w:val="none" w:sz="0" w:space="0" w:color="auto"/>
        <w:left w:val="none" w:sz="0" w:space="0" w:color="auto"/>
        <w:bottom w:val="none" w:sz="0" w:space="0" w:color="auto"/>
        <w:right w:val="none" w:sz="0" w:space="0" w:color="auto"/>
      </w:divBdr>
    </w:div>
    <w:div w:id="2069719022">
      <w:bodyDiv w:val="1"/>
      <w:marLeft w:val="0"/>
      <w:marRight w:val="0"/>
      <w:marTop w:val="0"/>
      <w:marBottom w:val="0"/>
      <w:divBdr>
        <w:top w:val="none" w:sz="0" w:space="0" w:color="auto"/>
        <w:left w:val="none" w:sz="0" w:space="0" w:color="auto"/>
        <w:bottom w:val="none" w:sz="0" w:space="0" w:color="auto"/>
        <w:right w:val="none" w:sz="0" w:space="0" w:color="auto"/>
      </w:divBdr>
    </w:div>
    <w:div w:id="20785516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Mot</b:Tag>
    <b:SourceType>JournalArticle</b:SourceType>
    <b:Guid>{39AB2101-094A-4D1C-9A81-93BE9E5C3986}</b:Guid>
    <b:Author>
      <b:Author>
        <b:NameList>
          <b:Person>
            <b:Last>Motschnig-Pitrik</b:Last>
            <b:First>Renate</b:First>
          </b:Person>
          <b:Person>
            <b:Last>Santos</b:Last>
            <b:First>Antonio</b:First>
          </b:Person>
        </b:NameList>
      </b:Author>
    </b:Author>
    <b:Title>The Person Centered Approach to Teaching and Learning as Exemplified in a Course in Organizational Development</b:Title>
    <b:JournalName>Zeitschrift für Hochschulentwicklung</b:JournalName>
    <b:Pages>6</b:Pages>
    <b:Volume>1</b:Volume>
    <b:Issue>4</b:Issue>
    <b:Year>2006</b:Year>
    <b:RefOrder>1</b:RefOrder>
  </b:Source>
  <b:Source>
    <b:Tag>Smi03</b:Tag>
    <b:SourceType>Book</b:SourceType>
    <b:Guid>{AE2A4AF1-613C-42E6-AE5B-A1C0919A0063}</b:Guid>
    <b:Title>We're Born to Learn</b:Title>
    <b:Year>2003</b:Year>
    <b:City>California</b:City>
    <b:Publisher>Corwin Press</b:Publisher>
    <b:Author>
      <b:Author>
        <b:NameList>
          <b:Person>
            <b:Last>Smilkstein</b:Last>
            <b:First>Rita</b:First>
          </b:Person>
        </b:NameList>
      </b:Author>
    </b:Author>
    <b:RefOrder>2</b:RefOrder>
  </b:Source>
  <b:Source>
    <b:Tag>Nic08</b:Tag>
    <b:SourceType>Report</b:SourceType>
    <b:Guid>{8322C15F-FB92-44ED-908D-08B063580B7F}</b:Guid>
    <b:Title>Quality Enhancement Themes: Transforming Assessment and Feedback</b:Title>
    <b:Year>2008</b:Year>
    <b:City>Strathclyde</b:City>
    <b:Publisher>University of Strathclyde</b:Publisher>
    <b:Author>
      <b:Author>
        <b:NameList>
          <b:Person>
            <b:Last>Nicol</b:Last>
            <b:First>David</b:First>
          </b:Person>
        </b:NameList>
      </b:Author>
    </b:Author>
    <b:Institution>Centre for Academic Practice and Learning Enhancement</b:Institution>
    <b:RefOrder>3</b:RefOrder>
  </b:Source>
  <b:Source>
    <b:Tag>Fre93</b:Tag>
    <b:SourceType>Book</b:SourceType>
    <b:Guid>{A048527F-0F50-4BF2-ACA3-F8191874DC6A}</b:Guid>
    <b:Title>Pedagogy of the Oppressed</b:Title>
    <b:Year>1993</b:Year>
    <b:Publisher>Penguin</b:Publisher>
    <b:City>St. Ives</b:City>
    <b:Author>
      <b:Author>
        <b:NameList>
          <b:Person>
            <b:Last>Freire</b:Last>
            <b:First>Paulo</b:First>
          </b:Person>
        </b:NameList>
      </b:Author>
      <b:Translator>
        <b:NameList>
          <b:Person>
            <b:Last>Ramos</b:Last>
            <b:First>Myra</b:First>
            <b:Middle>Bergman</b:Middle>
          </b:Person>
        </b:NameList>
      </b:Translator>
    </b:Author>
    <b:RefOrder>4</b:RefOrder>
  </b:Source>
  <b:Source>
    <b:Tag>Bha</b:Tag>
    <b:SourceType>Book</b:SourceType>
    <b:Guid>{48768D12-AB34-47C2-8124-211D8154C6DF}</b:Guid>
    <b:Title>Inclusive Practices, Inclusive Pedagogies: Learning from Widening Participation research in Art and Design Higher Education</b:Title>
    <b:Author>
      <b:Author>
        <b:NameList>
          <b:Person>
            <b:Last>Bhagat</b:Last>
            <b:First>Dipti</b:First>
          </b:Person>
          <b:Person>
            <b:Last>O'Neill</b:Last>
            <b:First>Peter</b:First>
          </b:Person>
        </b:NameList>
      </b:Author>
    </b:Author>
    <b:Year>2011</b:Year>
    <b:City>Croydon</b:City>
    <b:Publisher>CPI Group</b:Publisher>
    <b:RefOrder>5</b:RefOrder>
  </b:Source>
  <b:Source>
    <b:Tag>Har17</b:Tag>
    <b:SourceType>Book</b:SourceType>
    <b:Guid>{B6BAC1C2-0632-4595-8A64-8E54A6D31307}</b:Guid>
    <b:Author>
      <b:Author>
        <b:NameList>
          <b:Person>
            <b:Last>Harasim</b:Last>
            <b:First>Linda</b:First>
          </b:Person>
        </b:NameList>
      </b:Author>
    </b:Author>
    <b:Title>Learning Theory and Online Technologies</b:Title>
    <b:Year>2017</b:Year>
    <b:City>New York</b:City>
    <b:Publisher>Routledge</b:Publisher>
    <b:Edition>2nd</b:Edition>
    <b:RefOrder>6</b:RefOrder>
  </b:Source>
  <b:Source>
    <b:Tag>Spi</b:Tag>
    <b:SourceType>Report</b:SourceType>
    <b:Guid>{199116A2-C491-4BB7-ABE8-63082AD5EE97}</b:Guid>
    <b:Title>White Paper on the Need for a Journal of Scholarship of Teaching and Learning in Art History</b:Title>
    <b:Author>
      <b:Author>
        <b:NameList>
          <b:Person>
            <b:Last>Spivey</b:Last>
            <b:First>Virginia</b:First>
            <b:Middle>B.</b:Middle>
          </b:Person>
          <b:Person>
            <b:Last>Giuntini</b:Last>
            <b:First>Parme</b:First>
          </b:Person>
          <b:Person>
            <b:Last>McGarry</b:Last>
            <b:First>Renee</b:First>
          </b:Person>
          <b:Person>
            <b:Last>Fisher</b:Last>
            <b:First>Michelle</b:First>
            <b:Middle>Millar</b:Middle>
          </b:Person>
          <b:Person>
            <b:Last>Shelby</b:Last>
            <b:First>Karen</b:First>
          </b:Person>
          <b:Person>
            <b:Last>Wentrack</b:Last>
            <b:First>Kathleen</b:First>
          </b:Person>
        </b:NameList>
      </b:Author>
    </b:Author>
    <b:Year>2015</b:Year>
    <b:Publisher>Art History teaching Resources</b:Publisher>
    <b:YearAccessed>2017</b:YearAccessed>
    <b:MonthAccessed>November</b:MonthAccessed>
    <b:DayAccessed>20</b:DayAccessed>
    <b:URL>http://arthistoryteachingresources.org/2015/11/ahtr-releases-white-paper/</b:URL>
    <b:RefOrder>7</b:RefOrder>
  </b:Source>
  <b:Source>
    <b:Tag>Bat16</b:Tag>
    <b:SourceType>Book</b:SourceType>
    <b:Guid>{1CB5FCDC-DCB0-4C84-92F0-F08A19C0DB78}</b:Guid>
    <b:Title>Learning Theories Simplified</b:Title>
    <b:Year>2016</b:Year>
    <b:City>London</b:City>
    <b:Publisher>Sage</b:Publisher>
    <b:Author>
      <b:Author>
        <b:NameList>
          <b:Person>
            <b:Last>Bates</b:Last>
            <b:First>Robert</b:First>
          </b:Person>
        </b:NameList>
      </b:Author>
    </b:Author>
    <b:RefOrder>8</b:RefOrder>
  </b:Source>
  <b:Source>
    <b:Tag>Min04</b:Tag>
    <b:SourceType>Book</b:SourceType>
    <b:Guid>{BADEE096-93E7-4F6F-8158-A8EB8467945C}</b:Guid>
    <b:Title>Teaching Skills in Further &amp; Adult Education</b:Title>
    <b:Year>2004</b:Year>
    <b:City>London</b:City>
    <b:Publisher>City &amp; Guilds of London Institute</b:Publisher>
    <b:Author>
      <b:Author>
        <b:NameList>
          <b:Person>
            <b:Last>Minton</b:Last>
            <b:First>David</b:First>
          </b:Person>
        </b:NameList>
      </b:Author>
    </b:Author>
    <b:RefOrder>9</b:RefOrder>
  </b:Source>
  <b:Source>
    <b:Tag>Goo90</b:Tag>
    <b:SourceType>Book</b:SourceType>
    <b:Guid>{66AA05F7-2A56-4978-8846-CB423D246068}</b:Guid>
    <b:Title>Vygotsky and Education: Instructional Implications and Applications of Sociohistorical Psychology</b:Title>
    <b:Year>1990</b:Year>
    <b:Publisher>Cambridge University Press</b:Publisher>
    <b:City>Cambridge</b:City>
    <b:Author>
      <b:Author>
        <b:NameList>
          <b:Person>
            <b:Last>Goodman</b:Last>
            <b:First>Y.M</b:First>
          </b:Person>
          <b:Person>
            <b:Last>Goodman</b:Last>
            <b:First>K.S</b:First>
          </b:Person>
        </b:NameList>
      </b:Author>
      <b:Editor>
        <b:NameList>
          <b:Person>
            <b:Last>Moll</b:Last>
            <b:First>Luis</b:First>
            <b:Middle>C.</b:Middle>
          </b:Person>
        </b:NameList>
      </b:Editor>
    </b:Author>
    <b:RefOrder>10</b:RefOrder>
  </b:Source>
  <b:Source>
    <b:Tag>Dir98</b:Tag>
    <b:SourceType>JournalArticle</b:SourceType>
    <b:Guid>{B1701C75-6159-489C-BB88-F94CC0A4E86A}</b:Guid>
    <b:Title>Transformative Learning Theory in the Practice of Adult Education: An Overview</b:Title>
    <b:Year>1998</b:Year>
    <b:JournalName>PAACE Journal for Lifelong Learning</b:JournalName>
    <b:Pages>1-14</b:Pages>
    <b:Author>
      <b:Author>
        <b:NameList>
          <b:Person>
            <b:Last>Dirkx</b:Last>
            <b:First>John.</b:First>
            <b:Middle>M</b:Middle>
          </b:Person>
        </b:NameList>
      </b:Author>
    </b:Author>
    <b:Volume>7</b:Volume>
    <b:RefOrder>11</b:RefOrder>
  </b:Source>
  <b:Source>
    <b:Tag>Cel17</b:Tag>
    <b:SourceType>JournalArticle</b:SourceType>
    <b:Guid>{785B16F4-8DDC-44BF-AF81-4320DCC8F9F1}</b:Guid>
    <b:Title>Contemporary Pedagogy for the Adult Learning</b:Title>
    <b:JournalName>PUPIL: International Journal of Teaching, Education and Learning</b:JournalName>
    <b:Year>2017</b:Year>
    <b:Pages>67-77</b:Pages>
    <b:Author>
      <b:Author>
        <b:NameList>
          <b:Person>
            <b:Last>Celli</b:Last>
            <b:First>Lynne</b:First>
            <b:Middle>M</b:Middle>
          </b:Person>
          <b:Person>
            <b:Last>Young</b:Last>
            <b:First>Nicholas</b:First>
            <b:Middle>D.</b:Middle>
          </b:Person>
        </b:NameList>
      </b:Author>
    </b:Author>
    <b:Month>September</b:Month>
    <b:Day>4</b:Day>
    <b:Publisher>GRDS Publishing</b:Publisher>
    <b:RefOrder>12</b:RefOrder>
  </b:Source>
  <b:Source>
    <b:Tag>Wal04</b:Tag>
    <b:SourceType>Book</b:SourceType>
    <b:Guid>{BA0A4ABC-A1E5-46A1-AE25-BA0DA4B94DE5}</b:Guid>
    <b:Title>Teaching &amp; Supporting Learning in Further Education</b:Title>
    <b:Year>2004</b:Year>
    <b:City>Exeter</b:City>
    <b:Publisher>Learning Matters Ltd</b:Publisher>
    <b:Author>
      <b:Author>
        <b:NameList>
          <b:Person>
            <b:Last>Wallace</b:Last>
            <b:First>Susan</b:First>
          </b:Person>
        </b:NameList>
      </b:Author>
    </b:Author>
    <b:RefOrder>13</b:RefOrder>
  </b:Source>
  <b:Source>
    <b:Tag>Bur02</b:Tag>
    <b:SourceType>Book</b:SourceType>
    <b:Guid>{5AF72B36-866B-47AE-B91F-CF869351C9D1}</b:Guid>
    <b:Author>
      <b:Author>
        <b:NameList>
          <b:Person>
            <b:Last>Burnett</b:Last>
            <b:First>Garry</b:First>
          </b:Person>
        </b:NameList>
      </b:Author>
    </b:Author>
    <b:Title>Learning to Learn: Making Learning Work For All Students</b:Title>
    <b:Year>2002</b:Year>
    <b:City>Glasgow</b:City>
    <b:Publisher>Crown House Publishing Ltd</b:Publisher>
    <b:RefOrder>14</b:RefOrder>
  </b:Source>
  <b:Source>
    <b:Tag>Zwo12</b:Tag>
    <b:SourceType>Book</b:SourceType>
    <b:Guid>{E7E74098-CFAD-4308-BF1D-7E751812B5FE}</b:Guid>
    <b:Title>The Teacher's Reflective Practice Handbook</b:Title>
    <b:Year>2012</b:Year>
    <b:City>Oxon</b:City>
    <b:Publisher>Routledge</b:Publisher>
    <b:Author>
      <b:Author>
        <b:NameList>
          <b:Person>
            <b:Last>Zwozdiak-Myers</b:Last>
            <b:First>Paula</b:First>
          </b:Person>
        </b:NameList>
      </b:Author>
    </b:Author>
    <b:RefOrder>15</b:RefOrder>
  </b:Source>
</b:Sources>
</file>

<file path=customXml/itemProps1.xml><?xml version="1.0" encoding="utf-8"?>
<ds:datastoreItem xmlns:ds="http://schemas.openxmlformats.org/officeDocument/2006/customXml" ds:itemID="{8C2B9B76-C1CD-45A1-90E9-FF60438B82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10</Pages>
  <Words>2577</Words>
  <Characters>14691</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PhilPott</dc:creator>
  <cp:keywords/>
  <dc:description/>
  <cp:lastModifiedBy>Matthew PhilPott</cp:lastModifiedBy>
  <cp:revision>14</cp:revision>
  <dcterms:created xsi:type="dcterms:W3CDTF">2017-11-29T10:03:00Z</dcterms:created>
  <dcterms:modified xsi:type="dcterms:W3CDTF">2017-11-29T10:22:00Z</dcterms:modified>
</cp:coreProperties>
</file>