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761F" w:rsidRPr="002E580C" w:rsidRDefault="00815803" w:rsidP="002E580C">
      <w:pPr>
        <w:jc w:val="center"/>
        <w:rPr>
          <w:u w:val="single"/>
        </w:rPr>
      </w:pPr>
      <w:r>
        <w:rPr>
          <w:u w:val="single"/>
        </w:rPr>
        <w:t xml:space="preserve">The concept </w:t>
      </w:r>
      <w:r w:rsidR="00265F56" w:rsidRPr="00265F56">
        <w:rPr>
          <w:i/>
          <w:u w:val="single"/>
        </w:rPr>
        <w:t>Normanitas</w:t>
      </w:r>
      <w:r>
        <w:rPr>
          <w:u w:val="single"/>
        </w:rPr>
        <w:t xml:space="preserve"> is merely a literary device and bears no resemblance to reality. Discuss. </w:t>
      </w:r>
    </w:p>
    <w:p w:rsidR="00AD03B9" w:rsidRDefault="0073376E" w:rsidP="004C761F">
      <w:r>
        <w:t>When approaching a topic</w:t>
      </w:r>
      <w:r w:rsidR="002B0FE8">
        <w:t xml:space="preserve"> which focuses on </w:t>
      </w:r>
      <w:r w:rsidR="006F66D9">
        <w:t>the identity of a people</w:t>
      </w:r>
      <w:r>
        <w:t>, it is important to note the exact scope and extent of my</w:t>
      </w:r>
      <w:r w:rsidR="001A725F">
        <w:t xml:space="preserve"> own enquiry </w:t>
      </w:r>
      <w:r w:rsidR="002B0FE8">
        <w:t>in relation to such a</w:t>
      </w:r>
      <w:r>
        <w:t xml:space="preserve"> historical discussion. </w:t>
      </w:r>
      <w:r w:rsidR="004C761F">
        <w:t xml:space="preserve">The nature of medieval Norman identity, also known as </w:t>
      </w:r>
      <w:r w:rsidR="00265F56" w:rsidRPr="00265F56">
        <w:rPr>
          <w:i/>
        </w:rPr>
        <w:t>Normanitas</w:t>
      </w:r>
      <w:r w:rsidR="004C761F">
        <w:t>,</w:t>
      </w:r>
      <w:r w:rsidR="008F4C88">
        <w:rPr>
          <w:rStyle w:val="FootnoteReference"/>
        </w:rPr>
        <w:footnoteReference w:id="1"/>
      </w:r>
      <w:r w:rsidR="004C761F">
        <w:t xml:space="preserve"> is a concept at the centre</w:t>
      </w:r>
      <w:r w:rsidR="00D64CD8">
        <w:t xml:space="preserve"> of</w:t>
      </w:r>
      <w:r w:rsidR="004C761F">
        <w:t xml:space="preserve"> historical debate amongst histo</w:t>
      </w:r>
      <w:r w:rsidR="00C42C43">
        <w:t xml:space="preserve">rians, </w:t>
      </w:r>
      <w:r w:rsidR="004C761F">
        <w:t xml:space="preserve">who question the exact reliability and accuracy of </w:t>
      </w:r>
      <w:r w:rsidR="004F28C6">
        <w:t>such an identity within the years in which the Normans</w:t>
      </w:r>
      <w:r w:rsidR="004C761F">
        <w:t xml:space="preserve"> conquered, expanded and assimilated. </w:t>
      </w:r>
      <w:r w:rsidR="005F4BA0">
        <w:t>Throughout this</w:t>
      </w:r>
      <w:r w:rsidR="006C34C3">
        <w:t xml:space="preserve"> enquiry, I will be looking at the different ways in which </w:t>
      </w:r>
      <w:r w:rsidR="00294D80">
        <w:t>the nature of Norman identity</w:t>
      </w:r>
      <w:r w:rsidR="006C34C3" w:rsidRPr="006C34C3">
        <w:rPr>
          <w:i/>
        </w:rPr>
        <w:t xml:space="preserve"> </w:t>
      </w:r>
      <w:r w:rsidR="006C34C3">
        <w:t xml:space="preserve">was expressed in literary works, establishing their purpose </w:t>
      </w:r>
      <w:r w:rsidR="00B23405">
        <w:t>and whether the identity expressed bears resemblance to reality. To approach such a topic,</w:t>
      </w:r>
      <w:r w:rsidR="006C34C3">
        <w:t xml:space="preserve"> </w:t>
      </w:r>
      <w:r w:rsidR="00B23405">
        <w:t>an understanding of i</w:t>
      </w:r>
      <w:r w:rsidR="00756802">
        <w:t xml:space="preserve">dentity theory is </w:t>
      </w:r>
      <w:r w:rsidR="00B23405">
        <w:t>critical</w:t>
      </w:r>
      <w:r w:rsidR="00F96FA8">
        <w:t>.</w:t>
      </w:r>
      <w:r w:rsidR="00756802">
        <w:t xml:space="preserve"> Webber describes a nation as ‘a n</w:t>
      </w:r>
      <w:r w:rsidR="00DE4A08">
        <w:t>amed human population sharing a</w:t>
      </w:r>
      <w:r w:rsidR="00756802">
        <w:t xml:space="preserve"> historic territory, common myths and historical memories...’</w:t>
      </w:r>
      <w:r w:rsidR="00B00DF7">
        <w:rPr>
          <w:rStyle w:val="FootnoteReference"/>
        </w:rPr>
        <w:footnoteReference w:id="2"/>
      </w:r>
      <w:r w:rsidR="00B131EA">
        <w:t xml:space="preserve"> </w:t>
      </w:r>
      <w:r w:rsidR="0007676D">
        <w:t>This is very muc</w:t>
      </w:r>
      <w:r w:rsidR="00D923BE">
        <w:t>h how Norman identity originated and functioned</w:t>
      </w:r>
      <w:r w:rsidR="008045ED">
        <w:t>. T</w:t>
      </w:r>
      <w:r w:rsidR="0007676D">
        <w:t>he Normans are called ‘Norman’</w:t>
      </w:r>
      <w:r w:rsidR="008045ED">
        <w:t xml:space="preserve">, firstly </w:t>
      </w:r>
      <w:r w:rsidR="001A4B17">
        <w:t xml:space="preserve">because it came from </w:t>
      </w:r>
      <w:r w:rsidR="004609A9">
        <w:t xml:space="preserve">the name </w:t>
      </w:r>
      <w:r w:rsidR="001A4B17">
        <w:t>‘Northman’</w:t>
      </w:r>
      <w:r w:rsidR="008045ED">
        <w:t xml:space="preserve"> </w:t>
      </w:r>
      <w:r w:rsidR="001A4B17">
        <w:t>(</w:t>
      </w:r>
      <w:r w:rsidR="008045ED">
        <w:t>a collect</w:t>
      </w:r>
      <w:r w:rsidR="001A4B17">
        <w:t>ive term for the Viking raiders)</w:t>
      </w:r>
      <w:r w:rsidR="004609A9">
        <w:t>,</w:t>
      </w:r>
      <w:r w:rsidR="008F3C30">
        <w:rPr>
          <w:rStyle w:val="FootnoteReference"/>
        </w:rPr>
        <w:footnoteReference w:id="3"/>
      </w:r>
      <w:r w:rsidR="008045ED">
        <w:t xml:space="preserve"> but secondly </w:t>
      </w:r>
      <w:r w:rsidR="0007676D">
        <w:t>becaus</w:t>
      </w:r>
      <w:r w:rsidR="008045ED">
        <w:t xml:space="preserve">e they </w:t>
      </w:r>
      <w:r w:rsidR="0007676D">
        <w:t>settle</w:t>
      </w:r>
      <w:r w:rsidR="004609A9">
        <w:t>d in what was later to be known</w:t>
      </w:r>
      <w:r w:rsidR="008045ED">
        <w:t xml:space="preserve"> </w:t>
      </w:r>
      <w:r w:rsidR="0007676D">
        <w:t>as ‘Normandy’</w:t>
      </w:r>
      <w:r w:rsidR="002C6725">
        <w:t>, and so they share a historic territory which they all relate to</w:t>
      </w:r>
      <w:r w:rsidR="004609A9">
        <w:t xml:space="preserve"> and originate from</w:t>
      </w:r>
      <w:r w:rsidR="002C6725">
        <w:t>.</w:t>
      </w:r>
      <w:r w:rsidR="001A4B17">
        <w:t xml:space="preserve"> It is also important to note that the strong characteristics of </w:t>
      </w:r>
      <w:r w:rsidR="001A4B17">
        <w:rPr>
          <w:i/>
        </w:rPr>
        <w:t>Normanitas</w:t>
      </w:r>
      <w:r w:rsidR="001A4B17">
        <w:t xml:space="preserve"> led to the eventual popularity and publication of the Norman myth.</w:t>
      </w:r>
      <w:r w:rsidR="002C6725">
        <w:t xml:space="preserve"> </w:t>
      </w:r>
      <w:r w:rsidR="00265F56" w:rsidRPr="00265F56">
        <w:rPr>
          <w:i/>
        </w:rPr>
        <w:t>Normanitas</w:t>
      </w:r>
      <w:r w:rsidR="00F23761">
        <w:t xml:space="preserve"> was clearly used as a literary device within </w:t>
      </w:r>
      <w:r w:rsidR="00294D80">
        <w:t xml:space="preserve">medieval </w:t>
      </w:r>
      <w:r w:rsidR="00F23761">
        <w:t>literature</w:t>
      </w:r>
      <w:r w:rsidR="00294D80">
        <w:t>,</w:t>
      </w:r>
      <w:r w:rsidR="00F23761">
        <w:t xml:space="preserve"> </w:t>
      </w:r>
      <w:r w:rsidR="00853197">
        <w:t>for example in</w:t>
      </w:r>
      <w:r w:rsidR="00F23761">
        <w:t xml:space="preserve"> </w:t>
      </w:r>
      <w:r w:rsidR="00F23761">
        <w:rPr>
          <w:i/>
        </w:rPr>
        <w:t>chanson de geste</w:t>
      </w:r>
      <w:r w:rsidR="00F23761">
        <w:t>, but the famous characteristics of the Norman</w:t>
      </w:r>
      <w:r w:rsidR="00294D80">
        <w:t xml:space="preserve">s are also evident in </w:t>
      </w:r>
      <w:r w:rsidR="00096471">
        <w:t>liter</w:t>
      </w:r>
      <w:r w:rsidR="00294D80">
        <w:t xml:space="preserve">ature </w:t>
      </w:r>
      <w:r w:rsidR="00EB55E0">
        <w:t>such as contemporary</w:t>
      </w:r>
      <w:r w:rsidR="00F23761">
        <w:t xml:space="preserve"> chronicles and </w:t>
      </w:r>
      <w:r w:rsidR="007E000B">
        <w:t>secondary hist</w:t>
      </w:r>
      <w:r w:rsidR="00EB55E0">
        <w:t>orical enquiries</w:t>
      </w:r>
      <w:r w:rsidR="00685BA0">
        <w:t>;</w:t>
      </w:r>
      <w:r w:rsidR="007E000B">
        <w:t xml:space="preserve"> through </w:t>
      </w:r>
      <w:r w:rsidR="00EB55E0">
        <w:t>the presence of Norman architecture and the survival of external sources such as the writings of Anna Comena</w:t>
      </w:r>
      <w:r w:rsidR="009E110F">
        <w:t>.</w:t>
      </w:r>
      <w:r w:rsidR="00EB55E0">
        <w:t xml:space="preserve"> </w:t>
      </w:r>
      <w:r w:rsidR="00876228">
        <w:t xml:space="preserve">It is easier to understand the concept of </w:t>
      </w:r>
      <w:r w:rsidR="00265F56" w:rsidRPr="00265F56">
        <w:rPr>
          <w:i/>
        </w:rPr>
        <w:t>Normanitas</w:t>
      </w:r>
      <w:r w:rsidR="00876228">
        <w:t xml:space="preserve"> by approaching it as a formulaic equation; each characteristic associated with ‘typical’ Norman behaviour i</w:t>
      </w:r>
      <w:r w:rsidR="00832484">
        <w:t xml:space="preserve">s a component </w:t>
      </w:r>
      <w:r w:rsidR="00140085">
        <w:t>of this equation, and equates to an overall shared identity.</w:t>
      </w:r>
      <w:r w:rsidR="00832484">
        <w:t xml:space="preserve"> </w:t>
      </w:r>
    </w:p>
    <w:p w:rsidR="005F4BA0" w:rsidRPr="00140085" w:rsidRDefault="00B43016" w:rsidP="004C761F">
      <w:r>
        <w:t xml:space="preserve">Throughout this essay, I will be focusing on the different individuals who use </w:t>
      </w:r>
      <w:r>
        <w:rPr>
          <w:i/>
        </w:rPr>
        <w:t>Normanitas</w:t>
      </w:r>
      <w:r>
        <w:t xml:space="preserve"> as a literary device, why they write in this way and whether</w:t>
      </w:r>
      <w:r w:rsidR="00C801E3">
        <w:t xml:space="preserve"> their writing ho</w:t>
      </w:r>
      <w:r>
        <w:t>ld</w:t>
      </w:r>
      <w:r w:rsidR="00C801E3">
        <w:t>s</w:t>
      </w:r>
      <w:r>
        <w:t xml:space="preserve"> an</w:t>
      </w:r>
      <w:r w:rsidR="00140085">
        <w:t>y accuracy</w:t>
      </w:r>
      <w:r>
        <w:t xml:space="preserve"> with the reality of the Norman people themselves</w:t>
      </w:r>
      <w:r w:rsidR="00C801E3">
        <w:t>, supporting my statements with the work of secondary scholars</w:t>
      </w:r>
      <w:r w:rsidR="00D244DF">
        <w:t>.</w:t>
      </w:r>
      <w:r>
        <w:t xml:space="preserve"> Alongside this, when exploring the purposes and aims of covering such a concept in historical writing, I will also be exploring the characteristics that we, as an audience of medieval writing, associate with the Normans through the product of literary works, and whether they portray a realistic approach to the Norman notion of </w:t>
      </w:r>
      <w:r>
        <w:rPr>
          <w:i/>
        </w:rPr>
        <w:t>Normanitas</w:t>
      </w:r>
      <w:r>
        <w:t xml:space="preserve">, or are clearly adapted to suit the writers’ own style and effectiveness. </w:t>
      </w:r>
      <w:r w:rsidR="00140085">
        <w:t>To establish whether an identity of a people is a clear representative of their character is difficult, as the medieval era is heavily document</w:t>
      </w:r>
      <w:r w:rsidR="004321A0">
        <w:t>ed</w:t>
      </w:r>
      <w:r w:rsidR="00140085">
        <w:t xml:space="preserve"> through the work of </w:t>
      </w:r>
      <w:r w:rsidR="00D833FB">
        <w:t xml:space="preserve">literature, as </w:t>
      </w:r>
      <w:r w:rsidR="00140085">
        <w:t>there was no way to record facts orally, and there was no such technological advance that we now see in the modern day.</w:t>
      </w:r>
      <w:r w:rsidR="00D833FB">
        <w:t xml:space="preserve"> Therefore the concept of reality itself is very difficult to underpin, as the nature of Norman identity very much differs between internal and external sources. One would assume, then, that the popularity of such characteristics is the only sufficient way of determining whether those expressed resemble </w:t>
      </w:r>
      <w:r w:rsidR="006022A1">
        <w:t xml:space="preserve">the reality. However, authorship also exploits the concept of </w:t>
      </w:r>
      <w:r w:rsidR="006022A1">
        <w:rPr>
          <w:i/>
        </w:rPr>
        <w:t>Normanitas</w:t>
      </w:r>
      <w:r w:rsidR="006022A1">
        <w:t xml:space="preserve"> and its entertaining value, and so the complexity of such an argument is increased. </w:t>
      </w:r>
      <w:r w:rsidR="00140085">
        <w:t xml:space="preserve">In response to this, it is necessary that, as a historian, I analyse and focus on the authorship and purpose of historical literature, in order to establish whether such pieces are based fully on a factual representative of the characters of the Normans, or whether the concept of </w:t>
      </w:r>
      <w:r w:rsidR="00140085">
        <w:rPr>
          <w:i/>
        </w:rPr>
        <w:t>Normanitas</w:t>
      </w:r>
      <w:r w:rsidR="00140085">
        <w:t xml:space="preserve"> is purely used as a literary device. </w:t>
      </w:r>
    </w:p>
    <w:p w:rsidR="00F65226" w:rsidRDefault="00F63310" w:rsidP="00681EA2">
      <w:r>
        <w:lastRenderedPageBreak/>
        <w:t>One mass producer of literary works</w:t>
      </w:r>
      <w:r w:rsidR="00952EB9">
        <w:t>,</w:t>
      </w:r>
      <w:r>
        <w:t xml:space="preserve"> which heavily focused on the concept of </w:t>
      </w:r>
      <w:r>
        <w:rPr>
          <w:i/>
        </w:rPr>
        <w:t>Normanitas</w:t>
      </w:r>
      <w:r>
        <w:t>, were the Normans themselves. ‘</w:t>
      </w:r>
      <w:r w:rsidRPr="00F63310">
        <w:t>The Normans managed to maintain a strong sense of their own identity. Partly they did so by developing a powerful origin myth and a pride in their history</w:t>
      </w:r>
      <w:r>
        <w:t>’.</w:t>
      </w:r>
      <w:r w:rsidR="00FD1A38">
        <w:rPr>
          <w:rStyle w:val="FootnoteReference"/>
        </w:rPr>
        <w:footnoteReference w:id="4"/>
      </w:r>
      <w:r>
        <w:t xml:space="preserve"> </w:t>
      </w:r>
      <w:r w:rsidR="003F5C96">
        <w:t>Th</w:t>
      </w:r>
      <w:r w:rsidR="00BA5EA2">
        <w:t xml:space="preserve">is quote </w:t>
      </w:r>
      <w:r w:rsidR="003F5C96">
        <w:t>presents the idea that the Normans were self-aware of the effectiveness of creating their own myth and proceeded to do this</w:t>
      </w:r>
      <w:r w:rsidR="00CA2DC6">
        <w:t xml:space="preserve"> through historica</w:t>
      </w:r>
      <w:r w:rsidR="003D7968">
        <w:t xml:space="preserve">l writing which </w:t>
      </w:r>
      <w:r w:rsidR="00D430C2">
        <w:t>focused on</w:t>
      </w:r>
      <w:r w:rsidR="003D7968">
        <w:t xml:space="preserve"> </w:t>
      </w:r>
      <w:r w:rsidR="00CA2DC6">
        <w:t>the concept</w:t>
      </w:r>
      <w:r w:rsidR="003F5C96">
        <w:t xml:space="preserve"> of </w:t>
      </w:r>
      <w:r w:rsidR="003F5C96">
        <w:rPr>
          <w:i/>
        </w:rPr>
        <w:t>Normanitas</w:t>
      </w:r>
      <w:r w:rsidR="003F5C96">
        <w:t>.</w:t>
      </w:r>
      <w:r w:rsidR="00440785">
        <w:t xml:space="preserve"> This is evident in </w:t>
      </w:r>
      <w:r w:rsidR="00440785">
        <w:rPr>
          <w:i/>
        </w:rPr>
        <w:t>The Deeds of Count Roger of Calabria and Robert Guiscard</w:t>
      </w:r>
      <w:r w:rsidR="00440785">
        <w:t xml:space="preserve"> written by Geoffrey of Malaterra, whose identity is very much unknown, apart </w:t>
      </w:r>
      <w:r w:rsidR="005E1CC1">
        <w:t>from his involvement</w:t>
      </w:r>
      <w:r w:rsidR="004365F7">
        <w:t xml:space="preserve"> in a monastic network</w:t>
      </w:r>
      <w:r w:rsidR="00D4506D">
        <w:t xml:space="preserve"> and Norman background</w:t>
      </w:r>
      <w:r w:rsidR="00440785">
        <w:t>.</w:t>
      </w:r>
      <w:r w:rsidR="000A0518">
        <w:rPr>
          <w:rStyle w:val="FootnoteReference"/>
        </w:rPr>
        <w:footnoteReference w:id="5"/>
      </w:r>
      <w:r w:rsidR="00440785">
        <w:t xml:space="preserve"> </w:t>
      </w:r>
      <w:r w:rsidR="002D43FD">
        <w:t>In this extract</w:t>
      </w:r>
      <w:r w:rsidR="00212F8D">
        <w:t xml:space="preserve">, he illustrates the actions of Hugh Tudebusis </w:t>
      </w:r>
      <w:r w:rsidR="003D7968">
        <w:t>w</w:t>
      </w:r>
      <w:r w:rsidR="002D43FD">
        <w:t>ho responded to a meeting with the Byzantines</w:t>
      </w:r>
      <w:r w:rsidR="00212F8D">
        <w:t xml:space="preserve"> purely to spread fear and give the enemy a story to remember, indicating that the Normans were self-aware in the creation of their own myth, at least within this depiction. ‘He wanted the Greeks to be told something amazing about him and his fellows which might terrify them and so he struck the horse with his bare fist…’</w:t>
      </w:r>
      <w:r w:rsidR="00015A92">
        <w:rPr>
          <w:rStyle w:val="FootnoteReference"/>
        </w:rPr>
        <w:footnoteReference w:id="6"/>
      </w:r>
      <w:r w:rsidR="00212F8D">
        <w:t xml:space="preserve"> This act not only confirms that the Normans were aware of </w:t>
      </w:r>
      <w:r w:rsidR="001616C8">
        <w:t>the effectiveness of creating an identity to intimidate their opposition, demonstrating the effectiveness of psychological warfare, but it also pr</w:t>
      </w:r>
      <w:r w:rsidR="00EA3891">
        <w:t xml:space="preserve">ovides historians with a difficult </w:t>
      </w:r>
      <w:r w:rsidR="009B2E24">
        <w:t>scenario to make judgement on. In one way it show</w:t>
      </w:r>
      <w:r w:rsidR="002136F3">
        <w:t>s</w:t>
      </w:r>
      <w:r w:rsidR="009B2E24">
        <w:t xml:space="preserve"> that the Normans are self-aware of the effectiveness of demonstrating and using their identity to their own advantage.</w:t>
      </w:r>
      <w:r w:rsidR="002136F3">
        <w:t xml:space="preserve"> In another, it could depict</w:t>
      </w:r>
      <w:r w:rsidR="009B2E24">
        <w:t xml:space="preserve"> Tudebusis as an individual who understand</w:t>
      </w:r>
      <w:r w:rsidR="002136F3">
        <w:t>s</w:t>
      </w:r>
      <w:r w:rsidR="009B2E24">
        <w:t xml:space="preserve"> the effectiveness of a myth, something that bears little resemblance to reality, and so plays along with the dramatised and </w:t>
      </w:r>
      <w:r w:rsidR="00F35ACC">
        <w:t>fearful character</w:t>
      </w:r>
      <w:r w:rsidR="002136F3">
        <w:t xml:space="preserve">istics of the Normans, as </w:t>
      </w:r>
      <w:r w:rsidR="00F35ACC">
        <w:t xml:space="preserve">a source of intimidation. Whether the actions of this Norman knight were </w:t>
      </w:r>
      <w:r w:rsidR="00641006">
        <w:t>genuine or followed through as</w:t>
      </w:r>
      <w:r w:rsidR="002136F3">
        <w:t xml:space="preserve"> a</w:t>
      </w:r>
      <w:r w:rsidR="00641006">
        <w:t xml:space="preserve"> catalyst to psychological warfare is unknown. However, the way in which Geoffrey of Malaterra presents this scenario</w:t>
      </w:r>
      <w:r w:rsidR="002D43FD">
        <w:t xml:space="preserve">, hints that Tudebusis’ actions were at </w:t>
      </w:r>
      <w:r w:rsidR="000967F5">
        <w:t xml:space="preserve">least dramatised to intimidate the enemy. </w:t>
      </w:r>
      <w:r w:rsidR="002A6FD5">
        <w:t xml:space="preserve">As already stated, the way of knowing reality versus fiction in relation to the identity of such a people is difficult when presented with </w:t>
      </w:r>
      <w:r w:rsidR="00E52136">
        <w:t>only literary works to work from</w:t>
      </w:r>
      <w:r w:rsidR="002A6FD5">
        <w:t xml:space="preserve">. It is apparent </w:t>
      </w:r>
      <w:r w:rsidR="00E52136">
        <w:t>that the Normans were a</w:t>
      </w:r>
      <w:r w:rsidR="002A6FD5">
        <w:t xml:space="preserve">ware of the effectiveness of exaggerating such a concept as </w:t>
      </w:r>
      <w:r w:rsidR="002A6FD5">
        <w:rPr>
          <w:i/>
        </w:rPr>
        <w:t>Normanitas</w:t>
      </w:r>
      <w:r w:rsidR="002A6FD5">
        <w:t xml:space="preserve">, but it is also important to note that the identity of any nation stems from an element of truth, and so the nature of the Norman people must bear some resemblance to reality. </w:t>
      </w:r>
    </w:p>
    <w:p w:rsidR="0056130F" w:rsidRDefault="000D0602" w:rsidP="00681EA2">
      <w:r>
        <w:t>It could be argued that what the Normans themselves present, and the way that they perceive themselves in literary works, is factual in terms of how they approach and understand their own identity, and so it does bear some resemblance to reality in this sense. The conscious effort of the Norman people to use the nature of their identity within their own literature</w:t>
      </w:r>
      <w:r w:rsidR="00D26B24">
        <w:t xml:space="preserve"> is also presented in the</w:t>
      </w:r>
      <w:r w:rsidRPr="000D0602">
        <w:t xml:space="preserve"> </w:t>
      </w:r>
      <w:r w:rsidRPr="000D0602">
        <w:rPr>
          <w:i/>
        </w:rPr>
        <w:t>Gesta Roberti Wiscardi</w:t>
      </w:r>
      <w:r w:rsidRPr="000D0602">
        <w:t xml:space="preserve">: </w:t>
      </w:r>
      <w:r>
        <w:t>‘</w:t>
      </w:r>
      <w:r w:rsidRPr="000D0602">
        <w:t>He butchered them with his sword, he struck terrible blows with his strong hands’.</w:t>
      </w:r>
      <w:r>
        <w:rPr>
          <w:rStyle w:val="FootnoteReference"/>
        </w:rPr>
        <w:footnoteReference w:id="7"/>
      </w:r>
      <w:r w:rsidR="00E715D5">
        <w:t xml:space="preserve"> Once again, the use of a violent </w:t>
      </w:r>
      <w:r w:rsidR="00D26B24">
        <w:t xml:space="preserve">characteristic strongly connected to Norman </w:t>
      </w:r>
      <w:r w:rsidR="004C4C41">
        <w:t>activity</w:t>
      </w:r>
      <w:r w:rsidR="00D26B24">
        <w:t xml:space="preserve">, is heavily exaggerated with the aim to spread fear and the concept of </w:t>
      </w:r>
      <w:r w:rsidR="00D26B24">
        <w:rPr>
          <w:i/>
        </w:rPr>
        <w:t>Normanitas</w:t>
      </w:r>
      <w:r w:rsidR="00D26B24">
        <w:t xml:space="preserve"> itself. </w:t>
      </w:r>
      <w:r w:rsidR="001A6ECC">
        <w:t>‘E</w:t>
      </w:r>
      <w:r w:rsidR="001A6ECC" w:rsidRPr="001A6ECC">
        <w:t>ven when acculturation had progressed</w:t>
      </w:r>
      <w:r w:rsidR="001A6ECC">
        <w:t xml:space="preserve"> [the Normans] c</w:t>
      </w:r>
      <w:r w:rsidR="001A6ECC" w:rsidRPr="001A6ECC">
        <w:t>ould always point to their Scandinavian h</w:t>
      </w:r>
      <w:r w:rsidR="0074112B">
        <w:t xml:space="preserve">eritage to set themselves apart’. The emphasis on lineage and ancestry, mainly </w:t>
      </w:r>
      <w:r w:rsidR="00F41D82">
        <w:t>in relations to</w:t>
      </w:r>
      <w:r w:rsidR="0074112B">
        <w:t xml:space="preserve"> successful predecessor</w:t>
      </w:r>
      <w:r w:rsidR="00F41D82">
        <w:t>s such as</w:t>
      </w:r>
      <w:r w:rsidR="0074112B">
        <w:t xml:space="preserve"> Rollo who conquered Normandy in 911 AD,</w:t>
      </w:r>
      <w:r w:rsidR="00B66DC0">
        <w:rPr>
          <w:rStyle w:val="FootnoteReference"/>
        </w:rPr>
        <w:footnoteReference w:id="8"/>
      </w:r>
      <w:r w:rsidR="0074112B">
        <w:t xml:space="preserve"> could also be a reason for Norman historical writing to use </w:t>
      </w:r>
      <w:r w:rsidR="0074112B">
        <w:rPr>
          <w:i/>
        </w:rPr>
        <w:t>Normanitas</w:t>
      </w:r>
      <w:r w:rsidR="0074112B">
        <w:t xml:space="preserve"> as a literary device. It established a justification for their actions, and enabled them to remain a distinct people who succeeded often through the use of vi</w:t>
      </w:r>
      <w:r w:rsidR="001A7EA7">
        <w:t>olence and military competence much like their ancestors</w:t>
      </w:r>
      <w:r w:rsidR="00F65226">
        <w:t>. T</w:t>
      </w:r>
      <w:r w:rsidR="001A7EA7">
        <w:t>aking pride in their own histor</w:t>
      </w:r>
      <w:r w:rsidR="00F65226">
        <w:t>y concludes</w:t>
      </w:r>
      <w:r w:rsidR="004129B1">
        <w:t xml:space="preserve"> that the </w:t>
      </w:r>
      <w:r w:rsidR="00A6137E">
        <w:lastRenderedPageBreak/>
        <w:t xml:space="preserve">concept </w:t>
      </w:r>
      <w:r w:rsidR="004129B1">
        <w:rPr>
          <w:i/>
        </w:rPr>
        <w:t>Normanitas</w:t>
      </w:r>
      <w:r w:rsidR="005B0217">
        <w:rPr>
          <w:i/>
        </w:rPr>
        <w:t xml:space="preserve"> </w:t>
      </w:r>
      <w:r w:rsidR="00A6137E">
        <w:t>is not only</w:t>
      </w:r>
      <w:r w:rsidR="005B0217">
        <w:t xml:space="preserve"> viewed as</w:t>
      </w:r>
      <w:r w:rsidR="00A6137E">
        <w:t xml:space="preserve"> a</w:t>
      </w:r>
      <w:r w:rsidR="005B0217">
        <w:t xml:space="preserve"> literary device by the Norman people but leads to the immortalisation of </w:t>
      </w:r>
      <w:r w:rsidR="00576730">
        <w:t xml:space="preserve">the nature of Norman identity as they see it. </w:t>
      </w:r>
    </w:p>
    <w:p w:rsidR="00497FCC" w:rsidRDefault="003E04BF" w:rsidP="00497FCC">
      <w:r>
        <w:t xml:space="preserve">The popular writing of </w:t>
      </w:r>
      <w:r w:rsidR="00661A1B">
        <w:rPr>
          <w:i/>
        </w:rPr>
        <w:t>chanson de g</w:t>
      </w:r>
      <w:r w:rsidR="00D96D0B">
        <w:rPr>
          <w:i/>
        </w:rPr>
        <w:t>este,</w:t>
      </w:r>
      <w:r w:rsidR="00D96D0B">
        <w:t xml:space="preserve"> translated from Old French to</w:t>
      </w:r>
      <w:r w:rsidR="00D96D0B">
        <w:rPr>
          <w:i/>
        </w:rPr>
        <w:t xml:space="preserve"> ‘</w:t>
      </w:r>
      <w:r w:rsidR="00D96D0B" w:rsidRPr="00D96D0B">
        <w:t>songs</w:t>
      </w:r>
      <w:r w:rsidR="009773BB">
        <w:t xml:space="preserve"> of</w:t>
      </w:r>
      <w:r w:rsidR="00D96D0B" w:rsidRPr="00D96D0B">
        <w:t xml:space="preserve"> heroic deeds’</w:t>
      </w:r>
      <w:r w:rsidR="00D96D0B">
        <w:t>,</w:t>
      </w:r>
      <w:r w:rsidR="00D96D0B">
        <w:rPr>
          <w:rStyle w:val="FootnoteReference"/>
        </w:rPr>
        <w:footnoteReference w:id="9"/>
      </w:r>
      <w:r w:rsidR="00761AD4">
        <w:t xml:space="preserve"> used the concept</w:t>
      </w:r>
      <w:r w:rsidR="00D96D0B">
        <w:t xml:space="preserve"> </w:t>
      </w:r>
      <w:r w:rsidR="00D96D0B">
        <w:rPr>
          <w:i/>
        </w:rPr>
        <w:t xml:space="preserve">Normanitas </w:t>
      </w:r>
      <w:r w:rsidR="00D96D0B">
        <w:t>purely as a literary device</w:t>
      </w:r>
      <w:r w:rsidR="00A46EF9">
        <w:t>, with the twelfth century seein</w:t>
      </w:r>
      <w:r w:rsidR="00052C35">
        <w:t xml:space="preserve">g the greatest amount </w:t>
      </w:r>
      <w:r w:rsidR="00032171">
        <w:t>of epic poetry which survives from the medieval era.</w:t>
      </w:r>
      <w:r w:rsidR="00A46EF9">
        <w:rPr>
          <w:rStyle w:val="FootnoteReference"/>
        </w:rPr>
        <w:footnoteReference w:id="10"/>
      </w:r>
      <w:r w:rsidR="00D96D0B">
        <w:t xml:space="preserve"> The characteristics associated with the Normans and their style and success of conquest, often led to the mass production of epic poetry which relayed the nature of the Norman identity due to its similarity to that of the heroics. To use a Norman as a main character within epic literature, exaggerating the ways in which the Normans see themselves, would create an engaging </w:t>
      </w:r>
      <w:r w:rsidR="00066D8B">
        <w:t>performance</w:t>
      </w:r>
      <w:r w:rsidR="00D96D0B">
        <w:t xml:space="preserve"> for the audience. </w:t>
      </w:r>
      <w:r w:rsidR="00C70A3E">
        <w:t>For example, the Normans often wrote in their own histories about the great amount of forces that they encountered whilst conquering lands, always to be perceived a</w:t>
      </w:r>
      <w:r w:rsidR="00A2604A">
        <w:t>s outnumbered</w:t>
      </w:r>
      <w:r w:rsidR="004E7DFB">
        <w:t xml:space="preserve"> and as victims</w:t>
      </w:r>
      <w:r w:rsidR="00C70A3E">
        <w:t>.</w:t>
      </w:r>
      <w:r w:rsidR="00E31D2E">
        <w:t xml:space="preserve"> </w:t>
      </w:r>
      <w:r w:rsidR="004E7DFB">
        <w:t xml:space="preserve">In the Dudo’s </w:t>
      </w:r>
      <w:r w:rsidR="004E7DFB">
        <w:rPr>
          <w:i/>
        </w:rPr>
        <w:t>Gesta Normannorum</w:t>
      </w:r>
      <w:r w:rsidR="004E7DFB">
        <w:t xml:space="preserve"> Rollo is quoted to have said ‘</w:t>
      </w:r>
      <w:r w:rsidR="004E7DFB" w:rsidRPr="004E7DFB">
        <w:t>What evil have we done to the Franks? Why did they leap upon us?</w:t>
      </w:r>
      <w:r w:rsidR="004E7DFB">
        <w:t>’</w:t>
      </w:r>
      <w:r w:rsidR="004E7DFB">
        <w:rPr>
          <w:rStyle w:val="FootnoteReference"/>
        </w:rPr>
        <w:footnoteReference w:id="11"/>
      </w:r>
      <w:r w:rsidR="00467DD3">
        <w:t xml:space="preserve"> </w:t>
      </w:r>
      <w:r w:rsidR="00C70A3E">
        <w:t xml:space="preserve">The </w:t>
      </w:r>
      <w:r w:rsidR="00C70A3E">
        <w:rPr>
          <w:i/>
        </w:rPr>
        <w:t xml:space="preserve">chanson de geste </w:t>
      </w:r>
      <w:r w:rsidR="00C70A3E">
        <w:t xml:space="preserve">way of writing, took this characteristic of the Norman identity, and exaggerated it to produce a more dramatised and enticing read. The use of one man to fight against the enemy is often seen throughout literature of this nature; single-handedly winning the battle on behalf of all the Normans. </w:t>
      </w:r>
      <w:r w:rsidR="007F04F8">
        <w:t>This not only portrays the characteristics of a well-skilled fighter, but also feeds of the idea of a leader; one person which the Normans act under. This idea of a strong leadership which sways the decisions of the Normans, is put forward by Shopkow’s nuclei theory</w:t>
      </w:r>
      <w:r w:rsidR="00467DD3">
        <w:t>, which</w:t>
      </w:r>
      <w:r w:rsidR="007F04F8">
        <w:t xml:space="preserve"> describes the Norman leaders’ as</w:t>
      </w:r>
      <w:r w:rsidR="006B6700">
        <w:t xml:space="preserve"> a nucleus, and the rest of the Norman</w:t>
      </w:r>
      <w:r w:rsidR="007F04F8">
        <w:t xml:space="preserve"> society as electrons who work around the nucleus </w:t>
      </w:r>
      <w:r w:rsidR="00497FCC">
        <w:t>and act upon it</w:t>
      </w:r>
      <w:r w:rsidR="007F04F8">
        <w:t>.</w:t>
      </w:r>
      <w:r w:rsidR="0074048F">
        <w:rPr>
          <w:rStyle w:val="FootnoteReference"/>
        </w:rPr>
        <w:footnoteReference w:id="12"/>
      </w:r>
      <w:r w:rsidR="00497FCC">
        <w:t xml:space="preserve"> An example, of both the combination of leadership and skilled warriors features in the </w:t>
      </w:r>
      <w:r w:rsidR="00497FCC">
        <w:rPr>
          <w:i/>
        </w:rPr>
        <w:t>Song of Roland</w:t>
      </w:r>
      <w:r w:rsidR="00467DD3">
        <w:t>:</w:t>
      </w:r>
      <w:r w:rsidR="00497FCC">
        <w:t xml:space="preserve"> ‘He rideth jesting on ahead with all his peers behind’</w:t>
      </w:r>
      <w:r w:rsidR="0074048F">
        <w:t>.</w:t>
      </w:r>
      <w:r w:rsidR="0074048F">
        <w:rPr>
          <w:rStyle w:val="FootnoteReference"/>
        </w:rPr>
        <w:footnoteReference w:id="13"/>
      </w:r>
      <w:r w:rsidR="00497FCC">
        <w:t xml:space="preserve"> This anecdote of Roland leading the Normans into battle, at the front of all the knights, presents the nature of the Norman identity, though exaggerated, in order to produce a story which </w:t>
      </w:r>
      <w:r w:rsidR="0065343C">
        <w:t xml:space="preserve">entertains the nobility. </w:t>
      </w:r>
      <w:r w:rsidR="00FF4358">
        <w:t xml:space="preserve">Whether it bears resemblance to reality is unknown and of little importance to authors of epic poetry themselves. The ‘template’ of the Norman identity allows the writers of epic poetry to successfully produce a popular piece of writing, with strong heroic characters, and so to them it is purely a literary device guaranteed to produce a poem which will entertain all. </w:t>
      </w:r>
    </w:p>
    <w:p w:rsidR="007F646B" w:rsidRDefault="007F646B" w:rsidP="00497FCC">
      <w:r>
        <w:t xml:space="preserve">The concept of </w:t>
      </w:r>
      <w:r w:rsidR="00E95A5F">
        <w:rPr>
          <w:i/>
        </w:rPr>
        <w:t>Normanitas</w:t>
      </w:r>
      <w:r>
        <w:t xml:space="preserve"> grew in popularity, regardless of its factual resemblance of the Norman character, </w:t>
      </w:r>
      <w:r w:rsidR="00186F1A">
        <w:t xml:space="preserve">as </w:t>
      </w:r>
      <w:r>
        <w:t xml:space="preserve">the product of intertextuality between medieval </w:t>
      </w:r>
      <w:r w:rsidR="00186F1A">
        <w:t xml:space="preserve">historians. </w:t>
      </w:r>
      <w:r w:rsidR="00533019">
        <w:t>Intertextuality is ‘</w:t>
      </w:r>
      <w:r w:rsidR="00533019" w:rsidRPr="00533019">
        <w:t>the complex interrelationship between a text and other texts taken as basic to the creation or interpretation of the text</w:t>
      </w:r>
      <w:r w:rsidR="00533019">
        <w:t>’.</w:t>
      </w:r>
      <w:r w:rsidR="00533019">
        <w:rPr>
          <w:rStyle w:val="FootnoteReference"/>
        </w:rPr>
        <w:footnoteReference w:id="14"/>
      </w:r>
      <w:r w:rsidR="004A733E">
        <w:t xml:space="preserve"> </w:t>
      </w:r>
      <w:r w:rsidR="00186F1A">
        <w:t xml:space="preserve">It could be argued then, that the nature of the Norman identity became reality by </w:t>
      </w:r>
      <w:r w:rsidR="004A733E">
        <w:t>it</w:t>
      </w:r>
      <w:r w:rsidR="00186F1A">
        <w:t>s</w:t>
      </w:r>
      <w:r w:rsidR="004A733E">
        <w:t xml:space="preserve"> popular</w:t>
      </w:r>
      <w:r w:rsidR="00186F1A">
        <w:t xml:space="preserve"> production and reference to certain characteristics of the Normans</w:t>
      </w:r>
      <w:r w:rsidR="004A733E">
        <w:t>,</w:t>
      </w:r>
      <w:r w:rsidR="00186F1A">
        <w:t xml:space="preserve"> by historians</w:t>
      </w:r>
      <w:r w:rsidR="004A733E">
        <w:t xml:space="preserve"> who </w:t>
      </w:r>
      <w:r w:rsidR="00186F1A">
        <w:t>reference</w:t>
      </w:r>
      <w:r w:rsidR="004A733E">
        <w:t>d</w:t>
      </w:r>
      <w:r w:rsidR="00100B0F">
        <w:t xml:space="preserve"> other historians in their work</w:t>
      </w:r>
      <w:r w:rsidR="00186F1A">
        <w:t>. The research of medieval historians led to the by-product of the Norman myth, through the consistent use of intertextuality apparent within their histories. For example,</w:t>
      </w:r>
      <w:r w:rsidR="00654C16">
        <w:t xml:space="preserve"> Orderic Vitalis, William of Jumieges and Dudo </w:t>
      </w:r>
      <w:r w:rsidR="00A04BA2">
        <w:t xml:space="preserve">of St. Quentin, </w:t>
      </w:r>
      <w:r w:rsidR="00654C16">
        <w:t>all refer to the</w:t>
      </w:r>
      <w:r w:rsidR="00C27A13">
        <w:t xml:space="preserve"> Normans in a wolf-like descriptor</w:t>
      </w:r>
      <w:r w:rsidR="00654C16">
        <w:t xml:space="preserve">, depicting the Normans as wolves or dogs who feast on other nations. For example, </w:t>
      </w:r>
      <w:r w:rsidR="000346CB">
        <w:t xml:space="preserve">in the </w:t>
      </w:r>
      <w:r w:rsidR="000346CB">
        <w:rPr>
          <w:i/>
        </w:rPr>
        <w:t xml:space="preserve">Geste Normannorum </w:t>
      </w:r>
      <w:r w:rsidR="000346CB" w:rsidRPr="000346CB">
        <w:rPr>
          <w:i/>
        </w:rPr>
        <w:t>Ducum</w:t>
      </w:r>
      <w:r w:rsidR="000346CB">
        <w:rPr>
          <w:i/>
        </w:rPr>
        <w:t xml:space="preserve"> </w:t>
      </w:r>
      <w:r w:rsidR="000346CB">
        <w:t xml:space="preserve">it is stated that ‘the pernicious wolves sail </w:t>
      </w:r>
      <w:r w:rsidR="000346CB">
        <w:lastRenderedPageBreak/>
        <w:t>off to mangle the Lord’s sheep’.</w:t>
      </w:r>
      <w:r w:rsidR="000346CB">
        <w:rPr>
          <w:rStyle w:val="FootnoteReference"/>
        </w:rPr>
        <w:footnoteReference w:id="15"/>
      </w:r>
      <w:r w:rsidR="000346CB">
        <w:t xml:space="preserve"> Similar depictions are stated in the works of Ord</w:t>
      </w:r>
      <w:r w:rsidR="00160EE5">
        <w:t>eric Vitalis</w:t>
      </w:r>
      <w:r w:rsidR="00A56984">
        <w:t>,</w:t>
      </w:r>
      <w:r w:rsidR="00160EE5">
        <w:t xml:space="preserve"> and </w:t>
      </w:r>
      <w:r w:rsidR="00A56984">
        <w:t xml:space="preserve">Dudo </w:t>
      </w:r>
      <w:r w:rsidR="00160EE5">
        <w:t>dep</w:t>
      </w:r>
      <w:r w:rsidR="00A04BA2">
        <w:t>icts</w:t>
      </w:r>
      <w:r w:rsidR="00A56984">
        <w:t xml:space="preserve"> a</w:t>
      </w:r>
      <w:r w:rsidR="00160EE5">
        <w:t xml:space="preserve"> scene of ‘</w:t>
      </w:r>
      <w:r w:rsidR="00160EE5">
        <w:t>the fierce wolf graze at the same t</w:t>
      </w:r>
      <w:r w:rsidR="00160EE5">
        <w:t>ime in the sheep's field’.</w:t>
      </w:r>
      <w:r w:rsidR="00993DAC">
        <w:rPr>
          <w:rStyle w:val="FootnoteReference"/>
        </w:rPr>
        <w:footnoteReference w:id="16"/>
      </w:r>
      <w:r w:rsidR="00D4242A">
        <w:t xml:space="preserve"> Using animalistic depictions to focus the difference between the conquerors and the conquered</w:t>
      </w:r>
      <w:r w:rsidR="00A04BA2">
        <w:t>, it beca</w:t>
      </w:r>
      <w:r w:rsidR="00D4242A">
        <w:t>me clear that, in these histories at least, the characterist</w:t>
      </w:r>
      <w:r w:rsidR="00A04BA2">
        <w:t xml:space="preserve">ics of the Normans are established </w:t>
      </w:r>
      <w:r w:rsidR="005A3BA3">
        <w:t xml:space="preserve">and ‘factualised’ </w:t>
      </w:r>
      <w:r w:rsidR="00A04BA2">
        <w:t>by the constant publication and reference to such characteristics. ‘No historian can escape the fact that once a history has been written about a people, that people becomes a historical ‘fact’, which may in turn have a great influence on political reality’.</w:t>
      </w:r>
      <w:r w:rsidR="00A04BA2">
        <w:rPr>
          <w:rStyle w:val="FootnoteReference"/>
        </w:rPr>
        <w:footnoteReference w:id="17"/>
      </w:r>
      <w:r w:rsidR="00A04BA2">
        <w:t xml:space="preserve"> The use of </w:t>
      </w:r>
      <w:r w:rsidR="00A04BA2">
        <w:rPr>
          <w:i/>
        </w:rPr>
        <w:t>Normanitas</w:t>
      </w:r>
      <w:r w:rsidR="00A04BA2">
        <w:t xml:space="preserve"> in contemporary histories not only cements the N</w:t>
      </w:r>
      <w:r w:rsidR="00E40055">
        <w:t>orman identity within literary</w:t>
      </w:r>
      <w:r w:rsidR="00A04BA2">
        <w:t xml:space="preserve"> works, but also spreads the knowledge of such an identity, and therefore </w:t>
      </w:r>
      <w:r w:rsidR="00FC0B90">
        <w:t>makes the facts put forward a reality, ev</w:t>
      </w:r>
      <w:r w:rsidR="00E40055">
        <w:t>en if this was not the case when</w:t>
      </w:r>
      <w:r w:rsidR="00FC0B90">
        <w:t xml:space="preserve"> it was first published by just one historian; a collection of biases or an agreement between historians, allow</w:t>
      </w:r>
      <w:r w:rsidR="00E40055">
        <w:t>s</w:t>
      </w:r>
      <w:r w:rsidR="00FC0B90">
        <w:t xml:space="preserve"> the Normans to be portrayed in a similar light which then presents the reader with facts which they believe are truthful, regardless of whether it was to begin with. </w:t>
      </w:r>
      <w:r w:rsidR="004229AA">
        <w:t xml:space="preserve">If running on the idea of popularity to determine what is factual and what isn’t, then it could be argued that the concept of </w:t>
      </w:r>
      <w:r w:rsidR="004229AA">
        <w:rPr>
          <w:i/>
        </w:rPr>
        <w:t>Normanitas</w:t>
      </w:r>
      <w:r w:rsidR="004229AA">
        <w:t xml:space="preserve"> is not merely a literary device in this sense; it is a factual reflection of the nature of Norman identity. </w:t>
      </w:r>
    </w:p>
    <w:p w:rsidR="006F057C" w:rsidRDefault="007527BC" w:rsidP="00497FCC">
      <w:r>
        <w:t>Referring to the occurrence and geography</w:t>
      </w:r>
      <w:r w:rsidR="003945CB">
        <w:t xml:space="preserve"> of Norman architecture </w:t>
      </w:r>
      <w:r>
        <w:t xml:space="preserve">and art </w:t>
      </w:r>
      <w:r w:rsidR="003945CB">
        <w:t>can, however, allow us as historians to determine whether certain elements</w:t>
      </w:r>
      <w:r w:rsidR="00A642AE">
        <w:t xml:space="preserve"> presented in medieval literature</w:t>
      </w:r>
      <w:r w:rsidR="003945CB">
        <w:t xml:space="preserve"> of </w:t>
      </w:r>
      <w:r w:rsidR="003945CB">
        <w:rPr>
          <w:i/>
        </w:rPr>
        <w:t>Normanitas</w:t>
      </w:r>
      <w:r w:rsidR="00617F9A">
        <w:t xml:space="preserve"> are factually accurate. For example,</w:t>
      </w:r>
      <w:r w:rsidR="00C133B9">
        <w:t xml:space="preserve"> the Normans are presented in literary works adopting</w:t>
      </w:r>
      <w:r w:rsidR="00617F9A">
        <w:t xml:space="preserve"> the Christian faith, dismissing their pagan religion and almost becoming more ‘Frank’, though I hesitate to use such a description</w:t>
      </w:r>
      <w:r w:rsidR="008F28D8">
        <w:t xml:space="preserve">. </w:t>
      </w:r>
      <w:r w:rsidR="00850939">
        <w:t xml:space="preserve">This is expressed in the </w:t>
      </w:r>
      <w:r w:rsidR="00850939">
        <w:rPr>
          <w:i/>
        </w:rPr>
        <w:t>Song of Roland</w:t>
      </w:r>
      <w:r w:rsidR="00081465">
        <w:t>:</w:t>
      </w:r>
      <w:r w:rsidR="00850939">
        <w:t xml:space="preserve"> ‘He [God] will not cease from pouring his blessings on our head’.</w:t>
      </w:r>
      <w:r w:rsidR="00081465">
        <w:t xml:space="preserve"> Depicting the Normans as acting on the hand of God and being a chosen people, is heavily presented in medieval lit</w:t>
      </w:r>
      <w:r w:rsidR="00E27393">
        <w:t xml:space="preserve">erature, and their Christian nature is strongly suggested throughout. It could be said that this bears resemblance to </w:t>
      </w:r>
      <w:r w:rsidR="0027319A">
        <w:t>reality if we take into account the Norman portrayals of their succession in conquered land, through the use of Byzantine mosaics. For example, in the depiction of Roger II of Sicily,</w:t>
      </w:r>
      <w:r w:rsidR="004603F8">
        <w:rPr>
          <w:rStyle w:val="FootnoteReference"/>
        </w:rPr>
        <w:footnoteReference w:id="18"/>
      </w:r>
      <w:r w:rsidR="0027319A">
        <w:t xml:space="preserve"> it is noticeable that the figure placing the crown on Roger’s head is not the Pope, but Christ himself. Whether this is an act of propaganda</w:t>
      </w:r>
      <w:r w:rsidR="004603F8">
        <w:t xml:space="preserve"> is unknown. If we were to take this mosaic literally, however, then it can only be assumed that the religion of the Norman people was Christianity.</w:t>
      </w:r>
      <w:r w:rsidR="00DD16AB">
        <w:t xml:space="preserve"> Amatus states that ‘whosoever shall oppose the Normans will be put to flight by them…for this land has been given to the Normans by God’.</w:t>
      </w:r>
      <w:r w:rsidR="00DD16AB">
        <w:rPr>
          <w:rStyle w:val="FootnoteReference"/>
        </w:rPr>
        <w:footnoteReference w:id="19"/>
      </w:r>
      <w:r w:rsidR="004603F8">
        <w:t xml:space="preserve"> </w:t>
      </w:r>
      <w:r w:rsidR="00393DA5">
        <w:t xml:space="preserve">However, external sources from this time period could determine otherwise. </w:t>
      </w:r>
      <w:r w:rsidR="00F545A0">
        <w:t>In a letter written by Pope Leo IX to the Emperor, the Pope describes the Normans as an alien people with ‘more than Pagan impiety’.</w:t>
      </w:r>
      <w:r w:rsidR="00F545A0">
        <w:rPr>
          <w:rStyle w:val="FootnoteReference"/>
        </w:rPr>
        <w:footnoteReference w:id="20"/>
      </w:r>
      <w:r w:rsidR="00F545A0">
        <w:t xml:space="preserve"> </w:t>
      </w:r>
    </w:p>
    <w:p w:rsidR="007F646B" w:rsidRPr="00B751C2" w:rsidRDefault="00F545A0" w:rsidP="00497FCC">
      <w:r>
        <w:t>This is an example of the difficulty which histo</w:t>
      </w:r>
      <w:r w:rsidR="009A5052">
        <w:t>rians face relying on literary</w:t>
      </w:r>
      <w:r>
        <w:t xml:space="preserve"> work alone, as the biases of each authorship will surely impact the way that they describe events or other people. This is why architecture is useful </w:t>
      </w:r>
      <w:r w:rsidR="000B26E2">
        <w:t>to the historian in this sense</w:t>
      </w:r>
      <w:r>
        <w:t xml:space="preserve">. </w:t>
      </w:r>
      <w:r w:rsidR="00712DF0">
        <w:t>The Normans are often depicted as castle builders, how</w:t>
      </w:r>
      <w:r w:rsidR="006A4C7C">
        <w:t>ever noticeably on the defensive</w:t>
      </w:r>
      <w:r w:rsidR="00712DF0">
        <w:t xml:space="preserve">, and this features in </w:t>
      </w:r>
      <w:r w:rsidR="00712DF0">
        <w:rPr>
          <w:i/>
        </w:rPr>
        <w:t>chanson de gestes,</w:t>
      </w:r>
      <w:r w:rsidR="00712DF0">
        <w:t xml:space="preserve"> as w</w:t>
      </w:r>
      <w:r w:rsidR="000B26E2">
        <w:t>ell as histories. Geoffrey of Malaterra states that: ‘since they lacked a fortress through which they could protect themselves from the inhabitants of the area, they built one’.</w:t>
      </w:r>
      <w:r w:rsidR="000B26E2">
        <w:rPr>
          <w:rStyle w:val="FootnoteReference"/>
        </w:rPr>
        <w:footnoteReference w:id="21"/>
      </w:r>
      <w:r w:rsidR="000B26E2">
        <w:t xml:space="preserve"> </w:t>
      </w:r>
      <w:r w:rsidR="00EE7FE4">
        <w:t>The physical structure of castles in Northern Europe and England</w:t>
      </w:r>
      <w:r w:rsidR="006A4C7C">
        <w:t xml:space="preserve">, is the only definitive way to establish whether the organisational and administrative </w:t>
      </w:r>
      <w:r w:rsidR="00A836C1">
        <w:t>nature of the Normans, is</w:t>
      </w:r>
      <w:r w:rsidR="006A4C7C">
        <w:t xml:space="preserve"> a factual truth. </w:t>
      </w:r>
      <w:r w:rsidR="00C76378">
        <w:t xml:space="preserve">Douglas explains the </w:t>
      </w:r>
      <w:r w:rsidR="00C76378">
        <w:lastRenderedPageBreak/>
        <w:t>tactic</w:t>
      </w:r>
      <w:r w:rsidR="009A5052">
        <w:t>s</w:t>
      </w:r>
      <w:r w:rsidR="00C76378">
        <w:t xml:space="preserve"> by which the Normans were able to conquer land with limited numbers: by erecting fortified strong points and countless “Motte and Bailey” castles throughout England between the </w:t>
      </w:r>
      <w:r w:rsidR="002106C0">
        <w:t>years</w:t>
      </w:r>
      <w:r w:rsidR="00C76378">
        <w:t xml:space="preserve"> 1067-1070.</w:t>
      </w:r>
      <w:r w:rsidR="00C76378">
        <w:rPr>
          <w:rStyle w:val="FootnoteReference"/>
        </w:rPr>
        <w:footnoteReference w:id="22"/>
      </w:r>
      <w:r w:rsidR="00C76378">
        <w:t xml:space="preserve"> Castles such as the Clifford’s Castle in York,</w:t>
      </w:r>
      <w:r w:rsidR="00C76378">
        <w:rPr>
          <w:rStyle w:val="FootnoteReference"/>
        </w:rPr>
        <w:footnoteReference w:id="23"/>
      </w:r>
      <w:r w:rsidR="00C76378">
        <w:t xml:space="preserve"> are surviving evidence that this </w:t>
      </w:r>
      <w:r w:rsidR="004434D2">
        <w:t>element of character</w:t>
      </w:r>
      <w:r w:rsidR="00C76378">
        <w:t xml:space="preserve"> is a legitimate characteristic of</w:t>
      </w:r>
      <w:r w:rsidR="0073366D">
        <w:t xml:space="preserve"> the nature of Norman identity, outside of literary works. Therefore, it can be concluded that, though some elements of </w:t>
      </w:r>
      <w:r w:rsidR="0073366D">
        <w:rPr>
          <w:i/>
        </w:rPr>
        <w:t>Normanitas</w:t>
      </w:r>
      <w:r w:rsidR="0073366D">
        <w:t xml:space="preserve"> are clearly exaggerated in literature, there are some characteristics which come from factual evidence. The portrayal of the Normans as a people that</w:t>
      </w:r>
      <w:r w:rsidR="00C7565A">
        <w:t xml:space="preserve"> settle, adapt and assimilate is</w:t>
      </w:r>
      <w:r w:rsidR="0073366D">
        <w:t xml:space="preserve"> evident in the numerous castles found throughout England,</w:t>
      </w:r>
      <w:r w:rsidR="00B751C2">
        <w:t xml:space="preserve"> Sicily and Southern Italy, and therefore proves that, if not all, some elements found in the concept of </w:t>
      </w:r>
      <w:r w:rsidR="00B751C2">
        <w:rPr>
          <w:i/>
        </w:rPr>
        <w:t>Normanitas</w:t>
      </w:r>
      <w:r w:rsidR="00B751C2">
        <w:t xml:space="preserve"> are not jus</w:t>
      </w:r>
      <w:r w:rsidR="00EC61EC">
        <w:t>t literary devices, but are real depictions, such as the ‘Norman encastellation’ of conquered territories.</w:t>
      </w:r>
      <w:r w:rsidR="00EC61EC">
        <w:rPr>
          <w:rStyle w:val="FootnoteReference"/>
        </w:rPr>
        <w:footnoteReference w:id="24"/>
      </w:r>
      <w:r w:rsidR="00B751C2">
        <w:t xml:space="preserve"> </w:t>
      </w:r>
    </w:p>
    <w:p w:rsidR="00DD16AB" w:rsidRPr="00525AF9" w:rsidRDefault="00AB1352" w:rsidP="00497FCC">
      <w:r>
        <w:t>The realistic depiction of an identity is difficult to determine when the only historical material available to analyse is that of literary works, which contain a var</w:t>
      </w:r>
      <w:r w:rsidR="00732FEE">
        <w:t xml:space="preserve">iety of biases opposing </w:t>
      </w:r>
      <w:r>
        <w:t>one another depending on the authorship of the literature.</w:t>
      </w:r>
      <w:r>
        <w:rPr>
          <w:rStyle w:val="FootnoteReference"/>
        </w:rPr>
        <w:footnoteReference w:id="25"/>
      </w:r>
      <w:r w:rsidR="00E77D4E">
        <w:t xml:space="preserve"> </w:t>
      </w:r>
      <w:r w:rsidR="002A584B">
        <w:t xml:space="preserve">The variety in authorship and the nature of the literary work itself, varies the purpose and use of the concept of </w:t>
      </w:r>
      <w:r w:rsidR="002A584B">
        <w:rPr>
          <w:i/>
        </w:rPr>
        <w:t>Normanitas</w:t>
      </w:r>
      <w:r w:rsidR="002A584B">
        <w:t xml:space="preserve"> as a literary devi</w:t>
      </w:r>
      <w:r w:rsidR="009A07D7">
        <w:t>ce. Although it is evident that</w:t>
      </w:r>
      <w:r w:rsidR="002A584B">
        <w:t xml:space="preserve"> </w:t>
      </w:r>
      <w:r w:rsidR="009A07D7">
        <w:rPr>
          <w:i/>
        </w:rPr>
        <w:t xml:space="preserve">Normanitas </w:t>
      </w:r>
      <w:r w:rsidR="009A07D7">
        <w:t xml:space="preserve">is very much exaggerated for the display of </w:t>
      </w:r>
      <w:r w:rsidR="00B51FD9">
        <w:t>performing</w:t>
      </w:r>
      <w:r w:rsidR="009A07D7">
        <w:t xml:space="preserve"> arts such as the </w:t>
      </w:r>
      <w:r w:rsidR="009A07D7">
        <w:rPr>
          <w:i/>
        </w:rPr>
        <w:t>chanson de geste</w:t>
      </w:r>
      <w:r w:rsidR="009A07D7">
        <w:t xml:space="preserve">, and so acts purely as a literary device in its function, it cannot be denied that the identity of a person </w:t>
      </w:r>
      <w:r w:rsidR="003852D1">
        <w:t xml:space="preserve">or group </w:t>
      </w:r>
      <w:r w:rsidR="009A07D7">
        <w:t>is subjective</w:t>
      </w:r>
      <w:r w:rsidR="00525AF9">
        <w:t xml:space="preserve">. In my opinion, the concept of </w:t>
      </w:r>
      <w:r w:rsidR="00525AF9">
        <w:rPr>
          <w:i/>
        </w:rPr>
        <w:t xml:space="preserve">Normanitas </w:t>
      </w:r>
      <w:r w:rsidR="00525AF9">
        <w:t xml:space="preserve">bears some resemblance to reality, if not to those who perceive and interacted with the Normans, then at least to how the Normans identified and saw themselves. </w:t>
      </w:r>
    </w:p>
    <w:p w:rsidR="00DD16AB" w:rsidRDefault="00DD16AB" w:rsidP="00497FCC">
      <w:pPr>
        <w:rPr>
          <w:highlight w:val="yellow"/>
        </w:rPr>
      </w:pPr>
    </w:p>
    <w:p w:rsidR="00DD16AB" w:rsidRDefault="00DD16AB" w:rsidP="00497FCC">
      <w:pPr>
        <w:rPr>
          <w:highlight w:val="yellow"/>
        </w:rPr>
      </w:pPr>
    </w:p>
    <w:p w:rsidR="00DD16AB" w:rsidRDefault="00DD16AB" w:rsidP="00497FCC">
      <w:pPr>
        <w:rPr>
          <w:highlight w:val="yellow"/>
        </w:rPr>
      </w:pPr>
    </w:p>
    <w:p w:rsidR="00497FCC" w:rsidRDefault="00497FCC" w:rsidP="00497FCC"/>
    <w:p w:rsidR="0024700B" w:rsidRDefault="0024700B" w:rsidP="00456FCA"/>
    <w:p w:rsidR="0024700B" w:rsidRDefault="0024700B" w:rsidP="00456FCA"/>
    <w:p w:rsidR="0024700B" w:rsidRDefault="0024700B" w:rsidP="00456FCA"/>
    <w:p w:rsidR="0024700B" w:rsidRDefault="0024700B" w:rsidP="00456FCA"/>
    <w:p w:rsidR="0024700B" w:rsidRDefault="0024700B" w:rsidP="00456FCA"/>
    <w:p w:rsidR="0024700B" w:rsidRDefault="0024700B" w:rsidP="00456FCA"/>
    <w:p w:rsidR="0024700B" w:rsidRDefault="0024700B" w:rsidP="00456FCA"/>
    <w:p w:rsidR="0024700B" w:rsidRDefault="0024700B" w:rsidP="00456FCA"/>
    <w:p w:rsidR="00AF6C53" w:rsidRDefault="00AF6C53" w:rsidP="00AF6C53"/>
    <w:p w:rsidR="00917BA9" w:rsidRDefault="00917BA9" w:rsidP="00AF6C53">
      <w:bookmarkStart w:id="0" w:name="_GoBack"/>
      <w:bookmarkEnd w:id="0"/>
    </w:p>
    <w:p w:rsidR="004D60AB" w:rsidRDefault="004D60AB" w:rsidP="00AF6C53">
      <w:pPr>
        <w:jc w:val="center"/>
      </w:pPr>
      <w:r>
        <w:lastRenderedPageBreak/>
        <w:t>BIBLIOGRAPHY</w:t>
      </w:r>
    </w:p>
    <w:p w:rsidR="004E6727" w:rsidRPr="00AF6C53" w:rsidRDefault="004D60AB" w:rsidP="004D60AB">
      <w:pPr>
        <w:rPr>
          <w:u w:val="single"/>
        </w:rPr>
      </w:pPr>
      <w:r w:rsidRPr="00AF6C53">
        <w:rPr>
          <w:u w:val="single"/>
        </w:rPr>
        <w:t>PRIMARY MATERIAL SOURCES:</w:t>
      </w:r>
    </w:p>
    <w:p w:rsidR="004E6727" w:rsidRPr="00AF6C53" w:rsidRDefault="004E6727" w:rsidP="004E6727">
      <w:r w:rsidRPr="00AF6C53">
        <w:t xml:space="preserve">Amatus, </w:t>
      </w:r>
      <w:r w:rsidRPr="00AF6C53">
        <w:rPr>
          <w:i/>
        </w:rPr>
        <w:t>The Vision of Archbishop of Salerno</w:t>
      </w:r>
      <w:r w:rsidRPr="00AF6C53">
        <w:t xml:space="preserve">, provided in module reader. </w:t>
      </w:r>
    </w:p>
    <w:p w:rsidR="00960972" w:rsidRPr="00AF6C53" w:rsidRDefault="00960972" w:rsidP="004D60AB">
      <w:r w:rsidRPr="00AF6C53">
        <w:t xml:space="preserve">Anna Comena, </w:t>
      </w:r>
      <w:r w:rsidRPr="00AF6C53">
        <w:rPr>
          <w:i/>
        </w:rPr>
        <w:t>The Alexiad</w:t>
      </w:r>
      <w:r w:rsidRPr="00AF6C53">
        <w:t>,</w:t>
      </w:r>
      <w:r w:rsidR="009D24FE" w:rsidRPr="00AF6C53">
        <w:t xml:space="preserve"> Fordham University, Available at https://sourcebooks.fordham.edu/source/comnena-cde.asp#alex1011, Accessed on [16/11/2018].</w:t>
      </w:r>
    </w:p>
    <w:p w:rsidR="004E6727" w:rsidRPr="00AF6C53" w:rsidRDefault="004E6727" w:rsidP="004D60AB">
      <w:r w:rsidRPr="00AF6C53">
        <w:t xml:space="preserve">Dudo of St. Quentin, </w:t>
      </w:r>
      <w:r w:rsidRPr="00AF6C53">
        <w:rPr>
          <w:i/>
        </w:rPr>
        <w:t>History of the Norman Dukes</w:t>
      </w:r>
      <w:r w:rsidRPr="00AF6C53">
        <w:t>, provided in module reader.</w:t>
      </w:r>
    </w:p>
    <w:p w:rsidR="004E6727" w:rsidRPr="00AF6C53" w:rsidRDefault="004E6727" w:rsidP="004E6727">
      <w:r w:rsidRPr="00AF6C53">
        <w:t xml:space="preserve">Geoffrey of Malaterra, </w:t>
      </w:r>
      <w:r w:rsidRPr="00AF6C53">
        <w:rPr>
          <w:i/>
        </w:rPr>
        <w:t>The Deeds of Count Roger of Calabria and Robert Guiscard</w:t>
      </w:r>
      <w:r w:rsidRPr="00AF6C53">
        <w:t>, provided in module reader.</w:t>
      </w:r>
    </w:p>
    <w:p w:rsidR="001E12DE" w:rsidRPr="00AF6C53" w:rsidRDefault="001E12DE" w:rsidP="004E6727">
      <w:r w:rsidRPr="00AF6C53">
        <w:rPr>
          <w:i/>
        </w:rPr>
        <w:t>Mosaic of Roger II Sicily,</w:t>
      </w:r>
      <w:r w:rsidRPr="00AF6C53">
        <w:t xml:space="preserve"> provided in module reader</w:t>
      </w:r>
    </w:p>
    <w:p w:rsidR="004E6727" w:rsidRPr="00AF6C53" w:rsidRDefault="004E6727" w:rsidP="004E6727">
      <w:r w:rsidRPr="00AF6C53">
        <w:t xml:space="preserve">Pope Leo IX, </w:t>
      </w:r>
      <w:r w:rsidRPr="00AF6C53">
        <w:rPr>
          <w:i/>
        </w:rPr>
        <w:t>Letter to the Emperor</w:t>
      </w:r>
      <w:r w:rsidRPr="00AF6C53">
        <w:t xml:space="preserve">, provided in module reader. </w:t>
      </w:r>
    </w:p>
    <w:p w:rsidR="004E6727" w:rsidRPr="00AF6C53" w:rsidRDefault="004E6727" w:rsidP="004E6727">
      <w:r w:rsidRPr="00AF6C53">
        <w:rPr>
          <w:i/>
        </w:rPr>
        <w:t>The Song of Roland</w:t>
      </w:r>
      <w:r w:rsidRPr="00AF6C53">
        <w:t>, trans. Jessie Crosland (Cambridge: York University Press, 1999), available at http://www.yorku.ca/inpar/roland_crosland.pdf.</w:t>
      </w:r>
    </w:p>
    <w:p w:rsidR="004E6727" w:rsidRPr="00AF6C53" w:rsidRDefault="004E6727" w:rsidP="004D60AB">
      <w:r w:rsidRPr="00AF6C53">
        <w:t xml:space="preserve">William of Apulia, </w:t>
      </w:r>
      <w:r w:rsidRPr="00AF6C53">
        <w:rPr>
          <w:i/>
        </w:rPr>
        <w:t>Geste Roberti Wiscardi</w:t>
      </w:r>
      <w:r w:rsidRPr="00AF6C53">
        <w:t xml:space="preserve">, provided in module reader. </w:t>
      </w:r>
    </w:p>
    <w:p w:rsidR="004E6727" w:rsidRPr="00AF6C53" w:rsidRDefault="004E6727" w:rsidP="004D60AB">
      <w:r w:rsidRPr="00AF6C53">
        <w:t xml:space="preserve">William of Jumieges, </w:t>
      </w:r>
      <w:r w:rsidRPr="00AF6C53">
        <w:rPr>
          <w:i/>
        </w:rPr>
        <w:t>The Deeds of the Dukes of Normandy</w:t>
      </w:r>
      <w:r w:rsidRPr="00AF6C53">
        <w:t>, provided in module reader.</w:t>
      </w:r>
    </w:p>
    <w:p w:rsidR="00AF6C53" w:rsidRPr="00AF6C53" w:rsidRDefault="00AF6C53" w:rsidP="004D60AB"/>
    <w:p w:rsidR="004D60AB" w:rsidRPr="00AF6C53" w:rsidRDefault="004D60AB" w:rsidP="004D60AB">
      <w:pPr>
        <w:rPr>
          <w:u w:val="single"/>
        </w:rPr>
      </w:pPr>
      <w:r w:rsidRPr="00AF6C53">
        <w:rPr>
          <w:u w:val="single"/>
        </w:rPr>
        <w:t>SECONDARY MATERIAL SOURCES:</w:t>
      </w:r>
    </w:p>
    <w:p w:rsidR="00240D0E" w:rsidRPr="00AF6C53" w:rsidRDefault="00240D0E" w:rsidP="001E12DE">
      <w:r w:rsidRPr="00AF6C53">
        <w:t xml:space="preserve">Davis, </w:t>
      </w:r>
      <w:r w:rsidRPr="00AF6C53">
        <w:t>R.</w:t>
      </w:r>
      <w:r w:rsidRPr="00AF6C53">
        <w:t xml:space="preserve">, </w:t>
      </w:r>
      <w:r w:rsidRPr="00AF6C53">
        <w:t>H.</w:t>
      </w:r>
      <w:r w:rsidRPr="00AF6C53">
        <w:t xml:space="preserve">, </w:t>
      </w:r>
      <w:r w:rsidRPr="00AF6C53">
        <w:t>C</w:t>
      </w:r>
      <w:r w:rsidRPr="00AF6C53">
        <w:t>.,</w:t>
      </w:r>
      <w:r w:rsidRPr="00AF6C53">
        <w:t xml:space="preserve"> </w:t>
      </w:r>
      <w:proofErr w:type="gramStart"/>
      <w:r w:rsidRPr="00AF6C53">
        <w:rPr>
          <w:i/>
        </w:rPr>
        <w:t>The</w:t>
      </w:r>
      <w:proofErr w:type="gramEnd"/>
      <w:r w:rsidRPr="00AF6C53">
        <w:rPr>
          <w:i/>
        </w:rPr>
        <w:t xml:space="preserve"> Normans and their Myth</w:t>
      </w:r>
      <w:r w:rsidRPr="00AF6C53">
        <w:t xml:space="preserve"> (London: 1976). </w:t>
      </w:r>
    </w:p>
    <w:p w:rsidR="00240D0E" w:rsidRPr="00AF6C53" w:rsidRDefault="00240D0E" w:rsidP="00240D0E">
      <w:r w:rsidRPr="00AF6C53">
        <w:t xml:space="preserve">Douglas, </w:t>
      </w:r>
      <w:r w:rsidRPr="00AF6C53">
        <w:t>David</w:t>
      </w:r>
      <w:r w:rsidRPr="00AF6C53">
        <w:t>,</w:t>
      </w:r>
      <w:r w:rsidRPr="00AF6C53">
        <w:t xml:space="preserve"> C</w:t>
      </w:r>
      <w:r w:rsidRPr="00AF6C53">
        <w:t>.,</w:t>
      </w:r>
      <w:r w:rsidRPr="00AF6C53">
        <w:rPr>
          <w:i/>
        </w:rPr>
        <w:t xml:space="preserve"> </w:t>
      </w:r>
      <w:proofErr w:type="gramStart"/>
      <w:r w:rsidRPr="00AF6C53">
        <w:rPr>
          <w:i/>
        </w:rPr>
        <w:t>The</w:t>
      </w:r>
      <w:proofErr w:type="gramEnd"/>
      <w:r w:rsidRPr="00AF6C53">
        <w:rPr>
          <w:i/>
        </w:rPr>
        <w:t xml:space="preserve"> Norman Achievement 1050-1100</w:t>
      </w:r>
      <w:r w:rsidRPr="00AF6C53">
        <w:t xml:space="preserve"> (Eyre &amp; Spottiswoode, 1969). </w:t>
      </w:r>
    </w:p>
    <w:p w:rsidR="00240D0E" w:rsidRPr="00AF6C53" w:rsidRDefault="00240D0E" w:rsidP="00240D0E">
      <w:r w:rsidRPr="00AF6C53">
        <w:t xml:space="preserve">English Heritage, Clifford’s Tower: York, English Heritage, Available at https://www.english-heritage.org.uk/visit/places/cliffords-tower-york/, Accessed on [16/11/2018]. </w:t>
      </w:r>
    </w:p>
    <w:p w:rsidR="00240D0E" w:rsidRPr="00AF6C53" w:rsidRDefault="00240D0E" w:rsidP="00681EA2">
      <w:r w:rsidRPr="00AF6C53">
        <w:t xml:space="preserve">Kane, N., </w:t>
      </w:r>
      <w:proofErr w:type="gramStart"/>
      <w:r w:rsidRPr="00AF6C53">
        <w:rPr>
          <w:i/>
        </w:rPr>
        <w:t>The</w:t>
      </w:r>
      <w:proofErr w:type="gramEnd"/>
      <w:r w:rsidRPr="00AF6C53">
        <w:rPr>
          <w:i/>
        </w:rPr>
        <w:t xml:space="preserve"> Vikings: The Story of a People</w:t>
      </w:r>
      <w:r w:rsidRPr="00AF6C53">
        <w:t xml:space="preserve"> (Spangenhelm Publishing, 2015).</w:t>
      </w:r>
    </w:p>
    <w:p w:rsidR="00240D0E" w:rsidRPr="00AF6C53" w:rsidRDefault="00240D0E" w:rsidP="001E12DE">
      <w:r w:rsidRPr="00AF6C53">
        <w:t>Medieval Skills, La Chanson de Geste, The University of Sheffield, available at https://www.sheffield.ac.uk/medievalskills/resources/authors/chansongeste, accessed on [07/11/2018].</w:t>
      </w:r>
    </w:p>
    <w:p w:rsidR="00240D0E" w:rsidRPr="00AF6C53" w:rsidRDefault="00240D0E" w:rsidP="001E12DE">
      <w:r w:rsidRPr="00AF6C53">
        <w:t xml:space="preserve">Merriam-Webster, Intertextuality, Merriam-Webster.com, Available at https://www.merriam-webster.com/dictionary/intertextuality, Accessed on [16/11/2018]. </w:t>
      </w:r>
    </w:p>
    <w:p w:rsidR="00240D0E" w:rsidRPr="00AF6C53" w:rsidRDefault="00240D0E" w:rsidP="00681EA2">
      <w:r w:rsidRPr="00AF6C53">
        <w:t xml:space="preserve">Michael Angold, ‘Knowledge of Byzantine History in the West: the Norman Historians (Eleventh and Twelfth Centuries)’, </w:t>
      </w:r>
      <w:r w:rsidRPr="00AF6C53">
        <w:rPr>
          <w:i/>
        </w:rPr>
        <w:t>Anglo-Norman Studies: Proceedings of the Battle Conference</w:t>
      </w:r>
      <w:r w:rsidRPr="00AF6C53">
        <w:t>, ed. J. Gillingham (Woodbridge: Boydell Press, 2003).</w:t>
      </w:r>
    </w:p>
    <w:p w:rsidR="00240D0E" w:rsidRPr="00AF6C53" w:rsidRDefault="00240D0E" w:rsidP="004D60AB">
      <w:r w:rsidRPr="00AF6C53">
        <w:t xml:space="preserve">Ross, </w:t>
      </w:r>
      <w:r w:rsidRPr="00AF6C53">
        <w:t>D.</w:t>
      </w:r>
      <w:r w:rsidRPr="00AF6C53">
        <w:t xml:space="preserve">, </w:t>
      </w:r>
      <w:r w:rsidRPr="00AF6C53">
        <w:t>J.</w:t>
      </w:r>
      <w:r w:rsidRPr="00AF6C53">
        <w:t xml:space="preserve">, </w:t>
      </w:r>
      <w:r w:rsidRPr="00AF6C53">
        <w:t>A.</w:t>
      </w:r>
      <w:r w:rsidRPr="00AF6C53">
        <w:t>,</w:t>
      </w:r>
      <w:r w:rsidRPr="00AF6C53">
        <w:t xml:space="preserve"> </w:t>
      </w:r>
      <w:r w:rsidRPr="00AF6C53">
        <w:t xml:space="preserve">‘Old French’, </w:t>
      </w:r>
      <w:r w:rsidRPr="00AF6C53">
        <w:rPr>
          <w:i/>
        </w:rPr>
        <w:t>Traditions of Heroic and Epic Poetry: The traditions</w:t>
      </w:r>
      <w:r w:rsidRPr="00AF6C53">
        <w:t xml:space="preserve">, ed. R. </w:t>
      </w:r>
      <w:proofErr w:type="spellStart"/>
      <w:r w:rsidRPr="00AF6C53">
        <w:t>Auty</w:t>
      </w:r>
      <w:proofErr w:type="spellEnd"/>
      <w:r w:rsidRPr="00AF6C53">
        <w:t xml:space="preserve"> (London: The Modern Humanities Research Association, 1980).</w:t>
      </w:r>
    </w:p>
    <w:p w:rsidR="00091405" w:rsidRPr="00AF6C53" w:rsidRDefault="00240D0E" w:rsidP="004D60AB">
      <w:r w:rsidRPr="00AF6C53">
        <w:t xml:space="preserve">Shopkow, L., </w:t>
      </w:r>
      <w:r w:rsidRPr="00AF6C53">
        <w:rPr>
          <w:i/>
        </w:rPr>
        <w:t>History and Community: Norman Historical Writing in Twelfth-century England</w:t>
      </w:r>
      <w:r w:rsidRPr="00AF6C53">
        <w:t xml:space="preserve"> (Chicago, 1977). </w:t>
      </w:r>
    </w:p>
    <w:p w:rsidR="00240D0E" w:rsidRPr="00AF6C53" w:rsidRDefault="00240D0E" w:rsidP="004D60AB">
      <w:r w:rsidRPr="00AF6C53">
        <w:t xml:space="preserve">Thomas, H., M., </w:t>
      </w:r>
      <w:r w:rsidRPr="00AF6C53">
        <w:rPr>
          <w:i/>
        </w:rPr>
        <w:t>The English and the Normans: Ethnic Hostility, Assimilation, and Identity 1066-c.1220</w:t>
      </w:r>
      <w:r w:rsidRPr="00AF6C53">
        <w:t xml:space="preserve"> (Oxford: Oxford University Press, 2003).</w:t>
      </w:r>
    </w:p>
    <w:p w:rsidR="00240D0E" w:rsidRPr="00AF6C53" w:rsidRDefault="00240D0E" w:rsidP="004D60AB">
      <w:r w:rsidRPr="00AF6C53">
        <w:lastRenderedPageBreak/>
        <w:t xml:space="preserve">Webber, N., </w:t>
      </w:r>
      <w:proofErr w:type="gramStart"/>
      <w:r w:rsidRPr="00AF6C53">
        <w:rPr>
          <w:i/>
        </w:rPr>
        <w:t>The</w:t>
      </w:r>
      <w:proofErr w:type="gramEnd"/>
      <w:r w:rsidRPr="00AF6C53">
        <w:rPr>
          <w:i/>
        </w:rPr>
        <w:t xml:space="preserve"> Evolution of Norman Identity: 911-1154 </w:t>
      </w:r>
      <w:r w:rsidRPr="00AF6C53">
        <w:t>(Woodbridge: Boydell Press, 2005).</w:t>
      </w:r>
    </w:p>
    <w:p w:rsidR="00240D0E" w:rsidRDefault="00240D0E" w:rsidP="004D60AB"/>
    <w:p w:rsidR="00240D0E" w:rsidRPr="00240D0E" w:rsidRDefault="00240D0E" w:rsidP="00240D0E">
      <w:pPr>
        <w:jc w:val="center"/>
        <w:rPr>
          <w:u w:val="single"/>
        </w:rPr>
      </w:pPr>
      <w:r>
        <w:rPr>
          <w:noProof/>
          <w:lang w:eastAsia="en-GB"/>
        </w:rPr>
        <w:drawing>
          <wp:anchor distT="0" distB="0" distL="114300" distR="114300" simplePos="0" relativeHeight="251658240" behindDoc="0" locked="0" layoutInCell="1" allowOverlap="1">
            <wp:simplePos x="0" y="0"/>
            <wp:positionH relativeFrom="margin">
              <wp:posOffset>1119505</wp:posOffset>
            </wp:positionH>
            <wp:positionV relativeFrom="margin">
              <wp:posOffset>850900</wp:posOffset>
            </wp:positionV>
            <wp:extent cx="3493135" cy="47675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3135" cy="4767580"/>
                    </a:xfrm>
                    <a:prstGeom prst="rect">
                      <a:avLst/>
                    </a:prstGeom>
                    <a:noFill/>
                  </pic:spPr>
                </pic:pic>
              </a:graphicData>
            </a:graphic>
          </wp:anchor>
        </w:drawing>
      </w:r>
      <w:r w:rsidRPr="00240D0E">
        <w:rPr>
          <w:u w:val="single"/>
        </w:rPr>
        <w:t>Figure One</w:t>
      </w:r>
    </w:p>
    <w:p w:rsidR="001E12DE" w:rsidRPr="00815803" w:rsidRDefault="001E12DE" w:rsidP="004D60AB"/>
    <w:p w:rsidR="00240D0E" w:rsidRPr="00815803" w:rsidRDefault="00240D0E"/>
    <w:sectPr w:rsidR="00240D0E" w:rsidRPr="0081580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6A0D" w:rsidRDefault="00626A0D" w:rsidP="008F4C88">
      <w:pPr>
        <w:spacing w:after="0" w:line="240" w:lineRule="auto"/>
      </w:pPr>
      <w:r>
        <w:separator/>
      </w:r>
    </w:p>
  </w:endnote>
  <w:endnote w:type="continuationSeparator" w:id="0">
    <w:p w:rsidR="00626A0D" w:rsidRDefault="00626A0D" w:rsidP="008F4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5BCA" w:rsidRDefault="00255BCA">
    <w:pPr>
      <w:pStyle w:val="Footer"/>
    </w:pPr>
  </w:p>
  <w:p w:rsidR="00091405" w:rsidRDefault="00091405">
    <w:pPr>
      <w:pStyle w:val="Footer"/>
    </w:pPr>
  </w:p>
  <w:p w:rsidR="00255BCA" w:rsidRDefault="00255B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6A0D" w:rsidRDefault="00626A0D" w:rsidP="008F4C88">
      <w:pPr>
        <w:spacing w:after="0" w:line="240" w:lineRule="auto"/>
      </w:pPr>
      <w:r>
        <w:separator/>
      </w:r>
    </w:p>
  </w:footnote>
  <w:footnote w:type="continuationSeparator" w:id="0">
    <w:p w:rsidR="00626A0D" w:rsidRDefault="00626A0D" w:rsidP="008F4C88">
      <w:pPr>
        <w:spacing w:after="0" w:line="240" w:lineRule="auto"/>
      </w:pPr>
      <w:r>
        <w:continuationSeparator/>
      </w:r>
    </w:p>
  </w:footnote>
  <w:footnote w:id="1">
    <w:p w:rsidR="008F4C88" w:rsidRDefault="008F4C88">
      <w:pPr>
        <w:pStyle w:val="FootnoteText"/>
      </w:pPr>
      <w:r w:rsidRPr="008F4C88">
        <w:rPr>
          <w:rStyle w:val="FootnoteReference"/>
          <w:sz w:val="18"/>
        </w:rPr>
        <w:footnoteRef/>
      </w:r>
      <w:r w:rsidRPr="008F4C88">
        <w:rPr>
          <w:sz w:val="18"/>
        </w:rPr>
        <w:t xml:space="preserve"> </w:t>
      </w:r>
      <w:r w:rsidR="00C35FE8" w:rsidRPr="008F4C88">
        <w:rPr>
          <w:sz w:val="18"/>
        </w:rPr>
        <w:t xml:space="preserve">H.M. Thomas, </w:t>
      </w:r>
      <w:r w:rsidR="00C35FE8" w:rsidRPr="008F4C88">
        <w:rPr>
          <w:i/>
          <w:sz w:val="18"/>
        </w:rPr>
        <w:t>The English and the Normans: Ethnic Hostility, Assimilation, and Identity 1066-c.1220</w:t>
      </w:r>
      <w:r w:rsidR="004D60AB">
        <w:rPr>
          <w:sz w:val="18"/>
        </w:rPr>
        <w:t xml:space="preserve"> </w:t>
      </w:r>
      <w:r w:rsidR="00C35FE8" w:rsidRPr="008F4C88">
        <w:rPr>
          <w:sz w:val="18"/>
        </w:rPr>
        <w:t>(Oxford: Oxford University Press, 2003</w:t>
      </w:r>
      <w:r>
        <w:rPr>
          <w:sz w:val="18"/>
        </w:rPr>
        <w:t xml:space="preserve">), p.32. </w:t>
      </w:r>
    </w:p>
  </w:footnote>
  <w:footnote w:id="2">
    <w:p w:rsidR="00B00DF7" w:rsidRPr="00B00DF7" w:rsidRDefault="00B00DF7">
      <w:pPr>
        <w:pStyle w:val="FootnoteText"/>
      </w:pPr>
      <w:r w:rsidRPr="00B00DF7">
        <w:rPr>
          <w:rStyle w:val="FootnoteReference"/>
          <w:sz w:val="18"/>
        </w:rPr>
        <w:footnoteRef/>
      </w:r>
      <w:r w:rsidRPr="00B00DF7">
        <w:rPr>
          <w:sz w:val="18"/>
        </w:rPr>
        <w:t xml:space="preserve"> </w:t>
      </w:r>
      <w:r>
        <w:rPr>
          <w:sz w:val="18"/>
        </w:rPr>
        <w:t xml:space="preserve">N. Webber, </w:t>
      </w:r>
      <w:proofErr w:type="gramStart"/>
      <w:r>
        <w:rPr>
          <w:i/>
          <w:sz w:val="18"/>
        </w:rPr>
        <w:t>The</w:t>
      </w:r>
      <w:proofErr w:type="gramEnd"/>
      <w:r>
        <w:rPr>
          <w:i/>
          <w:sz w:val="18"/>
        </w:rPr>
        <w:t xml:space="preserve"> Evolution of Norman Identity: 911-1154 </w:t>
      </w:r>
      <w:r w:rsidR="005511C9">
        <w:rPr>
          <w:sz w:val="18"/>
        </w:rPr>
        <w:t>(Woodbridge: Boydell Press,</w:t>
      </w:r>
      <w:r>
        <w:rPr>
          <w:sz w:val="18"/>
        </w:rPr>
        <w:t xml:space="preserve"> 2005) p.4.</w:t>
      </w:r>
    </w:p>
  </w:footnote>
  <w:footnote w:id="3">
    <w:p w:rsidR="008F3C30" w:rsidRPr="008F3C30" w:rsidRDefault="008F3C30">
      <w:pPr>
        <w:pStyle w:val="FootnoteText"/>
      </w:pPr>
      <w:r w:rsidRPr="008F3C30">
        <w:rPr>
          <w:rStyle w:val="FootnoteReference"/>
          <w:sz w:val="18"/>
        </w:rPr>
        <w:footnoteRef/>
      </w:r>
      <w:r w:rsidRPr="008F3C30">
        <w:rPr>
          <w:sz w:val="18"/>
        </w:rPr>
        <w:t xml:space="preserve"> </w:t>
      </w:r>
      <w:r>
        <w:rPr>
          <w:sz w:val="18"/>
        </w:rPr>
        <w:t xml:space="preserve">Thomas, </w:t>
      </w:r>
      <w:r>
        <w:rPr>
          <w:i/>
          <w:sz w:val="18"/>
        </w:rPr>
        <w:t>The English and the Normans</w:t>
      </w:r>
      <w:r>
        <w:rPr>
          <w:sz w:val="18"/>
        </w:rPr>
        <w:t xml:space="preserve">, p.33. </w:t>
      </w:r>
    </w:p>
  </w:footnote>
  <w:footnote w:id="4">
    <w:p w:rsidR="00FD1A38" w:rsidRDefault="00FD1A38">
      <w:pPr>
        <w:pStyle w:val="FootnoteText"/>
      </w:pPr>
      <w:r w:rsidRPr="00FD1A38">
        <w:rPr>
          <w:rStyle w:val="FootnoteReference"/>
          <w:sz w:val="18"/>
        </w:rPr>
        <w:footnoteRef/>
      </w:r>
      <w:r w:rsidRPr="00FD1A38">
        <w:rPr>
          <w:sz w:val="18"/>
        </w:rPr>
        <w:t xml:space="preserve"> </w:t>
      </w:r>
      <w:r w:rsidR="001E57AB" w:rsidRPr="001E57AB">
        <w:rPr>
          <w:sz w:val="18"/>
        </w:rPr>
        <w:t xml:space="preserve">Thomas, </w:t>
      </w:r>
      <w:r w:rsidR="001E57AB" w:rsidRPr="001E57AB">
        <w:rPr>
          <w:i/>
          <w:sz w:val="18"/>
        </w:rPr>
        <w:t>The English and the Normans</w:t>
      </w:r>
      <w:r w:rsidR="001E57AB">
        <w:rPr>
          <w:i/>
          <w:sz w:val="18"/>
        </w:rPr>
        <w:t>,</w:t>
      </w:r>
      <w:r w:rsidR="001E57AB">
        <w:rPr>
          <w:sz w:val="18"/>
        </w:rPr>
        <w:t xml:space="preserve"> p.35.</w:t>
      </w:r>
    </w:p>
  </w:footnote>
  <w:footnote w:id="5">
    <w:p w:rsidR="000A0518" w:rsidRPr="00015A92" w:rsidRDefault="000A0518">
      <w:pPr>
        <w:pStyle w:val="FootnoteText"/>
        <w:rPr>
          <w:sz w:val="18"/>
          <w:szCs w:val="18"/>
        </w:rPr>
      </w:pPr>
      <w:r w:rsidRPr="000A0518">
        <w:rPr>
          <w:rStyle w:val="FootnoteReference"/>
          <w:sz w:val="18"/>
        </w:rPr>
        <w:footnoteRef/>
      </w:r>
      <w:r w:rsidRPr="000A0518">
        <w:rPr>
          <w:sz w:val="18"/>
        </w:rPr>
        <w:t xml:space="preserve"> Michael Angold, ‘Knowledge of Byzantine History in the West: the Norman Historians (Eleventh and Twelfth Centuries)’, </w:t>
      </w:r>
      <w:r w:rsidRPr="00015A92">
        <w:rPr>
          <w:i/>
          <w:sz w:val="18"/>
          <w:szCs w:val="18"/>
        </w:rPr>
        <w:t>Anglo-Norman Studies: Proceedings of the Battle Conference</w:t>
      </w:r>
      <w:r w:rsidRPr="00015A92">
        <w:rPr>
          <w:sz w:val="18"/>
          <w:szCs w:val="18"/>
        </w:rPr>
        <w:t>, ed. J. Gillingham (Woodbridge: Boydell Press, 2003) p.24.</w:t>
      </w:r>
    </w:p>
  </w:footnote>
  <w:footnote w:id="6">
    <w:p w:rsidR="00015A92" w:rsidRPr="00B616B2" w:rsidRDefault="00015A92">
      <w:pPr>
        <w:pStyle w:val="FootnoteText"/>
        <w:rPr>
          <w:sz w:val="18"/>
          <w:szCs w:val="18"/>
        </w:rPr>
      </w:pPr>
      <w:r w:rsidRPr="00B66DC0">
        <w:rPr>
          <w:rStyle w:val="FootnoteReference"/>
          <w:sz w:val="18"/>
          <w:szCs w:val="18"/>
        </w:rPr>
        <w:footnoteRef/>
      </w:r>
      <w:r w:rsidRPr="00B66DC0">
        <w:rPr>
          <w:sz w:val="18"/>
          <w:szCs w:val="18"/>
        </w:rPr>
        <w:t xml:space="preserve"> </w:t>
      </w:r>
      <w:r w:rsidR="00524BC4">
        <w:rPr>
          <w:sz w:val="18"/>
          <w:szCs w:val="18"/>
        </w:rPr>
        <w:t>Geoffrey of Malaterra</w:t>
      </w:r>
      <w:r w:rsidR="00B616B2">
        <w:rPr>
          <w:sz w:val="18"/>
          <w:szCs w:val="18"/>
        </w:rPr>
        <w:t xml:space="preserve">, </w:t>
      </w:r>
      <w:r w:rsidR="00B616B2">
        <w:rPr>
          <w:i/>
          <w:sz w:val="18"/>
          <w:szCs w:val="18"/>
        </w:rPr>
        <w:t>The Deeds of Count Roger of Calabria and Robert Guiscard</w:t>
      </w:r>
      <w:r w:rsidR="00B616B2">
        <w:rPr>
          <w:sz w:val="18"/>
          <w:szCs w:val="18"/>
        </w:rPr>
        <w:t>, provided in module reader.</w:t>
      </w:r>
    </w:p>
  </w:footnote>
  <w:footnote w:id="7">
    <w:p w:rsidR="000D0602" w:rsidRPr="0013798F" w:rsidRDefault="000D0602">
      <w:pPr>
        <w:pStyle w:val="FootnoteText"/>
        <w:rPr>
          <w:sz w:val="18"/>
          <w:szCs w:val="18"/>
        </w:rPr>
      </w:pPr>
      <w:r w:rsidRPr="00B66DC0">
        <w:rPr>
          <w:rStyle w:val="FootnoteReference"/>
          <w:sz w:val="18"/>
          <w:szCs w:val="18"/>
        </w:rPr>
        <w:footnoteRef/>
      </w:r>
      <w:r w:rsidRPr="00B66DC0">
        <w:rPr>
          <w:sz w:val="18"/>
          <w:szCs w:val="18"/>
        </w:rPr>
        <w:t xml:space="preserve"> </w:t>
      </w:r>
      <w:r w:rsidR="00524BC4">
        <w:rPr>
          <w:sz w:val="18"/>
          <w:szCs w:val="18"/>
        </w:rPr>
        <w:t>William of Apulia</w:t>
      </w:r>
      <w:r w:rsidR="0013798F">
        <w:rPr>
          <w:sz w:val="18"/>
          <w:szCs w:val="18"/>
        </w:rPr>
        <w:t xml:space="preserve">, </w:t>
      </w:r>
      <w:r w:rsidR="0013798F">
        <w:rPr>
          <w:i/>
          <w:sz w:val="18"/>
          <w:szCs w:val="18"/>
        </w:rPr>
        <w:t>Geste Roberti Wiscardi</w:t>
      </w:r>
      <w:r w:rsidR="0013798F">
        <w:rPr>
          <w:sz w:val="18"/>
          <w:szCs w:val="18"/>
        </w:rPr>
        <w:t xml:space="preserve">, provided in module reader. </w:t>
      </w:r>
    </w:p>
  </w:footnote>
  <w:footnote w:id="8">
    <w:p w:rsidR="00B66DC0" w:rsidRDefault="00B66DC0">
      <w:pPr>
        <w:pStyle w:val="FootnoteText"/>
      </w:pPr>
      <w:r w:rsidRPr="00B66DC0">
        <w:rPr>
          <w:rStyle w:val="FootnoteReference"/>
          <w:sz w:val="18"/>
          <w:szCs w:val="18"/>
        </w:rPr>
        <w:footnoteRef/>
      </w:r>
      <w:r>
        <w:t xml:space="preserve"> </w:t>
      </w:r>
      <w:r w:rsidRPr="00B66DC0">
        <w:rPr>
          <w:sz w:val="18"/>
          <w:szCs w:val="18"/>
        </w:rPr>
        <w:t xml:space="preserve">N. Kane, </w:t>
      </w:r>
      <w:proofErr w:type="gramStart"/>
      <w:r w:rsidRPr="00B66DC0">
        <w:rPr>
          <w:sz w:val="18"/>
          <w:szCs w:val="18"/>
        </w:rPr>
        <w:t>The</w:t>
      </w:r>
      <w:proofErr w:type="gramEnd"/>
      <w:r w:rsidRPr="00B66DC0">
        <w:rPr>
          <w:sz w:val="18"/>
          <w:szCs w:val="18"/>
        </w:rPr>
        <w:t xml:space="preserve"> Vikings: The Story of a People (Spangenhelm Publishing, 2015).</w:t>
      </w:r>
    </w:p>
  </w:footnote>
  <w:footnote w:id="9">
    <w:p w:rsidR="00D96D0B" w:rsidRDefault="00D96D0B">
      <w:pPr>
        <w:pStyle w:val="FootnoteText"/>
      </w:pPr>
      <w:r>
        <w:rPr>
          <w:rStyle w:val="FootnoteReference"/>
        </w:rPr>
        <w:footnoteRef/>
      </w:r>
      <w:r>
        <w:t xml:space="preserve"> </w:t>
      </w:r>
      <w:r w:rsidR="00626A0D" w:rsidRPr="00D96D0B">
        <w:rPr>
          <w:sz w:val="18"/>
        </w:rPr>
        <w:t>Medieval Skills, La Chanson de Geste, The University of Sheffield, available at https://www.sheffield.ac.uk/medievalskills/resources/authors/chansongeste, accessed on [07/11/2018].</w:t>
      </w:r>
    </w:p>
  </w:footnote>
  <w:footnote w:id="10">
    <w:p w:rsidR="00A46EF9" w:rsidRPr="00A46EF9" w:rsidRDefault="00A46EF9">
      <w:pPr>
        <w:pStyle w:val="FootnoteText"/>
      </w:pPr>
      <w:r w:rsidRPr="00A46EF9">
        <w:rPr>
          <w:rStyle w:val="FootnoteReference"/>
          <w:sz w:val="18"/>
        </w:rPr>
        <w:footnoteRef/>
      </w:r>
      <w:r w:rsidRPr="00A46EF9">
        <w:rPr>
          <w:sz w:val="18"/>
        </w:rPr>
        <w:t xml:space="preserve"> </w:t>
      </w:r>
      <w:r>
        <w:rPr>
          <w:sz w:val="18"/>
        </w:rPr>
        <w:t xml:space="preserve">D.J.A. Ross, ‘Old French’, </w:t>
      </w:r>
      <w:r w:rsidRPr="00A46EF9">
        <w:rPr>
          <w:i/>
          <w:sz w:val="18"/>
        </w:rPr>
        <w:t>Traditions of Heroic and Epic Poetry: The traditions</w:t>
      </w:r>
      <w:r>
        <w:rPr>
          <w:sz w:val="18"/>
        </w:rPr>
        <w:t xml:space="preserve">, ed. R. </w:t>
      </w:r>
      <w:proofErr w:type="spellStart"/>
      <w:r>
        <w:rPr>
          <w:sz w:val="18"/>
        </w:rPr>
        <w:t>Auty</w:t>
      </w:r>
      <w:proofErr w:type="spellEnd"/>
      <w:r>
        <w:rPr>
          <w:sz w:val="18"/>
        </w:rPr>
        <w:t xml:space="preserve"> (London: The Modern Humanities Research Association, 1980) p.82. </w:t>
      </w:r>
    </w:p>
  </w:footnote>
  <w:footnote w:id="11">
    <w:p w:rsidR="004E7DFB" w:rsidRPr="005D2ED5" w:rsidRDefault="004E7DFB">
      <w:pPr>
        <w:pStyle w:val="FootnoteText"/>
        <w:rPr>
          <w:i/>
        </w:rPr>
      </w:pPr>
      <w:r w:rsidRPr="004E7DFB">
        <w:rPr>
          <w:rStyle w:val="FootnoteReference"/>
          <w:sz w:val="18"/>
        </w:rPr>
        <w:footnoteRef/>
      </w:r>
      <w:r w:rsidRPr="004E7DFB">
        <w:rPr>
          <w:sz w:val="18"/>
        </w:rPr>
        <w:t xml:space="preserve"> Dudo</w:t>
      </w:r>
      <w:r w:rsidR="005D2ED5">
        <w:rPr>
          <w:sz w:val="18"/>
        </w:rPr>
        <w:t xml:space="preserve"> of </w:t>
      </w:r>
      <w:r w:rsidR="00F23765">
        <w:rPr>
          <w:sz w:val="18"/>
        </w:rPr>
        <w:t>St. Quentin</w:t>
      </w:r>
      <w:r w:rsidR="005D2ED5">
        <w:rPr>
          <w:sz w:val="18"/>
        </w:rPr>
        <w:t xml:space="preserve">, </w:t>
      </w:r>
      <w:r w:rsidR="00F23765" w:rsidRPr="00E67ADC">
        <w:rPr>
          <w:i/>
          <w:sz w:val="18"/>
        </w:rPr>
        <w:t>History of the Norman Dukes</w:t>
      </w:r>
      <w:r w:rsidR="00F23765" w:rsidRPr="00F23765">
        <w:rPr>
          <w:sz w:val="18"/>
        </w:rPr>
        <w:t>, provided in module reader.</w:t>
      </w:r>
    </w:p>
  </w:footnote>
  <w:footnote w:id="12">
    <w:p w:rsidR="0074048F" w:rsidRPr="00752B4F" w:rsidRDefault="0074048F" w:rsidP="0074048F">
      <w:pPr>
        <w:pStyle w:val="FootnoteText"/>
        <w:rPr>
          <w:sz w:val="18"/>
          <w:szCs w:val="18"/>
        </w:rPr>
      </w:pPr>
      <w:r w:rsidRPr="0074048F">
        <w:rPr>
          <w:rStyle w:val="FootnoteReference"/>
          <w:sz w:val="18"/>
          <w:szCs w:val="18"/>
        </w:rPr>
        <w:footnoteRef/>
      </w:r>
      <w:r w:rsidRPr="0074048F">
        <w:rPr>
          <w:sz w:val="18"/>
          <w:szCs w:val="18"/>
        </w:rPr>
        <w:t xml:space="preserve"> </w:t>
      </w:r>
      <w:r w:rsidR="00752B4F">
        <w:rPr>
          <w:sz w:val="18"/>
          <w:szCs w:val="18"/>
        </w:rPr>
        <w:t xml:space="preserve">L. Shopkow, </w:t>
      </w:r>
      <w:r w:rsidR="00752B4F">
        <w:rPr>
          <w:i/>
          <w:sz w:val="18"/>
          <w:szCs w:val="18"/>
        </w:rPr>
        <w:t>History and Community: Norman Historical Writing in Twelfth-century England</w:t>
      </w:r>
      <w:r w:rsidR="00752B4F">
        <w:rPr>
          <w:sz w:val="18"/>
          <w:szCs w:val="18"/>
        </w:rPr>
        <w:t xml:space="preserve"> (Chicago, 1977). </w:t>
      </w:r>
    </w:p>
  </w:footnote>
  <w:footnote w:id="13">
    <w:p w:rsidR="0074048F" w:rsidRPr="003F3362" w:rsidRDefault="0074048F">
      <w:pPr>
        <w:pStyle w:val="FootnoteText"/>
        <w:rPr>
          <w:sz w:val="18"/>
          <w:szCs w:val="18"/>
        </w:rPr>
      </w:pPr>
      <w:r w:rsidRPr="00533019">
        <w:rPr>
          <w:rStyle w:val="FootnoteReference"/>
          <w:sz w:val="18"/>
          <w:szCs w:val="18"/>
        </w:rPr>
        <w:footnoteRef/>
      </w:r>
      <w:r w:rsidRPr="00533019">
        <w:rPr>
          <w:sz w:val="18"/>
          <w:szCs w:val="18"/>
        </w:rPr>
        <w:t xml:space="preserve"> </w:t>
      </w:r>
      <w:r w:rsidR="003F3362">
        <w:rPr>
          <w:i/>
          <w:sz w:val="18"/>
          <w:szCs w:val="18"/>
        </w:rPr>
        <w:t>The Song of Roland</w:t>
      </w:r>
      <w:r w:rsidR="003F3362">
        <w:rPr>
          <w:sz w:val="18"/>
          <w:szCs w:val="18"/>
        </w:rPr>
        <w:t xml:space="preserve">, trans. Jessie Crosland (Cambridge: York University Press, 1999), available at </w:t>
      </w:r>
      <w:r w:rsidR="003F3362" w:rsidRPr="003F3362">
        <w:rPr>
          <w:sz w:val="18"/>
          <w:szCs w:val="18"/>
        </w:rPr>
        <w:t>http://www.yorku.ca/inpar/roland_crosland.pdf</w:t>
      </w:r>
      <w:r w:rsidR="003F3362">
        <w:rPr>
          <w:sz w:val="18"/>
          <w:szCs w:val="18"/>
        </w:rPr>
        <w:t>.</w:t>
      </w:r>
    </w:p>
  </w:footnote>
  <w:footnote w:id="14">
    <w:p w:rsidR="00533019" w:rsidRPr="00533019" w:rsidRDefault="00533019">
      <w:pPr>
        <w:pStyle w:val="FootnoteText"/>
        <w:rPr>
          <w:sz w:val="18"/>
          <w:szCs w:val="18"/>
        </w:rPr>
      </w:pPr>
      <w:r w:rsidRPr="00533019">
        <w:rPr>
          <w:rStyle w:val="FootnoteReference"/>
          <w:sz w:val="18"/>
          <w:szCs w:val="18"/>
        </w:rPr>
        <w:footnoteRef/>
      </w:r>
      <w:r>
        <w:t xml:space="preserve"> </w:t>
      </w:r>
      <w:r>
        <w:rPr>
          <w:sz w:val="18"/>
          <w:szCs w:val="18"/>
        </w:rPr>
        <w:t xml:space="preserve">Merriam-Webster, Intertextuality, Merriam-Webster.com, Available at </w:t>
      </w:r>
      <w:r w:rsidRPr="00533019">
        <w:rPr>
          <w:sz w:val="18"/>
          <w:szCs w:val="18"/>
        </w:rPr>
        <w:t>https://www.merriam-webster.com/dictionary/intertextuality</w:t>
      </w:r>
      <w:r>
        <w:rPr>
          <w:sz w:val="18"/>
          <w:szCs w:val="18"/>
        </w:rPr>
        <w:t xml:space="preserve">, Accessed on [16/11/2018]. </w:t>
      </w:r>
    </w:p>
  </w:footnote>
  <w:footnote w:id="15">
    <w:p w:rsidR="000346CB" w:rsidRPr="00F015E2" w:rsidRDefault="000346CB">
      <w:pPr>
        <w:pStyle w:val="FootnoteText"/>
        <w:rPr>
          <w:sz w:val="18"/>
          <w:szCs w:val="18"/>
        </w:rPr>
      </w:pPr>
      <w:r w:rsidRPr="00BD4BD2">
        <w:rPr>
          <w:rStyle w:val="FootnoteReference"/>
          <w:sz w:val="18"/>
          <w:szCs w:val="18"/>
        </w:rPr>
        <w:footnoteRef/>
      </w:r>
      <w:r w:rsidRPr="00BD4BD2">
        <w:rPr>
          <w:sz w:val="18"/>
          <w:szCs w:val="18"/>
        </w:rPr>
        <w:t xml:space="preserve"> </w:t>
      </w:r>
      <w:r w:rsidR="00993DAC" w:rsidRPr="00BD4BD2">
        <w:rPr>
          <w:sz w:val="18"/>
          <w:szCs w:val="18"/>
        </w:rPr>
        <w:t>William of Jumieges</w:t>
      </w:r>
      <w:r w:rsidR="00F015E2">
        <w:rPr>
          <w:sz w:val="18"/>
          <w:szCs w:val="18"/>
        </w:rPr>
        <w:t xml:space="preserve">, </w:t>
      </w:r>
      <w:r w:rsidR="00F015E2">
        <w:rPr>
          <w:i/>
          <w:sz w:val="18"/>
          <w:szCs w:val="18"/>
        </w:rPr>
        <w:t>The Deeds of the Dukes of Normandy</w:t>
      </w:r>
      <w:r w:rsidR="00F015E2">
        <w:rPr>
          <w:sz w:val="18"/>
          <w:szCs w:val="18"/>
        </w:rPr>
        <w:t xml:space="preserve">, provided in module reader. </w:t>
      </w:r>
    </w:p>
  </w:footnote>
  <w:footnote w:id="16">
    <w:p w:rsidR="00993DAC" w:rsidRPr="00BD4BD2" w:rsidRDefault="00993DAC">
      <w:pPr>
        <w:pStyle w:val="FootnoteText"/>
        <w:rPr>
          <w:sz w:val="18"/>
          <w:szCs w:val="18"/>
        </w:rPr>
      </w:pPr>
      <w:r w:rsidRPr="00BD4BD2">
        <w:rPr>
          <w:rStyle w:val="FootnoteReference"/>
          <w:sz w:val="18"/>
          <w:szCs w:val="18"/>
        </w:rPr>
        <w:footnoteRef/>
      </w:r>
      <w:r w:rsidR="00BD4BD2">
        <w:rPr>
          <w:sz w:val="18"/>
          <w:szCs w:val="18"/>
        </w:rPr>
        <w:t xml:space="preserve"> Dudo of St. Quentin,</w:t>
      </w:r>
      <w:r w:rsidR="00BD4BD2">
        <w:rPr>
          <w:i/>
          <w:sz w:val="18"/>
          <w:szCs w:val="18"/>
        </w:rPr>
        <w:t xml:space="preserve"> History of the Norman Dukes</w:t>
      </w:r>
      <w:r w:rsidR="00BD4BD2">
        <w:rPr>
          <w:sz w:val="18"/>
          <w:szCs w:val="18"/>
        </w:rPr>
        <w:t xml:space="preserve">, provided in module reader. </w:t>
      </w:r>
    </w:p>
  </w:footnote>
  <w:footnote w:id="17">
    <w:p w:rsidR="006129C1" w:rsidRPr="009E6FE1" w:rsidRDefault="00A04BA2">
      <w:pPr>
        <w:pStyle w:val="FootnoteText"/>
        <w:rPr>
          <w:sz w:val="18"/>
          <w:szCs w:val="18"/>
        </w:rPr>
      </w:pPr>
      <w:r w:rsidRPr="00BD4BD2">
        <w:rPr>
          <w:rStyle w:val="FootnoteReference"/>
          <w:sz w:val="18"/>
          <w:szCs w:val="18"/>
        </w:rPr>
        <w:footnoteRef/>
      </w:r>
      <w:r w:rsidRPr="00BD4BD2">
        <w:rPr>
          <w:sz w:val="18"/>
          <w:szCs w:val="18"/>
        </w:rPr>
        <w:t xml:space="preserve"> </w:t>
      </w:r>
      <w:r w:rsidR="009E6FE1">
        <w:rPr>
          <w:sz w:val="18"/>
          <w:szCs w:val="18"/>
        </w:rPr>
        <w:t xml:space="preserve">R.H.C Davis, </w:t>
      </w:r>
      <w:proofErr w:type="gramStart"/>
      <w:r w:rsidR="009E6FE1">
        <w:rPr>
          <w:i/>
          <w:sz w:val="18"/>
          <w:szCs w:val="18"/>
        </w:rPr>
        <w:t>The</w:t>
      </w:r>
      <w:proofErr w:type="gramEnd"/>
      <w:r w:rsidR="009E6FE1">
        <w:rPr>
          <w:i/>
          <w:sz w:val="18"/>
          <w:szCs w:val="18"/>
        </w:rPr>
        <w:t xml:space="preserve"> Normans and their Myth</w:t>
      </w:r>
      <w:r w:rsidR="009E6FE1">
        <w:rPr>
          <w:sz w:val="18"/>
          <w:szCs w:val="18"/>
        </w:rPr>
        <w:t xml:space="preserve"> (London: 1976). </w:t>
      </w:r>
    </w:p>
  </w:footnote>
  <w:footnote w:id="18">
    <w:p w:rsidR="004603F8" w:rsidRPr="00BD4BD2" w:rsidRDefault="004603F8">
      <w:pPr>
        <w:pStyle w:val="FootnoteText"/>
        <w:rPr>
          <w:sz w:val="18"/>
          <w:szCs w:val="18"/>
        </w:rPr>
      </w:pPr>
      <w:r w:rsidRPr="00BD4BD2">
        <w:rPr>
          <w:rStyle w:val="FootnoteReference"/>
          <w:sz w:val="18"/>
          <w:szCs w:val="18"/>
        </w:rPr>
        <w:footnoteRef/>
      </w:r>
      <w:r w:rsidRPr="00BD4BD2">
        <w:rPr>
          <w:sz w:val="18"/>
          <w:szCs w:val="18"/>
        </w:rPr>
        <w:t xml:space="preserve"> </w:t>
      </w:r>
      <w:r w:rsidR="00027CE9">
        <w:rPr>
          <w:sz w:val="18"/>
          <w:szCs w:val="18"/>
        </w:rPr>
        <w:t xml:space="preserve">See Figure One, </w:t>
      </w:r>
      <w:r w:rsidR="004E6727">
        <w:rPr>
          <w:i/>
          <w:sz w:val="18"/>
          <w:szCs w:val="18"/>
        </w:rPr>
        <w:t>Mosaic of Roger II Sicily,</w:t>
      </w:r>
      <w:r w:rsidR="004E6727">
        <w:rPr>
          <w:sz w:val="18"/>
          <w:szCs w:val="18"/>
        </w:rPr>
        <w:t xml:space="preserve"> </w:t>
      </w:r>
      <w:r w:rsidR="00027CE9">
        <w:rPr>
          <w:sz w:val="18"/>
          <w:szCs w:val="18"/>
        </w:rPr>
        <w:t>provided in module reader.</w:t>
      </w:r>
    </w:p>
  </w:footnote>
  <w:footnote w:id="19">
    <w:p w:rsidR="00DD16AB" w:rsidRPr="00E60CE0" w:rsidRDefault="00DD16AB">
      <w:pPr>
        <w:pStyle w:val="FootnoteText"/>
        <w:rPr>
          <w:sz w:val="18"/>
          <w:szCs w:val="18"/>
        </w:rPr>
      </w:pPr>
      <w:r w:rsidRPr="00BD4BD2">
        <w:rPr>
          <w:rStyle w:val="FootnoteReference"/>
          <w:sz w:val="18"/>
          <w:szCs w:val="18"/>
        </w:rPr>
        <w:footnoteRef/>
      </w:r>
      <w:r w:rsidRPr="00BD4BD2">
        <w:rPr>
          <w:sz w:val="18"/>
          <w:szCs w:val="18"/>
        </w:rPr>
        <w:t xml:space="preserve"> </w:t>
      </w:r>
      <w:r w:rsidR="00E60CE0">
        <w:rPr>
          <w:sz w:val="18"/>
          <w:szCs w:val="18"/>
        </w:rPr>
        <w:t xml:space="preserve">Amatus, </w:t>
      </w:r>
      <w:r w:rsidR="003A0E67">
        <w:rPr>
          <w:i/>
          <w:sz w:val="18"/>
          <w:szCs w:val="18"/>
        </w:rPr>
        <w:t>The</w:t>
      </w:r>
      <w:r w:rsidR="00E60CE0">
        <w:rPr>
          <w:i/>
          <w:sz w:val="18"/>
          <w:szCs w:val="18"/>
        </w:rPr>
        <w:t xml:space="preserve"> Vision of Archbishop of Salerno</w:t>
      </w:r>
      <w:r w:rsidR="00B616B2">
        <w:rPr>
          <w:sz w:val="18"/>
          <w:szCs w:val="18"/>
        </w:rPr>
        <w:t>, provided in module reader.</w:t>
      </w:r>
      <w:r w:rsidR="00E60CE0">
        <w:rPr>
          <w:sz w:val="18"/>
          <w:szCs w:val="18"/>
        </w:rPr>
        <w:t xml:space="preserve"> </w:t>
      </w:r>
    </w:p>
  </w:footnote>
  <w:footnote w:id="20">
    <w:p w:rsidR="00F545A0" w:rsidRPr="00744080" w:rsidRDefault="00F545A0">
      <w:pPr>
        <w:pStyle w:val="FootnoteText"/>
        <w:rPr>
          <w:sz w:val="18"/>
          <w:szCs w:val="18"/>
        </w:rPr>
      </w:pPr>
      <w:r w:rsidRPr="00BD4BD2">
        <w:rPr>
          <w:rStyle w:val="FootnoteReference"/>
          <w:sz w:val="18"/>
          <w:szCs w:val="18"/>
        </w:rPr>
        <w:footnoteRef/>
      </w:r>
      <w:r w:rsidRPr="00BD4BD2">
        <w:rPr>
          <w:sz w:val="18"/>
          <w:szCs w:val="18"/>
        </w:rPr>
        <w:t xml:space="preserve"> </w:t>
      </w:r>
      <w:r w:rsidR="00744080">
        <w:rPr>
          <w:sz w:val="18"/>
          <w:szCs w:val="18"/>
        </w:rPr>
        <w:t xml:space="preserve">Pope Leo IX, </w:t>
      </w:r>
      <w:r w:rsidR="00744080">
        <w:rPr>
          <w:i/>
          <w:sz w:val="18"/>
          <w:szCs w:val="18"/>
        </w:rPr>
        <w:t>Letter to the Emperor</w:t>
      </w:r>
      <w:r w:rsidR="00744080">
        <w:rPr>
          <w:sz w:val="18"/>
          <w:szCs w:val="18"/>
        </w:rPr>
        <w:t xml:space="preserve">, provided in module reader. </w:t>
      </w:r>
    </w:p>
  </w:footnote>
  <w:footnote w:id="21">
    <w:p w:rsidR="000B26E2" w:rsidRPr="002F40A4" w:rsidRDefault="000B26E2">
      <w:pPr>
        <w:pStyle w:val="FootnoteText"/>
        <w:rPr>
          <w:sz w:val="18"/>
        </w:rPr>
      </w:pPr>
      <w:r w:rsidRPr="00BD4BD2">
        <w:rPr>
          <w:rStyle w:val="FootnoteReference"/>
          <w:sz w:val="18"/>
          <w:szCs w:val="18"/>
        </w:rPr>
        <w:footnoteRef/>
      </w:r>
      <w:r>
        <w:t xml:space="preserve"> </w:t>
      </w:r>
      <w:r w:rsidR="002F40A4">
        <w:rPr>
          <w:sz w:val="18"/>
        </w:rPr>
        <w:t>Geoffrey of Malaterra</w:t>
      </w:r>
      <w:r w:rsidR="002F40A4">
        <w:rPr>
          <w:i/>
          <w:sz w:val="18"/>
        </w:rPr>
        <w:t>, The Deeds of Co</w:t>
      </w:r>
      <w:r w:rsidR="00B616B2">
        <w:rPr>
          <w:i/>
          <w:sz w:val="18"/>
        </w:rPr>
        <w:t>unt Roger</w:t>
      </w:r>
      <w:r w:rsidR="002F40A4">
        <w:rPr>
          <w:sz w:val="18"/>
        </w:rPr>
        <w:t xml:space="preserve">, provided in module reader. </w:t>
      </w:r>
    </w:p>
  </w:footnote>
  <w:footnote w:id="22">
    <w:p w:rsidR="00C76378" w:rsidRPr="00F75EE7" w:rsidRDefault="00C76378">
      <w:pPr>
        <w:pStyle w:val="FootnoteText"/>
        <w:rPr>
          <w:sz w:val="18"/>
          <w:szCs w:val="18"/>
        </w:rPr>
      </w:pPr>
      <w:r w:rsidRPr="00EC61EC">
        <w:rPr>
          <w:rStyle w:val="FootnoteReference"/>
          <w:sz w:val="18"/>
          <w:szCs w:val="18"/>
        </w:rPr>
        <w:footnoteRef/>
      </w:r>
      <w:r w:rsidRPr="00EC61EC">
        <w:rPr>
          <w:sz w:val="18"/>
          <w:szCs w:val="18"/>
        </w:rPr>
        <w:t xml:space="preserve"> </w:t>
      </w:r>
      <w:r w:rsidR="00F75EE7">
        <w:rPr>
          <w:sz w:val="18"/>
          <w:szCs w:val="18"/>
        </w:rPr>
        <w:t xml:space="preserve">David C. Douglas, </w:t>
      </w:r>
      <w:proofErr w:type="gramStart"/>
      <w:r w:rsidR="00F75EE7">
        <w:rPr>
          <w:i/>
          <w:sz w:val="18"/>
          <w:szCs w:val="18"/>
        </w:rPr>
        <w:t>The</w:t>
      </w:r>
      <w:proofErr w:type="gramEnd"/>
      <w:r w:rsidR="00F75EE7">
        <w:rPr>
          <w:i/>
          <w:sz w:val="18"/>
          <w:szCs w:val="18"/>
        </w:rPr>
        <w:t xml:space="preserve"> Norman Achievement 1050-1100</w:t>
      </w:r>
      <w:r w:rsidR="00F75EE7">
        <w:rPr>
          <w:sz w:val="18"/>
          <w:szCs w:val="18"/>
        </w:rPr>
        <w:t xml:space="preserve"> (</w:t>
      </w:r>
      <w:r w:rsidR="00F75EE7" w:rsidRPr="00F75EE7">
        <w:rPr>
          <w:sz w:val="18"/>
          <w:szCs w:val="18"/>
        </w:rPr>
        <w:t>Eyre &amp; Spottiswoode</w:t>
      </w:r>
      <w:r w:rsidR="00F75EE7">
        <w:rPr>
          <w:sz w:val="18"/>
          <w:szCs w:val="18"/>
        </w:rPr>
        <w:t xml:space="preserve">, 1969). </w:t>
      </w:r>
    </w:p>
  </w:footnote>
  <w:footnote w:id="23">
    <w:p w:rsidR="00C76378" w:rsidRPr="00EC61EC" w:rsidRDefault="00C76378">
      <w:pPr>
        <w:pStyle w:val="FootnoteText"/>
        <w:rPr>
          <w:sz w:val="18"/>
          <w:szCs w:val="18"/>
        </w:rPr>
      </w:pPr>
      <w:r w:rsidRPr="00EC61EC">
        <w:rPr>
          <w:rStyle w:val="FootnoteReference"/>
          <w:sz w:val="18"/>
          <w:szCs w:val="18"/>
        </w:rPr>
        <w:footnoteRef/>
      </w:r>
      <w:r w:rsidRPr="00EC61EC">
        <w:rPr>
          <w:sz w:val="18"/>
          <w:szCs w:val="18"/>
        </w:rPr>
        <w:t xml:space="preserve"> </w:t>
      </w:r>
      <w:r w:rsidR="00F75EE7">
        <w:rPr>
          <w:sz w:val="18"/>
          <w:szCs w:val="18"/>
        </w:rPr>
        <w:t xml:space="preserve">English Heritage, Clifford’s Tower: York, English Heritage, Available at </w:t>
      </w:r>
      <w:r w:rsidR="00F75EE7" w:rsidRPr="00F75EE7">
        <w:rPr>
          <w:sz w:val="18"/>
          <w:szCs w:val="18"/>
        </w:rPr>
        <w:t>https://www.english-heritage.org.uk/visit/places/cliffords-tower-york/</w:t>
      </w:r>
      <w:r w:rsidR="00F75EE7">
        <w:rPr>
          <w:sz w:val="18"/>
          <w:szCs w:val="18"/>
        </w:rPr>
        <w:t xml:space="preserve">, Accessed on [16/11/2018]. </w:t>
      </w:r>
    </w:p>
  </w:footnote>
  <w:footnote w:id="24">
    <w:p w:rsidR="00EC61EC" w:rsidRPr="00C7727C" w:rsidRDefault="00EC61EC">
      <w:pPr>
        <w:pStyle w:val="FootnoteText"/>
        <w:rPr>
          <w:sz w:val="18"/>
          <w:szCs w:val="18"/>
        </w:rPr>
      </w:pPr>
      <w:r w:rsidRPr="00EC61EC">
        <w:rPr>
          <w:rStyle w:val="FootnoteReference"/>
          <w:sz w:val="18"/>
          <w:szCs w:val="18"/>
        </w:rPr>
        <w:footnoteRef/>
      </w:r>
      <w:r w:rsidR="00F75EE7">
        <w:rPr>
          <w:sz w:val="18"/>
          <w:szCs w:val="18"/>
        </w:rPr>
        <w:t xml:space="preserve"> </w:t>
      </w:r>
      <w:r>
        <w:rPr>
          <w:sz w:val="18"/>
          <w:szCs w:val="18"/>
        </w:rPr>
        <w:t xml:space="preserve">Douglas, </w:t>
      </w:r>
      <w:r w:rsidR="00C7727C">
        <w:rPr>
          <w:i/>
          <w:sz w:val="18"/>
          <w:szCs w:val="18"/>
        </w:rPr>
        <w:t>Norman Achievement</w:t>
      </w:r>
      <w:r w:rsidR="00C7727C">
        <w:rPr>
          <w:sz w:val="18"/>
          <w:szCs w:val="18"/>
        </w:rPr>
        <w:t>.</w:t>
      </w:r>
    </w:p>
  </w:footnote>
  <w:footnote w:id="25">
    <w:p w:rsidR="00AB1352" w:rsidRDefault="00AB1352">
      <w:pPr>
        <w:pStyle w:val="FootnoteText"/>
      </w:pPr>
      <w:r w:rsidRPr="00AB1352">
        <w:rPr>
          <w:rStyle w:val="FootnoteReference"/>
          <w:sz w:val="18"/>
        </w:rPr>
        <w:footnoteRef/>
      </w:r>
      <w:r w:rsidRPr="00AB1352">
        <w:rPr>
          <w:sz w:val="18"/>
        </w:rPr>
        <w:t xml:space="preserve"> </w:t>
      </w:r>
      <w:r>
        <w:rPr>
          <w:sz w:val="18"/>
        </w:rPr>
        <w:t xml:space="preserve">For an example of negative perspectives towards the Normans from an external source, refer to the </w:t>
      </w:r>
      <w:proofErr w:type="spellStart"/>
      <w:r w:rsidR="00844EBB" w:rsidRPr="00F8271E">
        <w:rPr>
          <w:i/>
          <w:sz w:val="18"/>
        </w:rPr>
        <w:t>The</w:t>
      </w:r>
      <w:proofErr w:type="spellEnd"/>
      <w:r w:rsidR="00844EBB" w:rsidRPr="00F8271E">
        <w:rPr>
          <w:i/>
          <w:sz w:val="18"/>
        </w:rPr>
        <w:t xml:space="preserve"> Alexiad</w:t>
      </w:r>
      <w:r w:rsidR="00844EBB">
        <w:rPr>
          <w:sz w:val="18"/>
        </w:rPr>
        <w:t xml:space="preserve"> by Anna Comena</w:t>
      </w:r>
      <w:r w:rsidR="00960972">
        <w:rPr>
          <w:sz w:val="18"/>
        </w:rPr>
        <w:t xml:space="preserve"> (Byzantine chronicler)</w:t>
      </w:r>
      <w:r w:rsidR="00844EBB">
        <w:rPr>
          <w:sz w:val="18"/>
        </w:rPr>
        <w:t>. ‘In everything, in [Bohemond’s] words as well as his deeds, he never chose the right path’.</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7A20E2"/>
    <w:multiLevelType w:val="hybridMultilevel"/>
    <w:tmpl w:val="865E53F6"/>
    <w:lvl w:ilvl="0" w:tplc="5804EB86">
      <w:start w:val="1"/>
      <w:numFmt w:val="bullet"/>
      <w:lvlText w:val=""/>
      <w:lvlJc w:val="left"/>
      <w:pPr>
        <w:tabs>
          <w:tab w:val="num" w:pos="720"/>
        </w:tabs>
        <w:ind w:left="720" w:hanging="360"/>
      </w:pPr>
      <w:rPr>
        <w:rFonts w:ascii="Wingdings" w:hAnsi="Wingdings" w:hint="default"/>
      </w:rPr>
    </w:lvl>
    <w:lvl w:ilvl="1" w:tplc="10889CBE" w:tentative="1">
      <w:start w:val="1"/>
      <w:numFmt w:val="bullet"/>
      <w:lvlText w:val=""/>
      <w:lvlJc w:val="left"/>
      <w:pPr>
        <w:tabs>
          <w:tab w:val="num" w:pos="1440"/>
        </w:tabs>
        <w:ind w:left="1440" w:hanging="360"/>
      </w:pPr>
      <w:rPr>
        <w:rFonts w:ascii="Wingdings" w:hAnsi="Wingdings" w:hint="default"/>
      </w:rPr>
    </w:lvl>
    <w:lvl w:ilvl="2" w:tplc="B170AAD8" w:tentative="1">
      <w:start w:val="1"/>
      <w:numFmt w:val="bullet"/>
      <w:lvlText w:val=""/>
      <w:lvlJc w:val="left"/>
      <w:pPr>
        <w:tabs>
          <w:tab w:val="num" w:pos="2160"/>
        </w:tabs>
        <w:ind w:left="2160" w:hanging="360"/>
      </w:pPr>
      <w:rPr>
        <w:rFonts w:ascii="Wingdings" w:hAnsi="Wingdings" w:hint="default"/>
      </w:rPr>
    </w:lvl>
    <w:lvl w:ilvl="3" w:tplc="94308EA0" w:tentative="1">
      <w:start w:val="1"/>
      <w:numFmt w:val="bullet"/>
      <w:lvlText w:val=""/>
      <w:lvlJc w:val="left"/>
      <w:pPr>
        <w:tabs>
          <w:tab w:val="num" w:pos="2880"/>
        </w:tabs>
        <w:ind w:left="2880" w:hanging="360"/>
      </w:pPr>
      <w:rPr>
        <w:rFonts w:ascii="Wingdings" w:hAnsi="Wingdings" w:hint="default"/>
      </w:rPr>
    </w:lvl>
    <w:lvl w:ilvl="4" w:tplc="2C8C5446" w:tentative="1">
      <w:start w:val="1"/>
      <w:numFmt w:val="bullet"/>
      <w:lvlText w:val=""/>
      <w:lvlJc w:val="left"/>
      <w:pPr>
        <w:tabs>
          <w:tab w:val="num" w:pos="3600"/>
        </w:tabs>
        <w:ind w:left="3600" w:hanging="360"/>
      </w:pPr>
      <w:rPr>
        <w:rFonts w:ascii="Wingdings" w:hAnsi="Wingdings" w:hint="default"/>
      </w:rPr>
    </w:lvl>
    <w:lvl w:ilvl="5" w:tplc="83B09B98" w:tentative="1">
      <w:start w:val="1"/>
      <w:numFmt w:val="bullet"/>
      <w:lvlText w:val=""/>
      <w:lvlJc w:val="left"/>
      <w:pPr>
        <w:tabs>
          <w:tab w:val="num" w:pos="4320"/>
        </w:tabs>
        <w:ind w:left="4320" w:hanging="360"/>
      </w:pPr>
      <w:rPr>
        <w:rFonts w:ascii="Wingdings" w:hAnsi="Wingdings" w:hint="default"/>
      </w:rPr>
    </w:lvl>
    <w:lvl w:ilvl="6" w:tplc="BF4660BA" w:tentative="1">
      <w:start w:val="1"/>
      <w:numFmt w:val="bullet"/>
      <w:lvlText w:val=""/>
      <w:lvlJc w:val="left"/>
      <w:pPr>
        <w:tabs>
          <w:tab w:val="num" w:pos="5040"/>
        </w:tabs>
        <w:ind w:left="5040" w:hanging="360"/>
      </w:pPr>
      <w:rPr>
        <w:rFonts w:ascii="Wingdings" w:hAnsi="Wingdings" w:hint="default"/>
      </w:rPr>
    </w:lvl>
    <w:lvl w:ilvl="7" w:tplc="310622D4" w:tentative="1">
      <w:start w:val="1"/>
      <w:numFmt w:val="bullet"/>
      <w:lvlText w:val=""/>
      <w:lvlJc w:val="left"/>
      <w:pPr>
        <w:tabs>
          <w:tab w:val="num" w:pos="5760"/>
        </w:tabs>
        <w:ind w:left="5760" w:hanging="360"/>
      </w:pPr>
      <w:rPr>
        <w:rFonts w:ascii="Wingdings" w:hAnsi="Wingdings" w:hint="default"/>
      </w:rPr>
    </w:lvl>
    <w:lvl w:ilvl="8" w:tplc="93025FE4"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803"/>
    <w:rsid w:val="000139D1"/>
    <w:rsid w:val="00015A92"/>
    <w:rsid w:val="00016E33"/>
    <w:rsid w:val="00017259"/>
    <w:rsid w:val="00027CE9"/>
    <w:rsid w:val="00032171"/>
    <w:rsid w:val="000346CB"/>
    <w:rsid w:val="000475B8"/>
    <w:rsid w:val="00052C35"/>
    <w:rsid w:val="00066D8B"/>
    <w:rsid w:val="000716D2"/>
    <w:rsid w:val="00071FFB"/>
    <w:rsid w:val="00075117"/>
    <w:rsid w:val="0007676D"/>
    <w:rsid w:val="00081465"/>
    <w:rsid w:val="00091405"/>
    <w:rsid w:val="00096471"/>
    <w:rsid w:val="000967F5"/>
    <w:rsid w:val="000A0518"/>
    <w:rsid w:val="000B26E2"/>
    <w:rsid w:val="000D0602"/>
    <w:rsid w:val="000E0FBE"/>
    <w:rsid w:val="000E4F40"/>
    <w:rsid w:val="00100B0F"/>
    <w:rsid w:val="0013798F"/>
    <w:rsid w:val="00140085"/>
    <w:rsid w:val="00146762"/>
    <w:rsid w:val="00160EE5"/>
    <w:rsid w:val="001616C8"/>
    <w:rsid w:val="00171078"/>
    <w:rsid w:val="00172FE6"/>
    <w:rsid w:val="0017338F"/>
    <w:rsid w:val="00177F1C"/>
    <w:rsid w:val="00186F1A"/>
    <w:rsid w:val="001876D4"/>
    <w:rsid w:val="001A4B17"/>
    <w:rsid w:val="001A6ECC"/>
    <w:rsid w:val="001A725F"/>
    <w:rsid w:val="001A7EA7"/>
    <w:rsid w:val="001B1272"/>
    <w:rsid w:val="001E12DE"/>
    <w:rsid w:val="001E1BA7"/>
    <w:rsid w:val="001E57AB"/>
    <w:rsid w:val="002106C0"/>
    <w:rsid w:val="00212F8D"/>
    <w:rsid w:val="002136F3"/>
    <w:rsid w:val="00225396"/>
    <w:rsid w:val="002269EB"/>
    <w:rsid w:val="00240D0E"/>
    <w:rsid w:val="00242757"/>
    <w:rsid w:val="0024700B"/>
    <w:rsid w:val="00255BCA"/>
    <w:rsid w:val="00265F56"/>
    <w:rsid w:val="0027319A"/>
    <w:rsid w:val="00287581"/>
    <w:rsid w:val="00294D80"/>
    <w:rsid w:val="002A584B"/>
    <w:rsid w:val="002A6FD5"/>
    <w:rsid w:val="002B0FE8"/>
    <w:rsid w:val="002C489E"/>
    <w:rsid w:val="002C5F36"/>
    <w:rsid w:val="002C6725"/>
    <w:rsid w:val="002D17D6"/>
    <w:rsid w:val="002D43FD"/>
    <w:rsid w:val="002E580C"/>
    <w:rsid w:val="002F27FF"/>
    <w:rsid w:val="002F40A4"/>
    <w:rsid w:val="002F4B18"/>
    <w:rsid w:val="00304388"/>
    <w:rsid w:val="00337A41"/>
    <w:rsid w:val="00360A52"/>
    <w:rsid w:val="003852D1"/>
    <w:rsid w:val="00393DA5"/>
    <w:rsid w:val="003945CB"/>
    <w:rsid w:val="003A0E67"/>
    <w:rsid w:val="003A7812"/>
    <w:rsid w:val="003B1196"/>
    <w:rsid w:val="003D183B"/>
    <w:rsid w:val="003D7968"/>
    <w:rsid w:val="003E04BF"/>
    <w:rsid w:val="003F16CD"/>
    <w:rsid w:val="003F23CF"/>
    <w:rsid w:val="003F3362"/>
    <w:rsid w:val="003F40C1"/>
    <w:rsid w:val="003F5C96"/>
    <w:rsid w:val="003F7EC8"/>
    <w:rsid w:val="00404F01"/>
    <w:rsid w:val="004129B1"/>
    <w:rsid w:val="004229AA"/>
    <w:rsid w:val="004321A0"/>
    <w:rsid w:val="004365F7"/>
    <w:rsid w:val="00440785"/>
    <w:rsid w:val="004434D2"/>
    <w:rsid w:val="00444F3F"/>
    <w:rsid w:val="00456FCA"/>
    <w:rsid w:val="004603F8"/>
    <w:rsid w:val="004609A9"/>
    <w:rsid w:val="00467DD3"/>
    <w:rsid w:val="00497FCC"/>
    <w:rsid w:val="004A733E"/>
    <w:rsid w:val="004B22E0"/>
    <w:rsid w:val="004B6ADD"/>
    <w:rsid w:val="004C4C41"/>
    <w:rsid w:val="004C761F"/>
    <w:rsid w:val="004D60AB"/>
    <w:rsid w:val="004E6727"/>
    <w:rsid w:val="004E7DFB"/>
    <w:rsid w:val="004F28C6"/>
    <w:rsid w:val="004F68D2"/>
    <w:rsid w:val="004F766B"/>
    <w:rsid w:val="00524BC4"/>
    <w:rsid w:val="00525AF9"/>
    <w:rsid w:val="00533019"/>
    <w:rsid w:val="00537CDE"/>
    <w:rsid w:val="005438FF"/>
    <w:rsid w:val="005511C9"/>
    <w:rsid w:val="0056130F"/>
    <w:rsid w:val="005674A2"/>
    <w:rsid w:val="00576730"/>
    <w:rsid w:val="005942F3"/>
    <w:rsid w:val="005A3BA3"/>
    <w:rsid w:val="005B0217"/>
    <w:rsid w:val="005B747A"/>
    <w:rsid w:val="005C397B"/>
    <w:rsid w:val="005D2ED5"/>
    <w:rsid w:val="005E1CC1"/>
    <w:rsid w:val="005F4BA0"/>
    <w:rsid w:val="006022A1"/>
    <w:rsid w:val="00611F87"/>
    <w:rsid w:val="006129C1"/>
    <w:rsid w:val="00617F9A"/>
    <w:rsid w:val="00626A0D"/>
    <w:rsid w:val="00641006"/>
    <w:rsid w:val="0065343C"/>
    <w:rsid w:val="00654C16"/>
    <w:rsid w:val="00661A1B"/>
    <w:rsid w:val="00681EA2"/>
    <w:rsid w:val="00685BA0"/>
    <w:rsid w:val="006A4C7C"/>
    <w:rsid w:val="006A63E8"/>
    <w:rsid w:val="006B6700"/>
    <w:rsid w:val="006C34C3"/>
    <w:rsid w:val="006E4F1A"/>
    <w:rsid w:val="006F057C"/>
    <w:rsid w:val="006F3B70"/>
    <w:rsid w:val="006F66D9"/>
    <w:rsid w:val="00712DF0"/>
    <w:rsid w:val="0071593A"/>
    <w:rsid w:val="007169DA"/>
    <w:rsid w:val="00732FEE"/>
    <w:rsid w:val="0073366D"/>
    <w:rsid w:val="0073376E"/>
    <w:rsid w:val="0074048F"/>
    <w:rsid w:val="0074112B"/>
    <w:rsid w:val="00744080"/>
    <w:rsid w:val="007473B3"/>
    <w:rsid w:val="007527BC"/>
    <w:rsid w:val="00752B4F"/>
    <w:rsid w:val="00756802"/>
    <w:rsid w:val="00761AD4"/>
    <w:rsid w:val="00764800"/>
    <w:rsid w:val="00764D7B"/>
    <w:rsid w:val="00765A9E"/>
    <w:rsid w:val="00771A89"/>
    <w:rsid w:val="007C3149"/>
    <w:rsid w:val="007D2D3E"/>
    <w:rsid w:val="007E000B"/>
    <w:rsid w:val="007E73B4"/>
    <w:rsid w:val="007F04F8"/>
    <w:rsid w:val="007F1371"/>
    <w:rsid w:val="007F646B"/>
    <w:rsid w:val="008045ED"/>
    <w:rsid w:val="00815803"/>
    <w:rsid w:val="00831523"/>
    <w:rsid w:val="00832484"/>
    <w:rsid w:val="00841B2B"/>
    <w:rsid w:val="00844EBB"/>
    <w:rsid w:val="00850939"/>
    <w:rsid w:val="00853197"/>
    <w:rsid w:val="00876228"/>
    <w:rsid w:val="008E0302"/>
    <w:rsid w:val="008F28D8"/>
    <w:rsid w:val="008F3C30"/>
    <w:rsid w:val="008F4C88"/>
    <w:rsid w:val="008F5C72"/>
    <w:rsid w:val="00917BA9"/>
    <w:rsid w:val="00920318"/>
    <w:rsid w:val="009404D6"/>
    <w:rsid w:val="00952200"/>
    <w:rsid w:val="00952EB9"/>
    <w:rsid w:val="00954084"/>
    <w:rsid w:val="00960972"/>
    <w:rsid w:val="00960F27"/>
    <w:rsid w:val="009773BB"/>
    <w:rsid w:val="00993DAC"/>
    <w:rsid w:val="009A07D7"/>
    <w:rsid w:val="009A5052"/>
    <w:rsid w:val="009A67C2"/>
    <w:rsid w:val="009B2E24"/>
    <w:rsid w:val="009D24FE"/>
    <w:rsid w:val="009E110F"/>
    <w:rsid w:val="009E3CDD"/>
    <w:rsid w:val="009E6FE1"/>
    <w:rsid w:val="00A04BA2"/>
    <w:rsid w:val="00A105B0"/>
    <w:rsid w:val="00A2604A"/>
    <w:rsid w:val="00A46EF9"/>
    <w:rsid w:val="00A56984"/>
    <w:rsid w:val="00A6137E"/>
    <w:rsid w:val="00A642AE"/>
    <w:rsid w:val="00A836C1"/>
    <w:rsid w:val="00A944CA"/>
    <w:rsid w:val="00AB1352"/>
    <w:rsid w:val="00AB5CE8"/>
    <w:rsid w:val="00AD03B9"/>
    <w:rsid w:val="00AF6C53"/>
    <w:rsid w:val="00B00DF7"/>
    <w:rsid w:val="00B028DA"/>
    <w:rsid w:val="00B03721"/>
    <w:rsid w:val="00B131EA"/>
    <w:rsid w:val="00B2136A"/>
    <w:rsid w:val="00B22844"/>
    <w:rsid w:val="00B23405"/>
    <w:rsid w:val="00B43016"/>
    <w:rsid w:val="00B51FD9"/>
    <w:rsid w:val="00B53B68"/>
    <w:rsid w:val="00B616B2"/>
    <w:rsid w:val="00B66DC0"/>
    <w:rsid w:val="00B751C2"/>
    <w:rsid w:val="00B861C8"/>
    <w:rsid w:val="00BA5EA2"/>
    <w:rsid w:val="00BC27E3"/>
    <w:rsid w:val="00BD4BD2"/>
    <w:rsid w:val="00BD7B42"/>
    <w:rsid w:val="00C133B9"/>
    <w:rsid w:val="00C17A5A"/>
    <w:rsid w:val="00C27A13"/>
    <w:rsid w:val="00C35FE8"/>
    <w:rsid w:val="00C42C43"/>
    <w:rsid w:val="00C70A3E"/>
    <w:rsid w:val="00C7565A"/>
    <w:rsid w:val="00C76378"/>
    <w:rsid w:val="00C7727C"/>
    <w:rsid w:val="00C801E3"/>
    <w:rsid w:val="00C815C2"/>
    <w:rsid w:val="00C850D9"/>
    <w:rsid w:val="00C97E35"/>
    <w:rsid w:val="00CA2DC6"/>
    <w:rsid w:val="00CB5FF4"/>
    <w:rsid w:val="00CF724A"/>
    <w:rsid w:val="00D14D62"/>
    <w:rsid w:val="00D20A64"/>
    <w:rsid w:val="00D244DF"/>
    <w:rsid w:val="00D26B24"/>
    <w:rsid w:val="00D4242A"/>
    <w:rsid w:val="00D430C2"/>
    <w:rsid w:val="00D4506D"/>
    <w:rsid w:val="00D56B82"/>
    <w:rsid w:val="00D647D7"/>
    <w:rsid w:val="00D64CD8"/>
    <w:rsid w:val="00D743F7"/>
    <w:rsid w:val="00D833FB"/>
    <w:rsid w:val="00D923BE"/>
    <w:rsid w:val="00D96D0B"/>
    <w:rsid w:val="00DD16AB"/>
    <w:rsid w:val="00DE4A08"/>
    <w:rsid w:val="00DF1B2B"/>
    <w:rsid w:val="00E27393"/>
    <w:rsid w:val="00E31D2E"/>
    <w:rsid w:val="00E40055"/>
    <w:rsid w:val="00E417E9"/>
    <w:rsid w:val="00E432D3"/>
    <w:rsid w:val="00E52136"/>
    <w:rsid w:val="00E60CE0"/>
    <w:rsid w:val="00E67ADC"/>
    <w:rsid w:val="00E715D5"/>
    <w:rsid w:val="00E77D4E"/>
    <w:rsid w:val="00E94187"/>
    <w:rsid w:val="00E95614"/>
    <w:rsid w:val="00E959CA"/>
    <w:rsid w:val="00E95A5F"/>
    <w:rsid w:val="00EA3891"/>
    <w:rsid w:val="00EB55E0"/>
    <w:rsid w:val="00EC61EC"/>
    <w:rsid w:val="00EE45B1"/>
    <w:rsid w:val="00EE7FE4"/>
    <w:rsid w:val="00EF120D"/>
    <w:rsid w:val="00F015E2"/>
    <w:rsid w:val="00F23761"/>
    <w:rsid w:val="00F23765"/>
    <w:rsid w:val="00F35ACC"/>
    <w:rsid w:val="00F41D82"/>
    <w:rsid w:val="00F545A0"/>
    <w:rsid w:val="00F63310"/>
    <w:rsid w:val="00F65226"/>
    <w:rsid w:val="00F75EE7"/>
    <w:rsid w:val="00F77C7F"/>
    <w:rsid w:val="00F8271E"/>
    <w:rsid w:val="00F96FA8"/>
    <w:rsid w:val="00FB285D"/>
    <w:rsid w:val="00FC0B90"/>
    <w:rsid w:val="00FD1A38"/>
    <w:rsid w:val="00FE7EEB"/>
    <w:rsid w:val="00FF4358"/>
    <w:rsid w:val="00FF51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5EC8EBC-3204-4389-BCC3-ECDB4D116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F4C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4C88"/>
    <w:rPr>
      <w:sz w:val="20"/>
      <w:szCs w:val="20"/>
    </w:rPr>
  </w:style>
  <w:style w:type="character" w:styleId="FootnoteReference">
    <w:name w:val="footnote reference"/>
    <w:basedOn w:val="DefaultParagraphFont"/>
    <w:uiPriority w:val="99"/>
    <w:semiHidden/>
    <w:unhideWhenUsed/>
    <w:rsid w:val="008F4C88"/>
    <w:rPr>
      <w:vertAlign w:val="superscript"/>
    </w:rPr>
  </w:style>
  <w:style w:type="paragraph" w:styleId="ListParagraph">
    <w:name w:val="List Paragraph"/>
    <w:basedOn w:val="Normal"/>
    <w:uiPriority w:val="34"/>
    <w:qFormat/>
    <w:rsid w:val="00D96D0B"/>
    <w:pPr>
      <w:ind w:left="720"/>
      <w:contextualSpacing/>
    </w:pPr>
  </w:style>
  <w:style w:type="character" w:styleId="Hyperlink">
    <w:name w:val="Hyperlink"/>
    <w:basedOn w:val="DefaultParagraphFont"/>
    <w:uiPriority w:val="99"/>
    <w:unhideWhenUsed/>
    <w:rsid w:val="00533019"/>
    <w:rPr>
      <w:color w:val="0563C1" w:themeColor="hyperlink"/>
      <w:u w:val="single"/>
    </w:rPr>
  </w:style>
  <w:style w:type="paragraph" w:styleId="Header">
    <w:name w:val="header"/>
    <w:basedOn w:val="Normal"/>
    <w:link w:val="HeaderChar"/>
    <w:uiPriority w:val="99"/>
    <w:unhideWhenUsed/>
    <w:rsid w:val="00255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BCA"/>
  </w:style>
  <w:style w:type="paragraph" w:styleId="Footer">
    <w:name w:val="footer"/>
    <w:basedOn w:val="Normal"/>
    <w:link w:val="FooterChar"/>
    <w:uiPriority w:val="99"/>
    <w:unhideWhenUsed/>
    <w:rsid w:val="00255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7143654">
      <w:bodyDiv w:val="1"/>
      <w:marLeft w:val="0"/>
      <w:marRight w:val="0"/>
      <w:marTop w:val="0"/>
      <w:marBottom w:val="0"/>
      <w:divBdr>
        <w:top w:val="none" w:sz="0" w:space="0" w:color="auto"/>
        <w:left w:val="none" w:sz="0" w:space="0" w:color="auto"/>
        <w:bottom w:val="none" w:sz="0" w:space="0" w:color="auto"/>
        <w:right w:val="none" w:sz="0" w:space="0" w:color="auto"/>
      </w:divBdr>
      <w:divsChild>
        <w:div w:id="1120419034">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2E9AA-D664-48C0-9A52-7A6CA0A9D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7</Pages>
  <Words>2883</Words>
  <Characters>16436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362</cp:revision>
  <dcterms:created xsi:type="dcterms:W3CDTF">2018-11-15T13:27:00Z</dcterms:created>
  <dcterms:modified xsi:type="dcterms:W3CDTF">2018-11-16T22:31:00Z</dcterms:modified>
</cp:coreProperties>
</file>