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62725" w14:textId="12583ADF" w:rsidR="00CA22E1" w:rsidRDefault="00E135C1" w:rsidP="00E135C1">
      <w:pPr>
        <w:jc w:val="center"/>
      </w:pPr>
      <w:r w:rsidRPr="00E135C1">
        <w:drawing>
          <wp:anchor distT="0" distB="0" distL="114300" distR="114300" simplePos="0" relativeHeight="251658240" behindDoc="0" locked="0" layoutInCell="1" allowOverlap="1" wp14:anchorId="55E67B58" wp14:editId="78272F8D">
            <wp:simplePos x="0" y="0"/>
            <wp:positionH relativeFrom="column">
              <wp:posOffset>66675</wp:posOffset>
            </wp:positionH>
            <wp:positionV relativeFrom="paragraph">
              <wp:posOffset>1238250</wp:posOffset>
            </wp:positionV>
            <wp:extent cx="5731510" cy="1552575"/>
            <wp:effectExtent l="0" t="0" r="254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1552575"/>
                    </a:xfrm>
                    <a:prstGeom prst="rect">
                      <a:avLst/>
                    </a:prstGeom>
                  </pic:spPr>
                </pic:pic>
              </a:graphicData>
            </a:graphic>
            <wp14:sizeRelH relativeFrom="page">
              <wp14:pctWidth>0</wp14:pctWidth>
            </wp14:sizeRelH>
            <wp14:sizeRelV relativeFrom="page">
              <wp14:pctHeight>0</wp14:pctHeight>
            </wp14:sizeRelV>
          </wp:anchor>
        </w:drawing>
      </w:r>
    </w:p>
    <w:p w14:paraId="5DD74039" w14:textId="50E3A09F" w:rsidR="00E135C1" w:rsidRPr="00E135C1" w:rsidRDefault="00E135C1" w:rsidP="00E135C1">
      <w:pPr>
        <w:jc w:val="center"/>
      </w:pPr>
    </w:p>
    <w:p w14:paraId="4795DB63" w14:textId="5B0E46D2" w:rsidR="00E135C1" w:rsidRPr="00E135C1" w:rsidRDefault="00E135C1" w:rsidP="00E135C1">
      <w:pPr>
        <w:jc w:val="center"/>
      </w:pPr>
    </w:p>
    <w:p w14:paraId="4DBFC8AB" w14:textId="518234EB" w:rsidR="00E135C1" w:rsidRPr="00E135C1" w:rsidRDefault="00E135C1" w:rsidP="00E135C1">
      <w:pPr>
        <w:jc w:val="center"/>
      </w:pPr>
    </w:p>
    <w:p w14:paraId="0B34EB53" w14:textId="08347B5D" w:rsidR="00E135C1" w:rsidRPr="00E135C1" w:rsidRDefault="00E135C1" w:rsidP="00E135C1">
      <w:pPr>
        <w:jc w:val="center"/>
      </w:pPr>
    </w:p>
    <w:p w14:paraId="606D58B4" w14:textId="5DF0DAE3" w:rsidR="00E135C1" w:rsidRPr="00E135C1" w:rsidRDefault="00E135C1" w:rsidP="00E135C1">
      <w:pPr>
        <w:jc w:val="center"/>
      </w:pPr>
    </w:p>
    <w:p w14:paraId="7C0A2D13" w14:textId="2D702059" w:rsidR="00E135C1" w:rsidRPr="00E135C1" w:rsidRDefault="00E135C1" w:rsidP="00E135C1">
      <w:pPr>
        <w:jc w:val="center"/>
      </w:pPr>
    </w:p>
    <w:p w14:paraId="4195C648" w14:textId="29E48ABB" w:rsidR="00E135C1" w:rsidRPr="00E135C1" w:rsidRDefault="00E135C1" w:rsidP="00E135C1">
      <w:pPr>
        <w:jc w:val="center"/>
      </w:pPr>
    </w:p>
    <w:p w14:paraId="3FAAE1DA" w14:textId="602295DD" w:rsidR="00E135C1" w:rsidRDefault="00E135C1" w:rsidP="00E135C1">
      <w:pPr>
        <w:jc w:val="center"/>
        <w:rPr>
          <w:b/>
          <w:bCs/>
          <w:u w:val="single"/>
        </w:rPr>
      </w:pPr>
      <w:r w:rsidRPr="00E135C1">
        <w:rPr>
          <w:b/>
          <w:bCs/>
          <w:u w:val="single"/>
        </w:rPr>
        <w:t>William of Poitiers Gesta Willelmi ducis Normannorum et regis Anglorum</w:t>
      </w:r>
    </w:p>
    <w:p w14:paraId="29DC2C4F" w14:textId="77777777" w:rsidR="00F0480C" w:rsidRPr="00E135C1" w:rsidRDefault="00F0480C" w:rsidP="00E135C1">
      <w:pPr>
        <w:jc w:val="center"/>
        <w:rPr>
          <w:b/>
          <w:bCs/>
          <w:u w:val="single"/>
        </w:rPr>
      </w:pPr>
    </w:p>
    <w:p w14:paraId="0CC10828" w14:textId="7E9C9130" w:rsidR="00E135C1" w:rsidRDefault="00E135C1" w:rsidP="00E135C1">
      <w:pPr>
        <w:tabs>
          <w:tab w:val="left" w:pos="1035"/>
        </w:tabs>
        <w:jc w:val="center"/>
      </w:pPr>
      <w:r>
        <w:t>Claire Mann</w:t>
      </w:r>
    </w:p>
    <w:p w14:paraId="577ACB02" w14:textId="77777777" w:rsidR="00F0480C" w:rsidRDefault="00F0480C" w:rsidP="00E135C1">
      <w:pPr>
        <w:tabs>
          <w:tab w:val="left" w:pos="1035"/>
        </w:tabs>
        <w:jc w:val="center"/>
      </w:pPr>
    </w:p>
    <w:p w14:paraId="79AC1C35" w14:textId="1CCAED36" w:rsidR="00E135C1" w:rsidRDefault="00E135C1" w:rsidP="00E135C1">
      <w:pPr>
        <w:tabs>
          <w:tab w:val="left" w:pos="1035"/>
        </w:tabs>
        <w:jc w:val="center"/>
      </w:pPr>
      <w:r>
        <w:t>1602593</w:t>
      </w:r>
    </w:p>
    <w:p w14:paraId="2FFAF028" w14:textId="77777777" w:rsidR="00F0480C" w:rsidRDefault="00F0480C" w:rsidP="00E135C1">
      <w:pPr>
        <w:tabs>
          <w:tab w:val="left" w:pos="1035"/>
        </w:tabs>
        <w:jc w:val="center"/>
      </w:pPr>
    </w:p>
    <w:p w14:paraId="76CF0CB8" w14:textId="1FAF9A4F" w:rsidR="00E135C1" w:rsidRPr="00E135C1" w:rsidRDefault="00E135C1" w:rsidP="00E135C1">
      <w:pPr>
        <w:tabs>
          <w:tab w:val="left" w:pos="1035"/>
        </w:tabs>
        <w:jc w:val="center"/>
      </w:pPr>
      <w:r>
        <w:t>21</w:t>
      </w:r>
      <w:r w:rsidRPr="00E135C1">
        <w:rPr>
          <w:vertAlign w:val="superscript"/>
        </w:rPr>
        <w:t>st</w:t>
      </w:r>
      <w:r>
        <w:t xml:space="preserve"> April 2021</w:t>
      </w:r>
    </w:p>
    <w:p w14:paraId="385032A7" w14:textId="77B4154B" w:rsidR="00E135C1" w:rsidRPr="00E135C1" w:rsidRDefault="00E135C1" w:rsidP="00E135C1">
      <w:pPr>
        <w:jc w:val="center"/>
      </w:pPr>
    </w:p>
    <w:p w14:paraId="52A1DC46" w14:textId="268C575A" w:rsidR="00E135C1" w:rsidRPr="00E135C1" w:rsidRDefault="00E135C1" w:rsidP="00E135C1">
      <w:pPr>
        <w:jc w:val="center"/>
      </w:pPr>
    </w:p>
    <w:p w14:paraId="70FFDD14" w14:textId="2EBF8697" w:rsidR="00E135C1" w:rsidRDefault="00E135C1" w:rsidP="00E135C1">
      <w:pPr>
        <w:jc w:val="center"/>
      </w:pPr>
    </w:p>
    <w:p w14:paraId="049B2A0C" w14:textId="4FA8C402" w:rsidR="00E135C1" w:rsidRDefault="00E135C1" w:rsidP="00E135C1">
      <w:pPr>
        <w:jc w:val="center"/>
      </w:pPr>
    </w:p>
    <w:p w14:paraId="18745CAB" w14:textId="4313BABA" w:rsidR="00E135C1" w:rsidRDefault="00E135C1" w:rsidP="00E135C1">
      <w:pPr>
        <w:jc w:val="center"/>
      </w:pPr>
    </w:p>
    <w:p w14:paraId="66EF4AA8" w14:textId="05100E1D" w:rsidR="00E135C1" w:rsidRDefault="00E135C1" w:rsidP="00E135C1">
      <w:pPr>
        <w:jc w:val="center"/>
      </w:pPr>
    </w:p>
    <w:p w14:paraId="53FA2468" w14:textId="3E539AA0" w:rsidR="00E135C1" w:rsidRDefault="00E135C1" w:rsidP="00E135C1">
      <w:pPr>
        <w:jc w:val="center"/>
      </w:pPr>
    </w:p>
    <w:p w14:paraId="285FB4BB" w14:textId="7AA54425" w:rsidR="00E135C1" w:rsidRDefault="00E135C1" w:rsidP="00E135C1">
      <w:pPr>
        <w:jc w:val="center"/>
      </w:pPr>
    </w:p>
    <w:p w14:paraId="313433F5" w14:textId="3ABA02DD" w:rsidR="00E135C1" w:rsidRDefault="00E135C1" w:rsidP="00E135C1">
      <w:pPr>
        <w:jc w:val="center"/>
      </w:pPr>
    </w:p>
    <w:p w14:paraId="23E2C9A4" w14:textId="77777777" w:rsidR="00292460" w:rsidRDefault="00292460" w:rsidP="00E135C1"/>
    <w:p w14:paraId="57537BF0" w14:textId="26CD0FC5" w:rsidR="00E135C1" w:rsidRDefault="00E135C1" w:rsidP="00E135C1">
      <w:pPr>
        <w:rPr>
          <w:b/>
          <w:bCs/>
          <w:u w:val="single"/>
        </w:rPr>
      </w:pPr>
      <w:r w:rsidRPr="00E135C1">
        <w:rPr>
          <w:b/>
          <w:bCs/>
          <w:u w:val="single"/>
        </w:rPr>
        <w:lastRenderedPageBreak/>
        <w:t>William of Poitiers Gesta Willelmi ducis Normannorum et regis Anglorum</w:t>
      </w:r>
    </w:p>
    <w:p w14:paraId="3C67F41D" w14:textId="77777777" w:rsidR="00F0480C" w:rsidRPr="00E135C1" w:rsidRDefault="00F0480C" w:rsidP="00E135C1"/>
    <w:p w14:paraId="72F5A031" w14:textId="0646B064" w:rsidR="00F0480C" w:rsidRDefault="00746012" w:rsidP="00765E03">
      <w:pPr>
        <w:spacing w:line="480" w:lineRule="auto"/>
      </w:pPr>
      <w:r>
        <w:t xml:space="preserve">For this assessment I have chosen to do my commentary on the extracts from William of Poitiers </w:t>
      </w:r>
      <w:r w:rsidRPr="00765E03">
        <w:rPr>
          <w:i/>
          <w:iCs/>
        </w:rPr>
        <w:t>Gesta Willelmi ducis Normannorum et regis Anglorum</w:t>
      </w:r>
      <w:r w:rsidR="00D80AB4">
        <w:t xml:space="preserve">, </w:t>
      </w:r>
      <w:r w:rsidR="00765E03">
        <w:t xml:space="preserve">which translates as ‘the deeds of William Duke of the Normans and King of the English’ and </w:t>
      </w:r>
      <w:r w:rsidR="00D80AB4">
        <w:t>chronicles the Norman conquest of England.</w:t>
      </w:r>
      <w:r w:rsidR="00765E03">
        <w:t xml:space="preserve"> Poitiers </w:t>
      </w:r>
      <w:r w:rsidR="00765E03" w:rsidRPr="00430DCA">
        <w:rPr>
          <w:i/>
          <w:iCs/>
        </w:rPr>
        <w:t xml:space="preserve">Gesta </w:t>
      </w:r>
      <w:proofErr w:type="spellStart"/>
      <w:r w:rsidR="00765E03" w:rsidRPr="00430DCA">
        <w:rPr>
          <w:i/>
          <w:iCs/>
        </w:rPr>
        <w:t>Guillelmi</w:t>
      </w:r>
      <w:proofErr w:type="spellEnd"/>
      <w:r w:rsidR="00A524AC">
        <w:t xml:space="preserve">, William of </w:t>
      </w:r>
      <w:proofErr w:type="spellStart"/>
      <w:r w:rsidR="00A524AC">
        <w:t>Jumieges</w:t>
      </w:r>
      <w:proofErr w:type="spellEnd"/>
      <w:r w:rsidR="00A524AC">
        <w:t xml:space="preserve"> </w:t>
      </w:r>
      <w:r w:rsidR="00A524AC" w:rsidRPr="00A524AC">
        <w:rPr>
          <w:i/>
          <w:iCs/>
        </w:rPr>
        <w:t xml:space="preserve">Gesta Normannorum </w:t>
      </w:r>
      <w:proofErr w:type="spellStart"/>
      <w:r w:rsidR="00A524AC" w:rsidRPr="00A524AC">
        <w:rPr>
          <w:i/>
          <w:iCs/>
        </w:rPr>
        <w:t>Ducum</w:t>
      </w:r>
      <w:proofErr w:type="spellEnd"/>
      <w:r w:rsidR="00A524AC">
        <w:t xml:space="preserve"> and the much later</w:t>
      </w:r>
      <w:r w:rsidR="00765E03">
        <w:t xml:space="preserve"> </w:t>
      </w:r>
      <w:r w:rsidR="00765E03" w:rsidRPr="00430DCA">
        <w:rPr>
          <w:i/>
          <w:iCs/>
        </w:rPr>
        <w:t xml:space="preserve">Historia </w:t>
      </w:r>
      <w:proofErr w:type="spellStart"/>
      <w:r w:rsidR="00765E03" w:rsidRPr="00430DCA">
        <w:rPr>
          <w:i/>
          <w:iCs/>
        </w:rPr>
        <w:t>Ecclesiastica</w:t>
      </w:r>
      <w:proofErr w:type="spellEnd"/>
      <w:r w:rsidR="00765E03">
        <w:t xml:space="preserve"> of </w:t>
      </w:r>
      <w:proofErr w:type="spellStart"/>
      <w:r w:rsidR="00765E03">
        <w:t>Orderic</w:t>
      </w:r>
      <w:proofErr w:type="spellEnd"/>
      <w:r w:rsidR="00765E03">
        <w:t xml:space="preserve"> Vitalis are nearly inseparable</w:t>
      </w:r>
      <w:r w:rsidR="00260376">
        <w:t xml:space="preserve"> written</w:t>
      </w:r>
      <w:r w:rsidR="00765E03">
        <w:t xml:space="preserve"> sources for the biography of </w:t>
      </w:r>
      <w:r w:rsidR="00430DCA">
        <w:t>William the Conqueror</w:t>
      </w:r>
      <w:r w:rsidR="00A524AC">
        <w:t>.</w:t>
      </w:r>
      <w:r w:rsidR="00430DCA">
        <w:rPr>
          <w:rStyle w:val="FootnoteReference"/>
        </w:rPr>
        <w:footnoteReference w:id="1"/>
      </w:r>
      <w:r w:rsidR="00430DCA">
        <w:t xml:space="preserve"> </w:t>
      </w:r>
      <w:r w:rsidR="00F0480C">
        <w:t xml:space="preserve">With the </w:t>
      </w:r>
      <w:r w:rsidR="00C9532E">
        <w:t xml:space="preserve">same </w:t>
      </w:r>
      <w:r w:rsidR="00E85D14">
        <w:t>accounts</w:t>
      </w:r>
      <w:r w:rsidR="00F0480C">
        <w:t xml:space="preserve"> depicted</w:t>
      </w:r>
      <w:r w:rsidR="00C9532E">
        <w:t xml:space="preserve"> visually </w:t>
      </w:r>
      <w:r w:rsidR="00F0480C">
        <w:t>within the Bayeux tapestry</w:t>
      </w:r>
      <w:r w:rsidR="00E85D14">
        <w:t>, but compared to the tapestry, the written accounts are rather terse and dry, or hard to understand.</w:t>
      </w:r>
      <w:r w:rsidR="00C9532E">
        <w:rPr>
          <w:rStyle w:val="FootnoteReference"/>
        </w:rPr>
        <w:footnoteReference w:id="2"/>
      </w:r>
    </w:p>
    <w:p w14:paraId="24D0E5EC" w14:textId="50130F81" w:rsidR="00765E03" w:rsidRDefault="00765E03" w:rsidP="00765E03">
      <w:pPr>
        <w:spacing w:line="480" w:lineRule="auto"/>
      </w:pPr>
      <w:r>
        <w:t>William of Poitiers</w:t>
      </w:r>
      <w:r w:rsidR="00EE4B47">
        <w:t>’</w:t>
      </w:r>
      <w:r>
        <w:t xml:space="preserve"> (c.1020-1090)</w:t>
      </w:r>
      <w:r w:rsidR="00154274">
        <w:t xml:space="preserve"> </w:t>
      </w:r>
      <w:r w:rsidR="00A524AC">
        <w:t>version of events was written sometime between 1071 and 1077</w:t>
      </w:r>
      <w:r w:rsidR="007B08C5">
        <w:t>.  According to near contemporaries, Poitiers was in the Duke’s service as a knight before he became his chaplain.</w:t>
      </w:r>
      <w:r w:rsidR="007B08C5">
        <w:rPr>
          <w:rStyle w:val="FootnoteReference"/>
        </w:rPr>
        <w:footnoteReference w:id="3"/>
      </w:r>
      <w:r w:rsidR="00531A34">
        <w:t xml:space="preserve"> Its unclear who his sources for his information were, he was military trained</w:t>
      </w:r>
      <w:r w:rsidR="00C9532E">
        <w:t>,</w:t>
      </w:r>
      <w:r w:rsidR="00531A34">
        <w:t xml:space="preserve"> though was never at the battle himself. His</w:t>
      </w:r>
      <w:r w:rsidR="00531A34" w:rsidRPr="00531A34">
        <w:rPr>
          <w:i/>
          <w:iCs/>
        </w:rPr>
        <w:t xml:space="preserve"> Gesta</w:t>
      </w:r>
      <w:r w:rsidR="00531A34">
        <w:t xml:space="preserve"> frequently makes a close comparison of the British campaigns of Julius Caesar with the campaigns of William the Conqueror, making it almost impossible to judge how far his account of the whole military campaign, including the battle, is distorted by the antique lenses he so ostentatiously deploys.</w:t>
      </w:r>
      <w:r w:rsidR="00531A34">
        <w:rPr>
          <w:rStyle w:val="FootnoteReference"/>
        </w:rPr>
        <w:footnoteReference w:id="4"/>
      </w:r>
      <w:r w:rsidR="00F0480C">
        <w:t xml:space="preserve"> Perhaps he considered himself more of an epic poet like Lucan or Vergil, with a license to shape heroic material.</w:t>
      </w:r>
      <w:r w:rsidR="00F0480C">
        <w:rPr>
          <w:rStyle w:val="FootnoteReference"/>
        </w:rPr>
        <w:footnoteReference w:id="5"/>
      </w:r>
    </w:p>
    <w:p w14:paraId="39ADE730" w14:textId="54FFF7E4" w:rsidR="00F0480C" w:rsidRDefault="00EC1C39" w:rsidP="00765E03">
      <w:pPr>
        <w:spacing w:line="480" w:lineRule="auto"/>
      </w:pPr>
      <w:r>
        <w:t>The first paragraph of the extract to be examined</w:t>
      </w:r>
      <w:r w:rsidR="00C9532E">
        <w:t xml:space="preserve"> </w:t>
      </w:r>
      <w:r w:rsidR="00054429">
        <w:t>suggests a fond relationship between King Edward and William Duke of Normandy, with Edward ‘holding him in the same affection as a brother or son</w:t>
      </w:r>
      <w:r w:rsidR="00054429">
        <w:rPr>
          <w:rStyle w:val="FootnoteReference"/>
        </w:rPr>
        <w:footnoteReference w:id="6"/>
      </w:r>
      <w:r w:rsidR="00054429">
        <w:t xml:space="preserve"> which suggests strong familial ties.  With Edward not having any direct heirs in his family he </w:t>
      </w:r>
      <w:r w:rsidR="00054429">
        <w:lastRenderedPageBreak/>
        <w:t>‘adopted’ William for the position.</w:t>
      </w:r>
      <w:r w:rsidR="009B0830">
        <w:t xml:space="preserve">  He then goes on to say that Harold was sent to William in order to confirm his promise by an oath</w:t>
      </w:r>
      <w:r w:rsidR="00FB4031">
        <w:t xml:space="preserve">, </w:t>
      </w:r>
      <w:r w:rsidR="00D1560A">
        <w:t>surely Harold being the second man in the kingdom was the obvious next King, so why indeed did he go.  Berwick Coates suggests that Harold was an opportunist and may well have travelled willingly to Normandy, to see William</w:t>
      </w:r>
      <w:r w:rsidR="00D609EE">
        <w:t xml:space="preserve"> and</w:t>
      </w:r>
      <w:r w:rsidR="00D1560A">
        <w:t xml:space="preserve"> ‘size up the opposition’</w:t>
      </w:r>
      <w:r w:rsidR="00D609EE">
        <w:t xml:space="preserve">, </w:t>
      </w:r>
      <w:r w:rsidR="00D1560A">
        <w:t>get a feel for the place and the position. Poitiers in the next section speaks of Harold’s’ brother and nephew had already been given as hostages to ensure this succession’</w:t>
      </w:r>
      <w:r w:rsidR="00D1560A">
        <w:rPr>
          <w:rStyle w:val="FootnoteReference"/>
        </w:rPr>
        <w:footnoteReference w:id="7"/>
      </w:r>
      <w:r w:rsidR="00D609EE">
        <w:t>. Coates explains that in 1051 William visited Normandy and as a sort of collateral for the promised crown, William gave two hostages, in the form of Harold’s brother and nephew, could that be the reason for Harold’s visit</w:t>
      </w:r>
      <w:r w:rsidR="00DF1A3D">
        <w:t>? To return the hostages to safety.  Poitiers explains it as ‘this was a measure of the utmost wisdom because its authenticity and authority would restrain the dissensions among the whole of the English nation, if- as might be expected from the vagaries and perfidy of their behaviour-they had tried to rebel against it’</w:t>
      </w:r>
      <w:r w:rsidR="008B6A91">
        <w:rPr>
          <w:rStyle w:val="FootnoteReference"/>
        </w:rPr>
        <w:footnoteReference w:id="8"/>
      </w:r>
      <w:r w:rsidR="00D671BE">
        <w:t xml:space="preserve"> </w:t>
      </w:r>
      <w:r w:rsidR="00C87603">
        <w:t>I believe his wording to be the Norman’s justification for the situation.</w:t>
      </w:r>
    </w:p>
    <w:p w14:paraId="383487EF" w14:textId="7D53DA7E" w:rsidR="00313F31" w:rsidRDefault="00C87603" w:rsidP="00765E03">
      <w:pPr>
        <w:spacing w:line="480" w:lineRule="auto"/>
      </w:pPr>
      <w:r>
        <w:t>The next section of Poitiers narrative tells the story of Harold’s voyage</w:t>
      </w:r>
      <w:r w:rsidR="000F0E79">
        <w:t xml:space="preserve"> to Ponthieu ‘where he falls into the hands of count Guy’</w:t>
      </w:r>
      <w:r w:rsidR="000F0E79">
        <w:rPr>
          <w:rStyle w:val="FootnoteReference"/>
        </w:rPr>
        <w:footnoteReference w:id="9"/>
      </w:r>
      <w:r w:rsidR="000F0E79">
        <w:t xml:space="preserve"> he goes on to describe them as ‘cunning born of greed’, who adopt an appalling practice, barbarous and far removed from all Christian justice.</w:t>
      </w:r>
      <w:r w:rsidR="000F0E79">
        <w:rPr>
          <w:rStyle w:val="FootnoteReference"/>
        </w:rPr>
        <w:footnoteReference w:id="10"/>
      </w:r>
      <w:r w:rsidR="000F0E79">
        <w:t xml:space="preserve"> </w:t>
      </w:r>
      <w:r w:rsidR="00313F31">
        <w:t xml:space="preserve">William of </w:t>
      </w:r>
      <w:proofErr w:type="spellStart"/>
      <w:r w:rsidR="00313F31">
        <w:t>Malmesbury’s</w:t>
      </w:r>
      <w:proofErr w:type="spellEnd"/>
      <w:r w:rsidR="00313F31">
        <w:t xml:space="preserve"> account echoes this, he states Harold was bound hand and foot and held in fetters by count Guy,  how brutal Guy actually was is hard to know, however, Guy himself had been imprisoned by the Duke for two years in 1054 after the Battle of </w:t>
      </w:r>
      <w:proofErr w:type="spellStart"/>
      <w:r w:rsidR="00313F31">
        <w:t>Mortemer</w:t>
      </w:r>
      <w:proofErr w:type="spellEnd"/>
      <w:r w:rsidR="00313F31">
        <w:t>.</w:t>
      </w:r>
      <w:r w:rsidR="00313F31">
        <w:rPr>
          <w:rStyle w:val="FootnoteReference"/>
        </w:rPr>
        <w:footnoteReference w:id="11"/>
      </w:r>
      <w:r w:rsidR="00313F31">
        <w:t xml:space="preserve">  </w:t>
      </w:r>
      <w:r w:rsidR="00E527F5">
        <w:t>The treatment Harold supposedly received rests on the idea depicted in the Bayeux tapestry, that Harold arrived at Ponthieu accidently and unexpectedly and not the way Poitiers describes it</w:t>
      </w:r>
      <w:r w:rsidR="003334D5">
        <w:t>,</w:t>
      </w:r>
      <w:r w:rsidR="00E527F5">
        <w:t xml:space="preserve"> that he was sent.</w:t>
      </w:r>
      <w:r w:rsidR="00FC64B8">
        <w:t xml:space="preserve"> </w:t>
      </w:r>
    </w:p>
    <w:p w14:paraId="14F204EB" w14:textId="5E7BE1DF" w:rsidR="00D14219" w:rsidRDefault="00D14219" w:rsidP="00765E03">
      <w:pPr>
        <w:spacing w:line="480" w:lineRule="auto"/>
      </w:pPr>
      <w:r>
        <w:lastRenderedPageBreak/>
        <w:t xml:space="preserve">The </w:t>
      </w:r>
      <w:r w:rsidR="007D7473">
        <w:t xml:space="preserve">next </w:t>
      </w:r>
      <w:r>
        <w:t>section of Poitiers</w:t>
      </w:r>
      <w:r w:rsidR="007D32D3">
        <w:t xml:space="preserve"> extract discusses the oath that Harold took, he states it was taken at his own free will and goes on to word it in detail ‘that he would be the agent of Duke William at the court of King Edward for as long as the king lived; that he would try with all his authority and power, to ensure for him the possession of the Kingdom of England on Edward’s death.</w:t>
      </w:r>
      <w:r w:rsidR="007D32D3">
        <w:rPr>
          <w:rStyle w:val="FootnoteReference"/>
        </w:rPr>
        <w:footnoteReference w:id="12"/>
      </w:r>
      <w:r w:rsidR="007D32D3">
        <w:t xml:space="preserve">  Poitiers’s account of the oath is the only written version available, nowhere else are the details of the oath so clearly logged.</w:t>
      </w:r>
      <w:r w:rsidR="007D7473">
        <w:t xml:space="preserve"> </w:t>
      </w:r>
    </w:p>
    <w:p w14:paraId="51951F99" w14:textId="105067A4" w:rsidR="007D7473" w:rsidRDefault="007D7473" w:rsidP="00765E03">
      <w:pPr>
        <w:spacing w:line="480" w:lineRule="auto"/>
      </w:pPr>
      <w:r>
        <w:t>The final paragraph speaks of Harold leaving, as a very dear guest, William sent him home ‘loaded with presents’ and one of the two hostages, his nephew was freed as a mark of respect to Harold.</w:t>
      </w:r>
      <w:r w:rsidR="00C57FB5">
        <w:t xml:space="preserve">  Like a melodrama, Poitier</w:t>
      </w:r>
      <w:r w:rsidR="005916CF">
        <w:t>’</w:t>
      </w:r>
      <w:r w:rsidR="00C57FB5">
        <w:t xml:space="preserve">s </w:t>
      </w:r>
      <w:r w:rsidR="005916CF">
        <w:t>wording here, sets the scene for the ultimate betrayal.</w:t>
      </w:r>
    </w:p>
    <w:p w14:paraId="7E781264" w14:textId="7313F8B1" w:rsidR="005916CF" w:rsidRDefault="005916CF" w:rsidP="00765E03">
      <w:pPr>
        <w:spacing w:line="480" w:lineRule="auto"/>
      </w:pPr>
      <w:r>
        <w:t xml:space="preserve">The </w:t>
      </w:r>
      <w:r w:rsidRPr="005916CF">
        <w:rPr>
          <w:i/>
          <w:iCs/>
        </w:rPr>
        <w:t>Gesta Willelmi</w:t>
      </w:r>
      <w:r>
        <w:t xml:space="preserve"> is a mine of information of military tactics and the conduct of war in the eleventh century.</w:t>
      </w:r>
      <w:r>
        <w:rPr>
          <w:rStyle w:val="FootnoteReference"/>
        </w:rPr>
        <w:footnoteReference w:id="13"/>
      </w:r>
      <w:r w:rsidR="007C1945">
        <w:t xml:space="preserve">  I have no doubt that </w:t>
      </w:r>
      <w:proofErr w:type="gramStart"/>
      <w:r w:rsidR="007C1945">
        <w:t>it’s</w:t>
      </w:r>
      <w:proofErr w:type="gramEnd"/>
      <w:r w:rsidR="007C1945">
        <w:t xml:space="preserve"> a biased piece, its content could lead the reader to believe it’s a true account of events leading up to and causing the battle itself.</w:t>
      </w:r>
    </w:p>
    <w:p w14:paraId="60389403" w14:textId="75931EB6" w:rsidR="00C17B85" w:rsidRDefault="00C17B85" w:rsidP="00765E03">
      <w:pPr>
        <w:spacing w:line="480" w:lineRule="auto"/>
      </w:pPr>
    </w:p>
    <w:p w14:paraId="280E3457" w14:textId="43FAA9C6" w:rsidR="00C17B85" w:rsidRDefault="00C17B85" w:rsidP="00765E03">
      <w:pPr>
        <w:spacing w:line="480" w:lineRule="auto"/>
      </w:pPr>
    </w:p>
    <w:p w14:paraId="024FE54E" w14:textId="4E1C82AE" w:rsidR="00C17B85" w:rsidRDefault="00C17B85" w:rsidP="00765E03">
      <w:pPr>
        <w:spacing w:line="480" w:lineRule="auto"/>
      </w:pPr>
    </w:p>
    <w:p w14:paraId="36CE2089" w14:textId="1CC2F1A7" w:rsidR="00C17B85" w:rsidRDefault="00C17B85" w:rsidP="00765E03">
      <w:pPr>
        <w:spacing w:line="480" w:lineRule="auto"/>
      </w:pPr>
    </w:p>
    <w:p w14:paraId="7DBD4AE3" w14:textId="61EEE1A5" w:rsidR="00C17B85" w:rsidRDefault="00C17B85" w:rsidP="00765E03">
      <w:pPr>
        <w:spacing w:line="480" w:lineRule="auto"/>
      </w:pPr>
    </w:p>
    <w:p w14:paraId="24536876" w14:textId="2EDB3176" w:rsidR="00C17B85" w:rsidRDefault="00C17B85" w:rsidP="00765E03">
      <w:pPr>
        <w:spacing w:line="480" w:lineRule="auto"/>
      </w:pPr>
    </w:p>
    <w:p w14:paraId="2A05575B" w14:textId="29F50F95" w:rsidR="00C17B85" w:rsidRDefault="00C17B85" w:rsidP="00765E03">
      <w:pPr>
        <w:spacing w:line="480" w:lineRule="auto"/>
      </w:pPr>
    </w:p>
    <w:p w14:paraId="39639295" w14:textId="3BFB3499" w:rsidR="00C17B85" w:rsidRDefault="00C17B85" w:rsidP="00765E03">
      <w:pPr>
        <w:spacing w:line="480" w:lineRule="auto"/>
      </w:pPr>
    </w:p>
    <w:p w14:paraId="72CCFA51" w14:textId="77777777" w:rsidR="00C17B85" w:rsidRPr="005916CF" w:rsidRDefault="00C17B85" w:rsidP="00765E03">
      <w:pPr>
        <w:spacing w:line="480" w:lineRule="auto"/>
      </w:pPr>
    </w:p>
    <w:p w14:paraId="67752523" w14:textId="77777777" w:rsidR="00C17B85" w:rsidRDefault="00C17B85" w:rsidP="00C17B85">
      <w:pPr>
        <w:jc w:val="center"/>
        <w:rPr>
          <w:b/>
          <w:bCs/>
          <w:u w:val="single"/>
        </w:rPr>
      </w:pPr>
      <w:r w:rsidRPr="00AE339D">
        <w:rPr>
          <w:b/>
          <w:bCs/>
          <w:u w:val="single"/>
        </w:rPr>
        <w:t>Bibliography</w:t>
      </w:r>
    </w:p>
    <w:p w14:paraId="141EA535" w14:textId="77777777" w:rsidR="00C17B85" w:rsidRDefault="00C17B85" w:rsidP="00C17B85">
      <w:pPr>
        <w:rPr>
          <w:b/>
          <w:bCs/>
          <w:u w:val="single"/>
        </w:rPr>
      </w:pPr>
      <w:r>
        <w:rPr>
          <w:b/>
          <w:bCs/>
          <w:u w:val="single"/>
        </w:rPr>
        <w:t>Primary Sources</w:t>
      </w:r>
    </w:p>
    <w:p w14:paraId="76B48E89" w14:textId="77777777" w:rsidR="00C17B85" w:rsidRPr="00B13730" w:rsidRDefault="00C17B85" w:rsidP="00C17B85">
      <w:proofErr w:type="spellStart"/>
      <w:proofErr w:type="gramStart"/>
      <w:r w:rsidRPr="00B13730">
        <w:t>Guilelmus</w:t>
      </w:r>
      <w:proofErr w:type="spellEnd"/>
      <w:r w:rsidRPr="00B13730">
        <w:t>,,</w:t>
      </w:r>
      <w:proofErr w:type="gramEnd"/>
      <w:r w:rsidRPr="00B13730">
        <w:t xml:space="preserve"> Guillaume de Poitiers, William of William of Poitiers, </w:t>
      </w:r>
      <w:proofErr w:type="spellStart"/>
      <w:r w:rsidRPr="00B13730">
        <w:t>Gulielmus</w:t>
      </w:r>
      <w:proofErr w:type="spellEnd"/>
      <w:r w:rsidRPr="00B13730">
        <w:t xml:space="preserve"> </w:t>
      </w:r>
      <w:proofErr w:type="spellStart"/>
      <w:r w:rsidRPr="00B13730">
        <w:t>Pictaviensis</w:t>
      </w:r>
      <w:proofErr w:type="spellEnd"/>
      <w:r w:rsidRPr="00B13730">
        <w:t xml:space="preserve">, </w:t>
      </w:r>
      <w:proofErr w:type="spellStart"/>
      <w:r w:rsidRPr="00B13730">
        <w:t>Vilhelm</w:t>
      </w:r>
      <w:proofErr w:type="spellEnd"/>
      <w:r w:rsidRPr="00B13730">
        <w:t xml:space="preserve"> </w:t>
      </w:r>
      <w:proofErr w:type="spellStart"/>
      <w:r w:rsidRPr="00B13730">
        <w:t>av</w:t>
      </w:r>
      <w:proofErr w:type="spellEnd"/>
      <w:r w:rsidRPr="00B13730">
        <w:t xml:space="preserve"> Poitiers, The Gesta </w:t>
      </w:r>
      <w:proofErr w:type="spellStart"/>
      <w:r w:rsidRPr="00B13730">
        <w:t>Gvillelmi</w:t>
      </w:r>
      <w:proofErr w:type="spellEnd"/>
      <w:r w:rsidRPr="00B13730">
        <w:t xml:space="preserve"> of William of Poitiers, ed. by Marjorie Chibnall, Marjorie McCallum Chibnall, Ralph Henry Carless Davis, trans. by Marjorie Chibnall, Ralph Henry Carless Davis ([</w:t>
      </w:r>
      <w:proofErr w:type="spellStart"/>
      <w:r w:rsidRPr="00B13730">
        <w:t>n.p.</w:t>
      </w:r>
      <w:proofErr w:type="spellEnd"/>
      <w:r w:rsidRPr="00B13730">
        <w:t>]: Clarendon Press, 1998).</w:t>
      </w:r>
    </w:p>
    <w:p w14:paraId="07CD0506" w14:textId="77777777" w:rsidR="00C17B85" w:rsidRDefault="00C17B85" w:rsidP="00C17B85">
      <w:pPr>
        <w:rPr>
          <w:b/>
          <w:bCs/>
          <w:u w:val="single"/>
        </w:rPr>
      </w:pPr>
      <w:r>
        <w:rPr>
          <w:b/>
          <w:bCs/>
          <w:u w:val="single"/>
        </w:rPr>
        <w:t>Books</w:t>
      </w:r>
    </w:p>
    <w:p w14:paraId="5F467658" w14:textId="77777777" w:rsidR="00C17B85" w:rsidRDefault="00C17B85" w:rsidP="00C17B85">
      <w:r w:rsidRPr="00430AEB">
        <w:t>David Musgrove and Michael Lewis, The Story of the Bayeux Tapestry (London: Thames &amp; Hudson, 2021)</w:t>
      </w:r>
    </w:p>
    <w:p w14:paraId="2D36EC88" w14:textId="77777777" w:rsidR="00C17B85" w:rsidRDefault="00C17B85" w:rsidP="00C17B85">
      <w:r w:rsidRPr="00920159">
        <w:t>George Garnett, The Norman Conquest A very short introduction (Oxford: Oxford University Press, 2009)</w:t>
      </w:r>
    </w:p>
    <w:p w14:paraId="2F1CD9BA" w14:textId="77777777" w:rsidR="00C17B85" w:rsidRPr="00920159" w:rsidRDefault="00C17B85" w:rsidP="00C17B85">
      <w:r w:rsidRPr="00032C8B">
        <w:t xml:space="preserve">Emily </w:t>
      </w:r>
      <w:proofErr w:type="spellStart"/>
      <w:r w:rsidRPr="00032C8B">
        <w:t>Albu</w:t>
      </w:r>
      <w:proofErr w:type="spellEnd"/>
      <w:r w:rsidRPr="00032C8B">
        <w:t>, The Normans and their Histories (Woodbridge: The Boydell Press, 2001)</w:t>
      </w:r>
    </w:p>
    <w:p w14:paraId="00D97084" w14:textId="77777777" w:rsidR="00C17B85" w:rsidRDefault="00C17B85" w:rsidP="00C17B85">
      <w:pPr>
        <w:rPr>
          <w:b/>
          <w:bCs/>
          <w:u w:val="single"/>
        </w:rPr>
      </w:pPr>
      <w:r>
        <w:rPr>
          <w:b/>
          <w:bCs/>
          <w:u w:val="single"/>
        </w:rPr>
        <w:t>Articles</w:t>
      </w:r>
    </w:p>
    <w:p w14:paraId="30BE376B" w14:textId="77777777" w:rsidR="00C17B85" w:rsidRPr="001767BE" w:rsidRDefault="00C17B85" w:rsidP="00C17B85">
      <w:r w:rsidRPr="001767BE">
        <w:t>Roger D. Ray, '</w:t>
      </w:r>
      <w:proofErr w:type="spellStart"/>
      <w:r w:rsidRPr="001767BE">
        <w:t>Orderic</w:t>
      </w:r>
      <w:proofErr w:type="spellEnd"/>
      <w:r w:rsidRPr="001767BE">
        <w:t xml:space="preserve"> Vitalis and William of Poitiers: A Monastic reinterpretation of William the Conqueror', Revue </w:t>
      </w:r>
      <w:proofErr w:type="spellStart"/>
      <w:r w:rsidRPr="001767BE">
        <w:t>belge</w:t>
      </w:r>
      <w:proofErr w:type="spellEnd"/>
      <w:r w:rsidRPr="001767BE">
        <w:t xml:space="preserve"> de </w:t>
      </w:r>
      <w:proofErr w:type="spellStart"/>
      <w:r w:rsidRPr="001767BE">
        <w:t>Philologie</w:t>
      </w:r>
      <w:proofErr w:type="spellEnd"/>
      <w:r w:rsidRPr="001767BE">
        <w:t xml:space="preserve"> et </w:t>
      </w:r>
      <w:proofErr w:type="spellStart"/>
      <w:proofErr w:type="gramStart"/>
      <w:r w:rsidRPr="001767BE">
        <w:t>d'Histoire</w:t>
      </w:r>
      <w:proofErr w:type="spellEnd"/>
      <w:r w:rsidRPr="001767BE">
        <w:t xml:space="preserve"> ,</w:t>
      </w:r>
      <w:proofErr w:type="gramEnd"/>
      <w:r w:rsidRPr="001767BE">
        <w:t xml:space="preserve"> 50.4, (1972), 1116-1127 </w:t>
      </w:r>
    </w:p>
    <w:p w14:paraId="0C60D7F2" w14:textId="77777777" w:rsidR="00C17B85" w:rsidRDefault="00C17B85" w:rsidP="00C17B85">
      <w:pPr>
        <w:rPr>
          <w:b/>
          <w:bCs/>
          <w:u w:val="single"/>
        </w:rPr>
      </w:pPr>
    </w:p>
    <w:p w14:paraId="7A49163F" w14:textId="77777777" w:rsidR="00C17B85" w:rsidRDefault="00C17B85" w:rsidP="00C17B85">
      <w:pPr>
        <w:rPr>
          <w:b/>
          <w:bCs/>
          <w:u w:val="single"/>
        </w:rPr>
      </w:pPr>
    </w:p>
    <w:p w14:paraId="60E76157" w14:textId="77777777" w:rsidR="00C17B85" w:rsidRPr="00AE339D" w:rsidRDefault="00C17B85" w:rsidP="00C17B85">
      <w:pPr>
        <w:rPr>
          <w:b/>
          <w:bCs/>
          <w:u w:val="single"/>
        </w:rPr>
      </w:pPr>
    </w:p>
    <w:p w14:paraId="3F883358" w14:textId="77777777" w:rsidR="003334D5" w:rsidRDefault="003334D5" w:rsidP="00765E03">
      <w:pPr>
        <w:spacing w:line="480" w:lineRule="auto"/>
      </w:pPr>
    </w:p>
    <w:p w14:paraId="5397D35B" w14:textId="77777777" w:rsidR="00313F31" w:rsidRDefault="00313F31" w:rsidP="00765E03">
      <w:pPr>
        <w:spacing w:line="480" w:lineRule="auto"/>
      </w:pPr>
    </w:p>
    <w:p w14:paraId="408D4B29" w14:textId="77777777" w:rsidR="00260376" w:rsidRDefault="00260376" w:rsidP="00765E03">
      <w:pPr>
        <w:spacing w:line="480" w:lineRule="auto"/>
      </w:pPr>
    </w:p>
    <w:p w14:paraId="018A3E97" w14:textId="77777777" w:rsidR="00E13C77" w:rsidRDefault="00E13C77" w:rsidP="00765E03">
      <w:pPr>
        <w:spacing w:line="480" w:lineRule="auto"/>
      </w:pPr>
    </w:p>
    <w:p w14:paraId="7F39AD5F" w14:textId="77777777" w:rsidR="00765E03" w:rsidRPr="00E135C1" w:rsidRDefault="00765E03" w:rsidP="00746012"/>
    <w:sectPr w:rsidR="00765E03" w:rsidRPr="00E13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95300" w14:textId="77777777" w:rsidR="00BF0A0F" w:rsidRDefault="00BF0A0F" w:rsidP="00430DCA">
      <w:pPr>
        <w:spacing w:after="0" w:line="240" w:lineRule="auto"/>
      </w:pPr>
      <w:r>
        <w:separator/>
      </w:r>
    </w:p>
  </w:endnote>
  <w:endnote w:type="continuationSeparator" w:id="0">
    <w:p w14:paraId="62CB3F93" w14:textId="77777777" w:rsidR="00BF0A0F" w:rsidRDefault="00BF0A0F" w:rsidP="00430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4309C" w14:textId="77777777" w:rsidR="00BF0A0F" w:rsidRDefault="00BF0A0F" w:rsidP="00430DCA">
      <w:pPr>
        <w:spacing w:after="0" w:line="240" w:lineRule="auto"/>
      </w:pPr>
      <w:r>
        <w:separator/>
      </w:r>
    </w:p>
  </w:footnote>
  <w:footnote w:type="continuationSeparator" w:id="0">
    <w:p w14:paraId="1C27EB95" w14:textId="77777777" w:rsidR="00BF0A0F" w:rsidRDefault="00BF0A0F" w:rsidP="00430DCA">
      <w:pPr>
        <w:spacing w:after="0" w:line="240" w:lineRule="auto"/>
      </w:pPr>
      <w:r>
        <w:continuationSeparator/>
      </w:r>
    </w:p>
  </w:footnote>
  <w:footnote w:id="1">
    <w:p w14:paraId="655307B4" w14:textId="4A2DD5DE" w:rsidR="00430DCA" w:rsidRDefault="00430DCA">
      <w:pPr>
        <w:pStyle w:val="FootnoteText"/>
      </w:pPr>
      <w:r>
        <w:rPr>
          <w:rStyle w:val="FootnoteReference"/>
        </w:rPr>
        <w:footnoteRef/>
      </w:r>
      <w:r>
        <w:t xml:space="preserve"> </w:t>
      </w:r>
      <w:r w:rsidRPr="00430DCA">
        <w:t>Roger D. Ray, '</w:t>
      </w:r>
      <w:proofErr w:type="spellStart"/>
      <w:r w:rsidRPr="00430DCA">
        <w:t>Orderic</w:t>
      </w:r>
      <w:proofErr w:type="spellEnd"/>
      <w:r w:rsidRPr="00430DCA">
        <w:t xml:space="preserve"> Vitalis and William of Poitiers: A Monastic reinterpretation of William the Conqueror', Revue </w:t>
      </w:r>
      <w:proofErr w:type="spellStart"/>
      <w:r w:rsidRPr="00430DCA">
        <w:t>belge</w:t>
      </w:r>
      <w:proofErr w:type="spellEnd"/>
      <w:r w:rsidRPr="00430DCA">
        <w:t xml:space="preserve"> de </w:t>
      </w:r>
      <w:proofErr w:type="spellStart"/>
      <w:r w:rsidRPr="00430DCA">
        <w:t>Philologie</w:t>
      </w:r>
      <w:proofErr w:type="spellEnd"/>
      <w:r w:rsidRPr="00430DCA">
        <w:t xml:space="preserve"> et </w:t>
      </w:r>
      <w:proofErr w:type="spellStart"/>
      <w:proofErr w:type="gramStart"/>
      <w:r w:rsidRPr="00430DCA">
        <w:t>d'Histoire</w:t>
      </w:r>
      <w:proofErr w:type="spellEnd"/>
      <w:r w:rsidRPr="00430DCA">
        <w:t xml:space="preserve"> ,</w:t>
      </w:r>
      <w:proofErr w:type="gramEnd"/>
      <w:r w:rsidRPr="00430DCA">
        <w:t xml:space="preserve"> 50.4, (1972), 1116-1127 (p. 1116).</w:t>
      </w:r>
    </w:p>
  </w:footnote>
  <w:footnote w:id="2">
    <w:p w14:paraId="25F86E01" w14:textId="1C963F09" w:rsidR="00C9532E" w:rsidRDefault="00C9532E">
      <w:pPr>
        <w:pStyle w:val="FootnoteText"/>
      </w:pPr>
      <w:r>
        <w:rPr>
          <w:rStyle w:val="FootnoteReference"/>
        </w:rPr>
        <w:footnoteRef/>
      </w:r>
      <w:r>
        <w:t xml:space="preserve"> </w:t>
      </w:r>
      <w:r w:rsidRPr="00C9532E">
        <w:t>David Musgrove and Michael Lewis, The Story of the Bayeux Tapestry (London: Thames &amp; Hudson, 2021), p. 3</w:t>
      </w:r>
      <w:r>
        <w:t>07</w:t>
      </w:r>
      <w:r w:rsidRPr="00C9532E">
        <w:t>.</w:t>
      </w:r>
    </w:p>
  </w:footnote>
  <w:footnote w:id="3">
    <w:p w14:paraId="66579BB6" w14:textId="0B269992" w:rsidR="007B08C5" w:rsidRDefault="007B08C5">
      <w:pPr>
        <w:pStyle w:val="FootnoteText"/>
      </w:pPr>
      <w:r>
        <w:rPr>
          <w:rStyle w:val="FootnoteReference"/>
        </w:rPr>
        <w:footnoteRef/>
      </w:r>
      <w:bookmarkStart w:id="0" w:name="_Hlk69904778"/>
      <w:r w:rsidRPr="007B08C5">
        <w:t>David Musgrove and Michael Lewis, The Story of the Bayeux Tapestry (London: Thames &amp; Hudson, 2021), p. 33.</w:t>
      </w:r>
      <w:r>
        <w:t xml:space="preserve"> </w:t>
      </w:r>
      <w:bookmarkEnd w:id="0"/>
    </w:p>
  </w:footnote>
  <w:footnote w:id="4">
    <w:p w14:paraId="20A930A4" w14:textId="0E5B5218" w:rsidR="00531A34" w:rsidRDefault="00531A34">
      <w:pPr>
        <w:pStyle w:val="FootnoteText"/>
      </w:pPr>
      <w:r>
        <w:rPr>
          <w:rStyle w:val="FootnoteReference"/>
        </w:rPr>
        <w:footnoteRef/>
      </w:r>
      <w:r>
        <w:t xml:space="preserve"> </w:t>
      </w:r>
      <w:r w:rsidRPr="00531A34">
        <w:t>George Garnett, The Norman Conquest A very short introduction (Oxford: Oxford University Press, 2009), p. 2.</w:t>
      </w:r>
    </w:p>
  </w:footnote>
  <w:footnote w:id="5">
    <w:p w14:paraId="35C5800E" w14:textId="06E537D6" w:rsidR="00F0480C" w:rsidRDefault="00F0480C">
      <w:pPr>
        <w:pStyle w:val="FootnoteText"/>
      </w:pPr>
      <w:r>
        <w:rPr>
          <w:rStyle w:val="FootnoteReference"/>
        </w:rPr>
        <w:footnoteRef/>
      </w:r>
      <w:r>
        <w:t xml:space="preserve"> </w:t>
      </w:r>
      <w:r w:rsidRPr="00F0480C">
        <w:t xml:space="preserve">Emily </w:t>
      </w:r>
      <w:proofErr w:type="spellStart"/>
      <w:r w:rsidRPr="00F0480C">
        <w:t>Albu</w:t>
      </w:r>
      <w:proofErr w:type="spellEnd"/>
      <w:r w:rsidRPr="00F0480C">
        <w:t>, The Normans and their Histories (Woodbridge: The Boydell Press, 2001), p. 83.</w:t>
      </w:r>
    </w:p>
  </w:footnote>
  <w:footnote w:id="6">
    <w:p w14:paraId="0136C9E2" w14:textId="4BCD0B7A" w:rsidR="00054429" w:rsidRDefault="00054429">
      <w:pPr>
        <w:pStyle w:val="FootnoteText"/>
      </w:pPr>
      <w:r>
        <w:rPr>
          <w:rStyle w:val="FootnoteReference"/>
        </w:rPr>
        <w:footnoteRef/>
      </w:r>
      <w:r>
        <w:t xml:space="preserve"> </w:t>
      </w:r>
      <w:bookmarkStart w:id="1" w:name="_Hlk69923998"/>
      <w:r>
        <w:t>William of Poitiers, Gesta Willelmi ducis Normannorum et regis Anglorum (Course Handbook)</w:t>
      </w:r>
      <w:bookmarkEnd w:id="1"/>
    </w:p>
  </w:footnote>
  <w:footnote w:id="7">
    <w:p w14:paraId="3928ABD5" w14:textId="61D3EF6F" w:rsidR="00D1560A" w:rsidRDefault="00D1560A">
      <w:pPr>
        <w:pStyle w:val="FootnoteText"/>
      </w:pPr>
      <w:r>
        <w:rPr>
          <w:rStyle w:val="FootnoteReference"/>
        </w:rPr>
        <w:footnoteRef/>
      </w:r>
      <w:r>
        <w:t xml:space="preserve"> </w:t>
      </w:r>
      <w:r w:rsidRPr="00D1560A">
        <w:t>William of Poitiers, Gesta Willelmi ducis Normannorum et regis Anglorum (Course Handbook)</w:t>
      </w:r>
    </w:p>
  </w:footnote>
  <w:footnote w:id="8">
    <w:p w14:paraId="1E2D78D1" w14:textId="50BAA6AC" w:rsidR="008B6A91" w:rsidRDefault="008B6A91">
      <w:pPr>
        <w:pStyle w:val="FootnoteText"/>
      </w:pPr>
      <w:r>
        <w:rPr>
          <w:rStyle w:val="FootnoteReference"/>
        </w:rPr>
        <w:footnoteRef/>
      </w:r>
      <w:r w:rsidRPr="008B6A91">
        <w:t>William of Poitiers, Gesta Willelmi ducis Normannorum et regis Anglorum (Course Handbook)</w:t>
      </w:r>
      <w:r>
        <w:t xml:space="preserve"> </w:t>
      </w:r>
    </w:p>
  </w:footnote>
  <w:footnote w:id="9">
    <w:p w14:paraId="00A0E21E" w14:textId="022EC4D5" w:rsidR="000F0E79" w:rsidRDefault="000F0E79">
      <w:pPr>
        <w:pStyle w:val="FootnoteText"/>
      </w:pPr>
      <w:r>
        <w:rPr>
          <w:rStyle w:val="FootnoteReference"/>
        </w:rPr>
        <w:footnoteRef/>
      </w:r>
      <w:r>
        <w:t xml:space="preserve"> </w:t>
      </w:r>
      <w:bookmarkStart w:id="2" w:name="_Hlk69932882"/>
      <w:r w:rsidRPr="000F0E79">
        <w:t>William of Poitiers, Gesta Willelmi ducis Normannorum et regis Anglorum (Course Handbook)</w:t>
      </w:r>
      <w:bookmarkEnd w:id="2"/>
    </w:p>
  </w:footnote>
  <w:footnote w:id="10">
    <w:p w14:paraId="5575D851" w14:textId="155CAC7B" w:rsidR="000F0E79" w:rsidRDefault="000F0E79">
      <w:pPr>
        <w:pStyle w:val="FootnoteText"/>
      </w:pPr>
      <w:r>
        <w:rPr>
          <w:rStyle w:val="FootnoteReference"/>
        </w:rPr>
        <w:footnoteRef/>
      </w:r>
      <w:r>
        <w:t xml:space="preserve"> </w:t>
      </w:r>
      <w:r w:rsidRPr="000F0E79">
        <w:t xml:space="preserve">David Musgrove and Michael Lewis, The Story of the Bayeux Tapestry (London: Thames &amp; Hudson, 2021), p. </w:t>
      </w:r>
      <w:r>
        <w:t>103.</w:t>
      </w:r>
    </w:p>
  </w:footnote>
  <w:footnote w:id="11">
    <w:p w14:paraId="4B2322C1" w14:textId="20E142C1" w:rsidR="00313F31" w:rsidRDefault="00313F31">
      <w:pPr>
        <w:pStyle w:val="FootnoteText"/>
      </w:pPr>
      <w:r>
        <w:rPr>
          <w:rStyle w:val="FootnoteReference"/>
        </w:rPr>
        <w:footnoteRef/>
      </w:r>
      <w:r>
        <w:t xml:space="preserve"> </w:t>
      </w:r>
      <w:r w:rsidRPr="00313F31">
        <w:t xml:space="preserve">David Musgrove and Michael Lewis, The Story of the Bayeux Tapestry (London: Thames &amp; Hudson, 2021), p. </w:t>
      </w:r>
      <w:r>
        <w:t>10</w:t>
      </w:r>
      <w:r w:rsidRPr="00313F31">
        <w:t>3.</w:t>
      </w:r>
    </w:p>
  </w:footnote>
  <w:footnote w:id="12">
    <w:p w14:paraId="785DFF0F" w14:textId="7EB2E8F9" w:rsidR="007D32D3" w:rsidRDefault="007D32D3">
      <w:pPr>
        <w:pStyle w:val="FootnoteText"/>
      </w:pPr>
      <w:r>
        <w:rPr>
          <w:rStyle w:val="FootnoteReference"/>
        </w:rPr>
        <w:footnoteRef/>
      </w:r>
      <w:r>
        <w:t xml:space="preserve"> </w:t>
      </w:r>
      <w:r w:rsidRPr="007D32D3">
        <w:t>William of Poitiers, Gesta Willelmi ducis Normannorum et regis Anglorum (Course Handbook)</w:t>
      </w:r>
    </w:p>
  </w:footnote>
  <w:footnote w:id="13">
    <w:p w14:paraId="3CEDF018" w14:textId="7920DF48" w:rsidR="005916CF" w:rsidRDefault="005916CF">
      <w:pPr>
        <w:pStyle w:val="FootnoteText"/>
      </w:pPr>
      <w:r>
        <w:rPr>
          <w:rStyle w:val="FootnoteReference"/>
        </w:rPr>
        <w:footnoteRef/>
      </w:r>
      <w:r>
        <w:t xml:space="preserve"> </w:t>
      </w:r>
      <w:proofErr w:type="spellStart"/>
      <w:proofErr w:type="gramStart"/>
      <w:r w:rsidRPr="005916CF">
        <w:t>Guilelmus</w:t>
      </w:r>
      <w:proofErr w:type="spellEnd"/>
      <w:r w:rsidRPr="005916CF">
        <w:t>,,</w:t>
      </w:r>
      <w:proofErr w:type="gramEnd"/>
      <w:r w:rsidRPr="005916CF">
        <w:t xml:space="preserve"> Guillaume de Poitiers, William of William of Poitiers, </w:t>
      </w:r>
      <w:proofErr w:type="spellStart"/>
      <w:r w:rsidRPr="005916CF">
        <w:t>Gulielmus</w:t>
      </w:r>
      <w:proofErr w:type="spellEnd"/>
      <w:r w:rsidRPr="005916CF">
        <w:t xml:space="preserve"> </w:t>
      </w:r>
      <w:proofErr w:type="spellStart"/>
      <w:r w:rsidRPr="005916CF">
        <w:t>Pictaviensis</w:t>
      </w:r>
      <w:proofErr w:type="spellEnd"/>
      <w:r w:rsidRPr="005916CF">
        <w:t xml:space="preserve">, </w:t>
      </w:r>
      <w:proofErr w:type="spellStart"/>
      <w:r w:rsidRPr="005916CF">
        <w:t>Vilhelm</w:t>
      </w:r>
      <w:proofErr w:type="spellEnd"/>
      <w:r w:rsidRPr="005916CF">
        <w:t xml:space="preserve"> </w:t>
      </w:r>
      <w:proofErr w:type="spellStart"/>
      <w:r w:rsidRPr="005916CF">
        <w:t>av</w:t>
      </w:r>
      <w:proofErr w:type="spellEnd"/>
      <w:r w:rsidRPr="005916CF">
        <w:t xml:space="preserve"> Poitiers, The Gesta </w:t>
      </w:r>
      <w:proofErr w:type="spellStart"/>
      <w:r w:rsidRPr="005916CF">
        <w:t>Gvillelmi</w:t>
      </w:r>
      <w:proofErr w:type="spellEnd"/>
      <w:r w:rsidRPr="005916CF">
        <w:t xml:space="preserve"> of William of Poitiers, ed. by Marjorie Chibnall, Marjorie McCallum Chibnall, Ralph Henry Carless Davis, trans. by Marjorie Chibnall, Ralph Henry Carless Davis ([</w:t>
      </w:r>
      <w:proofErr w:type="spellStart"/>
      <w:r w:rsidRPr="005916CF">
        <w:t>n.p.</w:t>
      </w:r>
      <w:proofErr w:type="spellEnd"/>
      <w:r w:rsidRPr="005916CF">
        <w:t>]: Clarendon Press, 1998).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5C1"/>
    <w:rsid w:val="00054429"/>
    <w:rsid w:val="000E136E"/>
    <w:rsid w:val="000F0E79"/>
    <w:rsid w:val="00154274"/>
    <w:rsid w:val="001802D5"/>
    <w:rsid w:val="001D1216"/>
    <w:rsid w:val="00260376"/>
    <w:rsid w:val="00292460"/>
    <w:rsid w:val="00313F31"/>
    <w:rsid w:val="003334D5"/>
    <w:rsid w:val="00430DCA"/>
    <w:rsid w:val="00531A34"/>
    <w:rsid w:val="005916CF"/>
    <w:rsid w:val="00746012"/>
    <w:rsid w:val="00765E03"/>
    <w:rsid w:val="007B08C5"/>
    <w:rsid w:val="007C1945"/>
    <w:rsid w:val="007D32D3"/>
    <w:rsid w:val="007D7473"/>
    <w:rsid w:val="008121C2"/>
    <w:rsid w:val="008B6A91"/>
    <w:rsid w:val="009B0830"/>
    <w:rsid w:val="009C3A51"/>
    <w:rsid w:val="00A524AC"/>
    <w:rsid w:val="00AD10F7"/>
    <w:rsid w:val="00BF0A0F"/>
    <w:rsid w:val="00C17B85"/>
    <w:rsid w:val="00C57FB5"/>
    <w:rsid w:val="00C87603"/>
    <w:rsid w:val="00C9532E"/>
    <w:rsid w:val="00CA22E1"/>
    <w:rsid w:val="00D14219"/>
    <w:rsid w:val="00D1560A"/>
    <w:rsid w:val="00D609EE"/>
    <w:rsid w:val="00D671BE"/>
    <w:rsid w:val="00D80AB4"/>
    <w:rsid w:val="00DD6A77"/>
    <w:rsid w:val="00DF1A3D"/>
    <w:rsid w:val="00E135C1"/>
    <w:rsid w:val="00E13C77"/>
    <w:rsid w:val="00E527F5"/>
    <w:rsid w:val="00E85D14"/>
    <w:rsid w:val="00EC1C39"/>
    <w:rsid w:val="00EE4B47"/>
    <w:rsid w:val="00F0480C"/>
    <w:rsid w:val="00F12572"/>
    <w:rsid w:val="00FB4031"/>
    <w:rsid w:val="00FC6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1C8BA"/>
  <w15:chartTrackingRefBased/>
  <w15:docId w15:val="{8FC383F2-1B1C-4B6B-B970-1F181A22C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30D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0DCA"/>
    <w:rPr>
      <w:sz w:val="20"/>
      <w:szCs w:val="20"/>
    </w:rPr>
  </w:style>
  <w:style w:type="character" w:styleId="FootnoteReference">
    <w:name w:val="footnote reference"/>
    <w:basedOn w:val="DefaultParagraphFont"/>
    <w:uiPriority w:val="99"/>
    <w:semiHidden/>
    <w:unhideWhenUsed/>
    <w:rsid w:val="00430DC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06D8D-7191-4E23-B0F1-3B38E77E8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861</Words>
  <Characters>4913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Mann (1602593)</dc:creator>
  <cp:keywords/>
  <dc:description/>
  <cp:lastModifiedBy>Claire Louise Mann (1602593)</cp:lastModifiedBy>
  <cp:revision>2</cp:revision>
  <dcterms:created xsi:type="dcterms:W3CDTF">2021-04-21T20:57:00Z</dcterms:created>
  <dcterms:modified xsi:type="dcterms:W3CDTF">2021-04-21T20:57:00Z</dcterms:modified>
</cp:coreProperties>
</file>