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914991" w14:textId="273C1C70" w:rsidR="00304402" w:rsidRDefault="00F164E4" w:rsidP="00F164E4">
      <w:pPr>
        <w:pStyle w:val="Title"/>
        <w:jc w:val="center"/>
        <w:rPr>
          <w:b/>
          <w:sz w:val="44"/>
          <w:u w:val="single"/>
        </w:rPr>
      </w:pPr>
      <w:r w:rsidRPr="00F164E4">
        <w:rPr>
          <w:b/>
          <w:sz w:val="44"/>
          <w:u w:val="single"/>
        </w:rPr>
        <w:t>Crusades</w:t>
      </w:r>
      <w:r w:rsidR="00B16239">
        <w:rPr>
          <w:b/>
          <w:sz w:val="44"/>
          <w:u w:val="single"/>
        </w:rPr>
        <w:t xml:space="preserve">: </w:t>
      </w:r>
      <w:r w:rsidRPr="00F164E4">
        <w:rPr>
          <w:b/>
          <w:sz w:val="44"/>
          <w:u w:val="single"/>
        </w:rPr>
        <w:t>Assessment 1 – By Matt</w:t>
      </w:r>
      <w:r w:rsidR="00B16239">
        <w:rPr>
          <w:b/>
          <w:sz w:val="44"/>
          <w:u w:val="single"/>
        </w:rPr>
        <w:t>hew</w:t>
      </w:r>
      <w:r w:rsidRPr="00F164E4">
        <w:rPr>
          <w:b/>
          <w:sz w:val="44"/>
          <w:u w:val="single"/>
        </w:rPr>
        <w:t xml:space="preserve"> Cowley</w:t>
      </w:r>
    </w:p>
    <w:p w14:paraId="54BFEB35" w14:textId="77777777" w:rsidR="00F164E4" w:rsidRDefault="00F164E4" w:rsidP="00F164E4"/>
    <w:p w14:paraId="6F16D697" w14:textId="3A9636AA" w:rsidR="00433874" w:rsidRDefault="00F164E4" w:rsidP="00F164E4">
      <w:pPr>
        <w:rPr>
          <w:b/>
          <w:sz w:val="28"/>
        </w:rPr>
      </w:pPr>
      <w:r w:rsidRPr="004824E3">
        <w:rPr>
          <w:b/>
          <w:sz w:val="28"/>
        </w:rPr>
        <w:t xml:space="preserve">Q. </w:t>
      </w:r>
      <w:r w:rsidR="00A86411" w:rsidRPr="004824E3">
        <w:rPr>
          <w:b/>
          <w:sz w:val="28"/>
        </w:rPr>
        <w:t>Were all enemies of the crusaders seen in the same light?</w:t>
      </w:r>
    </w:p>
    <w:p w14:paraId="2FBBDA25" w14:textId="77777777" w:rsidR="00C2711B" w:rsidRPr="00C2711B" w:rsidRDefault="00C2711B" w:rsidP="00F164E4">
      <w:pPr>
        <w:rPr>
          <w:b/>
          <w:sz w:val="28"/>
        </w:rPr>
      </w:pPr>
    </w:p>
    <w:p w14:paraId="5ABA0FF9" w14:textId="2D149121" w:rsidR="002464F3" w:rsidRDefault="00433874" w:rsidP="00DB388C">
      <w:pPr>
        <w:spacing w:line="360" w:lineRule="auto"/>
        <w:rPr>
          <w:color w:val="000000" w:themeColor="text1"/>
        </w:rPr>
      </w:pPr>
      <w:r w:rsidRPr="00877578">
        <w:rPr>
          <w:color w:val="000000" w:themeColor="text1"/>
        </w:rPr>
        <w:t xml:space="preserve">Following Pope Urban II’s </w:t>
      </w:r>
      <w:r w:rsidR="00E12C4E" w:rsidRPr="00877578">
        <w:rPr>
          <w:color w:val="000000" w:themeColor="text1"/>
        </w:rPr>
        <w:t xml:space="preserve">speech </w:t>
      </w:r>
      <w:r w:rsidRPr="00877578">
        <w:rPr>
          <w:color w:val="000000" w:themeColor="text1"/>
        </w:rPr>
        <w:t>at Clermont, France, in 1095</w:t>
      </w:r>
      <w:r w:rsidR="00EC68AC">
        <w:rPr>
          <w:color w:val="000000" w:themeColor="text1"/>
        </w:rPr>
        <w:t xml:space="preserve"> AD</w:t>
      </w:r>
      <w:r w:rsidRPr="00877578">
        <w:rPr>
          <w:color w:val="000000" w:themeColor="text1"/>
        </w:rPr>
        <w:t xml:space="preserve">, </w:t>
      </w:r>
      <w:r w:rsidR="00E12C4E" w:rsidRPr="00877578">
        <w:rPr>
          <w:color w:val="000000" w:themeColor="text1"/>
        </w:rPr>
        <w:t xml:space="preserve">many Europeans answered his call, took up arms and joined </w:t>
      </w:r>
      <w:r w:rsidR="00162792" w:rsidRPr="00877578">
        <w:rPr>
          <w:color w:val="000000" w:themeColor="text1"/>
        </w:rPr>
        <w:t xml:space="preserve">what we now know as </w:t>
      </w:r>
      <w:r w:rsidR="00E12C4E" w:rsidRPr="00877578">
        <w:rPr>
          <w:color w:val="000000" w:themeColor="text1"/>
        </w:rPr>
        <w:t>the First</w:t>
      </w:r>
      <w:r w:rsidRPr="00877578">
        <w:rPr>
          <w:color w:val="000000" w:themeColor="text1"/>
        </w:rPr>
        <w:t xml:space="preserve"> </w:t>
      </w:r>
      <w:r w:rsidR="00E12C4E" w:rsidRPr="00877578">
        <w:rPr>
          <w:color w:val="000000" w:themeColor="text1"/>
        </w:rPr>
        <w:t>C</w:t>
      </w:r>
      <w:r w:rsidRPr="00877578">
        <w:rPr>
          <w:color w:val="000000" w:themeColor="text1"/>
        </w:rPr>
        <w:t>rusad</w:t>
      </w:r>
      <w:r w:rsidR="00E12C4E" w:rsidRPr="00877578">
        <w:rPr>
          <w:color w:val="000000" w:themeColor="text1"/>
        </w:rPr>
        <w:t>e</w:t>
      </w:r>
      <w:r w:rsidR="008B10CC">
        <w:rPr>
          <w:color w:val="000000" w:themeColor="text1"/>
        </w:rPr>
        <w:t>.</w:t>
      </w:r>
      <w:r w:rsidR="00B835CF" w:rsidRPr="00877578">
        <w:rPr>
          <w:rStyle w:val="FootnoteReference"/>
          <w:color w:val="000000" w:themeColor="text1"/>
        </w:rPr>
        <w:footnoteReference w:id="1"/>
      </w:r>
      <w:r w:rsidR="00162792" w:rsidRPr="00877578">
        <w:rPr>
          <w:color w:val="000000" w:themeColor="text1"/>
        </w:rPr>
        <w:t xml:space="preserve"> </w:t>
      </w:r>
      <w:r w:rsidR="00877578" w:rsidRPr="00877578">
        <w:rPr>
          <w:color w:val="000000" w:themeColor="text1"/>
        </w:rPr>
        <w:t>The Crusades, which according</w:t>
      </w:r>
      <w:r w:rsidR="00162792" w:rsidRPr="00877578">
        <w:rPr>
          <w:color w:val="000000" w:themeColor="text1"/>
        </w:rPr>
        <w:t xml:space="preserve"> to the Oxford English Dictionary</w:t>
      </w:r>
      <w:r w:rsidR="00877578" w:rsidRPr="00877578">
        <w:rPr>
          <w:color w:val="000000" w:themeColor="text1"/>
        </w:rPr>
        <w:t xml:space="preserve">, </w:t>
      </w:r>
      <w:r w:rsidR="00877578">
        <w:rPr>
          <w:color w:val="000000" w:themeColor="text1"/>
        </w:rPr>
        <w:t>were</w:t>
      </w:r>
      <w:r w:rsidR="00681AB8">
        <w:rPr>
          <w:color w:val="000000" w:themeColor="text1"/>
        </w:rPr>
        <w:t xml:space="preserve"> a</w:t>
      </w:r>
      <w:r w:rsidR="00877578">
        <w:rPr>
          <w:color w:val="000000" w:themeColor="text1"/>
        </w:rPr>
        <w:t xml:space="preserve"> set of</w:t>
      </w:r>
      <w:r w:rsidR="00162792" w:rsidRPr="00877578">
        <w:rPr>
          <w:color w:val="000000" w:themeColor="text1"/>
        </w:rPr>
        <w:t xml:space="preserve"> military campaign</w:t>
      </w:r>
      <w:r w:rsidR="00784FEE">
        <w:rPr>
          <w:color w:val="000000" w:themeColor="text1"/>
        </w:rPr>
        <w:t>s</w:t>
      </w:r>
      <w:r w:rsidR="00162792" w:rsidRPr="00877578">
        <w:rPr>
          <w:color w:val="000000" w:themeColor="text1"/>
        </w:rPr>
        <w:t xml:space="preserve"> in the Middle Ages </w:t>
      </w:r>
      <w:r w:rsidR="0050781F" w:rsidRPr="00877578">
        <w:rPr>
          <w:color w:val="000000" w:themeColor="text1"/>
        </w:rPr>
        <w:t>that</w:t>
      </w:r>
      <w:r w:rsidR="00162792" w:rsidRPr="00877578">
        <w:rPr>
          <w:color w:val="000000" w:themeColor="text1"/>
        </w:rPr>
        <w:t xml:space="preserve"> had the aim of reclaiming the Holy Land</w:t>
      </w:r>
      <w:r w:rsidR="00877578">
        <w:rPr>
          <w:color w:val="000000" w:themeColor="text1"/>
        </w:rPr>
        <w:t xml:space="preserve">, although </w:t>
      </w:r>
      <w:r w:rsidR="00877578" w:rsidRPr="00877578">
        <w:rPr>
          <w:color w:val="000000" w:themeColor="text1"/>
        </w:rPr>
        <w:t xml:space="preserve">aiding </w:t>
      </w:r>
      <w:r w:rsidR="00877578">
        <w:rPr>
          <w:color w:val="000000" w:themeColor="text1"/>
        </w:rPr>
        <w:t xml:space="preserve">the </w:t>
      </w:r>
      <w:r w:rsidR="00877578" w:rsidRPr="00877578">
        <w:rPr>
          <w:color w:val="000000" w:themeColor="text1"/>
        </w:rPr>
        <w:t>Eastern Christians (Greeks), indulgence</w:t>
      </w:r>
      <w:r w:rsidR="00784FEE">
        <w:rPr>
          <w:color w:val="000000" w:themeColor="text1"/>
        </w:rPr>
        <w:t xml:space="preserve"> (removal of sins)</w:t>
      </w:r>
      <w:r w:rsidR="00877578" w:rsidRPr="00877578">
        <w:rPr>
          <w:color w:val="000000" w:themeColor="text1"/>
        </w:rPr>
        <w:t xml:space="preserve"> and profit can equally be suggested as aims</w:t>
      </w:r>
      <w:r w:rsidR="00EC68AC">
        <w:rPr>
          <w:color w:val="000000" w:themeColor="text1"/>
        </w:rPr>
        <w:t xml:space="preserve"> instead</w:t>
      </w:r>
      <w:r w:rsidR="00877578">
        <w:rPr>
          <w:color w:val="000000" w:themeColor="text1"/>
        </w:rPr>
        <w:t>.</w:t>
      </w:r>
      <w:r w:rsidR="00162792" w:rsidRPr="00877578">
        <w:rPr>
          <w:rStyle w:val="FootnoteReference"/>
          <w:color w:val="000000" w:themeColor="text1"/>
        </w:rPr>
        <w:footnoteReference w:id="2"/>
      </w:r>
      <w:r w:rsidR="0050781F" w:rsidRPr="00877578">
        <w:rPr>
          <w:color w:val="000000" w:themeColor="text1"/>
        </w:rPr>
        <w:t xml:space="preserve"> </w:t>
      </w:r>
      <w:r w:rsidR="00CC1EAB" w:rsidRPr="00877578">
        <w:rPr>
          <w:color w:val="000000" w:themeColor="text1"/>
        </w:rPr>
        <w:t>Furthermore</w:t>
      </w:r>
      <w:r w:rsidR="00180D6D" w:rsidRPr="00877578">
        <w:rPr>
          <w:color w:val="000000" w:themeColor="text1"/>
        </w:rPr>
        <w:t>, t</w:t>
      </w:r>
      <w:r w:rsidR="00A55DD0" w:rsidRPr="00877578">
        <w:rPr>
          <w:color w:val="000000" w:themeColor="text1"/>
        </w:rPr>
        <w:t>he reasoning</w:t>
      </w:r>
      <w:r w:rsidR="00A55DD0">
        <w:rPr>
          <w:color w:val="000000" w:themeColor="text1"/>
        </w:rPr>
        <w:t xml:space="preserve"> behind why the First Crusade is the primary focus of this essay is that it alone can provide all the required examples</w:t>
      </w:r>
      <w:r w:rsidR="00906278">
        <w:rPr>
          <w:color w:val="000000" w:themeColor="text1"/>
        </w:rPr>
        <w:t xml:space="preserve"> necessary</w:t>
      </w:r>
      <w:r w:rsidR="00A55DD0">
        <w:rPr>
          <w:color w:val="000000" w:themeColor="text1"/>
        </w:rPr>
        <w:t xml:space="preserve"> to demonstrate that</w:t>
      </w:r>
      <w:r w:rsidR="00180D6D">
        <w:rPr>
          <w:color w:val="000000" w:themeColor="text1"/>
        </w:rPr>
        <w:t xml:space="preserve"> </w:t>
      </w:r>
      <w:r w:rsidR="00A55DD0">
        <w:rPr>
          <w:color w:val="000000" w:themeColor="text1"/>
        </w:rPr>
        <w:t>all the enemies</w:t>
      </w:r>
      <w:r w:rsidR="00913887">
        <w:rPr>
          <w:color w:val="000000" w:themeColor="text1"/>
        </w:rPr>
        <w:t xml:space="preserve">, whether they be Jewish, Greek, Muslim, or </w:t>
      </w:r>
      <w:r w:rsidR="00906278">
        <w:rPr>
          <w:color w:val="000000" w:themeColor="text1"/>
        </w:rPr>
        <w:t>heretical</w:t>
      </w:r>
      <w:r w:rsidR="00913887">
        <w:rPr>
          <w:color w:val="000000" w:themeColor="text1"/>
        </w:rPr>
        <w:t>,</w:t>
      </w:r>
      <w:r w:rsidR="00A55DD0">
        <w:rPr>
          <w:color w:val="000000" w:themeColor="text1"/>
        </w:rPr>
        <w:t xml:space="preserve"> were </w:t>
      </w:r>
      <w:r w:rsidR="00180D6D">
        <w:rPr>
          <w:color w:val="000000" w:themeColor="text1"/>
        </w:rPr>
        <w:t xml:space="preserve">not viewed in the same way </w:t>
      </w:r>
      <w:r w:rsidR="00A55DD0">
        <w:rPr>
          <w:color w:val="000000" w:themeColor="text1"/>
        </w:rPr>
        <w:t xml:space="preserve">due to the degree of aggression </w:t>
      </w:r>
      <w:r w:rsidR="00913887">
        <w:rPr>
          <w:color w:val="000000" w:themeColor="text1"/>
        </w:rPr>
        <w:t xml:space="preserve">and savagery </w:t>
      </w:r>
      <w:r w:rsidR="00180D6D">
        <w:rPr>
          <w:color w:val="000000" w:themeColor="text1"/>
        </w:rPr>
        <w:t>that they faced from the Crusaders</w:t>
      </w:r>
      <w:r w:rsidR="00A55DD0">
        <w:rPr>
          <w:color w:val="000000" w:themeColor="text1"/>
        </w:rPr>
        <w:t xml:space="preserve">. </w:t>
      </w:r>
    </w:p>
    <w:p w14:paraId="0B5FDCB3" w14:textId="4628FA23" w:rsidR="00A2205A" w:rsidRDefault="00A2205A" w:rsidP="00DB388C">
      <w:pPr>
        <w:spacing w:line="360" w:lineRule="auto"/>
        <w:rPr>
          <w:color w:val="000000" w:themeColor="text1"/>
        </w:rPr>
      </w:pPr>
    </w:p>
    <w:p w14:paraId="6F61E9D5" w14:textId="0973527A" w:rsidR="00EF22B0" w:rsidRDefault="00A2205A" w:rsidP="00DB388C">
      <w:pPr>
        <w:spacing w:line="360" w:lineRule="auto"/>
        <w:rPr>
          <w:color w:val="000000" w:themeColor="text1"/>
        </w:rPr>
      </w:pPr>
      <w:r>
        <w:rPr>
          <w:color w:val="000000" w:themeColor="text1"/>
        </w:rPr>
        <w:t xml:space="preserve">The main reason it can be claimed that </w:t>
      </w:r>
      <w:r w:rsidR="00994212">
        <w:rPr>
          <w:color w:val="000000" w:themeColor="text1"/>
        </w:rPr>
        <w:t xml:space="preserve">all </w:t>
      </w:r>
      <w:r w:rsidR="00804882">
        <w:rPr>
          <w:color w:val="000000" w:themeColor="text1"/>
        </w:rPr>
        <w:t xml:space="preserve">enemies </w:t>
      </w:r>
      <w:r w:rsidR="00994212">
        <w:rPr>
          <w:color w:val="000000" w:themeColor="text1"/>
        </w:rPr>
        <w:t xml:space="preserve">of the </w:t>
      </w:r>
      <w:r>
        <w:rPr>
          <w:color w:val="000000" w:themeColor="text1"/>
        </w:rPr>
        <w:t xml:space="preserve">Crusaders </w:t>
      </w:r>
      <w:r w:rsidR="00804882">
        <w:rPr>
          <w:color w:val="000000" w:themeColor="text1"/>
        </w:rPr>
        <w:t xml:space="preserve">were </w:t>
      </w:r>
      <w:r>
        <w:rPr>
          <w:color w:val="000000" w:themeColor="text1"/>
        </w:rPr>
        <w:t>viewed in the same way is that they were all believed to be enemies of the faith</w:t>
      </w:r>
      <w:r w:rsidR="00BF461E">
        <w:rPr>
          <w:color w:val="000000" w:themeColor="text1"/>
        </w:rPr>
        <w:t>,</w:t>
      </w:r>
      <w:r w:rsidR="00F83425">
        <w:rPr>
          <w:color w:val="000000" w:themeColor="text1"/>
        </w:rPr>
        <w:t xml:space="preserve"> </w:t>
      </w:r>
      <w:r w:rsidR="00BF461E">
        <w:rPr>
          <w:color w:val="000000" w:themeColor="text1"/>
        </w:rPr>
        <w:t>as demonstrated in Robert the Monk</w:t>
      </w:r>
      <w:r w:rsidR="00EF23B5">
        <w:rPr>
          <w:color w:val="000000" w:themeColor="text1"/>
        </w:rPr>
        <w:t>’</w:t>
      </w:r>
      <w:r w:rsidR="00BF461E">
        <w:rPr>
          <w:color w:val="000000" w:themeColor="text1"/>
        </w:rPr>
        <w:t>s account of Pope Urban</w:t>
      </w:r>
      <w:r w:rsidR="00F83425">
        <w:rPr>
          <w:color w:val="000000" w:themeColor="text1"/>
        </w:rPr>
        <w:t xml:space="preserve"> II</w:t>
      </w:r>
      <w:r w:rsidR="00BF461E">
        <w:rPr>
          <w:color w:val="000000" w:themeColor="text1"/>
        </w:rPr>
        <w:t>’s speech</w:t>
      </w:r>
      <w:r>
        <w:rPr>
          <w:color w:val="000000" w:themeColor="text1"/>
        </w:rPr>
        <w:t>.</w:t>
      </w:r>
      <w:r w:rsidR="00BF461E">
        <w:rPr>
          <w:color w:val="000000" w:themeColor="text1"/>
        </w:rPr>
        <w:t xml:space="preserve"> </w:t>
      </w:r>
      <w:r w:rsidR="00F83425">
        <w:rPr>
          <w:color w:val="000000" w:themeColor="text1"/>
        </w:rPr>
        <w:t xml:space="preserve">According to this, </w:t>
      </w:r>
      <w:r w:rsidR="00EF23B5">
        <w:rPr>
          <w:color w:val="000000" w:themeColor="text1"/>
        </w:rPr>
        <w:t>“</w:t>
      </w:r>
      <w:r w:rsidR="00F83425">
        <w:rPr>
          <w:color w:val="000000" w:themeColor="text1"/>
        </w:rPr>
        <w:t>the royal city</w:t>
      </w:r>
      <w:r w:rsidR="00DB388C">
        <w:rPr>
          <w:color w:val="000000" w:themeColor="text1"/>
        </w:rPr>
        <w:t xml:space="preserve"> [</w:t>
      </w:r>
      <w:r w:rsidR="00EF23B5">
        <w:rPr>
          <w:color w:val="000000" w:themeColor="text1"/>
        </w:rPr>
        <w:t>Jerusalem</w:t>
      </w:r>
      <w:r w:rsidR="004907B8">
        <w:rPr>
          <w:color w:val="000000" w:themeColor="text1"/>
        </w:rPr>
        <w:t xml:space="preserve">], …. </w:t>
      </w:r>
      <w:r w:rsidR="001C2EB1">
        <w:rPr>
          <w:color w:val="000000" w:themeColor="text1"/>
        </w:rPr>
        <w:t xml:space="preserve">is now held captive by His </w:t>
      </w:r>
      <w:proofErr w:type="gramStart"/>
      <w:r w:rsidR="001C2EB1">
        <w:rPr>
          <w:color w:val="000000" w:themeColor="text1"/>
        </w:rPr>
        <w:t>enemies, and</w:t>
      </w:r>
      <w:proofErr w:type="gramEnd"/>
      <w:r w:rsidR="001C2EB1">
        <w:rPr>
          <w:color w:val="000000" w:themeColor="text1"/>
        </w:rPr>
        <w:t xml:space="preserve"> is in subjection to those who do not know God, to the worship of the heathens</w:t>
      </w:r>
      <w:r w:rsidR="00657FE6">
        <w:rPr>
          <w:color w:val="000000" w:themeColor="text1"/>
        </w:rPr>
        <w:t>”</w:t>
      </w:r>
      <w:r w:rsidR="008B10CC">
        <w:rPr>
          <w:color w:val="000000" w:themeColor="text1"/>
        </w:rPr>
        <w:t>.</w:t>
      </w:r>
      <w:r w:rsidR="00BD23A1">
        <w:rPr>
          <w:rStyle w:val="FootnoteReference"/>
          <w:color w:val="000000" w:themeColor="text1"/>
        </w:rPr>
        <w:footnoteReference w:id="3"/>
      </w:r>
      <w:r w:rsidR="00657FE6">
        <w:rPr>
          <w:color w:val="000000" w:themeColor="text1"/>
        </w:rPr>
        <w:t xml:space="preserve"> As is </w:t>
      </w:r>
      <w:r w:rsidR="00B82B13">
        <w:rPr>
          <w:color w:val="000000" w:themeColor="text1"/>
        </w:rPr>
        <w:t>evident</w:t>
      </w:r>
      <w:r w:rsidR="00657FE6">
        <w:rPr>
          <w:color w:val="000000" w:themeColor="text1"/>
        </w:rPr>
        <w:t xml:space="preserve"> </w:t>
      </w:r>
      <w:r w:rsidR="00906278">
        <w:rPr>
          <w:color w:val="000000" w:themeColor="text1"/>
        </w:rPr>
        <w:t>here</w:t>
      </w:r>
      <w:r w:rsidR="00657FE6">
        <w:rPr>
          <w:color w:val="000000" w:themeColor="text1"/>
        </w:rPr>
        <w:t xml:space="preserve">, </w:t>
      </w:r>
      <w:r w:rsidR="00B82B13">
        <w:rPr>
          <w:color w:val="000000" w:themeColor="text1"/>
        </w:rPr>
        <w:t xml:space="preserve">the enemies of </w:t>
      </w:r>
      <w:r w:rsidR="00EF22B0">
        <w:rPr>
          <w:color w:val="000000" w:themeColor="text1"/>
        </w:rPr>
        <w:t>the faith</w:t>
      </w:r>
      <w:r w:rsidR="00906278">
        <w:rPr>
          <w:color w:val="000000" w:themeColor="text1"/>
        </w:rPr>
        <w:t xml:space="preserve"> were those who possessed</w:t>
      </w:r>
      <w:r w:rsidR="00EF22B0">
        <w:rPr>
          <w:color w:val="000000" w:themeColor="text1"/>
        </w:rPr>
        <w:t xml:space="preserve"> </w:t>
      </w:r>
      <w:r w:rsidR="00B82B13">
        <w:rPr>
          <w:color w:val="000000" w:themeColor="text1"/>
        </w:rPr>
        <w:t xml:space="preserve">traditionally Christian sites </w:t>
      </w:r>
      <w:r w:rsidR="00906278">
        <w:rPr>
          <w:color w:val="000000" w:themeColor="text1"/>
        </w:rPr>
        <w:t>and</w:t>
      </w:r>
      <w:r w:rsidR="00B82B13">
        <w:rPr>
          <w:color w:val="000000" w:themeColor="text1"/>
        </w:rPr>
        <w:t xml:space="preserve"> </w:t>
      </w:r>
      <w:r w:rsidR="00EF22B0">
        <w:rPr>
          <w:color w:val="000000" w:themeColor="text1"/>
        </w:rPr>
        <w:t>were not followers of Christianity</w:t>
      </w:r>
      <w:r w:rsidR="00906278">
        <w:rPr>
          <w:color w:val="000000" w:themeColor="text1"/>
        </w:rPr>
        <w:t>, and as such, needed to be attacked by the Crusaders</w:t>
      </w:r>
      <w:r w:rsidR="00EF22B0">
        <w:rPr>
          <w:color w:val="000000" w:themeColor="text1"/>
        </w:rPr>
        <w:t xml:space="preserve">. </w:t>
      </w:r>
    </w:p>
    <w:p w14:paraId="59BCB320" w14:textId="0A2F1D2D" w:rsidR="009A206D" w:rsidRDefault="00EF22B0" w:rsidP="00DB388C">
      <w:pPr>
        <w:spacing w:line="360" w:lineRule="auto"/>
        <w:rPr>
          <w:color w:val="000000" w:themeColor="text1"/>
        </w:rPr>
      </w:pPr>
      <w:r>
        <w:rPr>
          <w:color w:val="000000" w:themeColor="text1"/>
        </w:rPr>
        <w:t xml:space="preserve">In terms of specific enemy groups, </w:t>
      </w:r>
      <w:r w:rsidR="00906278">
        <w:rPr>
          <w:color w:val="000000" w:themeColor="text1"/>
        </w:rPr>
        <w:t xml:space="preserve">the </w:t>
      </w:r>
      <w:r>
        <w:rPr>
          <w:color w:val="000000" w:themeColor="text1"/>
        </w:rPr>
        <w:t xml:space="preserve">Muslims </w:t>
      </w:r>
      <w:r w:rsidR="00906278">
        <w:rPr>
          <w:color w:val="000000" w:themeColor="text1"/>
        </w:rPr>
        <w:t xml:space="preserve">were </w:t>
      </w:r>
      <w:r w:rsidR="00A313A8">
        <w:rPr>
          <w:color w:val="000000" w:themeColor="text1"/>
        </w:rPr>
        <w:t>followers of Islam</w:t>
      </w:r>
      <w:r w:rsidR="00D84973">
        <w:rPr>
          <w:color w:val="000000" w:themeColor="text1"/>
        </w:rPr>
        <w:t xml:space="preserve"> who</w:t>
      </w:r>
      <w:r w:rsidR="00BA3D82">
        <w:rPr>
          <w:color w:val="000000" w:themeColor="text1"/>
        </w:rPr>
        <w:t xml:space="preserve"> held important Christian sites</w:t>
      </w:r>
      <w:r w:rsidR="00AF7F70">
        <w:rPr>
          <w:color w:val="000000" w:themeColor="text1"/>
        </w:rPr>
        <w:t xml:space="preserve"> and as such, the Crusaders viewed </w:t>
      </w:r>
      <w:r w:rsidR="007D15AA">
        <w:rPr>
          <w:color w:val="000000" w:themeColor="text1"/>
        </w:rPr>
        <w:t xml:space="preserve">them as enemies of the faith. </w:t>
      </w:r>
      <w:r w:rsidR="00EF422D">
        <w:rPr>
          <w:color w:val="000000" w:themeColor="text1"/>
        </w:rPr>
        <w:t xml:space="preserve">This idea is further demonstrated by the fact that </w:t>
      </w:r>
      <w:proofErr w:type="gramStart"/>
      <w:r w:rsidR="00EF422D">
        <w:rPr>
          <w:color w:val="000000" w:themeColor="text1"/>
        </w:rPr>
        <w:t>the majority of</w:t>
      </w:r>
      <w:proofErr w:type="gramEnd"/>
      <w:r w:rsidR="00EF422D">
        <w:rPr>
          <w:color w:val="000000" w:themeColor="text1"/>
        </w:rPr>
        <w:t xml:space="preserve"> early Crusading sources refer to the Muslims as pagans, a term that simply mean</w:t>
      </w:r>
      <w:r w:rsidR="007D15AA">
        <w:rPr>
          <w:color w:val="000000" w:themeColor="text1"/>
        </w:rPr>
        <w:t>s</w:t>
      </w:r>
      <w:r w:rsidR="00EF422D">
        <w:rPr>
          <w:color w:val="000000" w:themeColor="text1"/>
        </w:rPr>
        <w:t xml:space="preserve"> non-Christians. The extent of this is such that of the 14 charters that were produced before the First Crusade, 8 of them called the Muslims pagan, while only 2 of </w:t>
      </w:r>
      <w:r w:rsidR="00EF422D">
        <w:rPr>
          <w:color w:val="000000" w:themeColor="text1"/>
        </w:rPr>
        <w:lastRenderedPageBreak/>
        <w:t>them (the second highest frequency) refer to them as Saracens</w:t>
      </w:r>
      <w:r w:rsidR="008B10CC">
        <w:rPr>
          <w:color w:val="000000" w:themeColor="text1"/>
        </w:rPr>
        <w:t>.</w:t>
      </w:r>
      <w:r w:rsidR="00EF422D">
        <w:rPr>
          <w:rStyle w:val="FootnoteReference"/>
          <w:color w:val="000000" w:themeColor="text1"/>
        </w:rPr>
        <w:footnoteReference w:id="4"/>
      </w:r>
      <w:r w:rsidR="00680130">
        <w:rPr>
          <w:color w:val="000000" w:themeColor="text1"/>
        </w:rPr>
        <w:t xml:space="preserve"> As can be seen, </w:t>
      </w:r>
      <w:r w:rsidR="00FC76A4">
        <w:rPr>
          <w:color w:val="000000" w:themeColor="text1"/>
        </w:rPr>
        <w:t xml:space="preserve">the high frequency of using pagan to refer to Muslims in these contemporary sources demonstrates the differences caused by religion. Furthermore, </w:t>
      </w:r>
      <w:r w:rsidR="00BA3D82">
        <w:rPr>
          <w:color w:val="000000" w:themeColor="text1"/>
        </w:rPr>
        <w:t>the most noticeable of these sites</w:t>
      </w:r>
      <w:r w:rsidR="00FC76A4">
        <w:rPr>
          <w:color w:val="000000" w:themeColor="text1"/>
        </w:rPr>
        <w:t xml:space="preserve"> for the Crusaders</w:t>
      </w:r>
      <w:r w:rsidR="00BA3D82">
        <w:rPr>
          <w:color w:val="000000" w:themeColor="text1"/>
        </w:rPr>
        <w:t xml:space="preserve"> was </w:t>
      </w:r>
      <w:r w:rsidR="007B73CF">
        <w:rPr>
          <w:color w:val="000000" w:themeColor="text1"/>
        </w:rPr>
        <w:t>Jerusalem, which was home to the Holy Sepulchre (where Jesus was buried) and the site of the Resurrection, both of which ha</w:t>
      </w:r>
      <w:r w:rsidR="00681AB8">
        <w:rPr>
          <w:color w:val="000000" w:themeColor="text1"/>
        </w:rPr>
        <w:t>ve</w:t>
      </w:r>
      <w:r w:rsidR="007B73CF">
        <w:rPr>
          <w:color w:val="000000" w:themeColor="text1"/>
        </w:rPr>
        <w:t xml:space="preserve"> unquantifiable importance to the Christian faith</w:t>
      </w:r>
      <w:r w:rsidR="00681AB8">
        <w:rPr>
          <w:color w:val="000000" w:themeColor="text1"/>
        </w:rPr>
        <w:t>.</w:t>
      </w:r>
      <w:r w:rsidR="007B73CF">
        <w:rPr>
          <w:rStyle w:val="FootnoteReference"/>
          <w:color w:val="000000" w:themeColor="text1"/>
        </w:rPr>
        <w:footnoteReference w:id="5"/>
      </w:r>
      <w:r w:rsidR="009A206D">
        <w:rPr>
          <w:color w:val="000000" w:themeColor="text1"/>
        </w:rPr>
        <w:t xml:space="preserve"> </w:t>
      </w:r>
      <w:r w:rsidR="00681AB8">
        <w:rPr>
          <w:color w:val="000000" w:themeColor="text1"/>
        </w:rPr>
        <w:t>Due to this, these lands needed to be reclaimed from the Muslim</w:t>
      </w:r>
      <w:r w:rsidR="007D15AA">
        <w:rPr>
          <w:color w:val="000000" w:themeColor="text1"/>
        </w:rPr>
        <w:t xml:space="preserve"> </w:t>
      </w:r>
      <w:r w:rsidR="00681AB8">
        <w:rPr>
          <w:color w:val="000000" w:themeColor="text1"/>
        </w:rPr>
        <w:t>foe, who, as demonstrated by these examples, the Crusaders viewed as an enemy</w:t>
      </w:r>
      <w:r w:rsidR="009A206D">
        <w:rPr>
          <w:color w:val="000000" w:themeColor="text1"/>
        </w:rPr>
        <w:t xml:space="preserve"> of the faith.</w:t>
      </w:r>
    </w:p>
    <w:p w14:paraId="195AC7FD" w14:textId="74B1FA35" w:rsidR="00D5469B" w:rsidRDefault="009A206D" w:rsidP="00D5469B">
      <w:pPr>
        <w:spacing w:line="360" w:lineRule="auto"/>
        <w:rPr>
          <w:color w:val="000000" w:themeColor="text1"/>
        </w:rPr>
      </w:pPr>
      <w:r>
        <w:rPr>
          <w:color w:val="000000" w:themeColor="text1"/>
        </w:rPr>
        <w:t xml:space="preserve">Continuing from this, the Jewish community was also regarded as an enemy to the Christian faith as, like before, they were part of a different religion, but also due to past conflicts between the </w:t>
      </w:r>
      <w:r w:rsidR="008656D6">
        <w:rPr>
          <w:color w:val="000000" w:themeColor="text1"/>
        </w:rPr>
        <w:t xml:space="preserve">Christians and the Jews themselves. </w:t>
      </w:r>
      <w:r w:rsidR="00B1637B">
        <w:rPr>
          <w:color w:val="000000" w:themeColor="text1"/>
        </w:rPr>
        <w:t>Th</w:t>
      </w:r>
      <w:r w:rsidR="008B10CC">
        <w:rPr>
          <w:color w:val="000000" w:themeColor="text1"/>
        </w:rPr>
        <w:t>ese</w:t>
      </w:r>
      <w:r w:rsidR="00B1637B">
        <w:rPr>
          <w:color w:val="000000" w:themeColor="text1"/>
        </w:rPr>
        <w:t xml:space="preserve"> past conflict</w:t>
      </w:r>
      <w:r w:rsidR="008B10CC">
        <w:rPr>
          <w:color w:val="000000" w:themeColor="text1"/>
        </w:rPr>
        <w:t>s</w:t>
      </w:r>
      <w:r w:rsidR="00B1637B">
        <w:rPr>
          <w:color w:val="000000" w:themeColor="text1"/>
        </w:rPr>
        <w:t xml:space="preserve"> revolve</w:t>
      </w:r>
      <w:r w:rsidR="008B10CC">
        <w:rPr>
          <w:color w:val="000000" w:themeColor="text1"/>
        </w:rPr>
        <w:t>d</w:t>
      </w:r>
      <w:r w:rsidR="00B1637B">
        <w:rPr>
          <w:color w:val="000000" w:themeColor="text1"/>
        </w:rPr>
        <w:t xml:space="preserve"> around the actions of the Jews in the life and death of Christ and as such, many Christians viewed them as the true enemies of the faith. This is demonstrated by a Jewish account of what a Crusader said to a Jew:</w:t>
      </w:r>
      <w:r w:rsidR="00D5469B">
        <w:rPr>
          <w:rStyle w:val="FootnoteReference"/>
          <w:color w:val="000000" w:themeColor="text1"/>
        </w:rPr>
        <w:footnoteReference w:id="6"/>
      </w:r>
      <w:r w:rsidR="00B1637B">
        <w:rPr>
          <w:color w:val="000000" w:themeColor="text1"/>
        </w:rPr>
        <w:t xml:space="preserve"> </w:t>
      </w:r>
    </w:p>
    <w:p w14:paraId="296E4DB1" w14:textId="4CAC7012" w:rsidR="0036495C" w:rsidRDefault="00B1637B" w:rsidP="00D5469B">
      <w:pPr>
        <w:spacing w:line="240" w:lineRule="auto"/>
        <w:jc w:val="center"/>
        <w:rPr>
          <w:color w:val="000000" w:themeColor="text1"/>
        </w:rPr>
      </w:pPr>
      <w:r>
        <w:rPr>
          <w:color w:val="000000" w:themeColor="text1"/>
        </w:rPr>
        <w:t>“You are the children of those who killed the object of our veneration, hanging him on a tree; and he himself had said: ‘There will yet come a day when my children will come and avenge my blood.’ We are his children and it is therefor</w:t>
      </w:r>
      <w:r w:rsidR="00634DDD">
        <w:rPr>
          <w:color w:val="000000" w:themeColor="text1"/>
        </w:rPr>
        <w:t>e</w:t>
      </w:r>
      <w:r>
        <w:rPr>
          <w:color w:val="000000" w:themeColor="text1"/>
        </w:rPr>
        <w:t xml:space="preserve"> obligatory for us to avenge h</w:t>
      </w:r>
      <w:r w:rsidR="00634DDD">
        <w:rPr>
          <w:color w:val="000000" w:themeColor="text1"/>
        </w:rPr>
        <w:t>i</w:t>
      </w:r>
      <w:r>
        <w:rPr>
          <w:color w:val="000000" w:themeColor="text1"/>
        </w:rPr>
        <w:t xml:space="preserve">m </w:t>
      </w:r>
      <w:r w:rsidR="00634DDD">
        <w:rPr>
          <w:color w:val="000000" w:themeColor="text1"/>
        </w:rPr>
        <w:t xml:space="preserve">since you are the ones who rebel and disbelieve in </w:t>
      </w:r>
      <w:r w:rsidR="0036495C">
        <w:rPr>
          <w:color w:val="000000" w:themeColor="text1"/>
        </w:rPr>
        <w:t>H</w:t>
      </w:r>
      <w:r w:rsidR="00634DDD">
        <w:rPr>
          <w:color w:val="000000" w:themeColor="text1"/>
        </w:rPr>
        <w:t>im”</w:t>
      </w:r>
      <w:r w:rsidR="008B10CC">
        <w:rPr>
          <w:color w:val="000000" w:themeColor="text1"/>
        </w:rPr>
        <w:t>.</w:t>
      </w:r>
      <w:r w:rsidR="00634DDD">
        <w:rPr>
          <w:rStyle w:val="FootnoteReference"/>
          <w:color w:val="000000" w:themeColor="text1"/>
        </w:rPr>
        <w:footnoteReference w:id="7"/>
      </w:r>
    </w:p>
    <w:p w14:paraId="55D2513C" w14:textId="03C7433B" w:rsidR="0036495C" w:rsidRDefault="0036495C" w:rsidP="0036495C">
      <w:pPr>
        <w:spacing w:line="360" w:lineRule="auto"/>
        <w:rPr>
          <w:color w:val="000000" w:themeColor="text1"/>
        </w:rPr>
      </w:pPr>
      <w:r>
        <w:rPr>
          <w:color w:val="000000" w:themeColor="text1"/>
        </w:rPr>
        <w:t xml:space="preserve">As is clearly demonstrated by this extract, the Crusaders viewed the Jews as the descendants of the murderers of the Christian faith and as such, </w:t>
      </w:r>
      <w:r w:rsidR="002512D6">
        <w:rPr>
          <w:color w:val="000000" w:themeColor="text1"/>
        </w:rPr>
        <w:t xml:space="preserve">they </w:t>
      </w:r>
      <w:r>
        <w:rPr>
          <w:color w:val="000000" w:themeColor="text1"/>
        </w:rPr>
        <w:t>deserve</w:t>
      </w:r>
      <w:r w:rsidR="002512D6">
        <w:rPr>
          <w:color w:val="000000" w:themeColor="text1"/>
        </w:rPr>
        <w:t>d</w:t>
      </w:r>
      <w:r>
        <w:rPr>
          <w:color w:val="000000" w:themeColor="text1"/>
        </w:rPr>
        <w:t xml:space="preserve"> to be punished by the descendants of the victims as the enemies they </w:t>
      </w:r>
      <w:r w:rsidR="002512D6">
        <w:rPr>
          <w:color w:val="000000" w:themeColor="text1"/>
        </w:rPr>
        <w:t>were</w:t>
      </w:r>
      <w:r>
        <w:rPr>
          <w:color w:val="000000" w:themeColor="text1"/>
        </w:rPr>
        <w:t>. Also, this extract touches upon the difference</w:t>
      </w:r>
      <w:r w:rsidR="00D5469B">
        <w:rPr>
          <w:color w:val="000000" w:themeColor="text1"/>
        </w:rPr>
        <w:t>s between</w:t>
      </w:r>
      <w:r>
        <w:rPr>
          <w:color w:val="000000" w:themeColor="text1"/>
        </w:rPr>
        <w:t xml:space="preserve"> </w:t>
      </w:r>
      <w:r w:rsidR="00D5469B">
        <w:rPr>
          <w:color w:val="000000" w:themeColor="text1"/>
        </w:rPr>
        <w:t>the</w:t>
      </w:r>
      <w:r>
        <w:rPr>
          <w:color w:val="000000" w:themeColor="text1"/>
        </w:rPr>
        <w:t xml:space="preserve"> </w:t>
      </w:r>
      <w:r w:rsidR="00D5469B">
        <w:rPr>
          <w:color w:val="000000" w:themeColor="text1"/>
        </w:rPr>
        <w:t>two religions</w:t>
      </w:r>
      <w:r>
        <w:rPr>
          <w:color w:val="000000" w:themeColor="text1"/>
        </w:rPr>
        <w:t xml:space="preserve"> </w:t>
      </w:r>
      <w:r w:rsidR="00D5469B">
        <w:rPr>
          <w:color w:val="000000" w:themeColor="text1"/>
        </w:rPr>
        <w:t xml:space="preserve">which, as previously mentioned, is another reason the Crusaders deemed someone to be an enemy. Not only this, but there also seems to have been a difficulty in distinguishing the difference between </w:t>
      </w:r>
      <w:r w:rsidR="00315070">
        <w:rPr>
          <w:color w:val="000000" w:themeColor="text1"/>
        </w:rPr>
        <w:t>the</w:t>
      </w:r>
      <w:r w:rsidR="00D5469B">
        <w:rPr>
          <w:color w:val="000000" w:themeColor="text1"/>
        </w:rPr>
        <w:t xml:space="preserve"> Jew</w:t>
      </w:r>
      <w:r w:rsidR="00315070">
        <w:rPr>
          <w:color w:val="000000" w:themeColor="text1"/>
        </w:rPr>
        <w:t>s</w:t>
      </w:r>
      <w:r w:rsidR="00D5469B">
        <w:rPr>
          <w:color w:val="000000" w:themeColor="text1"/>
        </w:rPr>
        <w:t xml:space="preserve"> and </w:t>
      </w:r>
      <w:r w:rsidR="00315070">
        <w:rPr>
          <w:color w:val="000000" w:themeColor="text1"/>
        </w:rPr>
        <w:t>the</w:t>
      </w:r>
      <w:r w:rsidR="00D5469B">
        <w:rPr>
          <w:color w:val="000000" w:themeColor="text1"/>
        </w:rPr>
        <w:t xml:space="preserve"> Muslim</w:t>
      </w:r>
      <w:r w:rsidR="00315070">
        <w:rPr>
          <w:color w:val="000000" w:themeColor="text1"/>
        </w:rPr>
        <w:t xml:space="preserve">s for the Crusaders as </w:t>
      </w:r>
      <w:r w:rsidR="00CD6A41">
        <w:rPr>
          <w:color w:val="000000" w:themeColor="text1"/>
        </w:rPr>
        <w:t xml:space="preserve">if they were crusading against those who insult Christ, as seen by the Muslim occupation, then why should they not also crusade against </w:t>
      </w:r>
      <w:r w:rsidR="00595CCE">
        <w:rPr>
          <w:color w:val="000000" w:themeColor="text1"/>
        </w:rPr>
        <w:t>the Jews</w:t>
      </w:r>
      <w:r w:rsidR="00CD6A41">
        <w:rPr>
          <w:color w:val="000000" w:themeColor="text1"/>
        </w:rPr>
        <w:t xml:space="preserve"> who insulted Christ </w:t>
      </w:r>
      <w:r w:rsidR="00595CCE">
        <w:rPr>
          <w:color w:val="000000" w:themeColor="text1"/>
        </w:rPr>
        <w:t>with the crucifixion.</w:t>
      </w:r>
      <w:r w:rsidR="00595CCE">
        <w:rPr>
          <w:rStyle w:val="FootnoteReference"/>
          <w:color w:val="000000" w:themeColor="text1"/>
        </w:rPr>
        <w:footnoteReference w:id="8"/>
      </w:r>
      <w:r w:rsidR="00595CCE">
        <w:rPr>
          <w:color w:val="000000" w:themeColor="text1"/>
        </w:rPr>
        <w:t xml:space="preserve"> As such, it can be claimed that the Crusaders viewed the Jews and the Muslims in the same way, as enemies of the faith.</w:t>
      </w:r>
    </w:p>
    <w:p w14:paraId="7D5B161A" w14:textId="4E908FF7" w:rsidR="00D03667" w:rsidRDefault="00595CCE" w:rsidP="00AA5BF8">
      <w:pPr>
        <w:spacing w:line="360" w:lineRule="auto"/>
        <w:rPr>
          <w:color w:val="000000" w:themeColor="text1"/>
        </w:rPr>
      </w:pPr>
      <w:r>
        <w:rPr>
          <w:color w:val="000000" w:themeColor="text1"/>
        </w:rPr>
        <w:t>Finally, the heretics of Christendom and the Greeks were also viewed as enemies of the faith</w:t>
      </w:r>
      <w:r w:rsidR="007D15AA">
        <w:rPr>
          <w:color w:val="000000" w:themeColor="text1"/>
        </w:rPr>
        <w:t>, as</w:t>
      </w:r>
      <w:r w:rsidR="00B62034">
        <w:rPr>
          <w:color w:val="000000" w:themeColor="text1"/>
        </w:rPr>
        <w:t xml:space="preserve"> by definition, </w:t>
      </w:r>
      <w:r w:rsidR="00BB6457">
        <w:rPr>
          <w:color w:val="000000" w:themeColor="text1"/>
        </w:rPr>
        <w:t>here</w:t>
      </w:r>
      <w:r w:rsidR="00BE2536">
        <w:rPr>
          <w:color w:val="000000" w:themeColor="text1"/>
        </w:rPr>
        <w:t>sy</w:t>
      </w:r>
      <w:r w:rsidR="00BB6457">
        <w:rPr>
          <w:color w:val="000000" w:themeColor="text1"/>
        </w:rPr>
        <w:t xml:space="preserve"> </w:t>
      </w:r>
      <w:r w:rsidR="007D15AA">
        <w:rPr>
          <w:color w:val="000000" w:themeColor="text1"/>
        </w:rPr>
        <w:t>is</w:t>
      </w:r>
      <w:r w:rsidR="00BE2536">
        <w:rPr>
          <w:color w:val="000000" w:themeColor="text1"/>
        </w:rPr>
        <w:t xml:space="preserve"> another belief</w:t>
      </w:r>
      <w:r w:rsidR="00BB6457">
        <w:rPr>
          <w:color w:val="000000" w:themeColor="text1"/>
        </w:rPr>
        <w:t xml:space="preserve"> </w:t>
      </w:r>
      <w:r w:rsidR="00BE2536">
        <w:rPr>
          <w:color w:val="000000" w:themeColor="text1"/>
        </w:rPr>
        <w:t xml:space="preserve">that went </w:t>
      </w:r>
      <w:r w:rsidR="00BB6457">
        <w:rPr>
          <w:color w:val="000000" w:themeColor="text1"/>
        </w:rPr>
        <w:t>against Christian teachings</w:t>
      </w:r>
      <w:r w:rsidR="00BE2536">
        <w:rPr>
          <w:color w:val="000000" w:themeColor="text1"/>
        </w:rPr>
        <w:t>.</w:t>
      </w:r>
      <w:r w:rsidR="00BB6457">
        <w:rPr>
          <w:rStyle w:val="FootnoteReference"/>
          <w:color w:val="000000" w:themeColor="text1"/>
        </w:rPr>
        <w:footnoteReference w:id="9"/>
      </w:r>
      <w:r w:rsidR="00BB6457">
        <w:rPr>
          <w:color w:val="000000" w:themeColor="text1"/>
        </w:rPr>
        <w:t xml:space="preserve"> </w:t>
      </w:r>
      <w:r w:rsidR="00BE2536">
        <w:rPr>
          <w:color w:val="000000" w:themeColor="text1"/>
        </w:rPr>
        <w:t>Due to this, Jonathan Riley-Smith claims that heretics were regarded in the same way as the beforementioned enemies</w:t>
      </w:r>
      <w:r w:rsidR="00434D5D">
        <w:rPr>
          <w:color w:val="000000" w:themeColor="text1"/>
        </w:rPr>
        <w:t xml:space="preserve">. </w:t>
      </w:r>
      <w:r w:rsidR="00434D5D">
        <w:rPr>
          <w:color w:val="000000" w:themeColor="text1"/>
        </w:rPr>
        <w:lastRenderedPageBreak/>
        <w:t xml:space="preserve">Moreover, the Orthodox Greeks were seen by the Crusaders as heretics, which is evident by the presence of the Greeks in the letter listing the heretical groups operating at the time. Despite this, some claim that this letter was only referring </w:t>
      </w:r>
      <w:r w:rsidR="007D15AA">
        <w:rPr>
          <w:color w:val="000000" w:themeColor="text1"/>
        </w:rPr>
        <w:t xml:space="preserve">to </w:t>
      </w:r>
      <w:r w:rsidR="00434D5D">
        <w:rPr>
          <w:color w:val="000000" w:themeColor="text1"/>
        </w:rPr>
        <w:t>one specific group of Greek heretics and not the entirety of the Byzantine Empire.</w:t>
      </w:r>
      <w:r w:rsidR="00110A50">
        <w:rPr>
          <w:rStyle w:val="FootnoteReference"/>
          <w:color w:val="000000" w:themeColor="text1"/>
        </w:rPr>
        <w:footnoteReference w:id="10"/>
      </w:r>
      <w:r w:rsidR="00434D5D">
        <w:rPr>
          <w:color w:val="000000" w:themeColor="text1"/>
        </w:rPr>
        <w:t xml:space="preserve"> Even if this is the case, the fact that heretical Greeks were active still means that at least some of the Greek population were </w:t>
      </w:r>
      <w:r w:rsidR="007D15AA">
        <w:rPr>
          <w:color w:val="000000" w:themeColor="text1"/>
        </w:rPr>
        <w:t xml:space="preserve">an </w:t>
      </w:r>
      <w:r w:rsidR="00434D5D">
        <w:rPr>
          <w:color w:val="000000" w:themeColor="text1"/>
        </w:rPr>
        <w:t>enem</w:t>
      </w:r>
      <w:r w:rsidR="007D15AA">
        <w:rPr>
          <w:color w:val="000000" w:themeColor="text1"/>
        </w:rPr>
        <w:t>y</w:t>
      </w:r>
      <w:r w:rsidR="00434D5D">
        <w:rPr>
          <w:color w:val="000000" w:themeColor="text1"/>
        </w:rPr>
        <w:t xml:space="preserve"> of the </w:t>
      </w:r>
      <w:r w:rsidR="007D15AA">
        <w:rPr>
          <w:color w:val="000000" w:themeColor="text1"/>
        </w:rPr>
        <w:t xml:space="preserve">Christian </w:t>
      </w:r>
      <w:r w:rsidR="00434D5D">
        <w:rPr>
          <w:color w:val="000000" w:themeColor="text1"/>
        </w:rPr>
        <w:t>faith.</w:t>
      </w:r>
    </w:p>
    <w:p w14:paraId="4B3562C4" w14:textId="3EE4443F" w:rsidR="00595CCE" w:rsidRDefault="00434D5D" w:rsidP="00AA5BF8">
      <w:pPr>
        <w:tabs>
          <w:tab w:val="left" w:pos="4050"/>
        </w:tabs>
        <w:spacing w:line="360" w:lineRule="auto"/>
      </w:pPr>
      <w:r>
        <w:t>As has be</w:t>
      </w:r>
      <w:r w:rsidR="005F0A7F">
        <w:t>en</w:t>
      </w:r>
      <w:r>
        <w:t xml:space="preserve"> witnessed</w:t>
      </w:r>
      <w:r w:rsidR="005F0A7F">
        <w:t>, it can easily be claimed that all the enemies of the Crusaders were seen in the same light as they were all regarded as enemies of the faith.</w:t>
      </w:r>
    </w:p>
    <w:p w14:paraId="561B0BD6" w14:textId="66A2009C" w:rsidR="005F0A7F" w:rsidRDefault="005F0A7F" w:rsidP="00AA5BF8">
      <w:pPr>
        <w:tabs>
          <w:tab w:val="left" w:pos="4050"/>
        </w:tabs>
        <w:spacing w:line="360" w:lineRule="auto"/>
      </w:pPr>
    </w:p>
    <w:p w14:paraId="1CB4FCB6" w14:textId="0DEA8097" w:rsidR="00683C97" w:rsidRDefault="008871C1" w:rsidP="00AA5BF8">
      <w:pPr>
        <w:tabs>
          <w:tab w:val="left" w:pos="4050"/>
        </w:tabs>
        <w:spacing w:line="360" w:lineRule="auto"/>
      </w:pPr>
      <w:r>
        <w:t>On the other hand, even though the Crusader’s foes were all viewed as enemies of the faith,</w:t>
      </w:r>
      <w:r w:rsidR="00AA5BF8">
        <w:t xml:space="preserve"> the</w:t>
      </w:r>
      <w:r w:rsidR="00683C97">
        <w:t>y were each subjected to</w:t>
      </w:r>
      <w:r w:rsidR="00AA5BF8">
        <w:t xml:space="preserve"> var</w:t>
      </w:r>
      <w:r w:rsidR="00683C97">
        <w:t>ying</w:t>
      </w:r>
      <w:r w:rsidR="00AA5BF8">
        <w:t xml:space="preserve"> degree</w:t>
      </w:r>
      <w:r w:rsidR="00683C97">
        <w:t>s</w:t>
      </w:r>
      <w:r w:rsidR="00AA5BF8">
        <w:t xml:space="preserve"> of violence </w:t>
      </w:r>
      <w:r w:rsidR="00683C97">
        <w:t xml:space="preserve">which correlated to how evil that enemy of the faith was believed to be. Some groups, such as the Jews and the Muslims </w:t>
      </w:r>
      <w:r w:rsidR="003D7D7E">
        <w:t>were</w:t>
      </w:r>
      <w:r w:rsidR="00683C97">
        <w:t xml:space="preserve"> the evillest </w:t>
      </w:r>
      <w:r w:rsidR="00174D91">
        <w:t xml:space="preserve">of </w:t>
      </w:r>
      <w:r w:rsidR="00683C97">
        <w:t xml:space="preserve">enemies and as such, they were brutally vandalised by the Crusaders while others, such as the Greeks, were viewed as less evil enemies so they were not treated as poorly. Due to this, it is </w:t>
      </w:r>
      <w:r w:rsidR="007953D3">
        <w:t>undeniabl</w:t>
      </w:r>
      <w:r w:rsidR="003D7D7E">
        <w:t>e</w:t>
      </w:r>
      <w:r w:rsidR="007953D3">
        <w:t xml:space="preserve"> </w:t>
      </w:r>
      <w:r w:rsidR="00AA5BF8">
        <w:t>that the enemies of the Crusaders were not all viewed</w:t>
      </w:r>
      <w:r w:rsidR="00683C97">
        <w:t>,</w:t>
      </w:r>
      <w:r w:rsidR="00AA5BF8">
        <w:t xml:space="preserve"> </w:t>
      </w:r>
      <w:r w:rsidR="00683C97">
        <w:t xml:space="preserve">and in turn treated, </w:t>
      </w:r>
      <w:r w:rsidR="00AA5BF8">
        <w:t>in the same light.</w:t>
      </w:r>
    </w:p>
    <w:p w14:paraId="6FFE41C7" w14:textId="23B419AB" w:rsidR="005F0A7F" w:rsidRDefault="007053CF" w:rsidP="005737BE">
      <w:pPr>
        <w:tabs>
          <w:tab w:val="left" w:pos="4050"/>
        </w:tabs>
        <w:spacing w:line="360" w:lineRule="auto"/>
      </w:pPr>
      <w:r>
        <w:t>As mentioned previously, the Crusaders viewed the Muslim</w:t>
      </w:r>
      <w:r w:rsidR="0052240A">
        <w:t>s</w:t>
      </w:r>
      <w:r>
        <w:t xml:space="preserve"> as a very evil enemy of the faith as they were not only pagans who held religious sites, but they also brutalised the Christian population of the area</w:t>
      </w:r>
      <w:r w:rsidR="003D7D7E">
        <w:t>s</w:t>
      </w:r>
      <w:r>
        <w:t xml:space="preserve"> that they controlled. </w:t>
      </w:r>
      <w:r w:rsidR="00AA4C83">
        <w:t xml:space="preserve">This </w:t>
      </w:r>
      <w:r w:rsidR="00E26ECA">
        <w:t>brutality is evident in Robert the Monk’s account of Pope Urban’s speech, which claims that the Muslims ‘dragged forth the extremity of the intestines, bond it to a stake; then with flogging they lead the victim (Christian) around until…..the victim falls prostrate on the ground’</w:t>
      </w:r>
      <w:r w:rsidR="00710782">
        <w:t>.</w:t>
      </w:r>
      <w:r w:rsidR="00710782">
        <w:rPr>
          <w:rStyle w:val="FootnoteReference"/>
        </w:rPr>
        <w:footnoteReference w:id="11"/>
      </w:r>
      <w:r w:rsidR="00643E0F">
        <w:t>This account clearly demonstrates the savage nature in which the Muslims murdered the Christian</w:t>
      </w:r>
      <w:r w:rsidR="0052240A">
        <w:t xml:space="preserve"> </w:t>
      </w:r>
      <w:r w:rsidR="00643E0F">
        <w:t xml:space="preserve">people, but it is important to note that Urban’s speech aimed to anger the Christians of the West so that they engaged on the Crusade, which means that the violence in this extract may be exaggerated. </w:t>
      </w:r>
      <w:r w:rsidR="00303E63">
        <w:t xml:space="preserve">Either way, the speech rallied the Christian forces to march on the East and avenge their fallen brethren, subjecting the Muslims to a similar degree of violence that they </w:t>
      </w:r>
      <w:r w:rsidR="00EC68AC">
        <w:t xml:space="preserve">themselves </w:t>
      </w:r>
      <w:r w:rsidR="00303E63">
        <w:t xml:space="preserve">had </w:t>
      </w:r>
      <w:r w:rsidR="00ED7B64">
        <w:t xml:space="preserve">experienced. For example, Muslim sources recount a massacre that occurred following the </w:t>
      </w:r>
      <w:r w:rsidR="004D0ED2">
        <w:t xml:space="preserve">capture of </w:t>
      </w:r>
      <w:proofErr w:type="spellStart"/>
      <w:r w:rsidR="004D0ED2" w:rsidRPr="004D0ED2">
        <w:rPr>
          <w:i/>
        </w:rPr>
        <w:t>Ma’arrat</w:t>
      </w:r>
      <w:proofErr w:type="spellEnd"/>
      <w:r w:rsidR="004D0ED2" w:rsidRPr="004D0ED2">
        <w:rPr>
          <w:i/>
        </w:rPr>
        <w:t xml:space="preserve"> al-</w:t>
      </w:r>
      <w:proofErr w:type="spellStart"/>
      <w:r w:rsidR="004D0ED2" w:rsidRPr="004D0ED2">
        <w:rPr>
          <w:i/>
        </w:rPr>
        <w:t>Nu’man</w:t>
      </w:r>
      <w:proofErr w:type="spellEnd"/>
      <w:r w:rsidR="004D0ED2">
        <w:t xml:space="preserve"> by the Christians in</w:t>
      </w:r>
      <w:r w:rsidR="00F75EEA">
        <w:t xml:space="preserve"> 1098 AD. In particular, the Muslim chronicler Ibn al</w:t>
      </w:r>
      <w:proofErr w:type="gramStart"/>
      <w:r w:rsidR="00F75EEA">
        <w:t>-‘</w:t>
      </w:r>
      <w:proofErr w:type="spellStart"/>
      <w:proofErr w:type="gramEnd"/>
      <w:r w:rsidR="00F75EEA">
        <w:t>Adim</w:t>
      </w:r>
      <w:proofErr w:type="spellEnd"/>
      <w:r w:rsidR="00F75EEA">
        <w:t xml:space="preserve"> details how the Franks (Crusaders) ‘killed a great number [of the population] under torture…. extorted people’s treasures….and prevented people </w:t>
      </w:r>
      <w:r w:rsidR="00F75EEA">
        <w:lastRenderedPageBreak/>
        <w:t>from [getting] water’.</w:t>
      </w:r>
      <w:r w:rsidR="00C43B66">
        <w:rPr>
          <w:rStyle w:val="FootnoteReference"/>
        </w:rPr>
        <w:footnoteReference w:id="12"/>
      </w:r>
      <w:r w:rsidR="003E6122">
        <w:t xml:space="preserve"> Not only this, but there are other Muslim accounts that refer to how the Crusaders specifically targeted religious men during their conquest of Jerusalem, with an estimated 70,000 being slaughtered in the Aqsa Mosque.</w:t>
      </w:r>
      <w:r w:rsidR="003E6122">
        <w:rPr>
          <w:rStyle w:val="FootnoteReference"/>
        </w:rPr>
        <w:footnoteReference w:id="13"/>
      </w:r>
      <w:r w:rsidR="00F02364">
        <w:t xml:space="preserve"> Both of these examples demonstrate the brutal ways in which the Crusaders treated</w:t>
      </w:r>
      <w:r w:rsidR="003D7D7E">
        <w:t xml:space="preserve"> and viewed</w:t>
      </w:r>
      <w:r w:rsidR="00F02364">
        <w:t xml:space="preserve"> the Muslim population, but we must analyse how the Crusaders treated their other enemies before concluding that the Crusaders did not view all their enemies in the same light. </w:t>
      </w:r>
    </w:p>
    <w:p w14:paraId="37030070" w14:textId="53F899A3" w:rsidR="00F02364" w:rsidRDefault="00172795" w:rsidP="003D412C">
      <w:pPr>
        <w:tabs>
          <w:tab w:val="left" w:pos="4050"/>
        </w:tabs>
        <w:spacing w:line="360" w:lineRule="auto"/>
      </w:pPr>
      <w:r>
        <w:t xml:space="preserve">Moreover, </w:t>
      </w:r>
      <w:r w:rsidR="003D7D7E">
        <w:t xml:space="preserve">the Crusaders believed </w:t>
      </w:r>
      <w:r>
        <w:t xml:space="preserve">the Jews </w:t>
      </w:r>
      <w:r w:rsidR="003D7D7E">
        <w:t>to be the</w:t>
      </w:r>
      <w:r>
        <w:t xml:space="preserve"> evilest enemies of the faith</w:t>
      </w:r>
      <w:r w:rsidR="003D7D7E">
        <w:t xml:space="preserve"> </w:t>
      </w:r>
      <w:r w:rsidR="00F10EF6">
        <w:t>and</w:t>
      </w:r>
      <w:r w:rsidR="00E443D3">
        <w:t xml:space="preserve"> </w:t>
      </w:r>
      <w:r w:rsidR="003D7D7E">
        <w:t xml:space="preserve">as such, they were </w:t>
      </w:r>
      <w:r w:rsidR="00E443D3">
        <w:t xml:space="preserve">treated </w:t>
      </w:r>
      <w:r w:rsidR="003D7D7E">
        <w:t>very badly</w:t>
      </w:r>
      <w:r w:rsidR="00E443D3">
        <w:t xml:space="preserve">. </w:t>
      </w:r>
      <w:r w:rsidR="00F10EF6">
        <w:t xml:space="preserve">The best example of the brutal way in which the Jews were treated is Count </w:t>
      </w:r>
      <w:proofErr w:type="spellStart"/>
      <w:r w:rsidR="00F10EF6">
        <w:t>Emico’s</w:t>
      </w:r>
      <w:proofErr w:type="spellEnd"/>
      <w:r w:rsidR="00F10EF6">
        <w:t xml:space="preserve"> encounters with the Jews of the Rhineland’s. The first encounter of </w:t>
      </w:r>
      <w:proofErr w:type="spellStart"/>
      <w:r w:rsidR="00F10EF6">
        <w:t>Emico’s</w:t>
      </w:r>
      <w:proofErr w:type="spellEnd"/>
      <w:r w:rsidR="00F10EF6">
        <w:t xml:space="preserve"> Crusading party and the Jewish community occurred at Speyer and resulted in the deaths of 12 Jews who refused to convert to the Christian faith. This was subsequently followed by</w:t>
      </w:r>
      <w:r w:rsidR="00930C1C">
        <w:t xml:space="preserve"> the murder of 500 Jews at Worms, 1,000</w:t>
      </w:r>
      <w:r w:rsidR="002C7CAA">
        <w:t>’</w:t>
      </w:r>
      <w:r w:rsidR="00930C1C">
        <w:t>s of Jews at Mainz and many more at Cologne.</w:t>
      </w:r>
      <w:r w:rsidR="00930C1C">
        <w:rPr>
          <w:rStyle w:val="FootnoteReference"/>
        </w:rPr>
        <w:footnoteReference w:id="14"/>
      </w:r>
      <w:r w:rsidR="003D412C">
        <w:t xml:space="preserve"> As is clear, the slaughter of so many innocent Jews by one party of individuals demonstrates the brutal way in which the Jews were perceived by the Crusaders</w:t>
      </w:r>
      <w:r w:rsidR="00A73F3F">
        <w:t xml:space="preserve">, which is further reinforced by Jewish sources, such as Solomon Bar Samson’s account of the attack on Mainz. </w:t>
      </w:r>
      <w:r w:rsidR="0093173C">
        <w:t>This claims that ‘all of them - old men and young, virgins and children, servants and maids - cried</w:t>
      </w:r>
      <w:r w:rsidR="00201DA5">
        <w:t>…. weeping</w:t>
      </w:r>
      <w:r w:rsidR="0093173C">
        <w:t xml:space="preserve"> for themselves and for their lives’</w:t>
      </w:r>
      <w:r w:rsidR="005204E7">
        <w:t xml:space="preserve"> and that</w:t>
      </w:r>
      <w:r w:rsidR="00EE6B86">
        <w:t xml:space="preserve"> ‘the women there girded their loins with strength and slew their sons and their daughters and then themselves’.</w:t>
      </w:r>
      <w:r w:rsidR="0083088A">
        <w:rPr>
          <w:rStyle w:val="FootnoteReference"/>
        </w:rPr>
        <w:footnoteReference w:id="15"/>
      </w:r>
      <w:r w:rsidR="00EE6B86">
        <w:t xml:space="preserve"> </w:t>
      </w:r>
      <w:r w:rsidR="006F132C">
        <w:t xml:space="preserve">As is evident here, the fact that the Crusaders terrified the Jews, so much so that they </w:t>
      </w:r>
      <w:r w:rsidR="00236F5F">
        <w:t xml:space="preserve">would rather </w:t>
      </w:r>
      <w:r w:rsidR="006F132C">
        <w:t>kill themselves than be subjected to a brutal murder at the hands of the Crusaders</w:t>
      </w:r>
      <w:r w:rsidR="00236F5F">
        <w:t>, just goes to show</w:t>
      </w:r>
      <w:r w:rsidR="00F3355E">
        <w:t xml:space="preserve"> how horrible </w:t>
      </w:r>
      <w:r w:rsidR="00236F5F">
        <w:t>the treatment of the Jews by the Christians</w:t>
      </w:r>
      <w:r w:rsidR="00EC68AC">
        <w:t xml:space="preserve"> must have been</w:t>
      </w:r>
      <w:r w:rsidR="00236F5F">
        <w:t xml:space="preserve">. However, it is important to note here that the actions of </w:t>
      </w:r>
      <w:proofErr w:type="spellStart"/>
      <w:r w:rsidR="00236F5F">
        <w:t>Emico</w:t>
      </w:r>
      <w:proofErr w:type="spellEnd"/>
      <w:r w:rsidR="00236F5F">
        <w:t xml:space="preserve"> did not represent the attitudes of every Christian, as seen by </w:t>
      </w:r>
      <w:r w:rsidR="006D122D">
        <w:t>t</w:t>
      </w:r>
      <w:r w:rsidR="003F0B42">
        <w:t>he fact that the Christian theologian, Albert of Aachen, publicly condemned these brutal attacks on the Jewish populous.</w:t>
      </w:r>
      <w:r w:rsidR="00007446">
        <w:rPr>
          <w:rStyle w:val="FootnoteReference"/>
        </w:rPr>
        <w:footnoteReference w:id="16"/>
      </w:r>
      <w:r w:rsidR="003F0B42">
        <w:t xml:space="preserve"> Despite this, </w:t>
      </w:r>
      <w:r w:rsidR="00E3116F">
        <w:t>there are other examples of violence against the Jews, such as at the capture of Jerusalem, where a Muslim Chronicler records ‘the Jews [being] assembled in the synagogue, and the Franks burned it over their heads’.</w:t>
      </w:r>
      <w:r w:rsidR="00684BD7">
        <w:rPr>
          <w:rStyle w:val="FootnoteReference"/>
        </w:rPr>
        <w:footnoteReference w:id="17"/>
      </w:r>
      <w:r w:rsidR="00C22114">
        <w:t xml:space="preserve"> </w:t>
      </w:r>
      <w:r w:rsidR="00181E7C">
        <w:t xml:space="preserve">Both the attack by </w:t>
      </w:r>
      <w:proofErr w:type="spellStart"/>
      <w:r w:rsidR="00181E7C">
        <w:t>Emico</w:t>
      </w:r>
      <w:proofErr w:type="spellEnd"/>
      <w:r w:rsidR="00181E7C">
        <w:t xml:space="preserve"> and the burning of the synagogue demonstrate the violent treatment that the Jews suffered at the hands of the Crusaders</w:t>
      </w:r>
      <w:r w:rsidR="008B6497">
        <w:t xml:space="preserve">, and when analysed in conjunction with the way in which Muslim’s were treated, it </w:t>
      </w:r>
      <w:r w:rsidR="0052240A">
        <w:lastRenderedPageBreak/>
        <w:t>becomes</w:t>
      </w:r>
      <w:r w:rsidR="008B6497">
        <w:t xml:space="preserve"> clear</w:t>
      </w:r>
      <w:r w:rsidR="0052240A">
        <w:t>er</w:t>
      </w:r>
      <w:r w:rsidR="008B6497">
        <w:t xml:space="preserve"> that the Crusaders did not view, and in turn treat, all their enemies in the same way. </w:t>
      </w:r>
    </w:p>
    <w:p w14:paraId="77BBF281" w14:textId="5C34CCE9" w:rsidR="008B6497" w:rsidRDefault="008B6497" w:rsidP="003D412C">
      <w:pPr>
        <w:tabs>
          <w:tab w:val="left" w:pos="4050"/>
        </w:tabs>
        <w:spacing w:line="360" w:lineRule="auto"/>
      </w:pPr>
    </w:p>
    <w:p w14:paraId="70A5DDA2" w14:textId="3F338009" w:rsidR="008B6497" w:rsidRDefault="008B6497" w:rsidP="003D412C">
      <w:pPr>
        <w:tabs>
          <w:tab w:val="left" w:pos="4050"/>
        </w:tabs>
        <w:spacing w:line="360" w:lineRule="auto"/>
      </w:pPr>
      <w:r>
        <w:t>Finally,</w:t>
      </w:r>
      <w:r w:rsidR="00AC3829">
        <w:t xml:space="preserve"> the Crusader</w:t>
      </w:r>
      <w:r w:rsidR="00304E93">
        <w:t>s</w:t>
      </w:r>
      <w:r w:rsidR="00AC3829">
        <w:t xml:space="preserve"> attitudes towards </w:t>
      </w:r>
      <w:r w:rsidR="00731D64">
        <w:t xml:space="preserve">the less evil foes of </w:t>
      </w:r>
      <w:r w:rsidR="00AC3829">
        <w:t>the Hungarians and the Greeks further demonstrate</w:t>
      </w:r>
      <w:r w:rsidR="00731D64">
        <w:t>s</w:t>
      </w:r>
      <w:r w:rsidR="00AC3829">
        <w:t xml:space="preserve"> how the Crusaders did not view </w:t>
      </w:r>
      <w:r w:rsidR="00F852E2">
        <w:t>all</w:t>
      </w:r>
      <w:r w:rsidR="00AC3829">
        <w:t xml:space="preserve"> their enemies in the same light.</w:t>
      </w:r>
      <w:r w:rsidR="00692EAC">
        <w:t xml:space="preserve"> Although the Hungarians were also Christians, a group of Crusaders still went about Hungary burning granaries, raping and enslaving women, and setting the beards of the men alight</w:t>
      </w:r>
      <w:r w:rsidR="005B7B08">
        <w:t>. It is suggested that revenge was the reason behind these actions as it seems that a group of Hungarians pounced on a group of Crusaders and robbed them of everything, including their clothes</w:t>
      </w:r>
      <w:r w:rsidR="00142D0E">
        <w:t>, weapons, and wealth</w:t>
      </w:r>
      <w:r w:rsidR="005B7B08">
        <w:t>.</w:t>
      </w:r>
      <w:r w:rsidR="005B7B08">
        <w:rPr>
          <w:rStyle w:val="FootnoteReference"/>
        </w:rPr>
        <w:footnoteReference w:id="18"/>
      </w:r>
      <w:r w:rsidR="0069191F">
        <w:t xml:space="preserve"> Whatever the reasoning was for this violence, the savagery that the Hungarians experienced at the hands of their Christian brothers still occurred, but when compared to that of the Muslims and Jews, the Hungarian enemy was not brutalised that much and as such, this demonstrates why all enemies of the Crusaders were not seen in the same way.</w:t>
      </w:r>
      <w:r w:rsidR="00731D64">
        <w:t xml:space="preserve"> Furthermore, the Greeks, although being enemies of the faith, were not physically </w:t>
      </w:r>
      <w:r w:rsidR="004907B8">
        <w:t>attacked</w:t>
      </w:r>
      <w:r w:rsidR="00731D64">
        <w:t xml:space="preserve">, like some of the other </w:t>
      </w:r>
      <w:r w:rsidR="0052240A">
        <w:t>groups</w:t>
      </w:r>
      <w:r w:rsidR="00731D64">
        <w:t>, by the Crusaders</w:t>
      </w:r>
      <w:r w:rsidR="00142D0E">
        <w:t>.</w:t>
      </w:r>
      <w:r w:rsidR="00731D64">
        <w:t xml:space="preserve"> </w:t>
      </w:r>
      <w:r w:rsidR="00142D0E">
        <w:t>D</w:t>
      </w:r>
      <w:r w:rsidR="00731D64">
        <w:t>uring the First Crusade</w:t>
      </w:r>
      <w:r w:rsidR="00142D0E">
        <w:t>, t</w:t>
      </w:r>
      <w:r w:rsidR="00731D64">
        <w:t xml:space="preserve">he extent of </w:t>
      </w:r>
      <w:r w:rsidR="00142D0E">
        <w:t>this</w:t>
      </w:r>
      <w:r w:rsidR="00731D64">
        <w:t xml:space="preserve"> bad treatment towards them c</w:t>
      </w:r>
      <w:r w:rsidR="00142D0E">
        <w:t>ame</w:t>
      </w:r>
      <w:r w:rsidR="00731D64">
        <w:t xml:space="preserve"> in the form of </w:t>
      </w:r>
      <w:r w:rsidR="00142D0E">
        <w:t xml:space="preserve">verbal </w:t>
      </w:r>
      <w:r w:rsidR="00F3355E">
        <w:t xml:space="preserve">abuse for their </w:t>
      </w:r>
      <w:r w:rsidR="00731D64">
        <w:t>military incompetence</w:t>
      </w:r>
      <w:r w:rsidR="00142D0E">
        <w:t xml:space="preserve"> and lack of prowess in battle</w:t>
      </w:r>
      <w:r w:rsidR="00731D64">
        <w:t>.</w:t>
      </w:r>
      <w:r w:rsidR="00731D64">
        <w:rPr>
          <w:rStyle w:val="FootnoteReference"/>
        </w:rPr>
        <w:footnoteReference w:id="19"/>
      </w:r>
      <w:r w:rsidR="00731D64">
        <w:t xml:space="preserve"> The example of the Greeks compared to the other enemies of the faith undoubtedly demonstrates the fact that the enemies of the Crusaders were not all viewed in the same light.</w:t>
      </w:r>
    </w:p>
    <w:p w14:paraId="44EF59D8" w14:textId="2D568CA3" w:rsidR="00731D64" w:rsidRDefault="00731D64" w:rsidP="003D412C">
      <w:pPr>
        <w:tabs>
          <w:tab w:val="left" w:pos="4050"/>
        </w:tabs>
        <w:spacing w:line="360" w:lineRule="auto"/>
      </w:pPr>
    </w:p>
    <w:p w14:paraId="6C5E0288" w14:textId="4DA3B355" w:rsidR="00731D64" w:rsidRDefault="00731D64" w:rsidP="003D412C">
      <w:pPr>
        <w:tabs>
          <w:tab w:val="left" w:pos="4050"/>
        </w:tabs>
        <w:spacing w:line="360" w:lineRule="auto"/>
      </w:pPr>
      <w:r>
        <w:t>In conclusion, i</w:t>
      </w:r>
      <w:r w:rsidR="0052240A">
        <w:t>t</w:t>
      </w:r>
      <w:r>
        <w:t xml:space="preserve"> i</w:t>
      </w:r>
      <w:r w:rsidR="0052240A">
        <w:t>s</w:t>
      </w:r>
      <w:r>
        <w:t xml:space="preserve"> undeniably clear that all the enemies of the Crusaders were not seen in the same </w:t>
      </w:r>
      <w:r w:rsidR="00142D0E">
        <w:t>way</w:t>
      </w:r>
      <w:r w:rsidR="00C2711B">
        <w:t xml:space="preserve">, as many experienced the </w:t>
      </w:r>
      <w:r w:rsidR="00142D0E">
        <w:t>Christians</w:t>
      </w:r>
      <w:r w:rsidR="00C2711B">
        <w:t xml:space="preserve"> in different ways. The Jews and the Muslims </w:t>
      </w:r>
      <w:r w:rsidR="002C7CAA">
        <w:t xml:space="preserve">would </w:t>
      </w:r>
      <w:r w:rsidR="00142D0E">
        <w:t>have likely</w:t>
      </w:r>
      <w:r w:rsidR="00C2711B">
        <w:t xml:space="preserve"> feared the Christian wrath due to the slaughter and misery that it caused, while the Greeks had little trouble with them. </w:t>
      </w:r>
      <w:r>
        <w:t xml:space="preserve">Although many were depicted as enemies of the faith, suggesting that they </w:t>
      </w:r>
      <w:bookmarkStart w:id="0" w:name="_GoBack"/>
      <w:bookmarkEnd w:id="0"/>
      <w:r>
        <w:t xml:space="preserve">were all seen in the same way, the way in which each enemy uniquely suffered </w:t>
      </w:r>
      <w:r w:rsidR="00CD0F93">
        <w:t>at</w:t>
      </w:r>
      <w:r>
        <w:t xml:space="preserve"> the Crusaders’ hand</w:t>
      </w:r>
      <w:r w:rsidR="004907B8">
        <w:t>s</w:t>
      </w:r>
      <w:r>
        <w:t xml:space="preserve"> proves </w:t>
      </w:r>
      <w:proofErr w:type="gramStart"/>
      <w:r>
        <w:t>that</w:t>
      </w:r>
      <w:r w:rsidR="00110F33">
        <w:t xml:space="preserve"> in reality, </w:t>
      </w:r>
      <w:r>
        <w:t>the</w:t>
      </w:r>
      <w:proofErr w:type="gramEnd"/>
      <w:r>
        <w:t xml:space="preserve"> enemies of the Crusaders were not all seen in the same light.</w:t>
      </w:r>
    </w:p>
    <w:p w14:paraId="62711871" w14:textId="77777777" w:rsidR="00443FDF" w:rsidRDefault="00443FDF" w:rsidP="003D412C">
      <w:pPr>
        <w:tabs>
          <w:tab w:val="left" w:pos="4050"/>
        </w:tabs>
        <w:spacing w:line="360" w:lineRule="auto"/>
        <w:rPr>
          <w:b/>
        </w:rPr>
      </w:pPr>
    </w:p>
    <w:p w14:paraId="25B8950F" w14:textId="5803AE2B" w:rsidR="00C2711B" w:rsidRPr="00211958" w:rsidRDefault="00C2711B" w:rsidP="003D412C">
      <w:pPr>
        <w:tabs>
          <w:tab w:val="left" w:pos="4050"/>
        </w:tabs>
        <w:spacing w:line="360" w:lineRule="auto"/>
        <w:rPr>
          <w:b/>
        </w:rPr>
      </w:pPr>
      <w:r w:rsidRPr="00443FDF">
        <w:rPr>
          <w:b/>
        </w:rPr>
        <w:t>Words:</w:t>
      </w:r>
      <w:r w:rsidR="00211958">
        <w:rPr>
          <w:b/>
        </w:rPr>
        <w:t xml:space="preserve"> </w:t>
      </w:r>
      <w:r w:rsidR="00142D0E">
        <w:rPr>
          <w:b/>
        </w:rPr>
        <w:t>200</w:t>
      </w:r>
      <w:r w:rsidR="00EC68AC">
        <w:rPr>
          <w:b/>
        </w:rPr>
        <w:t>8</w:t>
      </w:r>
    </w:p>
    <w:p w14:paraId="415F86DA" w14:textId="77777777" w:rsidR="00877578" w:rsidRDefault="00877578" w:rsidP="003D412C">
      <w:pPr>
        <w:tabs>
          <w:tab w:val="left" w:pos="4050"/>
        </w:tabs>
        <w:spacing w:line="360" w:lineRule="auto"/>
        <w:rPr>
          <w:b/>
          <w:sz w:val="40"/>
          <w:u w:val="single"/>
        </w:rPr>
      </w:pPr>
    </w:p>
    <w:p w14:paraId="5ED1D9B3" w14:textId="5703A1B5" w:rsidR="00C2711B" w:rsidRDefault="00C2711B" w:rsidP="003D412C">
      <w:pPr>
        <w:tabs>
          <w:tab w:val="left" w:pos="4050"/>
        </w:tabs>
        <w:spacing w:line="360" w:lineRule="auto"/>
        <w:rPr>
          <w:sz w:val="28"/>
        </w:rPr>
      </w:pPr>
      <w:r w:rsidRPr="00C2711B">
        <w:rPr>
          <w:b/>
          <w:sz w:val="40"/>
          <w:u w:val="single"/>
        </w:rPr>
        <w:lastRenderedPageBreak/>
        <w:t>Bibliography</w:t>
      </w:r>
    </w:p>
    <w:p w14:paraId="0DAC834A" w14:textId="4A32BAAF" w:rsidR="00C2711B" w:rsidRDefault="00C2711B" w:rsidP="003D412C">
      <w:pPr>
        <w:tabs>
          <w:tab w:val="left" w:pos="4050"/>
        </w:tabs>
        <w:spacing w:line="360" w:lineRule="auto"/>
        <w:rPr>
          <w:sz w:val="28"/>
          <w:u w:val="single"/>
        </w:rPr>
      </w:pPr>
      <w:r w:rsidRPr="00C2711B">
        <w:rPr>
          <w:sz w:val="28"/>
          <w:u w:val="single"/>
        </w:rPr>
        <w:t>Primary Sources</w:t>
      </w:r>
      <w:r>
        <w:rPr>
          <w:sz w:val="28"/>
          <w:u w:val="single"/>
        </w:rPr>
        <w:t>:</w:t>
      </w:r>
    </w:p>
    <w:p w14:paraId="6809CA58" w14:textId="77777777" w:rsidR="00DE4648" w:rsidRDefault="00DE4648" w:rsidP="00DE4648">
      <w:pPr>
        <w:pStyle w:val="ListParagraph"/>
        <w:numPr>
          <w:ilvl w:val="0"/>
          <w:numId w:val="2"/>
        </w:numPr>
        <w:tabs>
          <w:tab w:val="left" w:pos="4050"/>
        </w:tabs>
        <w:spacing w:line="360" w:lineRule="auto"/>
      </w:pPr>
      <w:r w:rsidRPr="00DE4648">
        <w:rPr>
          <w:b/>
        </w:rPr>
        <w:t>Ibn al</w:t>
      </w:r>
      <w:proofErr w:type="gramStart"/>
      <w:r w:rsidRPr="00DE4648">
        <w:rPr>
          <w:b/>
        </w:rPr>
        <w:t>-‘</w:t>
      </w:r>
      <w:proofErr w:type="spellStart"/>
      <w:proofErr w:type="gramEnd"/>
      <w:r w:rsidRPr="00DE4648">
        <w:rPr>
          <w:b/>
        </w:rPr>
        <w:t>Adim</w:t>
      </w:r>
      <w:proofErr w:type="spellEnd"/>
      <w:r>
        <w:t xml:space="preserve">, Early 1200’s, </w:t>
      </w:r>
      <w:r w:rsidRPr="00C43B66">
        <w:rPr>
          <w:i/>
        </w:rPr>
        <w:t xml:space="preserve">The Massacre at </w:t>
      </w:r>
      <w:proofErr w:type="spellStart"/>
      <w:r w:rsidRPr="00C43B66">
        <w:rPr>
          <w:i/>
        </w:rPr>
        <w:t>Ma’arrat</w:t>
      </w:r>
      <w:proofErr w:type="spellEnd"/>
      <w:r w:rsidRPr="00C43B66">
        <w:rPr>
          <w:i/>
        </w:rPr>
        <w:t xml:space="preserve"> al-</w:t>
      </w:r>
      <w:proofErr w:type="spellStart"/>
      <w:r w:rsidRPr="00C43B66">
        <w:rPr>
          <w:i/>
        </w:rPr>
        <w:t>Nu’man</w:t>
      </w:r>
      <w:proofErr w:type="spellEnd"/>
      <w:r>
        <w:t>.</w:t>
      </w:r>
    </w:p>
    <w:p w14:paraId="767A144D" w14:textId="77777777" w:rsidR="00DE4648" w:rsidRPr="004907B8" w:rsidRDefault="00DE4648" w:rsidP="00DE4648">
      <w:pPr>
        <w:pStyle w:val="ListParagraph"/>
        <w:numPr>
          <w:ilvl w:val="0"/>
          <w:numId w:val="2"/>
        </w:numPr>
        <w:tabs>
          <w:tab w:val="left" w:pos="4050"/>
        </w:tabs>
        <w:spacing w:line="360" w:lineRule="auto"/>
      </w:pPr>
      <w:r w:rsidRPr="00DE4648">
        <w:rPr>
          <w:b/>
        </w:rPr>
        <w:t>Ibn al-</w:t>
      </w:r>
      <w:proofErr w:type="spellStart"/>
      <w:r w:rsidRPr="00DE4648">
        <w:rPr>
          <w:b/>
        </w:rPr>
        <w:t>Qalanisis</w:t>
      </w:r>
      <w:proofErr w:type="spellEnd"/>
      <w:r>
        <w:t>, c. 12</w:t>
      </w:r>
      <w:r w:rsidRPr="00684BD7">
        <w:rPr>
          <w:vertAlign w:val="superscript"/>
        </w:rPr>
        <w:t>th</w:t>
      </w:r>
      <w:r>
        <w:t xml:space="preserve"> Century, </w:t>
      </w:r>
      <w:r w:rsidRPr="00684BD7">
        <w:rPr>
          <w:i/>
        </w:rPr>
        <w:t>The Capture of Jerusalem</w:t>
      </w:r>
      <w:r>
        <w:t>.</w:t>
      </w:r>
    </w:p>
    <w:p w14:paraId="4C0067AF" w14:textId="467586F6" w:rsidR="00C2711B" w:rsidRDefault="00FE417E" w:rsidP="00DE4648">
      <w:pPr>
        <w:pStyle w:val="ListParagraph"/>
        <w:numPr>
          <w:ilvl w:val="0"/>
          <w:numId w:val="2"/>
        </w:numPr>
        <w:tabs>
          <w:tab w:val="left" w:pos="4050"/>
        </w:tabs>
        <w:spacing w:line="360" w:lineRule="auto"/>
      </w:pPr>
      <w:r w:rsidRPr="00DE4648">
        <w:rPr>
          <w:b/>
        </w:rPr>
        <w:t>Robert the Monk</w:t>
      </w:r>
      <w:r>
        <w:t xml:space="preserve">, c. 1120, </w:t>
      </w:r>
      <w:r w:rsidRPr="00DE4648">
        <w:rPr>
          <w:i/>
        </w:rPr>
        <w:t>History of the First Crusade</w:t>
      </w:r>
      <w:r>
        <w:t>.</w:t>
      </w:r>
    </w:p>
    <w:p w14:paraId="25C76728" w14:textId="26FBC498" w:rsidR="00DE4648" w:rsidRDefault="00DE4648" w:rsidP="00DE4648">
      <w:pPr>
        <w:pStyle w:val="ListParagraph"/>
        <w:numPr>
          <w:ilvl w:val="0"/>
          <w:numId w:val="2"/>
        </w:numPr>
        <w:tabs>
          <w:tab w:val="left" w:pos="4050"/>
        </w:tabs>
        <w:spacing w:line="360" w:lineRule="auto"/>
      </w:pPr>
      <w:r w:rsidRPr="00DE4648">
        <w:rPr>
          <w:b/>
        </w:rPr>
        <w:t>Solomon bar Samson</w:t>
      </w:r>
      <w:r>
        <w:t xml:space="preserve">, c. 1140, </w:t>
      </w:r>
      <w:r>
        <w:rPr>
          <w:i/>
        </w:rPr>
        <w:t>The Crusaders in Mainz</w:t>
      </w:r>
      <w:r>
        <w:t>.</w:t>
      </w:r>
    </w:p>
    <w:p w14:paraId="041EB423" w14:textId="21405A42" w:rsidR="00FE417E" w:rsidRDefault="00FE417E" w:rsidP="004907B8">
      <w:pPr>
        <w:pStyle w:val="ListParagraph"/>
        <w:numPr>
          <w:ilvl w:val="0"/>
          <w:numId w:val="2"/>
        </w:numPr>
        <w:tabs>
          <w:tab w:val="left" w:pos="4050"/>
        </w:tabs>
        <w:spacing w:line="360" w:lineRule="auto"/>
      </w:pPr>
      <w:r w:rsidRPr="00DE4648">
        <w:rPr>
          <w:b/>
        </w:rPr>
        <w:t>Unknown</w:t>
      </w:r>
      <w:r>
        <w:t xml:space="preserve"> Jewish Chronicle, c. 12</w:t>
      </w:r>
      <w:r w:rsidRPr="00634DDD">
        <w:rPr>
          <w:vertAlign w:val="superscript"/>
        </w:rPr>
        <w:t>th</w:t>
      </w:r>
      <w:r>
        <w:t xml:space="preserve"> Century, </w:t>
      </w:r>
      <w:r w:rsidRPr="00FE417E">
        <w:rPr>
          <w:i/>
        </w:rPr>
        <w:t>Conversation between a Jew and a Crusader</w:t>
      </w:r>
      <w:r>
        <w:t>.</w:t>
      </w:r>
    </w:p>
    <w:p w14:paraId="1730A591" w14:textId="0E4946A3" w:rsidR="00C2711B" w:rsidRDefault="00C2711B" w:rsidP="003D412C">
      <w:pPr>
        <w:tabs>
          <w:tab w:val="left" w:pos="4050"/>
        </w:tabs>
        <w:spacing w:line="360" w:lineRule="auto"/>
        <w:rPr>
          <w:sz w:val="28"/>
          <w:u w:val="single"/>
        </w:rPr>
      </w:pPr>
      <w:r>
        <w:rPr>
          <w:sz w:val="28"/>
          <w:u w:val="single"/>
        </w:rPr>
        <w:t>Secondary Sources:</w:t>
      </w:r>
    </w:p>
    <w:p w14:paraId="66A9BAAF" w14:textId="0DBDBBE5" w:rsidR="00EA1219" w:rsidRDefault="00EA1219" w:rsidP="00EA1219">
      <w:pPr>
        <w:pStyle w:val="ListParagraph"/>
        <w:numPr>
          <w:ilvl w:val="0"/>
          <w:numId w:val="2"/>
        </w:numPr>
        <w:tabs>
          <w:tab w:val="left" w:pos="4050"/>
        </w:tabs>
        <w:spacing w:line="360" w:lineRule="auto"/>
      </w:pPr>
      <w:proofErr w:type="spellStart"/>
      <w:r w:rsidRPr="00DE4648">
        <w:rPr>
          <w:b/>
        </w:rPr>
        <w:t>Eidelberg</w:t>
      </w:r>
      <w:proofErr w:type="spellEnd"/>
      <w:r>
        <w:t xml:space="preserve">, S., </w:t>
      </w:r>
      <w:r w:rsidRPr="00C56465">
        <w:rPr>
          <w:i/>
        </w:rPr>
        <w:t>The Jews and the Crusaders: The Hebrew Chronicles of the First and Second Crusades</w:t>
      </w:r>
      <w:r>
        <w:t xml:space="preserve"> </w:t>
      </w:r>
      <w:r w:rsidR="00211958">
        <w:t xml:space="preserve">(Trans. &amp; Ed. by author), </w:t>
      </w:r>
      <w:r>
        <w:t>(KTAV Publishing House Inc., New Jersey, 1996), pp. 3 – 7.</w:t>
      </w:r>
    </w:p>
    <w:p w14:paraId="61D085C9" w14:textId="5EF13B12" w:rsidR="00EA1219" w:rsidRDefault="00EA1219" w:rsidP="00EA1219">
      <w:pPr>
        <w:pStyle w:val="ListParagraph"/>
        <w:numPr>
          <w:ilvl w:val="0"/>
          <w:numId w:val="2"/>
        </w:numPr>
        <w:tabs>
          <w:tab w:val="left" w:pos="4050"/>
        </w:tabs>
        <w:spacing w:line="360" w:lineRule="auto"/>
      </w:pPr>
      <w:r w:rsidRPr="00503459">
        <w:rPr>
          <w:b/>
        </w:rPr>
        <w:t>Fordham</w:t>
      </w:r>
      <w:r>
        <w:t xml:space="preserve"> University, </w:t>
      </w:r>
      <w:r w:rsidRPr="00DB388C">
        <w:rPr>
          <w:i/>
        </w:rPr>
        <w:t>Internet Medieval Sourcebook,</w:t>
      </w:r>
      <w:r>
        <w:rPr>
          <w:i/>
        </w:rPr>
        <w:t xml:space="preserve"> </w:t>
      </w:r>
      <w:r>
        <w:t>(</w:t>
      </w:r>
      <w:r w:rsidRPr="00EA1219">
        <w:t>https://sourcebooks.fordham.edu/Halsall/sbook1k.asp</w:t>
      </w:r>
      <w:r>
        <w:t>).</w:t>
      </w:r>
    </w:p>
    <w:p w14:paraId="61B7F94C" w14:textId="77777777" w:rsidR="00EA1219" w:rsidRDefault="00EA1219" w:rsidP="00EA1219">
      <w:pPr>
        <w:pStyle w:val="ListParagraph"/>
        <w:numPr>
          <w:ilvl w:val="0"/>
          <w:numId w:val="2"/>
        </w:numPr>
        <w:tabs>
          <w:tab w:val="left" w:pos="4050"/>
        </w:tabs>
        <w:spacing w:line="360" w:lineRule="auto"/>
      </w:pPr>
      <w:r w:rsidRPr="00DE4648">
        <w:rPr>
          <w:b/>
        </w:rPr>
        <w:t>Hillenbrand</w:t>
      </w:r>
      <w:r>
        <w:t xml:space="preserve">, C., </w:t>
      </w:r>
      <w:r w:rsidRPr="00C56465">
        <w:rPr>
          <w:i/>
        </w:rPr>
        <w:t>The Crusades: Islamic Perspective</w:t>
      </w:r>
      <w:r>
        <w:t xml:space="preserve"> (Routledge, New York, 2000), pp. 59 – 66.</w:t>
      </w:r>
    </w:p>
    <w:p w14:paraId="3C984490" w14:textId="77777777" w:rsidR="00EA1219" w:rsidRDefault="00EA1219" w:rsidP="00EA1219">
      <w:pPr>
        <w:pStyle w:val="ListParagraph"/>
        <w:numPr>
          <w:ilvl w:val="0"/>
          <w:numId w:val="2"/>
        </w:numPr>
        <w:tabs>
          <w:tab w:val="left" w:pos="4050"/>
        </w:tabs>
        <w:spacing w:line="360" w:lineRule="auto"/>
      </w:pPr>
      <w:r w:rsidRPr="00EA1219">
        <w:rPr>
          <w:b/>
        </w:rPr>
        <w:t>Morton</w:t>
      </w:r>
      <w:r w:rsidRPr="00EF422D">
        <w:t>,</w:t>
      </w:r>
      <w:r w:rsidRPr="00FE417E">
        <w:t xml:space="preserve"> N.,</w:t>
      </w:r>
      <w:r w:rsidRPr="00EA1219">
        <w:rPr>
          <w:i/>
        </w:rPr>
        <w:t xml:space="preserve"> Encountering Islam on the First Crusade</w:t>
      </w:r>
      <w:r>
        <w:t xml:space="preserve"> (Cambridge University Press, Cambridge, 2016) p. 80 (Table 1).</w:t>
      </w:r>
    </w:p>
    <w:p w14:paraId="7C98D636" w14:textId="77777777" w:rsidR="00EA1219" w:rsidRDefault="00EA1219" w:rsidP="00EA1219">
      <w:pPr>
        <w:pStyle w:val="ListParagraph"/>
        <w:numPr>
          <w:ilvl w:val="0"/>
          <w:numId w:val="2"/>
        </w:numPr>
        <w:tabs>
          <w:tab w:val="left" w:pos="4050"/>
        </w:tabs>
        <w:spacing w:line="360" w:lineRule="auto"/>
      </w:pPr>
      <w:r w:rsidRPr="00DE4648">
        <w:rPr>
          <w:b/>
        </w:rPr>
        <w:t>Oxford</w:t>
      </w:r>
      <w:r>
        <w:t xml:space="preserve"> University, Crusade, </w:t>
      </w:r>
      <w:r w:rsidRPr="00E4688F">
        <w:rPr>
          <w:i/>
        </w:rPr>
        <w:t>Oxford English Dictionary 3</w:t>
      </w:r>
      <w:r w:rsidRPr="00E4688F">
        <w:rPr>
          <w:i/>
          <w:vertAlign w:val="superscript"/>
        </w:rPr>
        <w:t>rd</w:t>
      </w:r>
      <w:r w:rsidRPr="00E4688F">
        <w:rPr>
          <w:i/>
        </w:rPr>
        <w:t xml:space="preserve"> Edition</w:t>
      </w:r>
      <w:r>
        <w:t xml:space="preserve"> (Oxford University Press, Oxford, 2015 [2010]). Accessed from </w:t>
      </w:r>
      <w:r w:rsidRPr="00E4688F">
        <w:rPr>
          <w:i/>
        </w:rPr>
        <w:t>Oxford Referencing</w:t>
      </w:r>
      <w:r>
        <w:t>.</w:t>
      </w:r>
    </w:p>
    <w:p w14:paraId="663AF6AC" w14:textId="77777777" w:rsidR="00EA1219" w:rsidRDefault="00EA1219" w:rsidP="00EA1219">
      <w:pPr>
        <w:pStyle w:val="ListParagraph"/>
        <w:numPr>
          <w:ilvl w:val="0"/>
          <w:numId w:val="2"/>
        </w:numPr>
        <w:tabs>
          <w:tab w:val="left" w:pos="4050"/>
        </w:tabs>
        <w:spacing w:line="360" w:lineRule="auto"/>
      </w:pPr>
      <w:r w:rsidRPr="00DE4648">
        <w:rPr>
          <w:b/>
        </w:rPr>
        <w:t>Oxford</w:t>
      </w:r>
      <w:r>
        <w:t xml:space="preserve"> University, Heresy, </w:t>
      </w:r>
      <w:r w:rsidRPr="00E4688F">
        <w:rPr>
          <w:i/>
        </w:rPr>
        <w:t>Oxford English Dictionary 3</w:t>
      </w:r>
      <w:r w:rsidRPr="00E4688F">
        <w:rPr>
          <w:i/>
          <w:vertAlign w:val="superscript"/>
        </w:rPr>
        <w:t>rd</w:t>
      </w:r>
      <w:r w:rsidRPr="00E4688F">
        <w:rPr>
          <w:i/>
        </w:rPr>
        <w:t xml:space="preserve"> Edition</w:t>
      </w:r>
      <w:r>
        <w:t xml:space="preserve"> (Oxford University Press, Oxford, 2015 [2010]). Accessed from </w:t>
      </w:r>
      <w:r w:rsidRPr="00E4688F">
        <w:rPr>
          <w:i/>
        </w:rPr>
        <w:t>Oxford Referencing</w:t>
      </w:r>
      <w:r>
        <w:rPr>
          <w:i/>
        </w:rPr>
        <w:t>.</w:t>
      </w:r>
    </w:p>
    <w:p w14:paraId="2C279AE8" w14:textId="5B6256D3" w:rsidR="004907B8" w:rsidRDefault="00FE417E" w:rsidP="00EA1219">
      <w:pPr>
        <w:pStyle w:val="ListParagraph"/>
        <w:numPr>
          <w:ilvl w:val="0"/>
          <w:numId w:val="2"/>
        </w:numPr>
        <w:tabs>
          <w:tab w:val="left" w:pos="4050"/>
        </w:tabs>
        <w:spacing w:line="360" w:lineRule="auto"/>
      </w:pPr>
      <w:r w:rsidRPr="00EA1219">
        <w:rPr>
          <w:b/>
        </w:rPr>
        <w:t>Riley-Smith</w:t>
      </w:r>
      <w:r>
        <w:t xml:space="preserve">, J., </w:t>
      </w:r>
      <w:r w:rsidRPr="00EA1219">
        <w:rPr>
          <w:i/>
        </w:rPr>
        <w:t>The First Crusade and the Idea of Crusading</w:t>
      </w:r>
      <w:r>
        <w:t xml:space="preserve"> (Continuum Books, London, 2003 [1993]), pp. 1 &amp; 54 – 57 &amp; 108 – 109.</w:t>
      </w:r>
    </w:p>
    <w:p w14:paraId="1A4B34A0" w14:textId="442651CF" w:rsidR="00C56465" w:rsidRDefault="00EA1219" w:rsidP="00EA1219">
      <w:pPr>
        <w:pStyle w:val="ListParagraph"/>
        <w:numPr>
          <w:ilvl w:val="0"/>
          <w:numId w:val="2"/>
        </w:numPr>
        <w:tabs>
          <w:tab w:val="left" w:pos="4050"/>
        </w:tabs>
        <w:spacing w:line="360" w:lineRule="auto"/>
      </w:pPr>
      <w:r>
        <w:t xml:space="preserve"> </w:t>
      </w:r>
      <w:proofErr w:type="spellStart"/>
      <w:r w:rsidR="00C56465" w:rsidRPr="00EA1219">
        <w:rPr>
          <w:b/>
        </w:rPr>
        <w:t>Tyerman</w:t>
      </w:r>
      <w:proofErr w:type="spellEnd"/>
      <w:r w:rsidR="00C56465">
        <w:t xml:space="preserve">, C., </w:t>
      </w:r>
      <w:r w:rsidR="00C56465" w:rsidRPr="00EA1219">
        <w:rPr>
          <w:i/>
        </w:rPr>
        <w:t>Chronicles of the First Crusade</w:t>
      </w:r>
      <w:r w:rsidR="00C56465">
        <w:t xml:space="preserve"> </w:t>
      </w:r>
      <w:r w:rsidR="00211958">
        <w:t xml:space="preserve">(Ed. by author), </w:t>
      </w:r>
      <w:r w:rsidR="00C56465">
        <w:t>(Penguin UK, UK, 2012), pp. 32 – 58.</w:t>
      </w:r>
    </w:p>
    <w:p w14:paraId="6D7E218C" w14:textId="17A94CA2" w:rsidR="00064575" w:rsidRPr="004907B8" w:rsidRDefault="00064575" w:rsidP="00EA1219">
      <w:pPr>
        <w:tabs>
          <w:tab w:val="left" w:pos="4050"/>
        </w:tabs>
        <w:spacing w:line="360" w:lineRule="auto"/>
        <w:ind w:left="360"/>
      </w:pPr>
    </w:p>
    <w:sectPr w:rsidR="00064575" w:rsidRPr="004907B8" w:rsidSect="00EF5F2D">
      <w:headerReference w:type="default" r:id="rId8"/>
      <w:footerReference w:type="default" r:id="rId9"/>
      <w:pgSz w:w="11906" w:h="16838"/>
      <w:pgMar w:top="1440" w:right="1440" w:bottom="1440" w:left="144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9856C" w14:textId="77777777" w:rsidR="00652E76" w:rsidRDefault="00652E76" w:rsidP="00A86411">
      <w:pPr>
        <w:spacing w:after="0" w:line="240" w:lineRule="auto"/>
      </w:pPr>
      <w:r>
        <w:separator/>
      </w:r>
    </w:p>
  </w:endnote>
  <w:endnote w:type="continuationSeparator" w:id="0">
    <w:p w14:paraId="72990052" w14:textId="77777777" w:rsidR="00652E76" w:rsidRDefault="00652E76" w:rsidP="00A86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2120155"/>
      <w:docPartObj>
        <w:docPartGallery w:val="Page Numbers (Bottom of Page)"/>
        <w:docPartUnique/>
      </w:docPartObj>
    </w:sdtPr>
    <w:sdtEndPr>
      <w:rPr>
        <w:noProof/>
      </w:rPr>
    </w:sdtEndPr>
    <w:sdtContent>
      <w:p w14:paraId="35FD69AA" w14:textId="6A933E55" w:rsidR="00BA3D82" w:rsidRDefault="00BA3D82">
        <w:pPr>
          <w:pStyle w:val="Footer"/>
          <w:jc w:val="center"/>
        </w:pPr>
        <w:r>
          <w:fldChar w:fldCharType="begin"/>
        </w:r>
        <w:r>
          <w:instrText xml:space="preserve"> PAGE   \* MERGEFORMAT </w:instrText>
        </w:r>
        <w:r>
          <w:fldChar w:fldCharType="separate"/>
        </w:r>
        <w:r w:rsidR="00FC76A4">
          <w:rPr>
            <w:noProof/>
          </w:rPr>
          <w:t>1</w:t>
        </w:r>
        <w:r>
          <w:rPr>
            <w:noProof/>
          </w:rPr>
          <w:fldChar w:fldCharType="end"/>
        </w:r>
      </w:p>
    </w:sdtContent>
  </w:sdt>
  <w:p w14:paraId="474346ED" w14:textId="77777777" w:rsidR="00BA3D82" w:rsidRDefault="00BA3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A0526" w14:textId="77777777" w:rsidR="00652E76" w:rsidRDefault="00652E76" w:rsidP="00A86411">
      <w:pPr>
        <w:spacing w:after="0" w:line="240" w:lineRule="auto"/>
      </w:pPr>
      <w:r>
        <w:separator/>
      </w:r>
    </w:p>
  </w:footnote>
  <w:footnote w:type="continuationSeparator" w:id="0">
    <w:p w14:paraId="0FB22A5E" w14:textId="77777777" w:rsidR="00652E76" w:rsidRDefault="00652E76" w:rsidP="00A86411">
      <w:pPr>
        <w:spacing w:after="0" w:line="240" w:lineRule="auto"/>
      </w:pPr>
      <w:r>
        <w:continuationSeparator/>
      </w:r>
    </w:p>
  </w:footnote>
  <w:footnote w:id="1">
    <w:p w14:paraId="57BD3AAC" w14:textId="72BC8911" w:rsidR="00BA3D82" w:rsidRDefault="00BA3D82">
      <w:pPr>
        <w:pStyle w:val="FootnoteText"/>
      </w:pPr>
      <w:r>
        <w:rPr>
          <w:rStyle w:val="FootnoteReference"/>
        </w:rPr>
        <w:footnoteRef/>
      </w:r>
      <w:r>
        <w:t xml:space="preserve"> Jonathan Riley-Smith, </w:t>
      </w:r>
      <w:r w:rsidRPr="00B835CF">
        <w:rPr>
          <w:i/>
        </w:rPr>
        <w:t>The First Crusade and the Idea of Crusading</w:t>
      </w:r>
      <w:r>
        <w:t xml:space="preserve"> (Continuum Books, London, 2003 [1993]), p. 1. </w:t>
      </w:r>
    </w:p>
  </w:footnote>
  <w:footnote w:id="2">
    <w:p w14:paraId="685F8A3F" w14:textId="1F3743D7" w:rsidR="00BA3D82" w:rsidRDefault="00BA3D82">
      <w:pPr>
        <w:pStyle w:val="FootnoteText"/>
      </w:pPr>
      <w:r>
        <w:rPr>
          <w:rStyle w:val="FootnoteReference"/>
        </w:rPr>
        <w:footnoteRef/>
      </w:r>
      <w:r>
        <w:t xml:space="preserve"> Oxford University, Crusade, </w:t>
      </w:r>
      <w:r w:rsidRPr="00E4688F">
        <w:rPr>
          <w:i/>
        </w:rPr>
        <w:t>Oxford English Dictionary 3</w:t>
      </w:r>
      <w:r w:rsidRPr="00E4688F">
        <w:rPr>
          <w:i/>
          <w:vertAlign w:val="superscript"/>
        </w:rPr>
        <w:t>rd</w:t>
      </w:r>
      <w:r w:rsidRPr="00E4688F">
        <w:rPr>
          <w:i/>
        </w:rPr>
        <w:t xml:space="preserve"> Edition</w:t>
      </w:r>
      <w:r>
        <w:t xml:space="preserve"> (Oxford University Press, Oxford, 2015 [2010]). Accessed from </w:t>
      </w:r>
      <w:r w:rsidRPr="00E4688F">
        <w:rPr>
          <w:i/>
        </w:rPr>
        <w:t>Oxford Referencing</w:t>
      </w:r>
      <w:r>
        <w:rPr>
          <w:i/>
        </w:rPr>
        <w:t xml:space="preserve"> </w:t>
      </w:r>
      <w:r>
        <w:t>on 05/03/2018.</w:t>
      </w:r>
    </w:p>
  </w:footnote>
  <w:footnote w:id="3">
    <w:p w14:paraId="318CDA25" w14:textId="7B096644" w:rsidR="00BA3D82" w:rsidRPr="00DB388C" w:rsidRDefault="00BA3D82">
      <w:pPr>
        <w:pStyle w:val="FootnoteText"/>
      </w:pPr>
      <w:r>
        <w:rPr>
          <w:rStyle w:val="FootnoteReference"/>
        </w:rPr>
        <w:footnoteRef/>
      </w:r>
      <w:r>
        <w:t xml:space="preserve"> Robert the Monk, c. 1120, </w:t>
      </w:r>
      <w:r w:rsidR="002802EA">
        <w:rPr>
          <w:i/>
        </w:rPr>
        <w:t>History of the First Crusade</w:t>
      </w:r>
      <w:r>
        <w:t xml:space="preserve">. Accessed from the </w:t>
      </w:r>
      <w:r w:rsidRPr="00DB388C">
        <w:rPr>
          <w:i/>
        </w:rPr>
        <w:t>Internet Medieval Sourcebook, Fordham University</w:t>
      </w:r>
      <w:r>
        <w:t xml:space="preserve"> (</w:t>
      </w:r>
      <w:r w:rsidRPr="00DB388C">
        <w:t>https://sourcebooks.fordham.edu/Halsall/source/urban2-5vers.asp</w:t>
      </w:r>
      <w:r>
        <w:t>) on 07/03/2018.</w:t>
      </w:r>
    </w:p>
  </w:footnote>
  <w:footnote w:id="4">
    <w:p w14:paraId="24DA6DB8" w14:textId="58C3CCDA" w:rsidR="00EF422D" w:rsidRDefault="00EF422D">
      <w:pPr>
        <w:pStyle w:val="FootnoteText"/>
      </w:pPr>
      <w:r>
        <w:rPr>
          <w:rStyle w:val="FootnoteReference"/>
        </w:rPr>
        <w:footnoteRef/>
      </w:r>
      <w:r>
        <w:t xml:space="preserve"> Nicholas Morton</w:t>
      </w:r>
      <w:r w:rsidRPr="00EF422D">
        <w:t>,</w:t>
      </w:r>
      <w:r w:rsidRPr="00EF422D">
        <w:rPr>
          <w:i/>
        </w:rPr>
        <w:t xml:space="preserve"> Encountering Islam on the First Crusade</w:t>
      </w:r>
      <w:r>
        <w:t xml:space="preserve"> (Cambridge University Press, Cambridge, 2016) p. 80 (Table 1).</w:t>
      </w:r>
    </w:p>
  </w:footnote>
  <w:footnote w:id="5">
    <w:p w14:paraId="2A096587" w14:textId="18B5D13A" w:rsidR="007B73CF" w:rsidRDefault="007B73CF">
      <w:pPr>
        <w:pStyle w:val="FootnoteText"/>
      </w:pPr>
      <w:r>
        <w:rPr>
          <w:rStyle w:val="FootnoteReference"/>
        </w:rPr>
        <w:footnoteRef/>
      </w:r>
      <w:r>
        <w:t xml:space="preserve"> Riley-Smith, </w:t>
      </w:r>
      <w:r w:rsidRPr="00B835CF">
        <w:rPr>
          <w:i/>
        </w:rPr>
        <w:t>First Crusade and Idea Crusading</w:t>
      </w:r>
      <w:r>
        <w:t>, pp. 108 – 109.</w:t>
      </w:r>
    </w:p>
  </w:footnote>
  <w:footnote w:id="6">
    <w:p w14:paraId="5501D488" w14:textId="42BC2FD8" w:rsidR="00D5469B" w:rsidRDefault="00D5469B">
      <w:pPr>
        <w:pStyle w:val="FootnoteText"/>
      </w:pPr>
      <w:r>
        <w:rPr>
          <w:rStyle w:val="FootnoteReference"/>
        </w:rPr>
        <w:footnoteRef/>
      </w:r>
      <w:r>
        <w:t xml:space="preserve"> Riley-Smith, </w:t>
      </w:r>
      <w:r w:rsidRPr="00B835CF">
        <w:rPr>
          <w:i/>
        </w:rPr>
        <w:t>First Crusade and Idea Crusading</w:t>
      </w:r>
      <w:r>
        <w:t xml:space="preserve">, pp. 54 </w:t>
      </w:r>
      <w:r w:rsidR="00110A50">
        <w:t xml:space="preserve">– </w:t>
      </w:r>
      <w:r>
        <w:t>56.</w:t>
      </w:r>
    </w:p>
  </w:footnote>
  <w:footnote w:id="7">
    <w:p w14:paraId="52714F8A" w14:textId="0AB6F15A" w:rsidR="00634DDD" w:rsidRDefault="00634DDD">
      <w:pPr>
        <w:pStyle w:val="FootnoteText"/>
      </w:pPr>
      <w:r>
        <w:rPr>
          <w:rStyle w:val="FootnoteReference"/>
        </w:rPr>
        <w:footnoteRef/>
      </w:r>
      <w:r>
        <w:t xml:space="preserve"> Unknown Jewish Chronicle, c. 12</w:t>
      </w:r>
      <w:r w:rsidRPr="00634DDD">
        <w:rPr>
          <w:vertAlign w:val="superscript"/>
        </w:rPr>
        <w:t>th</w:t>
      </w:r>
      <w:r>
        <w:t xml:space="preserve"> Century, </w:t>
      </w:r>
      <w:r w:rsidRPr="00FE417E">
        <w:rPr>
          <w:i/>
        </w:rPr>
        <w:t>Conversation between a Jew and a Crusader</w:t>
      </w:r>
      <w:r>
        <w:t xml:space="preserve">. Accessed from Riley-Smith, </w:t>
      </w:r>
      <w:r w:rsidRPr="00B835CF">
        <w:rPr>
          <w:i/>
        </w:rPr>
        <w:t>First Crusade and Idea Crusading</w:t>
      </w:r>
      <w:r>
        <w:t>, p. 56.</w:t>
      </w:r>
    </w:p>
  </w:footnote>
  <w:footnote w:id="8">
    <w:p w14:paraId="5BDBF34B" w14:textId="17F9EA7B" w:rsidR="00595CCE" w:rsidRDefault="00595CCE">
      <w:pPr>
        <w:pStyle w:val="FootnoteText"/>
      </w:pPr>
      <w:r>
        <w:rPr>
          <w:rStyle w:val="FootnoteReference"/>
        </w:rPr>
        <w:footnoteRef/>
      </w:r>
      <w:r>
        <w:t xml:space="preserve"> Riley-Smith, </w:t>
      </w:r>
      <w:r w:rsidRPr="00B835CF">
        <w:rPr>
          <w:i/>
        </w:rPr>
        <w:t>First Crusade and Idea Crusading</w:t>
      </w:r>
      <w:r>
        <w:t>, p. 55.</w:t>
      </w:r>
    </w:p>
  </w:footnote>
  <w:footnote w:id="9">
    <w:p w14:paraId="38558BED" w14:textId="781791E3" w:rsidR="00BB6457" w:rsidRDefault="00BB6457">
      <w:pPr>
        <w:pStyle w:val="FootnoteText"/>
      </w:pPr>
      <w:r>
        <w:rPr>
          <w:rStyle w:val="FootnoteReference"/>
        </w:rPr>
        <w:footnoteRef/>
      </w:r>
      <w:r>
        <w:t xml:space="preserve"> Oxford University, Heresy, </w:t>
      </w:r>
      <w:r w:rsidRPr="00E4688F">
        <w:rPr>
          <w:i/>
        </w:rPr>
        <w:t>Oxford English Dictionary 3</w:t>
      </w:r>
      <w:r w:rsidRPr="00E4688F">
        <w:rPr>
          <w:i/>
          <w:vertAlign w:val="superscript"/>
        </w:rPr>
        <w:t>rd</w:t>
      </w:r>
      <w:r w:rsidRPr="00E4688F">
        <w:rPr>
          <w:i/>
        </w:rPr>
        <w:t xml:space="preserve"> Edition</w:t>
      </w:r>
      <w:r>
        <w:t xml:space="preserve"> (Oxford University Press, Oxford, 2015 [2010]). Accessed from </w:t>
      </w:r>
      <w:r w:rsidRPr="00E4688F">
        <w:rPr>
          <w:i/>
        </w:rPr>
        <w:t>Oxford Referencing</w:t>
      </w:r>
      <w:r>
        <w:rPr>
          <w:i/>
        </w:rPr>
        <w:t xml:space="preserve"> </w:t>
      </w:r>
      <w:r>
        <w:t>on 09/03/2018.</w:t>
      </w:r>
    </w:p>
  </w:footnote>
  <w:footnote w:id="10">
    <w:p w14:paraId="6B0AB72B" w14:textId="3612F367" w:rsidR="00110A50" w:rsidRDefault="00110A50">
      <w:pPr>
        <w:pStyle w:val="FootnoteText"/>
      </w:pPr>
      <w:r>
        <w:rPr>
          <w:rStyle w:val="FootnoteReference"/>
        </w:rPr>
        <w:footnoteRef/>
      </w:r>
      <w:r>
        <w:t xml:space="preserve"> Riley-Smith, </w:t>
      </w:r>
      <w:r w:rsidRPr="00B835CF">
        <w:rPr>
          <w:i/>
        </w:rPr>
        <w:t>First Crusade and Idea Crusading</w:t>
      </w:r>
      <w:r>
        <w:t>, p</w:t>
      </w:r>
      <w:r w:rsidR="00434D5D">
        <w:t>p</w:t>
      </w:r>
      <w:r>
        <w:t>. 54</w:t>
      </w:r>
      <w:r w:rsidR="00434D5D">
        <w:t xml:space="preserve"> &amp; 108</w:t>
      </w:r>
      <w:r>
        <w:t>.</w:t>
      </w:r>
    </w:p>
  </w:footnote>
  <w:footnote w:id="11">
    <w:p w14:paraId="51E99A3B" w14:textId="5060224D" w:rsidR="00710782" w:rsidRDefault="00710782">
      <w:pPr>
        <w:pStyle w:val="FootnoteText"/>
      </w:pPr>
      <w:r>
        <w:rPr>
          <w:rStyle w:val="FootnoteReference"/>
        </w:rPr>
        <w:footnoteRef/>
      </w:r>
      <w:r>
        <w:t xml:space="preserve"> Robert the Monk, c. 1120, </w:t>
      </w:r>
      <w:r>
        <w:rPr>
          <w:i/>
        </w:rPr>
        <w:t>History of the First Crusade</w:t>
      </w:r>
      <w:r>
        <w:t xml:space="preserve">. Accessed from the </w:t>
      </w:r>
      <w:r w:rsidRPr="00DB388C">
        <w:rPr>
          <w:i/>
        </w:rPr>
        <w:t>Internet Medieval Sourcebook, Fordham University</w:t>
      </w:r>
      <w:r>
        <w:t xml:space="preserve"> (</w:t>
      </w:r>
      <w:r w:rsidRPr="00DB388C">
        <w:t>https://sourcebooks.fordham.edu/Halsall/source/urban2-5vers.asp</w:t>
      </w:r>
      <w:r>
        <w:t>) on 11/03/2018.</w:t>
      </w:r>
    </w:p>
  </w:footnote>
  <w:footnote w:id="12">
    <w:p w14:paraId="22A243DC" w14:textId="6E7B7BBB" w:rsidR="00C43B66" w:rsidRDefault="00C43B66">
      <w:pPr>
        <w:pStyle w:val="FootnoteText"/>
      </w:pPr>
      <w:r>
        <w:rPr>
          <w:rStyle w:val="FootnoteReference"/>
        </w:rPr>
        <w:footnoteRef/>
      </w:r>
      <w:r>
        <w:t xml:space="preserve"> Ibn al</w:t>
      </w:r>
      <w:proofErr w:type="gramStart"/>
      <w:r>
        <w:t>-‘</w:t>
      </w:r>
      <w:proofErr w:type="spellStart"/>
      <w:proofErr w:type="gramEnd"/>
      <w:r>
        <w:t>Adim</w:t>
      </w:r>
      <w:proofErr w:type="spellEnd"/>
      <w:r>
        <w:t xml:space="preserve">, Early 1200’s, </w:t>
      </w:r>
      <w:r w:rsidRPr="00C43B66">
        <w:rPr>
          <w:i/>
        </w:rPr>
        <w:t xml:space="preserve">The Massacre at </w:t>
      </w:r>
      <w:proofErr w:type="spellStart"/>
      <w:r w:rsidRPr="00C43B66">
        <w:rPr>
          <w:i/>
        </w:rPr>
        <w:t>Ma’arrat</w:t>
      </w:r>
      <w:proofErr w:type="spellEnd"/>
      <w:r w:rsidRPr="00C43B66">
        <w:rPr>
          <w:i/>
        </w:rPr>
        <w:t xml:space="preserve"> al-</w:t>
      </w:r>
      <w:proofErr w:type="spellStart"/>
      <w:r w:rsidRPr="00C43B66">
        <w:rPr>
          <w:i/>
        </w:rPr>
        <w:t>Nu’man</w:t>
      </w:r>
      <w:proofErr w:type="spellEnd"/>
      <w:r>
        <w:t xml:space="preserve">. Accessed from </w:t>
      </w:r>
      <w:r w:rsidR="00223360">
        <w:t xml:space="preserve">Carole Hillenbrand, </w:t>
      </w:r>
      <w:r w:rsidR="00223360" w:rsidRPr="00C56465">
        <w:rPr>
          <w:i/>
        </w:rPr>
        <w:t xml:space="preserve">The Crusades: Islamic Perspective </w:t>
      </w:r>
      <w:r w:rsidR="00223360">
        <w:t xml:space="preserve">(Routledge, New York, 2000), pp. 59 – 63. </w:t>
      </w:r>
    </w:p>
  </w:footnote>
  <w:footnote w:id="13">
    <w:p w14:paraId="35E4776F" w14:textId="58B3200E" w:rsidR="003E6122" w:rsidRDefault="003E6122">
      <w:pPr>
        <w:pStyle w:val="FootnoteText"/>
      </w:pPr>
      <w:r>
        <w:rPr>
          <w:rStyle w:val="FootnoteReference"/>
        </w:rPr>
        <w:footnoteRef/>
      </w:r>
      <w:r>
        <w:t xml:space="preserve"> Hillenbrand, </w:t>
      </w:r>
      <w:r w:rsidRPr="00C56465">
        <w:rPr>
          <w:i/>
        </w:rPr>
        <w:t>Crusades: Islamic Perspective</w:t>
      </w:r>
      <w:r w:rsidR="00F84E7F">
        <w:t xml:space="preserve">, </w:t>
      </w:r>
      <w:r>
        <w:t xml:space="preserve">pp. </w:t>
      </w:r>
      <w:r w:rsidR="00F84E7F">
        <w:t>63</w:t>
      </w:r>
      <w:r>
        <w:t xml:space="preserve"> – </w:t>
      </w:r>
      <w:r w:rsidR="00F84E7F">
        <w:t>66</w:t>
      </w:r>
      <w:r>
        <w:t>.</w:t>
      </w:r>
    </w:p>
  </w:footnote>
  <w:footnote w:id="14">
    <w:p w14:paraId="447937BF" w14:textId="53B14D02" w:rsidR="00930C1C" w:rsidRDefault="00930C1C">
      <w:pPr>
        <w:pStyle w:val="FootnoteText"/>
      </w:pPr>
      <w:r>
        <w:rPr>
          <w:rStyle w:val="FootnoteReference"/>
        </w:rPr>
        <w:footnoteRef/>
      </w:r>
      <w:r>
        <w:t xml:space="preserve"> (Trans. &amp; Ed.</w:t>
      </w:r>
      <w:r w:rsidR="00007446">
        <w:t xml:space="preserve"> by</w:t>
      </w:r>
      <w:r>
        <w:t xml:space="preserve">) </w:t>
      </w:r>
      <w:proofErr w:type="spellStart"/>
      <w:r>
        <w:t>Shlomo</w:t>
      </w:r>
      <w:proofErr w:type="spellEnd"/>
      <w:r>
        <w:t xml:space="preserve"> </w:t>
      </w:r>
      <w:proofErr w:type="spellStart"/>
      <w:r>
        <w:t>Eidelberg</w:t>
      </w:r>
      <w:proofErr w:type="spellEnd"/>
      <w:r>
        <w:t xml:space="preserve">, </w:t>
      </w:r>
      <w:r w:rsidRPr="00C56465">
        <w:rPr>
          <w:i/>
        </w:rPr>
        <w:t>The Jews and the Crusaders: The Hebrew Chronicles of the First and Second Crusades</w:t>
      </w:r>
      <w:r>
        <w:t xml:space="preserve"> (KTAV Publishing House Inc., New Jersey, 1996), pp. 3 – 7.</w:t>
      </w:r>
    </w:p>
  </w:footnote>
  <w:footnote w:id="15">
    <w:p w14:paraId="1891706D" w14:textId="2D215AD6" w:rsidR="0083088A" w:rsidRDefault="0083088A">
      <w:pPr>
        <w:pStyle w:val="FootnoteText"/>
      </w:pPr>
      <w:r>
        <w:rPr>
          <w:rStyle w:val="FootnoteReference"/>
        </w:rPr>
        <w:footnoteRef/>
      </w:r>
      <w:r>
        <w:t xml:space="preserve"> Solomon bar Samson, c. 1</w:t>
      </w:r>
      <w:r w:rsidR="006F132C">
        <w:t>140</w:t>
      </w:r>
      <w:r>
        <w:t xml:space="preserve">, </w:t>
      </w:r>
      <w:r>
        <w:rPr>
          <w:i/>
        </w:rPr>
        <w:t>The Crusaders in Mainz</w:t>
      </w:r>
      <w:r>
        <w:t xml:space="preserve">. Accessed from the </w:t>
      </w:r>
      <w:r w:rsidRPr="00DB388C">
        <w:rPr>
          <w:i/>
        </w:rPr>
        <w:t>Internet Medieval Sourcebook, Fordham University</w:t>
      </w:r>
      <w:r>
        <w:t xml:space="preserve"> (</w:t>
      </w:r>
      <w:r w:rsidRPr="0083088A">
        <w:t>https://sourcebooks.fordham.edu/Halsall/source/1096jews-mainz.asp</w:t>
      </w:r>
      <w:r>
        <w:t>) on 12/03/2018.</w:t>
      </w:r>
    </w:p>
  </w:footnote>
  <w:footnote w:id="16">
    <w:p w14:paraId="6DCFC0A4" w14:textId="3E4414BC" w:rsidR="00007446" w:rsidRDefault="00007446">
      <w:pPr>
        <w:pStyle w:val="FootnoteText"/>
      </w:pPr>
      <w:r>
        <w:rPr>
          <w:rStyle w:val="FootnoteReference"/>
        </w:rPr>
        <w:footnoteRef/>
      </w:r>
      <w:r>
        <w:t xml:space="preserve"> (Ed. by) Christopher </w:t>
      </w:r>
      <w:proofErr w:type="spellStart"/>
      <w:r>
        <w:t>Tyerman</w:t>
      </w:r>
      <w:proofErr w:type="spellEnd"/>
      <w:r>
        <w:t xml:space="preserve">, </w:t>
      </w:r>
      <w:r w:rsidRPr="00697961">
        <w:rPr>
          <w:i/>
        </w:rPr>
        <w:t>Chronicles of the First Crusade</w:t>
      </w:r>
      <w:r>
        <w:t xml:space="preserve"> (Penguin UK, </w:t>
      </w:r>
      <w:r w:rsidR="00697961">
        <w:t>UK, 2012), pp. 32 – 40.</w:t>
      </w:r>
    </w:p>
  </w:footnote>
  <w:footnote w:id="17">
    <w:p w14:paraId="744D233A" w14:textId="5124EA1E" w:rsidR="00684BD7" w:rsidRDefault="00684BD7">
      <w:pPr>
        <w:pStyle w:val="FootnoteText"/>
      </w:pPr>
      <w:r>
        <w:rPr>
          <w:rStyle w:val="FootnoteReference"/>
        </w:rPr>
        <w:footnoteRef/>
      </w:r>
      <w:r>
        <w:t xml:space="preserve"> Ibn al-</w:t>
      </w:r>
      <w:proofErr w:type="spellStart"/>
      <w:r>
        <w:t>Qalanisis</w:t>
      </w:r>
      <w:proofErr w:type="spellEnd"/>
      <w:r>
        <w:t>, c. 12</w:t>
      </w:r>
      <w:r w:rsidRPr="00684BD7">
        <w:rPr>
          <w:vertAlign w:val="superscript"/>
        </w:rPr>
        <w:t>th</w:t>
      </w:r>
      <w:r>
        <w:t xml:space="preserve"> Century, </w:t>
      </w:r>
      <w:r w:rsidRPr="00684BD7">
        <w:rPr>
          <w:i/>
        </w:rPr>
        <w:t>The Capture of Jerusalem</w:t>
      </w:r>
      <w:r>
        <w:t>. Accessed from Hillenbrand, Crusades: Islamic Perspective, pp. 64 – 65.</w:t>
      </w:r>
    </w:p>
  </w:footnote>
  <w:footnote w:id="18">
    <w:p w14:paraId="0A89FFFF" w14:textId="57EE352B" w:rsidR="005B7B08" w:rsidRDefault="005B7B08">
      <w:pPr>
        <w:pStyle w:val="FootnoteText"/>
      </w:pPr>
      <w:r>
        <w:rPr>
          <w:rStyle w:val="FootnoteReference"/>
        </w:rPr>
        <w:footnoteRef/>
      </w:r>
      <w:r>
        <w:t xml:space="preserve"> </w:t>
      </w:r>
      <w:proofErr w:type="spellStart"/>
      <w:r>
        <w:t>Tyerman</w:t>
      </w:r>
      <w:proofErr w:type="spellEnd"/>
      <w:r>
        <w:t xml:space="preserve">, </w:t>
      </w:r>
      <w:r w:rsidRPr="00697961">
        <w:rPr>
          <w:i/>
        </w:rPr>
        <w:t>Chronicles First Crusade</w:t>
      </w:r>
      <w:r>
        <w:t>, pp. 40 - 58.</w:t>
      </w:r>
    </w:p>
  </w:footnote>
  <w:footnote w:id="19">
    <w:p w14:paraId="3F8B26A0" w14:textId="3C5B865A" w:rsidR="00731D64" w:rsidRDefault="00731D64" w:rsidP="00731D64">
      <w:pPr>
        <w:pStyle w:val="FootnoteText"/>
      </w:pPr>
      <w:r>
        <w:rPr>
          <w:rStyle w:val="FootnoteReference"/>
        </w:rPr>
        <w:footnoteRef/>
      </w:r>
      <w:r>
        <w:t xml:space="preserve"> Riley-Smith, </w:t>
      </w:r>
      <w:r w:rsidRPr="00B835CF">
        <w:rPr>
          <w:i/>
        </w:rPr>
        <w:t>First Crusade and Idea Crusading</w:t>
      </w:r>
      <w:r>
        <w:t>, p. 108.</w:t>
      </w:r>
    </w:p>
    <w:p w14:paraId="3CBDFE65" w14:textId="126C1855" w:rsidR="00731D64" w:rsidRDefault="00731D64">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55F7CD" w14:textId="14C76DEC" w:rsidR="00BA3D82" w:rsidRDefault="00BA3D82">
    <w:pPr>
      <w:pStyle w:val="Header"/>
    </w:pPr>
    <w:r>
      <w:t xml:space="preserve">Matthew Cowley (1700561) </w:t>
    </w:r>
    <w:r>
      <w:tab/>
    </w:r>
    <w:r>
      <w:tab/>
      <w:t xml:space="preserve">Crusading </w:t>
    </w:r>
    <w:proofErr w:type="gramStart"/>
    <w:r>
      <w:t>In</w:t>
    </w:r>
    <w:proofErr w:type="gramEnd"/>
    <w:r>
      <w:t xml:space="preserve"> The Middle Ages</w:t>
    </w:r>
  </w:p>
  <w:p w14:paraId="787E4D44" w14:textId="77777777" w:rsidR="00BA3D82" w:rsidRDefault="00BA3D82">
    <w:pPr>
      <w:pStyle w:val="Header"/>
    </w:pPr>
    <w:r>
      <w:tab/>
    </w:r>
  </w:p>
  <w:p w14:paraId="7FAEA8FB" w14:textId="528B37A4" w:rsidR="00BA3D82" w:rsidRDefault="00BA3D82">
    <w:pPr>
      <w:pStyle w:val="Header"/>
    </w:pPr>
    <w:r>
      <w:tab/>
      <w:t>Q. Were all enemies of the Crusaders seen in the same light?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36B5F"/>
    <w:multiLevelType w:val="hybridMultilevel"/>
    <w:tmpl w:val="B498A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B8095C"/>
    <w:multiLevelType w:val="hybridMultilevel"/>
    <w:tmpl w:val="0CDCA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4E4"/>
    <w:rsid w:val="00007446"/>
    <w:rsid w:val="00030561"/>
    <w:rsid w:val="00043B16"/>
    <w:rsid w:val="00064575"/>
    <w:rsid w:val="000C01EB"/>
    <w:rsid w:val="000C3F6F"/>
    <w:rsid w:val="00110A50"/>
    <w:rsid w:val="00110F33"/>
    <w:rsid w:val="00142781"/>
    <w:rsid w:val="00142D0E"/>
    <w:rsid w:val="00162792"/>
    <w:rsid w:val="00172795"/>
    <w:rsid w:val="00174D91"/>
    <w:rsid w:val="001808D8"/>
    <w:rsid w:val="00180D6D"/>
    <w:rsid w:val="00181E7C"/>
    <w:rsid w:val="001B0979"/>
    <w:rsid w:val="001C2EB1"/>
    <w:rsid w:val="00201DA5"/>
    <w:rsid w:val="00211958"/>
    <w:rsid w:val="00223360"/>
    <w:rsid w:val="00236F5F"/>
    <w:rsid w:val="002464F3"/>
    <w:rsid w:val="002512D6"/>
    <w:rsid w:val="002802EA"/>
    <w:rsid w:val="00297BC7"/>
    <w:rsid w:val="002A31BF"/>
    <w:rsid w:val="002B5789"/>
    <w:rsid w:val="002C74BA"/>
    <w:rsid w:val="002C7CAA"/>
    <w:rsid w:val="00303E63"/>
    <w:rsid w:val="00304402"/>
    <w:rsid w:val="00304E93"/>
    <w:rsid w:val="0030774D"/>
    <w:rsid w:val="00315070"/>
    <w:rsid w:val="00327E6A"/>
    <w:rsid w:val="0036495C"/>
    <w:rsid w:val="00364B62"/>
    <w:rsid w:val="00374394"/>
    <w:rsid w:val="003D412C"/>
    <w:rsid w:val="003D7D7E"/>
    <w:rsid w:val="003E6122"/>
    <w:rsid w:val="003F0B42"/>
    <w:rsid w:val="00433874"/>
    <w:rsid w:val="00434D5D"/>
    <w:rsid w:val="00441F90"/>
    <w:rsid w:val="00443FDF"/>
    <w:rsid w:val="00472912"/>
    <w:rsid w:val="00482164"/>
    <w:rsid w:val="004824E3"/>
    <w:rsid w:val="00482A59"/>
    <w:rsid w:val="004907B8"/>
    <w:rsid w:val="004A4A52"/>
    <w:rsid w:val="004C2B3F"/>
    <w:rsid w:val="004D0ED2"/>
    <w:rsid w:val="00503459"/>
    <w:rsid w:val="0050781F"/>
    <w:rsid w:val="005204E7"/>
    <w:rsid w:val="0052240A"/>
    <w:rsid w:val="005468EB"/>
    <w:rsid w:val="00551BF1"/>
    <w:rsid w:val="00566370"/>
    <w:rsid w:val="005737BE"/>
    <w:rsid w:val="00573DBC"/>
    <w:rsid w:val="00584ECE"/>
    <w:rsid w:val="00595CCE"/>
    <w:rsid w:val="005B2796"/>
    <w:rsid w:val="005B7B08"/>
    <w:rsid w:val="005E72D6"/>
    <w:rsid w:val="005F0A7F"/>
    <w:rsid w:val="00604D5A"/>
    <w:rsid w:val="00630F62"/>
    <w:rsid w:val="00633166"/>
    <w:rsid w:val="00634DDD"/>
    <w:rsid w:val="00643E0F"/>
    <w:rsid w:val="00652E76"/>
    <w:rsid w:val="00657FE6"/>
    <w:rsid w:val="00680130"/>
    <w:rsid w:val="00681AB8"/>
    <w:rsid w:val="00683C97"/>
    <w:rsid w:val="00684BD7"/>
    <w:rsid w:val="0069191F"/>
    <w:rsid w:val="00692EAC"/>
    <w:rsid w:val="00697961"/>
    <w:rsid w:val="00697DF0"/>
    <w:rsid w:val="006D122D"/>
    <w:rsid w:val="006F132C"/>
    <w:rsid w:val="007053CF"/>
    <w:rsid w:val="00710782"/>
    <w:rsid w:val="00720198"/>
    <w:rsid w:val="00731D64"/>
    <w:rsid w:val="007353B6"/>
    <w:rsid w:val="00750246"/>
    <w:rsid w:val="00784FEE"/>
    <w:rsid w:val="007953D3"/>
    <w:rsid w:val="007A63F4"/>
    <w:rsid w:val="007B73CF"/>
    <w:rsid w:val="007C4FF6"/>
    <w:rsid w:val="007C51E7"/>
    <w:rsid w:val="007D15AA"/>
    <w:rsid w:val="00804882"/>
    <w:rsid w:val="00821F54"/>
    <w:rsid w:val="0083088A"/>
    <w:rsid w:val="008656D6"/>
    <w:rsid w:val="00873BA4"/>
    <w:rsid w:val="00877578"/>
    <w:rsid w:val="00884740"/>
    <w:rsid w:val="008871C1"/>
    <w:rsid w:val="00892C15"/>
    <w:rsid w:val="008A26FC"/>
    <w:rsid w:val="008B10CC"/>
    <w:rsid w:val="008B6497"/>
    <w:rsid w:val="00906278"/>
    <w:rsid w:val="00913887"/>
    <w:rsid w:val="009163CB"/>
    <w:rsid w:val="009210AA"/>
    <w:rsid w:val="00930C1C"/>
    <w:rsid w:val="0093173C"/>
    <w:rsid w:val="00967367"/>
    <w:rsid w:val="00994212"/>
    <w:rsid w:val="009A206D"/>
    <w:rsid w:val="009B1C41"/>
    <w:rsid w:val="009B4C48"/>
    <w:rsid w:val="009D43C7"/>
    <w:rsid w:val="00A16D0D"/>
    <w:rsid w:val="00A2205A"/>
    <w:rsid w:val="00A313A8"/>
    <w:rsid w:val="00A55DD0"/>
    <w:rsid w:val="00A73F3F"/>
    <w:rsid w:val="00A86411"/>
    <w:rsid w:val="00AA1D02"/>
    <w:rsid w:val="00AA4C83"/>
    <w:rsid w:val="00AA5BF8"/>
    <w:rsid w:val="00AC3829"/>
    <w:rsid w:val="00AF7F70"/>
    <w:rsid w:val="00B1405D"/>
    <w:rsid w:val="00B16239"/>
    <w:rsid w:val="00B1637B"/>
    <w:rsid w:val="00B62034"/>
    <w:rsid w:val="00B67799"/>
    <w:rsid w:val="00B82B13"/>
    <w:rsid w:val="00B835CF"/>
    <w:rsid w:val="00BA3D82"/>
    <w:rsid w:val="00BB3D7D"/>
    <w:rsid w:val="00BB6457"/>
    <w:rsid w:val="00BD23A1"/>
    <w:rsid w:val="00BE2536"/>
    <w:rsid w:val="00BF461E"/>
    <w:rsid w:val="00C22114"/>
    <w:rsid w:val="00C2711B"/>
    <w:rsid w:val="00C3381E"/>
    <w:rsid w:val="00C351EC"/>
    <w:rsid w:val="00C43B66"/>
    <w:rsid w:val="00C56465"/>
    <w:rsid w:val="00C71382"/>
    <w:rsid w:val="00C8249E"/>
    <w:rsid w:val="00CC1EAB"/>
    <w:rsid w:val="00CC7C06"/>
    <w:rsid w:val="00CD0F93"/>
    <w:rsid w:val="00CD3242"/>
    <w:rsid w:val="00CD6A41"/>
    <w:rsid w:val="00D03667"/>
    <w:rsid w:val="00D5469B"/>
    <w:rsid w:val="00D765CB"/>
    <w:rsid w:val="00D80935"/>
    <w:rsid w:val="00D84973"/>
    <w:rsid w:val="00DB388C"/>
    <w:rsid w:val="00DE4648"/>
    <w:rsid w:val="00E02820"/>
    <w:rsid w:val="00E12C4E"/>
    <w:rsid w:val="00E14B4A"/>
    <w:rsid w:val="00E26ECA"/>
    <w:rsid w:val="00E3116F"/>
    <w:rsid w:val="00E443D3"/>
    <w:rsid w:val="00E833EB"/>
    <w:rsid w:val="00EA1219"/>
    <w:rsid w:val="00EC6455"/>
    <w:rsid w:val="00EC68AC"/>
    <w:rsid w:val="00EC7789"/>
    <w:rsid w:val="00ED7B64"/>
    <w:rsid w:val="00EE6B86"/>
    <w:rsid w:val="00EF22B0"/>
    <w:rsid w:val="00EF23B5"/>
    <w:rsid w:val="00EF422D"/>
    <w:rsid w:val="00EF5F2D"/>
    <w:rsid w:val="00F02364"/>
    <w:rsid w:val="00F10EF6"/>
    <w:rsid w:val="00F164E4"/>
    <w:rsid w:val="00F3355E"/>
    <w:rsid w:val="00F33CD3"/>
    <w:rsid w:val="00F75EEA"/>
    <w:rsid w:val="00F83425"/>
    <w:rsid w:val="00F84E7F"/>
    <w:rsid w:val="00F852E2"/>
    <w:rsid w:val="00F85E00"/>
    <w:rsid w:val="00FC76A4"/>
    <w:rsid w:val="00FD701B"/>
    <w:rsid w:val="00FE4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86B57"/>
  <w15:chartTrackingRefBased/>
  <w15:docId w15:val="{7C1C1632-4787-4D65-81CE-C0B25C7A7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64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64E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86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411"/>
  </w:style>
  <w:style w:type="paragraph" w:styleId="Footer">
    <w:name w:val="footer"/>
    <w:basedOn w:val="Normal"/>
    <w:link w:val="FooterChar"/>
    <w:uiPriority w:val="99"/>
    <w:unhideWhenUsed/>
    <w:rsid w:val="00A86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411"/>
  </w:style>
  <w:style w:type="table" w:styleId="TableGrid">
    <w:name w:val="Table Grid"/>
    <w:basedOn w:val="TableNormal"/>
    <w:uiPriority w:val="39"/>
    <w:rsid w:val="00B677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2781"/>
    <w:pPr>
      <w:ind w:left="720"/>
      <w:contextualSpacing/>
    </w:pPr>
  </w:style>
  <w:style w:type="paragraph" w:styleId="FootnoteText">
    <w:name w:val="footnote text"/>
    <w:basedOn w:val="Normal"/>
    <w:link w:val="FootnoteTextChar"/>
    <w:uiPriority w:val="99"/>
    <w:semiHidden/>
    <w:unhideWhenUsed/>
    <w:rsid w:val="001627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2792"/>
    <w:rPr>
      <w:sz w:val="20"/>
      <w:szCs w:val="20"/>
    </w:rPr>
  </w:style>
  <w:style w:type="character" w:styleId="FootnoteReference">
    <w:name w:val="footnote reference"/>
    <w:basedOn w:val="DefaultParagraphFont"/>
    <w:uiPriority w:val="99"/>
    <w:semiHidden/>
    <w:unhideWhenUsed/>
    <w:rsid w:val="00162792"/>
    <w:rPr>
      <w:vertAlign w:val="superscript"/>
    </w:rPr>
  </w:style>
  <w:style w:type="character" w:styleId="Hyperlink">
    <w:name w:val="Hyperlink"/>
    <w:basedOn w:val="DefaultParagraphFont"/>
    <w:uiPriority w:val="99"/>
    <w:unhideWhenUsed/>
    <w:rsid w:val="00DB388C"/>
    <w:rPr>
      <w:color w:val="0563C1" w:themeColor="hyperlink"/>
      <w:u w:val="single"/>
    </w:rPr>
  </w:style>
  <w:style w:type="character" w:styleId="UnresolvedMention">
    <w:name w:val="Unresolved Mention"/>
    <w:basedOn w:val="DefaultParagraphFont"/>
    <w:uiPriority w:val="99"/>
    <w:semiHidden/>
    <w:unhideWhenUsed/>
    <w:rsid w:val="00DB388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3DD88-8ABD-476D-8CBA-150B1563C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TotalTime>
  <Pages>6</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202</cp:revision>
  <dcterms:created xsi:type="dcterms:W3CDTF">2018-03-01T16:53:00Z</dcterms:created>
  <dcterms:modified xsi:type="dcterms:W3CDTF">2018-03-16T18:08:00Z</dcterms:modified>
</cp:coreProperties>
</file>