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B9AC2" w14:textId="77777777" w:rsidR="000816B8" w:rsidRDefault="000816B8" w:rsidP="00A512A4">
      <w:pPr>
        <w:pStyle w:val="Body"/>
        <w:spacing w:line="240" w:lineRule="auto"/>
        <w:rPr>
          <w:rFonts w:asciiTheme="minorHAnsi" w:hAnsiTheme="minorHAnsi"/>
          <w:b/>
          <w:bCs/>
          <w:color w:val="004147"/>
          <w:sz w:val="24"/>
          <w:szCs w:val="24"/>
          <w:u w:color="004147"/>
          <w:lang w:val="en-US"/>
        </w:rPr>
      </w:pPr>
    </w:p>
    <w:p w14:paraId="3C94AEC1" w14:textId="77777777" w:rsidR="000816B8" w:rsidRDefault="000816B8" w:rsidP="00A512A4">
      <w:pPr>
        <w:pStyle w:val="Body"/>
        <w:spacing w:line="240" w:lineRule="auto"/>
        <w:rPr>
          <w:rFonts w:asciiTheme="minorHAnsi" w:hAnsiTheme="minorHAnsi"/>
          <w:b/>
          <w:bCs/>
          <w:color w:val="004147"/>
          <w:sz w:val="24"/>
          <w:szCs w:val="24"/>
          <w:u w:color="004147"/>
          <w:lang w:val="en-US"/>
        </w:rPr>
      </w:pPr>
    </w:p>
    <w:p w14:paraId="7209421F" w14:textId="12DCD2EE" w:rsidR="002B1B1D" w:rsidRPr="008F696C" w:rsidRDefault="002B1B1D" w:rsidP="00A512A4">
      <w:pPr>
        <w:pStyle w:val="Body"/>
        <w:spacing w:line="240" w:lineRule="auto"/>
        <w:rPr>
          <w:rFonts w:asciiTheme="minorHAnsi" w:eastAsia="Trebuchet MS" w:hAnsiTheme="minorHAnsi" w:cs="Trebuchet MS"/>
          <w:b/>
          <w:bCs/>
          <w:color w:val="004147"/>
          <w:sz w:val="24"/>
          <w:szCs w:val="24"/>
          <w:u w:color="004147"/>
        </w:rPr>
      </w:pPr>
      <w:r w:rsidRPr="008F696C">
        <w:rPr>
          <w:rFonts w:asciiTheme="minorHAnsi" w:hAnsiTheme="minorHAnsi"/>
          <w:b/>
          <w:bCs/>
          <w:color w:val="004147"/>
          <w:sz w:val="24"/>
          <w:szCs w:val="24"/>
          <w:u w:color="004147"/>
          <w:lang w:val="en-US"/>
        </w:rPr>
        <w:t>Email 1 (AC 1.1</w:t>
      </w:r>
      <w:r w:rsidR="00485591" w:rsidRPr="008F696C">
        <w:rPr>
          <w:rFonts w:asciiTheme="minorHAnsi" w:hAnsiTheme="minorHAnsi"/>
          <w:b/>
          <w:bCs/>
          <w:color w:val="004147"/>
          <w:sz w:val="24"/>
          <w:szCs w:val="24"/>
          <w:u w:color="004147"/>
          <w:lang w:val="en-US"/>
        </w:rPr>
        <w:t>)</w:t>
      </w:r>
    </w:p>
    <w:p w14:paraId="4442A17C" w14:textId="7F202E86" w:rsidR="002B1B1D" w:rsidRPr="00BF367D" w:rsidRDefault="002B1B1D">
      <w:r w:rsidRPr="00BF367D">
        <w:t>Dear,</w:t>
      </w:r>
    </w:p>
    <w:p w14:paraId="41BBA4FD" w14:textId="77777777" w:rsidR="002B1B1D" w:rsidRPr="00BF367D" w:rsidRDefault="002B1B1D"/>
    <w:p w14:paraId="7F25E9C2" w14:textId="6F88A9FD" w:rsidR="002B1B1D" w:rsidRDefault="002B1B1D">
      <w:r w:rsidRPr="00BF367D">
        <w:t xml:space="preserve">Thank you for sharing your concerns regarding your workload regarding employment regulations. It is understandable how you feel that these tasks could detract from other jobs, i.e. enhancing employee experience. However, it is important to recognise that employer regulation serves as the foundation upon which is a fair, safe and productive workplace is built. Below, I outline the primary aims and objectives of employment regulation, drawing upon insights from Kathy Daniels’ </w:t>
      </w:r>
      <w:r w:rsidRPr="00BF367D">
        <w:rPr>
          <w:i/>
          <w:iCs/>
        </w:rPr>
        <w:t xml:space="preserve">Introduction to Employment law: Fundamentals for HR and Business Students </w:t>
      </w:r>
      <w:r w:rsidRPr="00BF367D">
        <w:t>(6</w:t>
      </w:r>
      <w:r w:rsidRPr="00BF367D">
        <w:rPr>
          <w:vertAlign w:val="superscript"/>
        </w:rPr>
        <w:t>th</w:t>
      </w:r>
      <w:r w:rsidRPr="00BF367D">
        <w:t xml:space="preserve"> Edition, 2022) and the Chartered Institute of Personnel and Development (CIPD), and the use of relevant case studies for reference. </w:t>
      </w:r>
    </w:p>
    <w:p w14:paraId="33386857" w14:textId="0EC54502" w:rsidR="002B1B1D" w:rsidRPr="00BF367D" w:rsidRDefault="002B1B1D">
      <w:r w:rsidRPr="00BF367D">
        <w:t xml:space="preserve">Employment laws safeguard employees from unfair practices. For instance, the </w:t>
      </w:r>
      <w:r w:rsidRPr="00BF367D">
        <w:rPr>
          <w:u w:val="single"/>
        </w:rPr>
        <w:t>Employment Rights</w:t>
      </w:r>
      <w:r w:rsidRPr="00BF367D">
        <w:t xml:space="preserve"> Act 1996 ensures that employees have rights related to unfair dismissal, redundancy</w:t>
      </w:r>
      <w:r w:rsidR="008F01E5" w:rsidRPr="00BF367D">
        <w:t xml:space="preserve">, and contractual obligations (Daniels, 2022, p.56). Such regulations maintain a balanced of power between employees, ensuring dignity and respect in the workplace. </w:t>
      </w:r>
    </w:p>
    <w:p w14:paraId="15F94A1C" w14:textId="00425281" w:rsidR="008F01E5" w:rsidRPr="00BF367D" w:rsidRDefault="008F01E5">
      <w:r w:rsidRPr="00BF367D">
        <w:rPr>
          <w:i/>
          <w:iCs/>
        </w:rPr>
        <w:t>Case Study:</w:t>
      </w:r>
      <w:r w:rsidRPr="00BF367D">
        <w:t xml:space="preserve"> In Uber BV and Others v Aslam others [2021] UKSC 5, THE Supreme court rules that Uber drivers were “Workers” entitled to rights such as the national minimum wage and paid holidays. This decision reinforced the importance of accurately defining employment relationships to protect workers rights. (Supreme Court, 2021). (Daniels, 2022, p.44)</w:t>
      </w:r>
    </w:p>
    <w:p w14:paraId="13A85F76" w14:textId="29CED3F9" w:rsidR="008B180B" w:rsidRPr="00BF367D" w:rsidRDefault="008B180B">
      <w:r w:rsidRPr="00BF367D">
        <w:rPr>
          <w:u w:val="single"/>
        </w:rPr>
        <w:t>The Equality Act</w:t>
      </w:r>
      <w:r w:rsidRPr="00BF367D">
        <w:t xml:space="preserve"> 2010 consolidates previous anti-discrimination laws, making it unlawful to discriminate against employees based on protected characteristics </w:t>
      </w:r>
      <w:r w:rsidR="0053009E" w:rsidRPr="00BF367D">
        <w:t>(Daniels, 2022, p.137). The CIPD emphasises that a diverse and inclusive workplace can increase creativity and improve decision making (CIPD, 2024)</w:t>
      </w:r>
    </w:p>
    <w:p w14:paraId="07F53662" w14:textId="56F1CB59" w:rsidR="004A3681" w:rsidRPr="00BF367D" w:rsidRDefault="004A3681">
      <w:r w:rsidRPr="00BF367D">
        <w:rPr>
          <w:i/>
          <w:iCs/>
        </w:rPr>
        <w:t>Case Study:</w:t>
      </w:r>
      <w:r w:rsidRPr="00BF367D">
        <w:t xml:space="preserve"> In a recent tribunal case, an employee was awarded </w:t>
      </w:r>
      <w:r w:rsidR="009C4DAE" w:rsidRPr="00BF367D">
        <w:t>compensation</w:t>
      </w:r>
      <w:r w:rsidRPr="00BF367D">
        <w:t xml:space="preserve"> after being told he might struggle with new technology due to his age. The tribunal rules this as discriminatory under the Equality Act 2010 </w:t>
      </w:r>
      <w:r w:rsidR="009C4DAE" w:rsidRPr="00BF367D">
        <w:t>(Th</w:t>
      </w:r>
      <w:r w:rsidR="00E670FB" w:rsidRPr="00BF367D">
        <w:t xml:space="preserve">e </w:t>
      </w:r>
      <w:r w:rsidRPr="00BF367D">
        <w:t>Times, 202</w:t>
      </w:r>
      <w:r w:rsidR="00E670FB" w:rsidRPr="00BF367D">
        <w:t>5</w:t>
      </w:r>
      <w:r w:rsidRPr="00BF367D">
        <w:t xml:space="preserve">) </w:t>
      </w:r>
    </w:p>
    <w:p w14:paraId="4E6E2AD6" w14:textId="2451703A" w:rsidR="00FF1782" w:rsidRPr="00BF367D" w:rsidRDefault="00FF1782">
      <w:r w:rsidRPr="00BF367D">
        <w:rPr>
          <w:u w:val="single"/>
        </w:rPr>
        <w:t>The Health &amp; Safety</w:t>
      </w:r>
      <w:r w:rsidRPr="00BF367D">
        <w:t xml:space="preserve"> at Work Act 1974 requires employers to ensure the </w:t>
      </w:r>
      <w:r w:rsidR="009C4DAE" w:rsidRPr="00BF367D">
        <w:t>health, safety and welfare of their employees</w:t>
      </w:r>
      <w:r w:rsidR="00E670FB" w:rsidRPr="00BF367D">
        <w:t>. Compliance not only prevents workplace accidents but also enhances employee morale (Daniels, 2022, p.259)</w:t>
      </w:r>
      <w:r w:rsidR="00CF1750" w:rsidRPr="00BF367D">
        <w:t>.</w:t>
      </w:r>
    </w:p>
    <w:p w14:paraId="53A1F3AF" w14:textId="7B1BBF7E" w:rsidR="002826D3" w:rsidRPr="00BF367D" w:rsidRDefault="00CF1750">
      <w:r w:rsidRPr="00BF367D">
        <w:t xml:space="preserve">Employment regulations establish consistency for </w:t>
      </w:r>
      <w:r w:rsidRPr="00BF367D">
        <w:rPr>
          <w:u w:val="single"/>
        </w:rPr>
        <w:t>terms and conditions</w:t>
      </w:r>
      <w:r w:rsidRPr="00BF367D">
        <w:t>, such as working hours, entitled leave, and notice periods, ensuring fairness and clarity for both employers and employees (Daniels, 2022, p.47).</w:t>
      </w:r>
      <w:r w:rsidR="006D231A">
        <w:t xml:space="preserve"> Moreover, </w:t>
      </w:r>
      <w:r w:rsidRPr="00BF367D">
        <w:t xml:space="preserve">Employment laws provide structure for resolving </w:t>
      </w:r>
      <w:r w:rsidRPr="00BF367D">
        <w:rPr>
          <w:u w:val="single"/>
        </w:rPr>
        <w:t>workplace disputes</w:t>
      </w:r>
      <w:r w:rsidRPr="00BF367D">
        <w:t xml:space="preserve">, such as grievances and disciplinary matters, </w:t>
      </w:r>
      <w:r w:rsidR="00EF3DE7" w:rsidRPr="00BF367D">
        <w:t>reducing</w:t>
      </w:r>
      <w:r w:rsidRPr="00BF367D">
        <w:t xml:space="preserve"> the risk of litigation (CIPD</w:t>
      </w:r>
      <w:r w:rsidR="00F5484A" w:rsidRPr="00BF367D">
        <w:t xml:space="preserve">, </w:t>
      </w:r>
      <w:r w:rsidR="000C6FB4" w:rsidRPr="00BF367D">
        <w:t>2024</w:t>
      </w:r>
      <w:proofErr w:type="gramStart"/>
      <w:r w:rsidR="003075C4" w:rsidRPr="00BF367D">
        <w:t>)</w:t>
      </w:r>
      <w:r w:rsidR="00A75F47">
        <w:t xml:space="preserve"> </w:t>
      </w:r>
      <w:r w:rsidR="00E740C1">
        <w:t xml:space="preserve"> </w:t>
      </w:r>
      <w:r w:rsidR="00DB5D95" w:rsidRPr="00BF367D">
        <w:t>Employment</w:t>
      </w:r>
      <w:proofErr w:type="gramEnd"/>
      <w:r w:rsidR="00DB5D95" w:rsidRPr="00BF367D">
        <w:t xml:space="preserve"> regulations evolve to reflect social changes</w:t>
      </w:r>
      <w:r w:rsidR="00A12361" w:rsidRPr="00BF367D">
        <w:t xml:space="preserve">. Recent debates over non-disclosure agreements (NDAs) </w:t>
      </w:r>
      <w:r w:rsidR="002A75B8" w:rsidRPr="00BF367D">
        <w:t xml:space="preserve">in employment contracts highlight the need for legal amendments to </w:t>
      </w:r>
      <w:r w:rsidR="00BD3508" w:rsidRPr="00BF367D">
        <w:t>prevent misuse (</w:t>
      </w:r>
      <w:r w:rsidR="00D15670" w:rsidRPr="00BF367D">
        <w:t>Uk Government, 2019</w:t>
      </w:r>
      <w:r w:rsidR="00BD3508" w:rsidRPr="00BF367D">
        <w:t>)</w:t>
      </w:r>
    </w:p>
    <w:p w14:paraId="6DCAEDA0" w14:textId="29573710" w:rsidR="00BD3508" w:rsidRPr="00BF367D" w:rsidRDefault="00BD3508">
      <w:r w:rsidRPr="00BF367D">
        <w:lastRenderedPageBreak/>
        <w:t xml:space="preserve">While compliance </w:t>
      </w:r>
      <w:r w:rsidR="00451DBC" w:rsidRPr="00BF367D">
        <w:t xml:space="preserve">with employment </w:t>
      </w:r>
      <w:r w:rsidR="00D15670" w:rsidRPr="00BF367D">
        <w:t>regulations</w:t>
      </w:r>
      <w:r w:rsidR="00451DBC" w:rsidRPr="00BF367D">
        <w:t xml:space="preserve"> may seem time consuming, these laws are integral </w:t>
      </w:r>
      <w:r w:rsidR="00886D0E" w:rsidRPr="00BF367D">
        <w:t xml:space="preserve">to creating a fair, safe and equitable workplace. By understanding </w:t>
      </w:r>
      <w:r w:rsidR="00EE0F18" w:rsidRPr="00BF367D">
        <w:t xml:space="preserve">and embracing these regulations, we contribute to a more positive and legally compliant work environment </w:t>
      </w:r>
      <w:r w:rsidR="000373D1" w:rsidRPr="00BF367D">
        <w:t>within our NHS trust.</w:t>
      </w:r>
    </w:p>
    <w:p w14:paraId="45D978D0" w14:textId="5A7574FE" w:rsidR="000373D1" w:rsidRPr="00BF367D" w:rsidRDefault="000373D1">
      <w:r w:rsidRPr="00BF367D">
        <w:t xml:space="preserve">Best Regards </w:t>
      </w:r>
    </w:p>
    <w:p w14:paraId="2BCAB879" w14:textId="77777777" w:rsidR="00CF1750" w:rsidRPr="00BF367D" w:rsidRDefault="00CF1750"/>
    <w:p w14:paraId="31C86B13" w14:textId="77777777" w:rsidR="008F696C" w:rsidRDefault="008F696C" w:rsidP="008F696C">
      <w:pPr>
        <w:pStyle w:val="Body"/>
        <w:spacing w:line="240" w:lineRule="auto"/>
        <w:rPr>
          <w:rFonts w:ascii="Trebuchet MS" w:eastAsia="Trebuchet MS" w:hAnsi="Trebuchet MS" w:cs="Trebuchet MS"/>
          <w:b/>
          <w:bCs/>
        </w:rPr>
      </w:pPr>
    </w:p>
    <w:p w14:paraId="70C085D3" w14:textId="77777777" w:rsidR="008F696C" w:rsidRDefault="008F696C" w:rsidP="008F696C">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6CC49968" w14:textId="77777777" w:rsidR="004A3681" w:rsidRPr="00BF367D" w:rsidRDefault="004A3681"/>
    <w:p w14:paraId="63DF5DBB" w14:textId="3F5DBFCA" w:rsidR="00AC3778" w:rsidRPr="00AC3778" w:rsidRDefault="00AC3778" w:rsidP="00AC3778">
      <w:r w:rsidRPr="00AC3778">
        <w:t xml:space="preserve">Dear </w:t>
      </w:r>
    </w:p>
    <w:p w14:paraId="0B1BC865" w14:textId="77777777" w:rsidR="00AC3778" w:rsidRPr="00AC3778" w:rsidRDefault="00AC3778" w:rsidP="00AC3778">
      <w:r w:rsidRPr="00AC3778">
        <w:t xml:space="preserve">I’ve </w:t>
      </w:r>
      <w:proofErr w:type="gramStart"/>
      <w:r w:rsidRPr="00AC3778">
        <w:t>looked into</w:t>
      </w:r>
      <w:proofErr w:type="gramEnd"/>
      <w:r w:rsidRPr="00AC3778">
        <w:t xml:space="preserve"> your query regarding the status of European Court of Justice (ECJ) rulings made before the UK left the EU. In short, pre-Brexit ECJ rulings remain binding on UK courts unless overturned by domestic legislation or higher courts, but any new ECJ rulings after Brexit no longer apply.</w:t>
      </w:r>
    </w:p>
    <w:p w14:paraId="43E38F07" w14:textId="395355EF" w:rsidR="00AC3778" w:rsidRPr="00AC3778" w:rsidRDefault="00AC3778" w:rsidP="00AC3778">
      <w:r w:rsidRPr="00AC3778">
        <w:t>Under the European Union (Withdrawal) Act 2018, pre-Brexit ECJ case law was retained in UK law. This means that lower courts, such as Employment Tribunals, must still follow these rulings unless a higher UK court, such as the Supreme Court or Court of Appeal, decides to depart from them (Daniels, 2022</w:t>
      </w:r>
      <w:r w:rsidR="0096627B" w:rsidRPr="008F696C">
        <w:t>. P10</w:t>
      </w:r>
      <w:r w:rsidRPr="00AC3778">
        <w:t xml:space="preserve">). The government or Parliament also has the power to </w:t>
      </w:r>
      <w:r w:rsidRPr="00AC3778">
        <w:lastRenderedPageBreak/>
        <w:t xml:space="preserve">amend or remove retained EU law, meaning that over time, the UK’s approach may diverge </w:t>
      </w:r>
      <w:r w:rsidR="00AC0321" w:rsidRPr="008F696C">
        <w:t>Hansard, 2023</w:t>
      </w:r>
      <w:r w:rsidRPr="00AC3778">
        <w:t>).</w:t>
      </w:r>
    </w:p>
    <w:p w14:paraId="7C906D08" w14:textId="036B0851" w:rsidR="00AC3778" w:rsidRPr="00AC3778" w:rsidRDefault="00AC3778" w:rsidP="00AC3778">
      <w:r w:rsidRPr="00AC3778">
        <w:t>A key case still impacting UK employment law is Lock v British Gas Trading Ltd [2014] C-539/12, where the ECJ ruled that commission payments must be included in holiday pay calculations. As this decision pre-dates Brexit, UK courts must still apply this ruling unless a higher court changes it (Daniels, 2022</w:t>
      </w:r>
      <w:r w:rsidR="00CE3BCC" w:rsidRPr="008F696C">
        <w:t>, p.88</w:t>
      </w:r>
      <w:r w:rsidRPr="00AC3778">
        <w:t>).</w:t>
      </w:r>
    </w:p>
    <w:p w14:paraId="4BB3C810" w14:textId="77777777" w:rsidR="00AC3778" w:rsidRPr="00AC3778" w:rsidRDefault="00AC3778" w:rsidP="00AC3778">
      <w:r w:rsidRPr="00AC3778">
        <w:t>In summary, pre-Brexit ECJ rulings still hold legal weight but are subject to change. Let me know if you need further details.</w:t>
      </w:r>
    </w:p>
    <w:p w14:paraId="4B0EE6E7" w14:textId="72DE7E1F" w:rsidR="00AC3778" w:rsidRPr="00AC3778" w:rsidRDefault="00AC3778" w:rsidP="00AC3778">
      <w:r w:rsidRPr="00AC3778">
        <w:t>Best regards,</w:t>
      </w:r>
      <w:r w:rsidRPr="00AC3778">
        <w:br/>
      </w:r>
    </w:p>
    <w:p w14:paraId="64898E46" w14:textId="77777777" w:rsidR="001B75CC" w:rsidRDefault="001B75CC" w:rsidP="00AC3778"/>
    <w:p w14:paraId="173FA518" w14:textId="77777777" w:rsidR="000816B8" w:rsidRDefault="000816B8" w:rsidP="00AC3778"/>
    <w:p w14:paraId="3739347F" w14:textId="77777777" w:rsidR="000816B8" w:rsidRDefault="000816B8" w:rsidP="00AC3778"/>
    <w:p w14:paraId="135B666E" w14:textId="77777777" w:rsidR="000816B8" w:rsidRDefault="000816B8" w:rsidP="00AC3778"/>
    <w:p w14:paraId="0F361536" w14:textId="77777777" w:rsidR="000816B8" w:rsidRDefault="000816B8" w:rsidP="00AC3778"/>
    <w:p w14:paraId="10A3B2CF" w14:textId="77777777" w:rsidR="000816B8" w:rsidRDefault="000816B8" w:rsidP="00AC3778"/>
    <w:p w14:paraId="3204049B" w14:textId="77777777" w:rsidR="000816B8" w:rsidRDefault="000816B8" w:rsidP="00AC3778"/>
    <w:p w14:paraId="07109035" w14:textId="77777777" w:rsidR="000816B8" w:rsidRPr="00AC3778" w:rsidRDefault="000816B8" w:rsidP="00AC3778"/>
    <w:p w14:paraId="74938469" w14:textId="77777777" w:rsidR="00947335" w:rsidRPr="00BF367D" w:rsidRDefault="00947335" w:rsidP="00947335">
      <w:pPr>
        <w:spacing w:line="240" w:lineRule="auto"/>
        <w:rPr>
          <w:rFonts w:cstheme="minorHAnsi"/>
          <w:b/>
          <w:bCs/>
          <w:color w:val="80340D" w:themeColor="accent2" w:themeShade="80"/>
        </w:rPr>
      </w:pPr>
      <w:r w:rsidRPr="00BF367D">
        <w:rPr>
          <w:rFonts w:cstheme="minorHAnsi"/>
          <w:b/>
          <w:bCs/>
          <w:color w:val="80340D" w:themeColor="accent2" w:themeShade="80"/>
        </w:rPr>
        <w:t xml:space="preserve">Email 3 (AC 2.1) </w:t>
      </w:r>
    </w:p>
    <w:p w14:paraId="779DEDC8" w14:textId="77777777" w:rsidR="00AC3778" w:rsidRPr="00BF367D" w:rsidRDefault="00AC3778"/>
    <w:p w14:paraId="65358617" w14:textId="45D0C6FC" w:rsidR="00D808FE" w:rsidRPr="00BF367D" w:rsidRDefault="00D808FE">
      <w:r w:rsidRPr="00BF367D">
        <w:t>Dear</w:t>
      </w:r>
    </w:p>
    <w:p w14:paraId="2AA74081" w14:textId="774ACC3E" w:rsidR="00D808FE" w:rsidRPr="00BF367D" w:rsidRDefault="00304C3C">
      <w:r w:rsidRPr="00BF367D">
        <w:t>Thank you for reaching out regarding occupational requirements in recruitment and selection</w:t>
      </w:r>
      <w:r w:rsidR="00F1047F" w:rsidRPr="00BF367D">
        <w:t>. Understanding the legal framework surrounding this issue is crucial</w:t>
      </w:r>
      <w:r w:rsidR="00F963D8" w:rsidRPr="00BF367D">
        <w:t xml:space="preserve"> to </w:t>
      </w:r>
      <w:r w:rsidR="00F91C4A" w:rsidRPr="00BF367D">
        <w:t>ensuring</w:t>
      </w:r>
      <w:r w:rsidR="00F963D8" w:rsidRPr="00BF367D">
        <w:t xml:space="preserve"> </w:t>
      </w:r>
      <w:r w:rsidR="00240130" w:rsidRPr="00BF367D">
        <w:t xml:space="preserve">compliance </w:t>
      </w:r>
      <w:r w:rsidR="00700573" w:rsidRPr="00BF367D">
        <w:t xml:space="preserve">with the </w:t>
      </w:r>
      <w:r w:rsidR="00404A67" w:rsidRPr="00BF367D">
        <w:t>Equality</w:t>
      </w:r>
      <w:r w:rsidR="00700573" w:rsidRPr="00BF367D">
        <w:t xml:space="preserve"> Act 2010 while </w:t>
      </w:r>
      <w:r w:rsidR="00404A67" w:rsidRPr="00BF367D">
        <w:t>promoting</w:t>
      </w:r>
      <w:r w:rsidR="00700573" w:rsidRPr="00BF367D">
        <w:t xml:space="preserve"> fair and non</w:t>
      </w:r>
      <w:r w:rsidR="00404A67" w:rsidRPr="00BF367D">
        <w:t>-discriminatory hiring practices.</w:t>
      </w:r>
    </w:p>
    <w:p w14:paraId="591AADBA" w14:textId="61D2CED7" w:rsidR="00F91C4A" w:rsidRPr="00BF367D" w:rsidRDefault="00F91C4A">
      <w:r w:rsidRPr="00BF367D">
        <w:t>The Equality Act 2010 prohibits</w:t>
      </w:r>
      <w:r w:rsidR="0063007A" w:rsidRPr="00BF367D">
        <w:t xml:space="preserve"> discrimination in recruitment based on protected characteristics such as sex, race </w:t>
      </w:r>
      <w:r w:rsidR="004A18D7" w:rsidRPr="00BF367D">
        <w:t xml:space="preserve">and </w:t>
      </w:r>
      <w:r w:rsidR="0063007A" w:rsidRPr="00BF367D">
        <w:t>religion</w:t>
      </w:r>
      <w:r w:rsidR="004A18D7" w:rsidRPr="00BF367D">
        <w:t xml:space="preserve">. However, there are limited circumstances </w:t>
      </w:r>
      <w:r w:rsidR="00404F79" w:rsidRPr="00BF367D">
        <w:t>where an ‘</w:t>
      </w:r>
      <w:r w:rsidR="0050706B" w:rsidRPr="00BF367D">
        <w:t>occupational</w:t>
      </w:r>
      <w:r w:rsidR="00404F79" w:rsidRPr="00BF367D">
        <w:t xml:space="preserve"> requirement (OR) allows an employer to stipulate </w:t>
      </w:r>
      <w:r w:rsidR="00725A96" w:rsidRPr="00BF367D">
        <w:t xml:space="preserve">that a role must be </w:t>
      </w:r>
      <w:r w:rsidR="00725A96" w:rsidRPr="00BF367D">
        <w:lastRenderedPageBreak/>
        <w:t xml:space="preserve">performed by a specific gender. This exception is strictly </w:t>
      </w:r>
      <w:r w:rsidR="00132F27" w:rsidRPr="00BF367D">
        <w:t xml:space="preserve">interpreted and must be Proportionate and necessary to achieve a legitimate aim (Daniels, </w:t>
      </w:r>
      <w:r w:rsidR="008E2614" w:rsidRPr="00BF367D">
        <w:t>2022</w:t>
      </w:r>
      <w:r w:rsidR="00577628" w:rsidRPr="00BF367D">
        <w:t>. P.120</w:t>
      </w:r>
    </w:p>
    <w:p w14:paraId="036E3255" w14:textId="1C2983CD" w:rsidR="00881AED" w:rsidRPr="00BF367D" w:rsidRDefault="00F66A6B">
      <w:r w:rsidRPr="00BF367D">
        <w:t xml:space="preserve">In the case </w:t>
      </w:r>
      <w:r w:rsidR="0050706B" w:rsidRPr="00BF367D">
        <w:t xml:space="preserve">of </w:t>
      </w:r>
      <w:r w:rsidR="0050706B" w:rsidRPr="00BF367D">
        <w:rPr>
          <w:i/>
          <w:iCs/>
        </w:rPr>
        <w:t>Etam</w:t>
      </w:r>
      <w:r w:rsidR="00152083" w:rsidRPr="00BF367D">
        <w:rPr>
          <w:i/>
          <w:iCs/>
        </w:rPr>
        <w:t xml:space="preserve"> Plc </w:t>
      </w:r>
      <w:proofErr w:type="gramStart"/>
      <w:r w:rsidR="00152083" w:rsidRPr="00BF367D">
        <w:rPr>
          <w:i/>
          <w:iCs/>
        </w:rPr>
        <w:t>v  Rowan</w:t>
      </w:r>
      <w:proofErr w:type="gramEnd"/>
      <w:r w:rsidR="00152083" w:rsidRPr="00BF367D">
        <w:rPr>
          <w:i/>
          <w:iCs/>
        </w:rPr>
        <w:t xml:space="preserve"> </w:t>
      </w:r>
      <w:r w:rsidR="00EE786C" w:rsidRPr="00BF367D">
        <w:rPr>
          <w:i/>
          <w:iCs/>
        </w:rPr>
        <w:t>(</w:t>
      </w:r>
      <w:r w:rsidR="00152083" w:rsidRPr="00BF367D">
        <w:rPr>
          <w:i/>
          <w:iCs/>
        </w:rPr>
        <w:t>1989</w:t>
      </w:r>
      <w:r w:rsidR="00EE786C" w:rsidRPr="00BF367D">
        <w:rPr>
          <w:i/>
          <w:iCs/>
        </w:rPr>
        <w:t>) IRIR 150</w:t>
      </w:r>
      <w:r w:rsidRPr="00BF367D">
        <w:t xml:space="preserve">, Rowan </w:t>
      </w:r>
      <w:r w:rsidR="00591ECE" w:rsidRPr="00BF367D">
        <w:t xml:space="preserve">who was a male, was </w:t>
      </w:r>
      <w:r w:rsidR="0072147A" w:rsidRPr="00BF367D">
        <w:t xml:space="preserve">refused a job in the Ladies clothes shop  because the role required </w:t>
      </w:r>
      <w:r w:rsidR="007C1008" w:rsidRPr="00BF367D">
        <w:t>measuring women</w:t>
      </w:r>
      <w:r w:rsidR="0006676D" w:rsidRPr="00BF367D">
        <w:t>. However, the</w:t>
      </w:r>
      <w:r w:rsidR="00FD7989" w:rsidRPr="00BF367D">
        <w:t xml:space="preserve"> Employment Appeal </w:t>
      </w:r>
      <w:proofErr w:type="gramStart"/>
      <w:r w:rsidR="00FD7989" w:rsidRPr="00BF367D">
        <w:t xml:space="preserve">Tribunal </w:t>
      </w:r>
      <w:r w:rsidR="0006676D" w:rsidRPr="00BF367D">
        <w:t xml:space="preserve"> </w:t>
      </w:r>
      <w:r w:rsidR="00FD7989" w:rsidRPr="00BF367D">
        <w:t>(</w:t>
      </w:r>
      <w:proofErr w:type="gramEnd"/>
      <w:r w:rsidR="0006676D" w:rsidRPr="00BF367D">
        <w:t>EAT</w:t>
      </w:r>
      <w:r w:rsidR="00FD7989" w:rsidRPr="00BF367D">
        <w:t>)</w:t>
      </w:r>
      <w:r w:rsidR="0006676D" w:rsidRPr="00BF367D">
        <w:t xml:space="preserve"> decided that as this was a small part of the job, this could have been </w:t>
      </w:r>
      <w:r w:rsidR="00872DF4" w:rsidRPr="00BF367D">
        <w:t xml:space="preserve">covered by a female </w:t>
      </w:r>
      <w:r w:rsidR="0050706B" w:rsidRPr="00BF367D">
        <w:t>colleague</w:t>
      </w:r>
      <w:r w:rsidR="00DB7FE4" w:rsidRPr="00BF367D">
        <w:t xml:space="preserve">. However, another example where gender would become </w:t>
      </w:r>
      <w:r w:rsidR="000D59B1" w:rsidRPr="00BF367D">
        <w:t xml:space="preserve">a OR would be if the role involved </w:t>
      </w:r>
      <w:r w:rsidR="004B35B6" w:rsidRPr="00BF367D">
        <w:t xml:space="preserve">a degree of </w:t>
      </w:r>
      <w:r w:rsidR="00F34938" w:rsidRPr="00BF367D">
        <w:t xml:space="preserve">intimacy such as bathing, then it would be </w:t>
      </w:r>
      <w:r w:rsidR="0050706B" w:rsidRPr="00BF367D">
        <w:t>inappropriate</w:t>
      </w:r>
      <w:r w:rsidR="00F34938" w:rsidRPr="00BF367D">
        <w:t xml:space="preserve"> to hire some</w:t>
      </w:r>
      <w:r w:rsidR="00A415B8" w:rsidRPr="00BF367D">
        <w:t>one of the opposite sex. (Daniels, 2022 p.120-121)</w:t>
      </w:r>
      <w:r w:rsidR="00145906" w:rsidRPr="00BF367D">
        <w:t>.</w:t>
      </w:r>
    </w:p>
    <w:p w14:paraId="5BC17CBF" w14:textId="361449F7" w:rsidR="00145906" w:rsidRPr="00BF367D" w:rsidRDefault="00145906">
      <w:r w:rsidRPr="00BF367D">
        <w:t xml:space="preserve">Best practice </w:t>
      </w:r>
      <w:r w:rsidR="00F549B6" w:rsidRPr="00BF367D">
        <w:t>before considering applying an OR</w:t>
      </w:r>
      <w:r w:rsidR="00AD4F32" w:rsidRPr="00BF367D">
        <w:t>, it might be a good idea to conduct a thorough assessment to ensure legal compliance</w:t>
      </w:r>
      <w:r w:rsidR="00DB0F9C" w:rsidRPr="00BF367D">
        <w:t xml:space="preserve"> </w:t>
      </w:r>
      <w:r w:rsidR="00520A87" w:rsidRPr="00BF367D">
        <w:t xml:space="preserve">and </w:t>
      </w:r>
      <w:r w:rsidR="009E00EF" w:rsidRPr="00BF367D">
        <w:t xml:space="preserve">document your justifications to avoid potential </w:t>
      </w:r>
      <w:r w:rsidR="00962BD4" w:rsidRPr="00BF367D">
        <w:t xml:space="preserve">claims of discrimination. </w:t>
      </w:r>
      <w:r w:rsidR="000115EA" w:rsidRPr="00BF367D">
        <w:t xml:space="preserve">(Taylor &amp; Woodhams, </w:t>
      </w:r>
      <w:r w:rsidR="0050706B" w:rsidRPr="00BF367D">
        <w:t>2022, p.95)</w:t>
      </w:r>
    </w:p>
    <w:p w14:paraId="4806020D" w14:textId="01F94FE8" w:rsidR="00962BD4" w:rsidRPr="00BF367D" w:rsidRDefault="00962BD4">
      <w:r w:rsidRPr="00BF367D">
        <w:t>I hope this clarifies the issue</w:t>
      </w:r>
      <w:r w:rsidR="009202A4" w:rsidRPr="00BF367D">
        <w:t>, please let me know if you have any questions.</w:t>
      </w:r>
    </w:p>
    <w:p w14:paraId="32A61DA1" w14:textId="1BC34042" w:rsidR="009202A4" w:rsidRPr="00BF367D" w:rsidRDefault="009202A4">
      <w:r w:rsidRPr="00BF367D">
        <w:t>Regards,</w:t>
      </w:r>
    </w:p>
    <w:p w14:paraId="551F554D" w14:textId="77777777" w:rsidR="00F91C4A" w:rsidRPr="00BF367D" w:rsidRDefault="00F91C4A"/>
    <w:p w14:paraId="0D7C5D2B" w14:textId="77777777" w:rsidR="00834C22" w:rsidRPr="00BF367D" w:rsidRDefault="00834C22" w:rsidP="00834C22">
      <w:pPr>
        <w:rPr>
          <w:color w:val="000000" w:themeColor="text1"/>
        </w:rPr>
      </w:pPr>
    </w:p>
    <w:p w14:paraId="1862AB70" w14:textId="320A67D4" w:rsidR="00BF1FE1" w:rsidRPr="00BF367D" w:rsidRDefault="00834C22" w:rsidP="00485591">
      <w:pPr>
        <w:spacing w:line="240" w:lineRule="auto"/>
        <w:rPr>
          <w:rFonts w:cstheme="minorHAnsi"/>
          <w:b/>
          <w:bCs/>
          <w:color w:val="80340D" w:themeColor="accent2" w:themeShade="80"/>
        </w:rPr>
      </w:pPr>
      <w:r w:rsidRPr="00BF367D">
        <w:rPr>
          <w:rFonts w:cstheme="minorHAnsi"/>
          <w:b/>
          <w:bCs/>
          <w:color w:val="80340D" w:themeColor="accent2" w:themeShade="80"/>
        </w:rPr>
        <w:t>Email 4 (AC 2.2</w:t>
      </w:r>
      <w:r w:rsidR="00485591" w:rsidRPr="00BF367D">
        <w:rPr>
          <w:rFonts w:cstheme="minorHAnsi"/>
          <w:b/>
          <w:bCs/>
          <w:color w:val="80340D" w:themeColor="accent2" w:themeShade="80"/>
        </w:rPr>
        <w:t>)</w:t>
      </w:r>
    </w:p>
    <w:p w14:paraId="3D984E22" w14:textId="33DAF0AF" w:rsidR="00F74486" w:rsidRPr="00F74486" w:rsidRDefault="00F74486" w:rsidP="00F74486">
      <w:r w:rsidRPr="00F74486">
        <w:t xml:space="preserve">Dear </w:t>
      </w:r>
    </w:p>
    <w:p w14:paraId="16FA4B44" w14:textId="77777777" w:rsidR="00F74486" w:rsidRPr="00F74486" w:rsidRDefault="00F74486" w:rsidP="00F74486">
      <w:r w:rsidRPr="00F74486">
        <w:t>Thank you for your email regarding the proposed upgrade of two healthcare assistants (HCAs) from grade A to grade B.</w:t>
      </w:r>
    </w:p>
    <w:p w14:paraId="1B262C2C" w14:textId="1174A52E" w:rsidR="00F74486" w:rsidRPr="00F74486" w:rsidRDefault="00F74486" w:rsidP="00F74486">
      <w:r w:rsidRPr="00F74486">
        <w:t>Before approving this upgrade, it is important to consider the legal implications regarding equal pay under the Equality Act 2010. The Act requires that men and women performing equal work must receive equal pay unless there is a lawful and justifiable reason for the disparity (CIPD, 2024)</w:t>
      </w:r>
      <w:r w:rsidR="004143BB">
        <w:t>.</w:t>
      </w:r>
      <w:r w:rsidR="008C3704">
        <w:t xml:space="preserve"> You must consider indirect se</w:t>
      </w:r>
      <w:r w:rsidR="008E30ED">
        <w:t xml:space="preserve">xual </w:t>
      </w:r>
      <w:r w:rsidR="00C8791E">
        <w:t>discrimination</w:t>
      </w:r>
      <w:r w:rsidR="008E30ED">
        <w:t>.</w:t>
      </w:r>
    </w:p>
    <w:p w14:paraId="22795DDE" w14:textId="359B1E0A" w:rsidR="00F74486" w:rsidRPr="00F74486" w:rsidRDefault="00F74486" w:rsidP="00F74486">
      <w:r w:rsidRPr="00F74486">
        <w:t xml:space="preserve">In this case, the fact that the two individuals are men and </w:t>
      </w:r>
      <w:r w:rsidR="008F696C" w:rsidRPr="00F74486">
        <w:t>most</w:t>
      </w:r>
      <w:r w:rsidRPr="00F74486">
        <w:t xml:space="preserve"> HCAs in the Trust are women raises potential concerns about indirect sex discrimination, particularly if the reasons for the upgrade are not based on substantial differences in their work or responsibilities. It would be crucial to ensure that their work duties and responsibilities are genuinely different from those of their female counterparts, as this would be necessary to avoid any claims of unequal pay.</w:t>
      </w:r>
    </w:p>
    <w:p w14:paraId="3AFE4A67" w14:textId="1E94514A" w:rsidR="00340ED3" w:rsidRPr="00340ED3" w:rsidRDefault="00340ED3" w:rsidP="00340ED3">
      <w:r w:rsidRPr="00340ED3">
        <w:t>In Brierley &amp; Others v Asda Stores Ltd,</w:t>
      </w:r>
      <w:r w:rsidR="002E0326" w:rsidRPr="002E0326">
        <w:t xml:space="preserve"> </w:t>
      </w:r>
      <w:r w:rsidR="002E0326">
        <w:t>(</w:t>
      </w:r>
      <w:r w:rsidR="002E0326" w:rsidRPr="00340ED3">
        <w:rPr>
          <w:i/>
          <w:iCs/>
        </w:rPr>
        <w:t>Brierley and others v Asda Stores Ltd [2021] UKSC 10</w:t>
      </w:r>
      <w:r w:rsidR="002E0326">
        <w:t>)</w:t>
      </w:r>
      <w:r w:rsidR="002E0326">
        <w:t xml:space="preserve"> </w:t>
      </w:r>
      <w:r w:rsidRPr="00340ED3">
        <w:t xml:space="preserve">female retail workers successfully compared their roles to male distribution </w:t>
      </w:r>
      <w:r w:rsidR="008E30ED" w:rsidRPr="00C8791E">
        <w:t>centre</w:t>
      </w:r>
      <w:r w:rsidRPr="00340ED3">
        <w:t xml:space="preserve"> employees and won their equal pay claim. Similarly, in Bahl v The Law Society, </w:t>
      </w:r>
      <w:r w:rsidR="008B0623">
        <w:t>(</w:t>
      </w:r>
      <w:r w:rsidR="008B0623" w:rsidRPr="00340ED3">
        <w:rPr>
          <w:i/>
          <w:iCs/>
        </w:rPr>
        <w:t>Bahl v The Law Society [2004] IRLR 799 (CA)</w:t>
      </w:r>
      <w:r w:rsidR="008B0623">
        <w:t xml:space="preserve"> </w:t>
      </w:r>
      <w:r w:rsidRPr="00340ED3">
        <w:t xml:space="preserve">a female candidate was unfairly overlooked for promotion, highlighting the need for fair and consistent selection criteria. Conversely, in </w:t>
      </w:r>
      <w:proofErr w:type="spellStart"/>
      <w:r w:rsidRPr="00340ED3">
        <w:t>Kalanke</w:t>
      </w:r>
      <w:proofErr w:type="spellEnd"/>
      <w:r w:rsidRPr="00340ED3">
        <w:t xml:space="preserve"> v Freie </w:t>
      </w:r>
      <w:proofErr w:type="spellStart"/>
      <w:r w:rsidRPr="00340ED3">
        <w:t>Hansestadt</w:t>
      </w:r>
      <w:proofErr w:type="spellEnd"/>
      <w:r w:rsidRPr="00340ED3">
        <w:t xml:space="preserve"> Bremen, </w:t>
      </w:r>
      <w:r w:rsidR="008B0623">
        <w:t>(</w:t>
      </w:r>
      <w:proofErr w:type="spellStart"/>
      <w:r w:rsidR="008B0623" w:rsidRPr="00340ED3">
        <w:rPr>
          <w:i/>
          <w:iCs/>
        </w:rPr>
        <w:t>Kalanke</w:t>
      </w:r>
      <w:proofErr w:type="spellEnd"/>
      <w:r w:rsidR="008B0623" w:rsidRPr="00340ED3">
        <w:rPr>
          <w:i/>
          <w:iCs/>
        </w:rPr>
        <w:t xml:space="preserve"> v Freie </w:t>
      </w:r>
      <w:proofErr w:type="spellStart"/>
      <w:r w:rsidR="008B0623" w:rsidRPr="00340ED3">
        <w:rPr>
          <w:i/>
          <w:iCs/>
        </w:rPr>
        <w:t>Hansestadt</w:t>
      </w:r>
      <w:proofErr w:type="spellEnd"/>
      <w:r w:rsidR="008B0623" w:rsidRPr="00340ED3">
        <w:rPr>
          <w:i/>
          <w:iCs/>
        </w:rPr>
        <w:t xml:space="preserve"> Bremen [1995] ECR I-3051</w:t>
      </w:r>
      <w:r w:rsidR="008B0623">
        <w:t>)</w:t>
      </w:r>
      <w:r w:rsidR="00214571">
        <w:t xml:space="preserve"> </w:t>
      </w:r>
      <w:r w:rsidRPr="00340ED3">
        <w:t>an automatic preference for women was ruled unlawful, emphasi</w:t>
      </w:r>
      <w:r w:rsidR="00C8791E" w:rsidRPr="00C8791E">
        <w:t>s</w:t>
      </w:r>
      <w:r w:rsidRPr="00340ED3">
        <w:t>ing that promotions must be merit-based.</w:t>
      </w:r>
    </w:p>
    <w:p w14:paraId="7621B047" w14:textId="77777777" w:rsidR="00F25502" w:rsidRPr="00F74486" w:rsidRDefault="00F25502" w:rsidP="00F25502">
      <w:r w:rsidRPr="00F74486">
        <w:t>Furthermore, the Equality Act 2010 allows for pay differences to be justified only if they are related to a genuine material factor that is not based on sex. If the proposed pay increase for these men cannot be supported by such a justification, it may result in a claim of sex discrimination.</w:t>
      </w:r>
    </w:p>
    <w:p w14:paraId="05749559" w14:textId="77777777" w:rsidR="00F25502" w:rsidRPr="00F74486" w:rsidRDefault="00F25502" w:rsidP="00F25502">
      <w:r w:rsidRPr="00BF367D">
        <w:t>Taking all of this into consideration</w:t>
      </w:r>
      <w:r w:rsidRPr="00F74486">
        <w:t>, I must advise caution in approving the upgrade request until there is a clear and proportionate justification for the pay difference. I recommend conducting a thorough analysis of the actual work duties and ensuring that the proposed pay increase is genuinely based on merit, experience, or responsibilities rather than gender-based differences.</w:t>
      </w:r>
    </w:p>
    <w:p w14:paraId="64922D0E" w14:textId="77777777" w:rsidR="00F25502" w:rsidRPr="00F74486" w:rsidRDefault="00F25502" w:rsidP="00F25502">
      <w:r w:rsidRPr="00F74486">
        <w:t>Please let me know if you would like further guidance or a more detailed analysis.</w:t>
      </w:r>
    </w:p>
    <w:p w14:paraId="6B860249" w14:textId="1D55FF15" w:rsidR="00BF1FE1" w:rsidRDefault="00F25502">
      <w:r w:rsidRPr="00F74486">
        <w:t>Best regar</w:t>
      </w:r>
      <w:r w:rsidR="000816B8">
        <w:t>ds</w:t>
      </w:r>
    </w:p>
    <w:p w14:paraId="13604BFF" w14:textId="77777777" w:rsidR="000816B8" w:rsidRDefault="000816B8"/>
    <w:p w14:paraId="51202E5C" w14:textId="77777777" w:rsidR="000816B8" w:rsidRDefault="000816B8"/>
    <w:p w14:paraId="2C7B44AC" w14:textId="77777777" w:rsidR="000816B8" w:rsidRDefault="000816B8"/>
    <w:p w14:paraId="59EFB316" w14:textId="77777777" w:rsidR="000816B8" w:rsidRDefault="000816B8"/>
    <w:p w14:paraId="7A411240" w14:textId="77777777" w:rsidR="000816B8" w:rsidRDefault="000816B8"/>
    <w:p w14:paraId="40BF80AA" w14:textId="77777777" w:rsidR="000816B8" w:rsidRDefault="000816B8"/>
    <w:p w14:paraId="61D2B404" w14:textId="77777777" w:rsidR="000816B8" w:rsidRDefault="000816B8"/>
    <w:p w14:paraId="1C37122E" w14:textId="77777777" w:rsidR="000816B8" w:rsidRDefault="000816B8"/>
    <w:p w14:paraId="1B42EF55" w14:textId="77777777" w:rsidR="000816B8" w:rsidRDefault="000816B8"/>
    <w:p w14:paraId="5CBF4E51" w14:textId="77777777" w:rsidR="000816B8" w:rsidRDefault="000816B8"/>
    <w:p w14:paraId="6A522010" w14:textId="77777777" w:rsidR="000816B8" w:rsidRDefault="000816B8"/>
    <w:p w14:paraId="309A8A87" w14:textId="77777777" w:rsidR="000816B8" w:rsidRDefault="000816B8"/>
    <w:p w14:paraId="1685CC39" w14:textId="77777777" w:rsidR="000816B8" w:rsidRDefault="000816B8"/>
    <w:p w14:paraId="2BF32E02" w14:textId="77777777" w:rsidR="00CE7FE0" w:rsidRPr="00BF367D" w:rsidRDefault="00CE7FE0"/>
    <w:p w14:paraId="3AE36CDB" w14:textId="77777777" w:rsidR="00CE7FE0" w:rsidRPr="00BF367D" w:rsidRDefault="00CE7FE0"/>
    <w:p w14:paraId="0C5A874E" w14:textId="717F7483" w:rsidR="00CE7FE0" w:rsidRPr="00393DB3" w:rsidRDefault="001061C5" w:rsidP="00393DB3">
      <w:pPr>
        <w:spacing w:line="240" w:lineRule="auto"/>
        <w:rPr>
          <w:rFonts w:cstheme="minorHAnsi"/>
          <w:b/>
          <w:bCs/>
          <w:color w:val="80340D" w:themeColor="accent2" w:themeShade="80"/>
        </w:rPr>
      </w:pPr>
      <w:r w:rsidRPr="00BF367D">
        <w:rPr>
          <w:rFonts w:cstheme="minorHAnsi"/>
          <w:b/>
          <w:bCs/>
          <w:color w:val="80340D" w:themeColor="accent2" w:themeShade="80"/>
        </w:rPr>
        <w:t xml:space="preserve">Email 5 (AC 3.1)    </w:t>
      </w:r>
    </w:p>
    <w:p w14:paraId="128F8FA5" w14:textId="6C14D558" w:rsidR="00904E4D" w:rsidRPr="00904E4D" w:rsidRDefault="00904E4D" w:rsidP="00904E4D">
      <w:r w:rsidRPr="00904E4D">
        <w:t xml:space="preserve">Dear </w:t>
      </w:r>
    </w:p>
    <w:p w14:paraId="28867A1F" w14:textId="77777777" w:rsidR="00904E4D" w:rsidRPr="00904E4D" w:rsidRDefault="00904E4D" w:rsidP="00904E4D">
      <w:r w:rsidRPr="00904E4D">
        <w:t>I understand your concerns regarding the radiographer who recently resigned and may be considering pursuing a constructive dismissal claim following changes to his working hours. Below, I will outline the legal considerations regarding such claims and the relevant time limits for filing a claim with the Employment Tribunal.</w:t>
      </w:r>
    </w:p>
    <w:p w14:paraId="4A07AE2F" w14:textId="5E7AD7A9" w:rsidR="00904E4D" w:rsidRPr="00904E4D" w:rsidRDefault="00904E4D" w:rsidP="00904E4D">
      <w:r w:rsidRPr="00904E4D">
        <w:t xml:space="preserve">Constructive dismissal arises when an employee resigns in response to a fundamental breach of contract. Under Section 95(1)(c) of the Employment Rights Act 1996, </w:t>
      </w:r>
      <w:r w:rsidR="000376F4" w:rsidRPr="000376F4">
        <w:t>(UK Government, 1996)</w:t>
      </w:r>
      <w:r w:rsidR="000376F4">
        <w:t xml:space="preserve"> </w:t>
      </w:r>
      <w:r w:rsidRPr="00904E4D">
        <w:t>employees may claim constructive dismissal if they can show that their employer's actions breached the implied term of trust and confidence. To succeed in a constructive dismissal claim, the employee must demonstrate that the employer's conduct was a fundamental breach, and that the resignation was directly in response to this breach (Daniels, 2022, p. 215). Additionally, the resignation must not occur after a significant delay, or it may be seen as an acceptance of the breach.</w:t>
      </w:r>
    </w:p>
    <w:p w14:paraId="23B22063" w14:textId="77777777" w:rsidR="00904E4D" w:rsidRPr="00904E4D" w:rsidRDefault="00904E4D" w:rsidP="00904E4D">
      <w:r w:rsidRPr="00904E4D">
        <w:t>In Morrow v. Safeway Stores Ltd (2002), the claimant resigned after his employer unilaterally changed his working hours. The Tribunal ruled that the changes to his working hours were significant enough to constitute a breach of his contract. The Tribunal found that the employee was justified in resigning because the new shift pattern, which had not been agreed upon, undermined the terms of the original contract and the trust between the employer and employee. This case highlights how substantial changes to working hours, especially those imposed without consultation, can give rise to a constructive dismissal claim (Daniels, 2022, p. 220).</w:t>
      </w:r>
    </w:p>
    <w:p w14:paraId="03912B3E" w14:textId="77777777" w:rsidR="00904E4D" w:rsidRPr="00904E4D" w:rsidRDefault="00904E4D" w:rsidP="00904E4D">
      <w:r w:rsidRPr="00904E4D">
        <w:t xml:space="preserve">As for the time limit for bringing a constructive dismissal claim, the former employee has three months minus one day from the date of resignation to file a claim with the Employment Tribunal. The time limit may be extended if the employee engages in </w:t>
      </w:r>
      <w:proofErr w:type="spellStart"/>
      <w:r w:rsidRPr="00904E4D">
        <w:t>Acas</w:t>
      </w:r>
      <w:proofErr w:type="spellEnd"/>
      <w:r w:rsidRPr="00904E4D">
        <w:t xml:space="preserve"> Early Conciliation </w:t>
      </w:r>
      <w:r w:rsidRPr="00904E4D">
        <w:lastRenderedPageBreak/>
        <w:t>(Employment Tribunals Act 1996). Therefore, it is crucial to determine if the radiographer is within this timeframe.</w:t>
      </w:r>
    </w:p>
    <w:p w14:paraId="4A71C064" w14:textId="77777777" w:rsidR="00377829" w:rsidRPr="00377829" w:rsidRDefault="00377829" w:rsidP="00377829">
      <w:r w:rsidRPr="00377829">
        <w:t>I recommend reviewing whether the changes to the radiographer’s working hours were imposed without consultation, and if they represent a significant breach of the contractual relationship. If the employer has failed to consult or provide reasonable alternatives, there may be grounds for a constructive dismissal claim. Legal advice should be sought if necessary.</w:t>
      </w:r>
    </w:p>
    <w:p w14:paraId="08EE9A4B" w14:textId="77777777" w:rsidR="00377829" w:rsidRPr="00377829" w:rsidRDefault="00377829" w:rsidP="00377829">
      <w:r w:rsidRPr="00377829">
        <w:t>Please feel free to reach out if you need further assistance or clarification.</w:t>
      </w:r>
    </w:p>
    <w:p w14:paraId="2B03DDB2" w14:textId="682671F3" w:rsidR="000816B8" w:rsidRDefault="0063603A" w:rsidP="007A0544">
      <w:r w:rsidRPr="00393DB3">
        <w:t>Best Regards,</w:t>
      </w:r>
    </w:p>
    <w:p w14:paraId="549DB291" w14:textId="77777777" w:rsidR="000816B8" w:rsidRDefault="000816B8" w:rsidP="007A0544"/>
    <w:p w14:paraId="44F6E7B3" w14:textId="77777777" w:rsidR="000816B8" w:rsidRPr="00393DB3" w:rsidRDefault="000816B8" w:rsidP="007A0544"/>
    <w:p w14:paraId="5B3B8303" w14:textId="77777777" w:rsidR="0094242D" w:rsidRDefault="0094242D" w:rsidP="007A0544">
      <w:pPr>
        <w:spacing w:line="240" w:lineRule="auto"/>
        <w:rPr>
          <w:rFonts w:cstheme="minorHAnsi"/>
          <w:b/>
          <w:bCs/>
          <w:color w:val="80340D" w:themeColor="accent2" w:themeShade="80"/>
        </w:rPr>
      </w:pPr>
    </w:p>
    <w:p w14:paraId="06E74EE3" w14:textId="04D785FA" w:rsidR="007A0544" w:rsidRPr="00BF367D" w:rsidRDefault="007A0544" w:rsidP="007A0544">
      <w:pPr>
        <w:spacing w:line="240" w:lineRule="auto"/>
        <w:rPr>
          <w:rFonts w:cstheme="minorHAnsi"/>
          <w:b/>
          <w:bCs/>
          <w:color w:val="80340D" w:themeColor="accent2" w:themeShade="80"/>
        </w:rPr>
      </w:pPr>
      <w:r w:rsidRPr="00BF367D">
        <w:rPr>
          <w:rFonts w:cstheme="minorHAnsi"/>
          <w:b/>
          <w:bCs/>
          <w:color w:val="80340D" w:themeColor="accent2" w:themeShade="80"/>
        </w:rPr>
        <w:t>Email 6 (AC 3.2)</w:t>
      </w:r>
    </w:p>
    <w:p w14:paraId="51B531AF" w14:textId="77777777" w:rsidR="007A0544" w:rsidRPr="00904E4D" w:rsidRDefault="007A0544" w:rsidP="007A0544"/>
    <w:p w14:paraId="74AEAB39" w14:textId="59E5E2C3" w:rsidR="00400C64" w:rsidRPr="00400C64" w:rsidRDefault="00400C64" w:rsidP="00400C64">
      <w:r w:rsidRPr="00400C64">
        <w:t>Dear</w:t>
      </w:r>
    </w:p>
    <w:p w14:paraId="48753D53" w14:textId="798074BC" w:rsidR="00400C64" w:rsidRPr="00400C64" w:rsidRDefault="00400C64" w:rsidP="00400C64">
      <w:r w:rsidRPr="00400C64">
        <w:t>I understand you are overseeing a reorganisation involving the reduction of 50 posts, which may include compulsory redundancies. While it is important to move forward efficiently, it is equally essential to comply with UK employment law to reduce legal risks and ensure fairness throughout the process. Below, I have outlined the key legal considerations relating to redundancy, particularly the consultation process and fair dismissal criteria.</w:t>
      </w:r>
    </w:p>
    <w:p w14:paraId="2B76331E" w14:textId="04B74A25" w:rsidR="00400C64" w:rsidRPr="00400C64" w:rsidRDefault="00400C64" w:rsidP="00400C64">
      <w:r w:rsidRPr="00400C64">
        <w:t xml:space="preserve">According to Section 139 of the Employment Rights Act 1996, </w:t>
      </w:r>
      <w:r w:rsidR="0094242D" w:rsidRPr="0094242D">
        <w:t>(UK Government, 1996)</w:t>
      </w:r>
      <w:r w:rsidR="0094242D">
        <w:t xml:space="preserve"> </w:t>
      </w:r>
      <w:r w:rsidRPr="00400C64">
        <w:t>redundancy occurs in situations where the employer ceases the business, closes the workplace, or when the need for employees to carry out certain work diminishes or ceases. As you are considering the elimination of roles, it is important to ensure the reason for redundancy is genuine and falls within one of these categories.</w:t>
      </w:r>
    </w:p>
    <w:p w14:paraId="7093C74F" w14:textId="77777777" w:rsidR="00400C64" w:rsidRPr="00400C64" w:rsidRDefault="00400C64" w:rsidP="00400C64">
      <w:r w:rsidRPr="00400C64">
        <w:t xml:space="preserve">Under UK employment law, when 20 or more redundancies are proposed within a 90-day period, employers must follow a collective consultation process. The consultation must begin at least 30 days before the first dismissal for 20 to 99 redundancies, and 45 days for 100 or more redundancies, as stipulated by Section 188 of the Trade Union and Labour Relations (Consolidation) Act 1992 (TULRCA). During the consultation, the employer must engage in </w:t>
      </w:r>
      <w:r w:rsidRPr="00400C64">
        <w:lastRenderedPageBreak/>
        <w:t>meaningful dialogue with affected employees or trade unions to explore ways of avoiding or reducing redundancies and mitigating their impact.</w:t>
      </w:r>
    </w:p>
    <w:p w14:paraId="21752044" w14:textId="13F28005" w:rsidR="00400C64" w:rsidRPr="00400C64" w:rsidRDefault="00400C64" w:rsidP="00400C64">
      <w:r w:rsidRPr="00400C64">
        <w:t xml:space="preserve">It is important to apply a fair and objective selection process when determining which roles will be made redundant. If you are considering dismissing the poorest performers, it is crucial to base the selection on objective criteria that are applied consistently. Selecting employees purely on performance without clear, measurable standards would be an unfair dismissal under Section 98 of the Employment Rights Act 1996, </w:t>
      </w:r>
      <w:r w:rsidR="005A1EBB">
        <w:t>(Uk, Government</w:t>
      </w:r>
      <w:r w:rsidR="00FA28A4">
        <w:t xml:space="preserve">, 1996) </w:t>
      </w:r>
      <w:r w:rsidRPr="00400C64">
        <w:t>as it lacks transparency and could lead to discrimination claims.</w:t>
      </w:r>
    </w:p>
    <w:p w14:paraId="7A14195D" w14:textId="14D49776" w:rsidR="00400C64" w:rsidRPr="00400C64" w:rsidRDefault="00400C64" w:rsidP="00400C64">
      <w:r w:rsidRPr="00400C64">
        <w:t xml:space="preserve">Fair selection criteria typically include considerations such as length of service (Last In, First Out, though this may raise age discrimination concerns), attendance (excluding absences due to disability), skills, and experience relevant to the business’s ongoing needs. A failure to follow a fair and transparent selection process could result in claims of unfair dismissal, as demonstrated in Williams v </w:t>
      </w:r>
      <w:proofErr w:type="spellStart"/>
      <w:r w:rsidRPr="00400C64">
        <w:t>Compair</w:t>
      </w:r>
      <w:proofErr w:type="spellEnd"/>
      <w:r w:rsidRPr="00400C64">
        <w:t xml:space="preserve"> Maxam Ltd (1982). </w:t>
      </w:r>
      <w:r w:rsidR="00E76B0E">
        <w:t xml:space="preserve">(Daniels, </w:t>
      </w:r>
      <w:r w:rsidR="005A1EBB">
        <w:t>2022, p.202</w:t>
      </w:r>
      <w:r w:rsidR="00531BBC">
        <w:t>) In</w:t>
      </w:r>
      <w:r w:rsidRPr="00400C64">
        <w:t xml:space="preserve"> this case, the tribunal found the employer’s redundancy process to be unfair due to a lack of objective criteria in the selection process.</w:t>
      </w:r>
    </w:p>
    <w:p w14:paraId="4C477D59" w14:textId="51F08966" w:rsidR="00400C64" w:rsidRPr="00400C64" w:rsidRDefault="00400C64" w:rsidP="00400C64">
      <w:r w:rsidRPr="00400C64">
        <w:t>As part of the consultation process, it is essential to explore alternative solutions to compulsory redundancies. This could include offering voluntary redundancy, redeployment to other roles within the organisation, or identifying opportunities for employees to take on different tasks. The goal should be to minimise the number of redundancies and ensure that any decisions made are in line with both legal requirements and best practice.</w:t>
      </w:r>
    </w:p>
    <w:p w14:paraId="6DA0932D" w14:textId="77777777" w:rsidR="00400C64" w:rsidRPr="00400C64" w:rsidRDefault="00400C64" w:rsidP="00400C64">
      <w:r w:rsidRPr="00400C64">
        <w:t>I strongly advise that you take the time to fully comply with redundancy laws to avoid potential legal challenges. This includes ensuring early and meaningful consultation with employees or trade unions, applying a fair and objective selection process, and exploring alternative options such as voluntary redundancy or redeployment. I would be happy to assist you in implementing a legally compliant and structured redundancy process.</w:t>
      </w:r>
    </w:p>
    <w:p w14:paraId="443B0901" w14:textId="77777777" w:rsidR="00400C64" w:rsidRPr="00400C64" w:rsidRDefault="00400C64" w:rsidP="00400C64">
      <w:r w:rsidRPr="00400C64">
        <w:t>Please feel free to reach out if you need any further assistance.</w:t>
      </w:r>
    </w:p>
    <w:p w14:paraId="2547CE0F" w14:textId="486527D2" w:rsidR="00400C64" w:rsidRPr="00400C64" w:rsidRDefault="00400C64" w:rsidP="0063603A">
      <w:r w:rsidRPr="00400C64">
        <w:t>Best regards,</w:t>
      </w:r>
      <w:r w:rsidRPr="00400C64">
        <w:br/>
      </w:r>
    </w:p>
    <w:p w14:paraId="7BD2A047" w14:textId="77777777" w:rsidR="0035602C" w:rsidRPr="00BF367D" w:rsidRDefault="0035602C" w:rsidP="00FA3C6F">
      <w:pPr>
        <w:pStyle w:val="NormalWeb"/>
        <w:ind w:left="720"/>
        <w:rPr>
          <w:rFonts w:asciiTheme="minorHAnsi" w:hAnsiTheme="minorHAnsi"/>
          <w:sz w:val="22"/>
          <w:szCs w:val="22"/>
        </w:rPr>
      </w:pPr>
    </w:p>
    <w:p w14:paraId="7C4C772A" w14:textId="77777777" w:rsidR="0035602C" w:rsidRPr="00BF367D" w:rsidRDefault="0035602C" w:rsidP="0035602C">
      <w:pPr>
        <w:pStyle w:val="Body"/>
        <w:spacing w:line="240" w:lineRule="auto"/>
        <w:rPr>
          <w:rFonts w:asciiTheme="minorHAnsi" w:eastAsia="Trebuchet MS" w:hAnsiTheme="minorHAnsi" w:cs="Trebuchet MS"/>
          <w:b/>
          <w:bCs/>
        </w:rPr>
      </w:pPr>
      <w:r w:rsidRPr="00BF367D">
        <w:rPr>
          <w:rFonts w:asciiTheme="minorHAnsi" w:hAnsiTheme="minorHAnsi"/>
          <w:b/>
          <w:bCs/>
          <w:color w:val="004147"/>
          <w:u w:color="004147"/>
          <w:lang w:val="en-US"/>
        </w:rPr>
        <w:t xml:space="preserve">Email 7 (AC 3.3) </w:t>
      </w:r>
      <w:r w:rsidRPr="00BF367D">
        <w:rPr>
          <w:rFonts w:asciiTheme="minorHAnsi" w:hAnsiTheme="minorHAnsi"/>
          <w:b/>
          <w:bCs/>
        </w:rPr>
        <w:t xml:space="preserve">  </w:t>
      </w:r>
    </w:p>
    <w:p w14:paraId="1C847E38" w14:textId="77777777" w:rsidR="0035602C" w:rsidRPr="00BF367D" w:rsidRDefault="0035602C" w:rsidP="0035602C">
      <w:pPr>
        <w:pStyle w:val="Body"/>
        <w:spacing w:line="240" w:lineRule="auto"/>
        <w:rPr>
          <w:rFonts w:asciiTheme="minorHAnsi" w:eastAsia="Trebuchet MS" w:hAnsiTheme="minorHAnsi" w:cs="Trebuchet MS"/>
          <w:b/>
          <w:bCs/>
        </w:rPr>
      </w:pPr>
    </w:p>
    <w:p w14:paraId="4D6B10C9" w14:textId="379D6BC4"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 xml:space="preserve">Dear </w:t>
      </w:r>
    </w:p>
    <w:p w14:paraId="1F6FD513" w14:textId="086762AB"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As you prepare to enter discussions on the proposed merger of pharmacy operations, it is important to consider the implications of the Transfer of Undertakings (Protection of Employment) Regulations 2006 (TUPE). These regulations are designed to protect employees when a business or service is transferred to a new employer, ensuring that their contractual rights remain intact (Daniels, 2022</w:t>
      </w:r>
      <w:r w:rsidRPr="00BF367D">
        <w:rPr>
          <w:rFonts w:asciiTheme="minorHAnsi" w:hAnsiTheme="minorHAnsi"/>
          <w:sz w:val="22"/>
          <w:szCs w:val="22"/>
        </w:rPr>
        <w:t xml:space="preserve">. </w:t>
      </w:r>
      <w:r w:rsidR="00712170" w:rsidRPr="00BF367D">
        <w:rPr>
          <w:rFonts w:asciiTheme="minorHAnsi" w:hAnsiTheme="minorHAnsi"/>
          <w:sz w:val="22"/>
          <w:szCs w:val="22"/>
        </w:rPr>
        <w:t xml:space="preserve">Chapter 9, </w:t>
      </w:r>
      <w:r w:rsidRPr="00BF367D">
        <w:rPr>
          <w:rFonts w:asciiTheme="minorHAnsi" w:hAnsiTheme="minorHAnsi"/>
          <w:sz w:val="22"/>
          <w:szCs w:val="22"/>
        </w:rPr>
        <w:t>P.207-2</w:t>
      </w:r>
      <w:r w:rsidR="00DB7BF4" w:rsidRPr="00BF367D">
        <w:rPr>
          <w:rFonts w:asciiTheme="minorHAnsi" w:hAnsiTheme="minorHAnsi"/>
          <w:sz w:val="22"/>
          <w:szCs w:val="22"/>
        </w:rPr>
        <w:t>13</w:t>
      </w:r>
      <w:r w:rsidRPr="00C84BC2">
        <w:rPr>
          <w:rFonts w:asciiTheme="minorHAnsi" w:hAnsiTheme="minorHAnsi"/>
          <w:sz w:val="22"/>
          <w:szCs w:val="22"/>
        </w:rPr>
        <w:t>).</w:t>
      </w:r>
    </w:p>
    <w:p w14:paraId="204DFC84" w14:textId="77777777"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Given that the new centralised pharmacy will be based within our Trust while continuing to provide services to the neighbouring Trust, TUPE is likely to apply. This means that employees currently working in the pharmacy operation would automatically transfer to our employment under the same terms and conditions, including salary, holiday entitlement, and continuous service (Regulation 4, TUPE 2006). Employers cannot dismiss employees solely because of the transfer unless there is an economic, technical, or organisational (ETO) reason requiring genuine workforce restructuring (CIPD, 2024).</w:t>
      </w:r>
    </w:p>
    <w:p w14:paraId="6ADD19C9" w14:textId="76B5A9DD"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 xml:space="preserve">A key legal requirement under TUPE is the duty to inform and consult with affected employees or their representatives at least 28 days before the transfer (Regulation 13, TUPE 2006). Failure to consult properly can result in financial penalties, as demonstrated in </w:t>
      </w:r>
      <w:r w:rsidRPr="00C84BC2">
        <w:rPr>
          <w:rFonts w:asciiTheme="minorHAnsi" w:hAnsiTheme="minorHAnsi"/>
          <w:i/>
          <w:iCs/>
          <w:sz w:val="22"/>
          <w:szCs w:val="22"/>
        </w:rPr>
        <w:t xml:space="preserve">Taylor v Connex </w:t>
      </w:r>
      <w:proofErr w:type="gramStart"/>
      <w:r w:rsidRPr="00C84BC2">
        <w:rPr>
          <w:rFonts w:asciiTheme="minorHAnsi" w:hAnsiTheme="minorHAnsi"/>
          <w:i/>
          <w:iCs/>
          <w:sz w:val="22"/>
          <w:szCs w:val="22"/>
        </w:rPr>
        <w:t>South Eastern</w:t>
      </w:r>
      <w:proofErr w:type="gramEnd"/>
      <w:r w:rsidRPr="00C84BC2">
        <w:rPr>
          <w:rFonts w:asciiTheme="minorHAnsi" w:hAnsiTheme="minorHAnsi"/>
          <w:i/>
          <w:iCs/>
          <w:sz w:val="22"/>
          <w:szCs w:val="22"/>
        </w:rPr>
        <w:t xml:space="preserve"> Ltd (2000) EAT 1243/99</w:t>
      </w:r>
      <w:r w:rsidRPr="00C84BC2">
        <w:rPr>
          <w:rFonts w:asciiTheme="minorHAnsi" w:hAnsiTheme="minorHAnsi"/>
          <w:sz w:val="22"/>
          <w:szCs w:val="22"/>
        </w:rPr>
        <w:t>, where the employer failed to provide adequate information regarding a transfer, leading to a successful employee claim (Daniels, 2022</w:t>
      </w:r>
      <w:r w:rsidR="001D6890" w:rsidRPr="00BF367D">
        <w:rPr>
          <w:rFonts w:asciiTheme="minorHAnsi" w:hAnsiTheme="minorHAnsi"/>
          <w:sz w:val="22"/>
          <w:szCs w:val="22"/>
        </w:rPr>
        <w:t>. P.207</w:t>
      </w:r>
      <w:r w:rsidRPr="00C84BC2">
        <w:rPr>
          <w:rFonts w:asciiTheme="minorHAnsi" w:hAnsiTheme="minorHAnsi"/>
          <w:sz w:val="22"/>
          <w:szCs w:val="22"/>
        </w:rPr>
        <w:t>). This case highlights the importance of clear communication and engagement with staff to mitigate legal risks.</w:t>
      </w:r>
    </w:p>
    <w:p w14:paraId="3F3318F3" w14:textId="58F3069D"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 xml:space="preserve">Additionally, any attempt to change contractual terms post-transfer without a valid ETO reason could lead to claims for unfair dismissal, as seen in </w:t>
      </w:r>
      <w:r w:rsidRPr="00C84BC2">
        <w:rPr>
          <w:rFonts w:asciiTheme="minorHAnsi" w:hAnsiTheme="minorHAnsi"/>
          <w:i/>
          <w:iCs/>
          <w:sz w:val="22"/>
          <w:szCs w:val="22"/>
        </w:rPr>
        <w:t>Hunt v Storm Communications and Others (2007) ET2702546/06</w:t>
      </w:r>
      <w:r w:rsidRPr="00C84BC2">
        <w:rPr>
          <w:rFonts w:asciiTheme="minorHAnsi" w:hAnsiTheme="minorHAnsi"/>
          <w:sz w:val="22"/>
          <w:szCs w:val="22"/>
        </w:rPr>
        <w:t>. In this case, the employer sought to change the terms and conditions of employment following a TUPE transfer. However, as there was no valid ETO justification, the employees successfully claimed unfair dismissal (Daniels, 2022</w:t>
      </w:r>
      <w:r w:rsidR="001D6890" w:rsidRPr="00BF367D">
        <w:rPr>
          <w:rFonts w:asciiTheme="minorHAnsi" w:hAnsiTheme="minorHAnsi"/>
          <w:sz w:val="22"/>
          <w:szCs w:val="22"/>
        </w:rPr>
        <w:t>. P.</w:t>
      </w:r>
      <w:r w:rsidR="00712170" w:rsidRPr="00BF367D">
        <w:rPr>
          <w:rFonts w:asciiTheme="minorHAnsi" w:hAnsiTheme="minorHAnsi"/>
          <w:sz w:val="22"/>
          <w:szCs w:val="22"/>
        </w:rPr>
        <w:t>210</w:t>
      </w:r>
      <w:r w:rsidRPr="00C84BC2">
        <w:rPr>
          <w:rFonts w:asciiTheme="minorHAnsi" w:hAnsiTheme="minorHAnsi"/>
          <w:sz w:val="22"/>
          <w:szCs w:val="22"/>
        </w:rPr>
        <w:t>). This demonstrates the importance of ensuring that contractual terms remain unchanged unless a legitimate business reason exists.</w:t>
      </w:r>
    </w:p>
    <w:p w14:paraId="2650EF88" w14:textId="77777777" w:rsidR="00C84BC2" w:rsidRPr="00C84BC2" w:rsidRDefault="00C84BC2" w:rsidP="00C84BC2">
      <w:pPr>
        <w:pStyle w:val="NormalWeb"/>
        <w:rPr>
          <w:rFonts w:asciiTheme="minorHAnsi" w:hAnsiTheme="minorHAnsi"/>
          <w:sz w:val="22"/>
          <w:szCs w:val="22"/>
        </w:rPr>
      </w:pPr>
      <w:r w:rsidRPr="00C84BC2">
        <w:rPr>
          <w:rFonts w:asciiTheme="minorHAnsi" w:hAnsiTheme="minorHAnsi"/>
          <w:sz w:val="22"/>
          <w:szCs w:val="22"/>
        </w:rPr>
        <w:t>To ensure a smooth transition and legal compliance, I recommend early engagement with employees and their representatives to provide clarity on their rights and address any concerns. Reviewing existing employment contracts to assess any potential risks associated with the transfer will also be essential. I am happy to assist further in structuring our approach to employee communication and ensuring compliance with TUPE requirements.</w:t>
      </w:r>
    </w:p>
    <w:p w14:paraId="3D1D810D" w14:textId="6C96B0C7" w:rsidR="00E75857" w:rsidRPr="00BF367D" w:rsidRDefault="00C84BC2" w:rsidP="00E75857">
      <w:pPr>
        <w:pStyle w:val="NormalWeb"/>
        <w:rPr>
          <w:rFonts w:asciiTheme="minorHAnsi" w:hAnsiTheme="minorHAnsi"/>
          <w:sz w:val="22"/>
          <w:szCs w:val="22"/>
        </w:rPr>
      </w:pPr>
      <w:r w:rsidRPr="00C84BC2">
        <w:rPr>
          <w:rFonts w:asciiTheme="minorHAnsi" w:hAnsiTheme="minorHAnsi"/>
          <w:sz w:val="22"/>
          <w:szCs w:val="22"/>
        </w:rPr>
        <w:t>Best regards,</w:t>
      </w:r>
      <w:r w:rsidRPr="00C84BC2">
        <w:rPr>
          <w:rFonts w:asciiTheme="minorHAnsi" w:hAnsiTheme="minorHAnsi"/>
          <w:sz w:val="22"/>
          <w:szCs w:val="22"/>
        </w:rPr>
        <w:br/>
      </w:r>
    </w:p>
    <w:p w14:paraId="24A7D132" w14:textId="77777777" w:rsidR="00E75857" w:rsidRPr="00BF367D" w:rsidRDefault="00E75857" w:rsidP="00E75857">
      <w:pPr>
        <w:pStyle w:val="NormalWeb"/>
        <w:rPr>
          <w:rFonts w:asciiTheme="minorHAnsi" w:hAnsiTheme="minorHAnsi"/>
          <w:sz w:val="22"/>
          <w:szCs w:val="22"/>
        </w:rPr>
      </w:pPr>
    </w:p>
    <w:p w14:paraId="44AE23CF" w14:textId="6CDD127C" w:rsidR="00E75857" w:rsidRPr="0063603A" w:rsidRDefault="00367D64" w:rsidP="0063603A">
      <w:pPr>
        <w:pStyle w:val="Body"/>
        <w:spacing w:line="240" w:lineRule="auto"/>
        <w:rPr>
          <w:rFonts w:asciiTheme="minorHAnsi" w:eastAsia="Trebuchet MS" w:hAnsiTheme="minorHAnsi" w:cs="Trebuchet MS"/>
          <w:b/>
          <w:bCs/>
          <w:color w:val="004147"/>
          <w:u w:color="004147"/>
        </w:rPr>
      </w:pPr>
      <w:r w:rsidRPr="00BF367D">
        <w:rPr>
          <w:rFonts w:asciiTheme="minorHAnsi" w:hAnsiTheme="minorHAnsi"/>
          <w:b/>
          <w:bCs/>
          <w:color w:val="004147"/>
          <w:u w:color="004147"/>
          <w:lang w:val="en-US"/>
        </w:rPr>
        <w:t>Email 8 (AC 4.1)</w:t>
      </w:r>
    </w:p>
    <w:p w14:paraId="4741F6AF" w14:textId="208D7129" w:rsidR="00E75857" w:rsidRPr="00E75857" w:rsidRDefault="00E75857" w:rsidP="00E75857">
      <w:pPr>
        <w:pStyle w:val="NormalWeb"/>
        <w:rPr>
          <w:rFonts w:asciiTheme="minorHAnsi" w:hAnsiTheme="minorHAnsi"/>
          <w:sz w:val="22"/>
          <w:szCs w:val="22"/>
        </w:rPr>
      </w:pPr>
      <w:r w:rsidRPr="00E75857">
        <w:rPr>
          <w:rFonts w:asciiTheme="minorHAnsi" w:hAnsiTheme="minorHAnsi"/>
          <w:sz w:val="22"/>
          <w:szCs w:val="22"/>
        </w:rPr>
        <w:t xml:space="preserve">Dear </w:t>
      </w:r>
    </w:p>
    <w:p w14:paraId="48A168B9" w14:textId="77777777" w:rsidR="00E75857" w:rsidRPr="00E75857" w:rsidRDefault="00E75857" w:rsidP="00E75857">
      <w:pPr>
        <w:pStyle w:val="NormalWeb"/>
        <w:rPr>
          <w:rFonts w:asciiTheme="minorHAnsi" w:hAnsiTheme="minorHAnsi"/>
          <w:sz w:val="22"/>
          <w:szCs w:val="22"/>
        </w:rPr>
      </w:pPr>
      <w:r w:rsidRPr="00E75857">
        <w:rPr>
          <w:rFonts w:asciiTheme="minorHAnsi" w:hAnsiTheme="minorHAnsi"/>
          <w:sz w:val="22"/>
          <w:szCs w:val="22"/>
        </w:rPr>
        <w:t>I hope this message finds you well. Building upon our previous discussions regarding the calculation of holiday pay for our nurse bank staff, I'd like to address the employment status of these individuals, as it directly influences their entitlements.</w:t>
      </w:r>
    </w:p>
    <w:p w14:paraId="733B502E" w14:textId="58F77A2E" w:rsidR="00E75857" w:rsidRPr="00E75857" w:rsidRDefault="00E75857" w:rsidP="00E75857">
      <w:pPr>
        <w:pStyle w:val="NormalWeb"/>
        <w:rPr>
          <w:rFonts w:asciiTheme="minorHAnsi" w:hAnsiTheme="minorHAnsi"/>
          <w:sz w:val="22"/>
          <w:szCs w:val="22"/>
        </w:rPr>
      </w:pPr>
      <w:r w:rsidRPr="00E75857">
        <w:rPr>
          <w:rFonts w:asciiTheme="minorHAnsi" w:hAnsiTheme="minorHAnsi"/>
          <w:sz w:val="22"/>
          <w:szCs w:val="22"/>
        </w:rPr>
        <w:t>A pivotal case in determining employment status</w:t>
      </w:r>
      <w:r w:rsidR="002E0450">
        <w:rPr>
          <w:rFonts w:asciiTheme="minorHAnsi" w:hAnsiTheme="minorHAnsi"/>
          <w:sz w:val="22"/>
          <w:szCs w:val="22"/>
        </w:rPr>
        <w:t xml:space="preserve"> and </w:t>
      </w:r>
      <w:r w:rsidR="00F94320">
        <w:rPr>
          <w:rFonts w:asciiTheme="minorHAnsi" w:hAnsiTheme="minorHAnsi"/>
          <w:sz w:val="22"/>
          <w:szCs w:val="22"/>
        </w:rPr>
        <w:t xml:space="preserve">if there is an </w:t>
      </w:r>
      <w:r w:rsidR="002E0450">
        <w:rPr>
          <w:rFonts w:asciiTheme="minorHAnsi" w:hAnsiTheme="minorHAnsi"/>
          <w:sz w:val="22"/>
          <w:szCs w:val="22"/>
        </w:rPr>
        <w:t xml:space="preserve">obligation to provide work </w:t>
      </w:r>
      <w:r w:rsidRPr="00E75857">
        <w:rPr>
          <w:rFonts w:asciiTheme="minorHAnsi" w:hAnsiTheme="minorHAnsi"/>
          <w:sz w:val="22"/>
          <w:szCs w:val="22"/>
        </w:rPr>
        <w:t xml:space="preserve"> is </w:t>
      </w:r>
      <w:r w:rsidRPr="00E75857">
        <w:rPr>
          <w:rFonts w:asciiTheme="minorHAnsi" w:hAnsiTheme="minorHAnsi"/>
          <w:i/>
          <w:iCs/>
          <w:sz w:val="22"/>
          <w:szCs w:val="22"/>
        </w:rPr>
        <w:t>Carmichael v National Power plc</w:t>
      </w:r>
      <w:r w:rsidRPr="00E75857">
        <w:rPr>
          <w:rFonts w:asciiTheme="minorHAnsi" w:hAnsiTheme="minorHAnsi"/>
          <w:sz w:val="22"/>
          <w:szCs w:val="22"/>
        </w:rPr>
        <w:t xml:space="preserve"> [1999] UKHL 47.</w:t>
      </w:r>
      <w:r w:rsidR="00EA7CC6">
        <w:rPr>
          <w:rFonts w:asciiTheme="minorHAnsi" w:hAnsiTheme="minorHAnsi"/>
          <w:sz w:val="22"/>
          <w:szCs w:val="22"/>
        </w:rPr>
        <w:t xml:space="preserve">and </w:t>
      </w:r>
      <w:r w:rsidR="004D41E3">
        <w:rPr>
          <w:rFonts w:asciiTheme="minorHAnsi" w:hAnsiTheme="minorHAnsi"/>
          <w:i/>
          <w:iCs/>
          <w:sz w:val="22"/>
          <w:szCs w:val="22"/>
        </w:rPr>
        <w:t>Cornwall County Council v Prater (</w:t>
      </w:r>
      <w:r w:rsidR="004D41E3">
        <w:rPr>
          <w:rFonts w:asciiTheme="minorHAnsi" w:hAnsiTheme="minorHAnsi"/>
          <w:sz w:val="22"/>
          <w:szCs w:val="22"/>
        </w:rPr>
        <w:t xml:space="preserve">2006) EWCA </w:t>
      </w:r>
      <w:proofErr w:type="spellStart"/>
      <w:r w:rsidR="004D41E3">
        <w:rPr>
          <w:rFonts w:asciiTheme="minorHAnsi" w:hAnsiTheme="minorHAnsi"/>
          <w:sz w:val="22"/>
          <w:szCs w:val="22"/>
        </w:rPr>
        <w:t>Civ</w:t>
      </w:r>
      <w:proofErr w:type="spellEnd"/>
      <w:r w:rsidR="004D41E3">
        <w:rPr>
          <w:rFonts w:asciiTheme="minorHAnsi" w:hAnsiTheme="minorHAnsi"/>
          <w:sz w:val="22"/>
          <w:szCs w:val="22"/>
        </w:rPr>
        <w:t xml:space="preserve"> 102</w:t>
      </w:r>
      <w:r w:rsidR="00C91D9C">
        <w:rPr>
          <w:rFonts w:asciiTheme="minorHAnsi" w:hAnsiTheme="minorHAnsi"/>
          <w:sz w:val="22"/>
          <w:szCs w:val="22"/>
        </w:rPr>
        <w:t xml:space="preserve"> </w:t>
      </w:r>
      <w:r w:rsidR="008F2DA9">
        <w:rPr>
          <w:rFonts w:asciiTheme="minorHAnsi" w:hAnsiTheme="minorHAnsi"/>
          <w:sz w:val="22"/>
          <w:szCs w:val="22"/>
        </w:rPr>
        <w:t>(Daniels, 2022, pp.42-43)</w:t>
      </w:r>
      <w:r w:rsidR="002E0450">
        <w:rPr>
          <w:rFonts w:asciiTheme="minorHAnsi" w:hAnsiTheme="minorHAnsi"/>
          <w:sz w:val="22"/>
          <w:szCs w:val="22"/>
        </w:rPr>
        <w:t xml:space="preserve"> </w:t>
      </w:r>
      <w:r w:rsidRPr="00E75857">
        <w:rPr>
          <w:rFonts w:asciiTheme="minorHAnsi" w:hAnsiTheme="minorHAnsi"/>
          <w:sz w:val="22"/>
          <w:szCs w:val="22"/>
        </w:rPr>
        <w:t xml:space="preserve"> In t</w:t>
      </w:r>
      <w:r w:rsidR="00C91D9C">
        <w:rPr>
          <w:rFonts w:asciiTheme="minorHAnsi" w:hAnsiTheme="minorHAnsi"/>
          <w:sz w:val="22"/>
          <w:szCs w:val="22"/>
        </w:rPr>
        <w:t xml:space="preserve">he case of Carmichael </w:t>
      </w:r>
      <w:r w:rsidRPr="00E75857">
        <w:rPr>
          <w:rFonts w:asciiTheme="minorHAnsi" w:hAnsiTheme="minorHAnsi"/>
          <w:sz w:val="22"/>
          <w:szCs w:val="22"/>
        </w:rPr>
        <w:t xml:space="preserve">case, tour guides engaged on a "casual as required basis" sought recognition as employees to claim certain statutory rights. The House of Lords concluded that, due to the absence of mutual obligations between assignments—specifically, no obligation for the employer to provide work nor for the individuals to accept it—there was no overarching contract of employment. This decision underscores the principle that mutuality of obligation is essential for establishing an employment </w:t>
      </w:r>
      <w:r w:rsidR="00223448" w:rsidRPr="00E75857">
        <w:rPr>
          <w:rFonts w:asciiTheme="minorHAnsi" w:hAnsiTheme="minorHAnsi"/>
          <w:sz w:val="22"/>
          <w:szCs w:val="22"/>
        </w:rPr>
        <w:t>relationship.</w:t>
      </w:r>
      <w:r w:rsidR="00223448">
        <w:rPr>
          <w:rFonts w:asciiTheme="minorHAnsi" w:hAnsiTheme="minorHAnsi"/>
          <w:sz w:val="22"/>
          <w:szCs w:val="22"/>
        </w:rPr>
        <w:t xml:space="preserve"> In</w:t>
      </w:r>
      <w:r w:rsidR="00B1696B">
        <w:rPr>
          <w:rFonts w:asciiTheme="minorHAnsi" w:hAnsiTheme="minorHAnsi"/>
          <w:sz w:val="22"/>
          <w:szCs w:val="22"/>
        </w:rPr>
        <w:t xml:space="preserve"> the case of </w:t>
      </w:r>
      <w:r w:rsidR="007939DD">
        <w:rPr>
          <w:rFonts w:asciiTheme="minorHAnsi" w:hAnsiTheme="minorHAnsi"/>
          <w:sz w:val="22"/>
          <w:szCs w:val="22"/>
        </w:rPr>
        <w:t>Cornwall</w:t>
      </w:r>
      <w:r w:rsidR="00B1696B">
        <w:rPr>
          <w:rFonts w:asciiTheme="minorHAnsi" w:hAnsiTheme="minorHAnsi"/>
          <w:sz w:val="22"/>
          <w:szCs w:val="22"/>
        </w:rPr>
        <w:t xml:space="preserve"> v Prater, </w:t>
      </w:r>
      <w:r w:rsidR="0042101D">
        <w:rPr>
          <w:rFonts w:asciiTheme="minorHAnsi" w:hAnsiTheme="minorHAnsi"/>
          <w:sz w:val="22"/>
          <w:szCs w:val="22"/>
        </w:rPr>
        <w:t xml:space="preserve">Prater was a teacher under a contract </w:t>
      </w:r>
      <w:r w:rsidR="006C44AC">
        <w:rPr>
          <w:rFonts w:asciiTheme="minorHAnsi" w:hAnsiTheme="minorHAnsi"/>
          <w:sz w:val="22"/>
          <w:szCs w:val="22"/>
        </w:rPr>
        <w:t xml:space="preserve">with no obligation to agree to </w:t>
      </w:r>
      <w:r w:rsidR="007939DD">
        <w:rPr>
          <w:rFonts w:asciiTheme="minorHAnsi" w:hAnsiTheme="minorHAnsi"/>
          <w:sz w:val="22"/>
          <w:szCs w:val="22"/>
        </w:rPr>
        <w:t>another</w:t>
      </w:r>
      <w:r w:rsidR="006C44AC">
        <w:rPr>
          <w:rFonts w:asciiTheme="minorHAnsi" w:hAnsiTheme="minorHAnsi"/>
          <w:sz w:val="22"/>
          <w:szCs w:val="22"/>
        </w:rPr>
        <w:t xml:space="preserve"> contract</w:t>
      </w:r>
      <w:r w:rsidR="00F358A4">
        <w:rPr>
          <w:rFonts w:asciiTheme="minorHAnsi" w:hAnsiTheme="minorHAnsi"/>
          <w:sz w:val="22"/>
          <w:szCs w:val="22"/>
        </w:rPr>
        <w:t xml:space="preserve"> once the other was </w:t>
      </w:r>
      <w:r w:rsidR="007939DD">
        <w:rPr>
          <w:rFonts w:asciiTheme="minorHAnsi" w:hAnsiTheme="minorHAnsi"/>
          <w:sz w:val="22"/>
          <w:szCs w:val="22"/>
        </w:rPr>
        <w:t>complete. The</w:t>
      </w:r>
      <w:r w:rsidR="00223448">
        <w:rPr>
          <w:rFonts w:asciiTheme="minorHAnsi" w:hAnsiTheme="minorHAnsi"/>
          <w:sz w:val="22"/>
          <w:szCs w:val="22"/>
        </w:rPr>
        <w:t xml:space="preserve"> court agreed that Prater was working under a “series of Contracts” </w:t>
      </w:r>
      <w:r w:rsidR="007939DD">
        <w:rPr>
          <w:rFonts w:asciiTheme="minorHAnsi" w:hAnsiTheme="minorHAnsi"/>
          <w:sz w:val="22"/>
          <w:szCs w:val="22"/>
        </w:rPr>
        <w:t>consecutively</w:t>
      </w:r>
      <w:r w:rsidR="008E3E0B">
        <w:rPr>
          <w:rFonts w:asciiTheme="minorHAnsi" w:hAnsiTheme="minorHAnsi"/>
          <w:sz w:val="22"/>
          <w:szCs w:val="22"/>
        </w:rPr>
        <w:t xml:space="preserve"> </w:t>
      </w:r>
      <w:r w:rsidR="004A41E3">
        <w:rPr>
          <w:rFonts w:asciiTheme="minorHAnsi" w:hAnsiTheme="minorHAnsi"/>
          <w:sz w:val="22"/>
          <w:szCs w:val="22"/>
        </w:rPr>
        <w:t xml:space="preserve">and agreed she was </w:t>
      </w:r>
      <w:r w:rsidR="007939DD">
        <w:rPr>
          <w:rFonts w:asciiTheme="minorHAnsi" w:hAnsiTheme="minorHAnsi"/>
          <w:sz w:val="22"/>
          <w:szCs w:val="22"/>
        </w:rPr>
        <w:t>entitled</w:t>
      </w:r>
      <w:r w:rsidR="004A41E3">
        <w:rPr>
          <w:rFonts w:asciiTheme="minorHAnsi" w:hAnsiTheme="minorHAnsi"/>
          <w:sz w:val="22"/>
          <w:szCs w:val="22"/>
        </w:rPr>
        <w:t xml:space="preserve"> to accrue her employment rights as she had </w:t>
      </w:r>
      <w:r w:rsidR="00970B7A">
        <w:rPr>
          <w:rFonts w:asciiTheme="minorHAnsi" w:hAnsiTheme="minorHAnsi"/>
          <w:sz w:val="22"/>
          <w:szCs w:val="22"/>
        </w:rPr>
        <w:t xml:space="preserve">lengthy service between contracts and the gaps were seen as </w:t>
      </w:r>
      <w:r w:rsidR="001B6985">
        <w:rPr>
          <w:rFonts w:asciiTheme="minorHAnsi" w:hAnsiTheme="minorHAnsi"/>
          <w:sz w:val="22"/>
          <w:szCs w:val="22"/>
        </w:rPr>
        <w:t>a “temporary cessation</w:t>
      </w:r>
      <w:r w:rsidR="007939DD">
        <w:rPr>
          <w:rFonts w:asciiTheme="minorHAnsi" w:hAnsiTheme="minorHAnsi"/>
          <w:sz w:val="22"/>
          <w:szCs w:val="22"/>
        </w:rPr>
        <w:t xml:space="preserve">” </w:t>
      </w:r>
      <w:r w:rsidR="00223448">
        <w:rPr>
          <w:rFonts w:asciiTheme="minorHAnsi" w:hAnsiTheme="minorHAnsi"/>
          <w:sz w:val="22"/>
          <w:szCs w:val="22"/>
        </w:rPr>
        <w:t xml:space="preserve"> </w:t>
      </w:r>
      <w:r w:rsidR="00A4093A">
        <w:rPr>
          <w:rFonts w:asciiTheme="minorHAnsi" w:hAnsiTheme="minorHAnsi"/>
          <w:sz w:val="22"/>
          <w:szCs w:val="22"/>
        </w:rPr>
        <w:t xml:space="preserve"> The difference between the both is that although both had an agreement upon beginning their employment</w:t>
      </w:r>
      <w:r w:rsidR="00E67F98">
        <w:rPr>
          <w:rFonts w:asciiTheme="minorHAnsi" w:hAnsiTheme="minorHAnsi"/>
          <w:sz w:val="22"/>
          <w:szCs w:val="22"/>
        </w:rPr>
        <w:t xml:space="preserve"> that there was no obligation to offer </w:t>
      </w:r>
      <w:r w:rsidR="00D660F0">
        <w:rPr>
          <w:rFonts w:asciiTheme="minorHAnsi" w:hAnsiTheme="minorHAnsi"/>
          <w:sz w:val="22"/>
          <w:szCs w:val="22"/>
        </w:rPr>
        <w:t xml:space="preserve">work, Prater had regularly been offered work and always </w:t>
      </w:r>
      <w:r w:rsidR="00DB4A64">
        <w:rPr>
          <w:rFonts w:asciiTheme="minorHAnsi" w:hAnsiTheme="minorHAnsi"/>
          <w:sz w:val="22"/>
          <w:szCs w:val="22"/>
        </w:rPr>
        <w:t xml:space="preserve">accepted. </w:t>
      </w:r>
    </w:p>
    <w:p w14:paraId="3224D54E" w14:textId="54CA62BE" w:rsidR="00E75857" w:rsidRPr="00E75857" w:rsidRDefault="00E75857" w:rsidP="00DB4A64">
      <w:pPr>
        <w:pStyle w:val="NormalWeb"/>
        <w:rPr>
          <w:rFonts w:asciiTheme="minorHAnsi" w:hAnsiTheme="minorHAnsi"/>
          <w:sz w:val="22"/>
          <w:szCs w:val="22"/>
        </w:rPr>
      </w:pPr>
      <w:r w:rsidRPr="00E75857">
        <w:rPr>
          <w:rFonts w:asciiTheme="minorHAnsi" w:hAnsiTheme="minorHAnsi"/>
          <w:sz w:val="22"/>
          <w:szCs w:val="22"/>
        </w:rPr>
        <w:t>If our nurse bank staff have the freedom to accept or decline work without repercussions, and we, as an organi</w:t>
      </w:r>
      <w:r w:rsidR="00DB4A64">
        <w:rPr>
          <w:rFonts w:asciiTheme="minorHAnsi" w:hAnsiTheme="minorHAnsi"/>
          <w:sz w:val="22"/>
          <w:szCs w:val="22"/>
        </w:rPr>
        <w:t>s</w:t>
      </w:r>
      <w:r w:rsidRPr="00E75857">
        <w:rPr>
          <w:rFonts w:asciiTheme="minorHAnsi" w:hAnsiTheme="minorHAnsi"/>
          <w:sz w:val="22"/>
          <w:szCs w:val="22"/>
        </w:rPr>
        <w:t>ation, are not obligated to offer a set number of hours, it suggests a lack of mutuality of obligation between assignments. This scenario aligns more closely with a casual worker status rather than that of an employee.</w:t>
      </w:r>
      <w:r w:rsidR="00DB4A64">
        <w:rPr>
          <w:rFonts w:asciiTheme="minorHAnsi" w:hAnsiTheme="minorHAnsi"/>
          <w:sz w:val="22"/>
          <w:szCs w:val="22"/>
        </w:rPr>
        <w:t xml:space="preserve"> However, </w:t>
      </w:r>
      <w:r w:rsidR="000150D9" w:rsidRPr="00E75857">
        <w:rPr>
          <w:rFonts w:asciiTheme="minorHAnsi" w:hAnsiTheme="minorHAnsi"/>
          <w:sz w:val="22"/>
          <w:szCs w:val="22"/>
        </w:rPr>
        <w:t>when</w:t>
      </w:r>
      <w:r w:rsidRPr="00E75857">
        <w:rPr>
          <w:rFonts w:asciiTheme="minorHAnsi" w:hAnsiTheme="minorHAnsi"/>
          <w:sz w:val="22"/>
          <w:szCs w:val="22"/>
        </w:rPr>
        <w:t xml:space="preserve"> these individuals are working specific shifts, a temporary contract exists, and they are entitled to rights pertinent to that period, including appropriate remuneration and working conditions.</w:t>
      </w:r>
    </w:p>
    <w:p w14:paraId="4A17E4E1" w14:textId="77777777" w:rsidR="00E75857" w:rsidRPr="00E75857" w:rsidRDefault="00E75857" w:rsidP="00E75857">
      <w:pPr>
        <w:pStyle w:val="NormalWeb"/>
        <w:rPr>
          <w:rFonts w:asciiTheme="minorHAnsi" w:hAnsiTheme="minorHAnsi"/>
          <w:sz w:val="22"/>
          <w:szCs w:val="22"/>
        </w:rPr>
      </w:pPr>
      <w:r w:rsidRPr="00E75857">
        <w:rPr>
          <w:rFonts w:asciiTheme="minorHAnsi" w:hAnsiTheme="minorHAnsi"/>
          <w:sz w:val="22"/>
          <w:szCs w:val="22"/>
        </w:rPr>
        <w:t>Regardless of their employment status, both employees and workers are entitled to statutory holiday pay. For those with irregular working patterns, such as our bank staff, holiday pay is typically calculated based on their average earnings over the previous 52 weeks, excluding any weeks not worked. This method ensures that their holiday pay reflects their actual working patterns and earnings.</w:t>
      </w:r>
    </w:p>
    <w:p w14:paraId="44D3BE71" w14:textId="2051FA39" w:rsidR="00E75857" w:rsidRPr="00E75857" w:rsidRDefault="000150D9" w:rsidP="000150D9">
      <w:pPr>
        <w:pStyle w:val="NormalWeb"/>
        <w:rPr>
          <w:rFonts w:asciiTheme="minorHAnsi" w:hAnsiTheme="minorHAnsi"/>
          <w:sz w:val="22"/>
          <w:szCs w:val="22"/>
        </w:rPr>
      </w:pPr>
      <w:r>
        <w:rPr>
          <w:rFonts w:asciiTheme="minorHAnsi" w:hAnsiTheme="minorHAnsi"/>
          <w:sz w:val="22"/>
          <w:szCs w:val="22"/>
        </w:rPr>
        <w:t>I suggest r</w:t>
      </w:r>
      <w:r w:rsidR="00E75857" w:rsidRPr="00E75857">
        <w:rPr>
          <w:rFonts w:asciiTheme="minorHAnsi" w:hAnsiTheme="minorHAnsi"/>
          <w:sz w:val="22"/>
          <w:szCs w:val="22"/>
        </w:rPr>
        <w:t>egular</w:t>
      </w:r>
      <w:r>
        <w:rPr>
          <w:rFonts w:asciiTheme="minorHAnsi" w:hAnsiTheme="minorHAnsi"/>
          <w:sz w:val="22"/>
          <w:szCs w:val="22"/>
        </w:rPr>
        <w:t xml:space="preserve"> </w:t>
      </w:r>
      <w:r w:rsidR="00E75857" w:rsidRPr="00E75857">
        <w:rPr>
          <w:rFonts w:asciiTheme="minorHAnsi" w:hAnsiTheme="minorHAnsi"/>
          <w:sz w:val="22"/>
          <w:szCs w:val="22"/>
        </w:rPr>
        <w:t>review</w:t>
      </w:r>
      <w:r>
        <w:rPr>
          <w:rFonts w:asciiTheme="minorHAnsi" w:hAnsiTheme="minorHAnsi"/>
          <w:sz w:val="22"/>
          <w:szCs w:val="22"/>
        </w:rPr>
        <w:t>s of</w:t>
      </w:r>
      <w:r w:rsidR="00E75857" w:rsidRPr="00E75857">
        <w:rPr>
          <w:rFonts w:asciiTheme="minorHAnsi" w:hAnsiTheme="minorHAnsi"/>
          <w:sz w:val="22"/>
          <w:szCs w:val="22"/>
        </w:rPr>
        <w:t xml:space="preserve"> the terms of engagement with our bank staff to determine their correct employment status, considering factors like mutuality of obligation, control, and integration into the organi</w:t>
      </w:r>
      <w:r>
        <w:rPr>
          <w:rFonts w:asciiTheme="minorHAnsi" w:hAnsiTheme="minorHAnsi"/>
          <w:sz w:val="22"/>
          <w:szCs w:val="22"/>
        </w:rPr>
        <w:t>s</w:t>
      </w:r>
      <w:r w:rsidR="00E75857" w:rsidRPr="00E75857">
        <w:rPr>
          <w:rFonts w:asciiTheme="minorHAnsi" w:hAnsiTheme="minorHAnsi"/>
          <w:sz w:val="22"/>
          <w:szCs w:val="22"/>
        </w:rPr>
        <w:t>ation</w:t>
      </w:r>
      <w:r>
        <w:rPr>
          <w:rFonts w:asciiTheme="minorHAnsi" w:hAnsiTheme="minorHAnsi"/>
          <w:sz w:val="22"/>
          <w:szCs w:val="22"/>
        </w:rPr>
        <w:t>. It must c</w:t>
      </w:r>
      <w:r w:rsidR="00E75857" w:rsidRPr="00E75857">
        <w:rPr>
          <w:rFonts w:asciiTheme="minorHAnsi" w:hAnsiTheme="minorHAnsi"/>
          <w:sz w:val="22"/>
          <w:szCs w:val="22"/>
        </w:rPr>
        <w:t>learly</w:t>
      </w:r>
      <w:r>
        <w:rPr>
          <w:rFonts w:asciiTheme="minorHAnsi" w:hAnsiTheme="minorHAnsi"/>
          <w:sz w:val="22"/>
          <w:szCs w:val="22"/>
        </w:rPr>
        <w:t xml:space="preserve"> be </w:t>
      </w:r>
      <w:proofErr w:type="gramStart"/>
      <w:r w:rsidRPr="00E75857">
        <w:rPr>
          <w:rFonts w:asciiTheme="minorHAnsi" w:hAnsiTheme="minorHAnsi"/>
          <w:sz w:val="22"/>
          <w:szCs w:val="22"/>
        </w:rPr>
        <w:t>conveyed</w:t>
      </w:r>
      <w:r>
        <w:rPr>
          <w:rFonts w:asciiTheme="minorHAnsi" w:hAnsiTheme="minorHAnsi"/>
          <w:sz w:val="22"/>
          <w:szCs w:val="22"/>
        </w:rPr>
        <w:t xml:space="preserve"> </w:t>
      </w:r>
      <w:r w:rsidR="00E75857" w:rsidRPr="00E75857">
        <w:rPr>
          <w:rFonts w:asciiTheme="minorHAnsi" w:hAnsiTheme="minorHAnsi"/>
          <w:sz w:val="22"/>
          <w:szCs w:val="22"/>
        </w:rPr>
        <w:t xml:space="preserve"> to</w:t>
      </w:r>
      <w:proofErr w:type="gramEnd"/>
      <w:r w:rsidR="00E75857" w:rsidRPr="00E75857">
        <w:rPr>
          <w:rFonts w:asciiTheme="minorHAnsi" w:hAnsiTheme="minorHAnsi"/>
          <w:sz w:val="22"/>
          <w:szCs w:val="22"/>
        </w:rPr>
        <w:t xml:space="preserve"> our bank staff their status and associated rights, including how their holiday pay </w:t>
      </w:r>
      <w:r>
        <w:rPr>
          <w:rFonts w:asciiTheme="minorHAnsi" w:hAnsiTheme="minorHAnsi"/>
          <w:sz w:val="22"/>
          <w:szCs w:val="22"/>
        </w:rPr>
        <w:t xml:space="preserve">is </w:t>
      </w:r>
      <w:r w:rsidR="00E75857" w:rsidRPr="00E75857">
        <w:rPr>
          <w:rFonts w:asciiTheme="minorHAnsi" w:hAnsiTheme="minorHAnsi"/>
          <w:sz w:val="22"/>
          <w:szCs w:val="22"/>
        </w:rPr>
        <w:t>calculated</w:t>
      </w:r>
      <w:r>
        <w:rPr>
          <w:rFonts w:asciiTheme="minorHAnsi" w:hAnsiTheme="minorHAnsi"/>
          <w:sz w:val="22"/>
          <w:szCs w:val="22"/>
        </w:rPr>
        <w:t xml:space="preserve">,  and it is vital  to </w:t>
      </w:r>
      <w:r w:rsidR="00E75857" w:rsidRPr="00E75857">
        <w:rPr>
          <w:rFonts w:asciiTheme="minorHAnsi" w:hAnsiTheme="minorHAnsi"/>
          <w:sz w:val="22"/>
          <w:szCs w:val="22"/>
        </w:rPr>
        <w:t>Maintain detailed records of all hours worked and remuneration received to facilitate precise holiday pay calculations.</w:t>
      </w:r>
    </w:p>
    <w:p w14:paraId="0A3DC587" w14:textId="111A1C14" w:rsidR="00E75857" w:rsidRPr="00E75857" w:rsidRDefault="00E75857" w:rsidP="00E75857">
      <w:pPr>
        <w:pStyle w:val="NormalWeb"/>
        <w:rPr>
          <w:rFonts w:asciiTheme="minorHAnsi" w:hAnsiTheme="minorHAnsi"/>
          <w:sz w:val="22"/>
          <w:szCs w:val="22"/>
        </w:rPr>
      </w:pPr>
      <w:r w:rsidRPr="00E75857">
        <w:rPr>
          <w:rFonts w:asciiTheme="minorHAnsi" w:hAnsiTheme="minorHAnsi"/>
          <w:sz w:val="22"/>
          <w:szCs w:val="22"/>
        </w:rPr>
        <w:t xml:space="preserve">By aligning our practices with legal precedents and statutory requirements, we can ensure that our nurse bank staff receive fair treatment and that we uphold our </w:t>
      </w:r>
      <w:r w:rsidR="000150D9" w:rsidRPr="00E75857">
        <w:rPr>
          <w:rFonts w:asciiTheme="minorHAnsi" w:hAnsiTheme="minorHAnsi"/>
          <w:sz w:val="22"/>
          <w:szCs w:val="22"/>
        </w:rPr>
        <w:t>organisational</w:t>
      </w:r>
      <w:r w:rsidRPr="00E75857">
        <w:rPr>
          <w:rFonts w:asciiTheme="minorHAnsi" w:hAnsiTheme="minorHAnsi"/>
          <w:sz w:val="22"/>
          <w:szCs w:val="22"/>
        </w:rPr>
        <w:t xml:space="preserve"> responsibilities.</w:t>
      </w:r>
    </w:p>
    <w:p w14:paraId="15BD19EA" w14:textId="4B08CF36" w:rsidR="00E75857" w:rsidRPr="00C84BC2" w:rsidRDefault="00E75857" w:rsidP="00E75857">
      <w:pPr>
        <w:pStyle w:val="NormalWeb"/>
        <w:rPr>
          <w:rFonts w:asciiTheme="minorHAnsi" w:hAnsiTheme="minorHAnsi"/>
          <w:sz w:val="22"/>
          <w:szCs w:val="22"/>
        </w:rPr>
      </w:pPr>
      <w:r w:rsidRPr="00E75857">
        <w:rPr>
          <w:rFonts w:asciiTheme="minorHAnsi" w:hAnsiTheme="minorHAnsi"/>
          <w:sz w:val="22"/>
          <w:szCs w:val="22"/>
        </w:rPr>
        <w:t>Best regard</w:t>
      </w:r>
      <w:r w:rsidR="0063603A">
        <w:rPr>
          <w:rFonts w:asciiTheme="minorHAnsi" w:hAnsiTheme="minorHAnsi"/>
          <w:sz w:val="22"/>
          <w:szCs w:val="22"/>
        </w:rPr>
        <w:t>s</w:t>
      </w:r>
    </w:p>
    <w:p w14:paraId="78783964" w14:textId="77777777" w:rsidR="00A65287" w:rsidRPr="00BF367D" w:rsidRDefault="00A65287" w:rsidP="00A65287">
      <w:pPr>
        <w:pStyle w:val="Body"/>
        <w:spacing w:line="240" w:lineRule="auto"/>
        <w:rPr>
          <w:rFonts w:asciiTheme="minorHAnsi" w:eastAsia="Trebuchet MS" w:hAnsiTheme="minorHAnsi" w:cs="Trebuchet MS"/>
          <w:b/>
          <w:bCs/>
          <w:color w:val="004147"/>
          <w:u w:color="004147"/>
        </w:rPr>
      </w:pPr>
      <w:r w:rsidRPr="00BF367D">
        <w:rPr>
          <w:rFonts w:asciiTheme="minorHAnsi" w:hAnsiTheme="minorHAnsi"/>
          <w:b/>
          <w:bCs/>
          <w:color w:val="004147"/>
          <w:u w:color="004147"/>
          <w:lang w:val="en-US"/>
        </w:rPr>
        <w:t>Email 9 (AC 4.2)</w:t>
      </w:r>
    </w:p>
    <w:p w14:paraId="373E9DAD" w14:textId="77777777" w:rsidR="00A65287" w:rsidRPr="00BF367D" w:rsidRDefault="00A65287" w:rsidP="00A65287">
      <w:pPr>
        <w:pStyle w:val="Body"/>
        <w:spacing w:line="240" w:lineRule="auto"/>
        <w:rPr>
          <w:rFonts w:asciiTheme="minorHAnsi" w:eastAsia="Trebuchet MS" w:hAnsiTheme="minorHAnsi" w:cs="Trebuchet MS"/>
          <w:b/>
          <w:bCs/>
        </w:rPr>
      </w:pPr>
    </w:p>
    <w:p w14:paraId="56952F69" w14:textId="77777777" w:rsidR="00CE7FE0" w:rsidRPr="00BF367D" w:rsidRDefault="00CE7FE0"/>
    <w:p w14:paraId="3E11798F" w14:textId="77777777" w:rsidR="00D7706D" w:rsidRPr="00BF367D" w:rsidRDefault="001E256B" w:rsidP="001E256B">
      <w:r w:rsidRPr="001E256B">
        <w:t>Dear</w:t>
      </w:r>
    </w:p>
    <w:p w14:paraId="7676B8ED" w14:textId="343DB33A" w:rsidR="001E256B" w:rsidRPr="001E256B" w:rsidRDefault="001E256B" w:rsidP="001E256B">
      <w:r w:rsidRPr="001E256B">
        <w:t xml:space="preserve"> Regarding your inquiry about the differences between maternity leave and shared parental leave (SPL), here's an overview to assist you and your partner in making an informed decision.</w:t>
      </w:r>
    </w:p>
    <w:p w14:paraId="43A15389" w14:textId="77777777" w:rsidR="001E256B" w:rsidRPr="001E256B" w:rsidRDefault="001E256B" w:rsidP="001E256B">
      <w:r w:rsidRPr="001E256B">
        <w:t>Maternity leave allows eligible employees to take up to 52 weeks off, comprising 26 weeks of ordinary maternity leave followed by 26 weeks of additional maternity leave. The initial two weeks after childbirth are mandatory. Statutory Maternity Pay (SMP) is available for up to 39 weeks: the first six weeks are paid at 90% of your average weekly earnings, and the remaining 33 weeks are paid at the statutory rate, currently £172.48 per week or 90% of your average weekly earnings, whichever is lower. Typically, maternity leave is taken in one continuous block, but you can work up to 10 'keeping in touch' (KIT) days during this period without affecting your SMP.</w:t>
      </w:r>
    </w:p>
    <w:p w14:paraId="1F0E76EE" w14:textId="77777777" w:rsidR="001E256B" w:rsidRPr="001E256B" w:rsidRDefault="001E256B" w:rsidP="001E256B">
      <w:r w:rsidRPr="001E256B">
        <w:lastRenderedPageBreak/>
        <w:t>Shared Parental Leave (SPL) offers flexibility by allowing you and your partner to share up to 50 weeks of leave and up to 37 weeks of pay within the first year after your child's birth. Statutory Shared Parental Pay (</w:t>
      </w:r>
      <w:proofErr w:type="spellStart"/>
      <w:r w:rsidRPr="001E256B">
        <w:t>ShPP</w:t>
      </w:r>
      <w:proofErr w:type="spellEnd"/>
      <w:r w:rsidRPr="001E256B">
        <w:t xml:space="preserve">) is paid at the statutory rate of £172.48 per week or 90% of your average weekly earnings, whichever is lower, for up to 37 weeks. Unlike maternity leave, SPL can be taken in separate blocks, enabling both parents to alternate periods of work and leave. Additionally, each parent can work up to 20 'shared parental leave in touch' (SPLIT) days without affecting </w:t>
      </w:r>
      <w:proofErr w:type="spellStart"/>
      <w:r w:rsidRPr="001E256B">
        <w:t>ShPP</w:t>
      </w:r>
      <w:proofErr w:type="spellEnd"/>
      <w:r w:rsidRPr="001E256B">
        <w:t>.</w:t>
      </w:r>
    </w:p>
    <w:p w14:paraId="08F538DE" w14:textId="77777777" w:rsidR="001E256B" w:rsidRPr="001E256B" w:rsidRDefault="001E256B" w:rsidP="001E256B">
      <w:r w:rsidRPr="001E256B">
        <w:t>The key differences between the two options include the initial pay rate—maternity leave offers a higher rate for the first six weeks— and the flexibility of leave arrangements, with SPL providing more adaptable scheduling. Eligibility criteria also differ; both partners must meet specific requirements to qualify for SPL, including employment and earnings tests.</w:t>
      </w:r>
    </w:p>
    <w:p w14:paraId="42935D29" w14:textId="77777777" w:rsidR="001E256B" w:rsidRPr="001E256B" w:rsidRDefault="001E256B" w:rsidP="001E256B">
      <w:r w:rsidRPr="001E256B">
        <w:t>When considering which option is most beneficial, it's important to assess the financial implications and the desired distribution of childcare responsibilities. Maternity leave's higher initial pay might be advantageous, but SPL's flexibility could better suit your family's needs, allowing both parents to share childcare duties during the first year.</w:t>
      </w:r>
    </w:p>
    <w:p w14:paraId="2A69D6CC" w14:textId="77777777" w:rsidR="001E256B" w:rsidRPr="001E256B" w:rsidRDefault="001E256B" w:rsidP="001E256B">
      <w:r w:rsidRPr="001E256B">
        <w:t>I recommend discussing these options with your partner and reviewing your employment contracts to understand any additional benefits your employers might offer. This approach will help you choose the option that best aligns with your family's circumstances.</w:t>
      </w:r>
    </w:p>
    <w:p w14:paraId="7B902ACA" w14:textId="359B6C6F" w:rsidR="00885921" w:rsidRPr="0063603A" w:rsidRDefault="001E256B" w:rsidP="0063603A">
      <w:r w:rsidRPr="001E256B">
        <w:t>Best regards,</w:t>
      </w:r>
    </w:p>
    <w:p w14:paraId="2FD65108" w14:textId="77777777" w:rsidR="00885921" w:rsidRDefault="00885921" w:rsidP="003C0BD2">
      <w:pPr>
        <w:pStyle w:val="Body"/>
        <w:spacing w:line="240" w:lineRule="auto"/>
        <w:rPr>
          <w:rFonts w:asciiTheme="minorHAnsi" w:hAnsiTheme="minorHAnsi"/>
          <w:b/>
          <w:bCs/>
          <w:color w:val="004147"/>
          <w:u w:color="004147"/>
          <w:lang w:val="en-US"/>
        </w:rPr>
      </w:pPr>
    </w:p>
    <w:p w14:paraId="5877E7A0" w14:textId="77777777" w:rsidR="00BF367D" w:rsidRDefault="00BF367D" w:rsidP="003C0BD2">
      <w:pPr>
        <w:pStyle w:val="Body"/>
        <w:spacing w:line="240" w:lineRule="auto"/>
        <w:rPr>
          <w:rFonts w:asciiTheme="minorHAnsi" w:hAnsiTheme="minorHAnsi"/>
          <w:b/>
          <w:bCs/>
          <w:color w:val="004147"/>
          <w:u w:color="004147"/>
          <w:lang w:val="en-US"/>
        </w:rPr>
      </w:pPr>
    </w:p>
    <w:p w14:paraId="45AD6338" w14:textId="77777777" w:rsidR="00BF367D" w:rsidRDefault="00BF367D" w:rsidP="003C0BD2">
      <w:pPr>
        <w:pStyle w:val="Body"/>
        <w:spacing w:line="240" w:lineRule="auto"/>
        <w:rPr>
          <w:rFonts w:asciiTheme="minorHAnsi" w:hAnsiTheme="minorHAnsi"/>
          <w:b/>
          <w:bCs/>
          <w:color w:val="004147"/>
          <w:u w:color="004147"/>
          <w:lang w:val="en-US"/>
        </w:rPr>
      </w:pPr>
    </w:p>
    <w:p w14:paraId="2CA68458" w14:textId="77777777" w:rsidR="00BF367D" w:rsidRDefault="00BF367D" w:rsidP="003C0BD2">
      <w:pPr>
        <w:pStyle w:val="Body"/>
        <w:spacing w:line="240" w:lineRule="auto"/>
        <w:rPr>
          <w:rFonts w:asciiTheme="minorHAnsi" w:hAnsiTheme="minorHAnsi"/>
          <w:b/>
          <w:bCs/>
          <w:color w:val="004147"/>
          <w:u w:color="004147"/>
          <w:lang w:val="en-US"/>
        </w:rPr>
      </w:pPr>
    </w:p>
    <w:p w14:paraId="53D29855" w14:textId="77777777" w:rsidR="00BF367D" w:rsidRPr="00BF367D" w:rsidRDefault="00BF367D" w:rsidP="003C0BD2">
      <w:pPr>
        <w:pStyle w:val="Body"/>
        <w:spacing w:line="240" w:lineRule="auto"/>
        <w:rPr>
          <w:rFonts w:asciiTheme="minorHAnsi" w:hAnsiTheme="minorHAnsi"/>
          <w:b/>
          <w:bCs/>
          <w:color w:val="004147"/>
          <w:u w:color="004147"/>
          <w:lang w:val="en-US"/>
        </w:rPr>
      </w:pPr>
    </w:p>
    <w:p w14:paraId="52E7F13A" w14:textId="64C68B2E" w:rsidR="003C0BD2" w:rsidRPr="00BF367D" w:rsidRDefault="003C0BD2" w:rsidP="003C0BD2">
      <w:pPr>
        <w:pStyle w:val="Body"/>
        <w:spacing w:line="240" w:lineRule="auto"/>
        <w:rPr>
          <w:rFonts w:asciiTheme="minorHAnsi" w:eastAsia="Trebuchet MS" w:hAnsiTheme="minorHAnsi" w:cs="Trebuchet MS"/>
          <w:b/>
          <w:bCs/>
          <w:color w:val="004147"/>
          <w:u w:color="004147"/>
        </w:rPr>
      </w:pPr>
      <w:r w:rsidRPr="00BF367D">
        <w:rPr>
          <w:rFonts w:asciiTheme="minorHAnsi" w:hAnsiTheme="minorHAnsi"/>
          <w:b/>
          <w:bCs/>
          <w:color w:val="004147"/>
          <w:u w:color="004147"/>
          <w:lang w:val="en-US"/>
        </w:rPr>
        <w:lastRenderedPageBreak/>
        <w:t>Email 10 (AC 4.3)</w:t>
      </w:r>
    </w:p>
    <w:p w14:paraId="4BCC91AF" w14:textId="4A55EDA9" w:rsidR="003C0BD2" w:rsidRPr="00BF367D" w:rsidRDefault="003C0BD2" w:rsidP="003C0BD2">
      <w:pPr>
        <w:pStyle w:val="Listparag"/>
        <w:spacing w:after="0" w:line="240" w:lineRule="auto"/>
        <w:rPr>
          <w:rFonts w:asciiTheme="minorHAnsi" w:eastAsia="Trebuchet MS" w:hAnsiTheme="minorHAnsi" w:cs="Trebuchet MS"/>
        </w:rPr>
      </w:pPr>
    </w:p>
    <w:p w14:paraId="1A75A8B3" w14:textId="431A442C" w:rsidR="00D84E09" w:rsidRPr="00D84E09" w:rsidRDefault="00D84E09" w:rsidP="00D84E09">
      <w:r w:rsidRPr="00D84E09">
        <w:t xml:space="preserve">Dear </w:t>
      </w:r>
    </w:p>
    <w:p w14:paraId="2ED5ADF9" w14:textId="77777777" w:rsidR="00D84E09" w:rsidRPr="00D84E09" w:rsidRDefault="00D84E09" w:rsidP="00D84E09">
      <w:r w:rsidRPr="00D84E09">
        <w:t>Regarding the recent request from our newly appointed administrative officer to work from home three days a week, it's essential to consider both her statutory rights and our operational needs.</w:t>
      </w:r>
    </w:p>
    <w:p w14:paraId="56800638" w14:textId="77777777" w:rsidR="00D84E09" w:rsidRPr="00D84E09" w:rsidRDefault="00D84E09" w:rsidP="00D84E09">
      <w:r w:rsidRPr="00D84E09">
        <w:t>Under UK employment law, all employees have the legal right to request flexible working from their first day of employment. This encompasses changes to work location, such as working from home. While employees have the right to request, employers are not obligated to grant every request. However, any refusal must be based on one or more of the eight prescribed business reasons outlined in the Employment Rights Act 1996 (UK Government, 1996), such as additional costs to the business or the ability to meet customer demand.</w:t>
      </w:r>
    </w:p>
    <w:p w14:paraId="087B673E" w14:textId="77777777" w:rsidR="00D84E09" w:rsidRPr="00D84E09" w:rsidRDefault="00D84E09" w:rsidP="00D84E09">
      <w:r w:rsidRPr="00D84E09">
        <w:t>Home working is becoming more common and is now often referred to as hybrid working (CIPD, 2021). Your concern that approving this request might lead to similar demands from other administrative staff and potentially reduce the quality of our team's service could be considered under the grounds of a detrimental impact on quality and the ability to meet customer demand. It's crucial to assess how such arrangements might affect our operations and service delivery. However, post-COVID, statistics show that working from home provided employees with a better work-life balance, and over half of hybrid workers who completed a survey said that it was quicker to complete work due to fewer distractions.</w:t>
      </w:r>
    </w:p>
    <w:p w14:paraId="01346149" w14:textId="77777777" w:rsidR="00D84E09" w:rsidRPr="00D84E09" w:rsidRDefault="00D84E09" w:rsidP="00D84E09">
      <w:r w:rsidRPr="00D84E09">
        <w:t>However, there are identified factors to take into consideration before agreeing to this request. For some workers, distractions help to increase productivity, but on the other hand, relationships and innovation could suffer due to spending less time in the workplace. Less commuting could be a real benefit, as it would increase our recruitment demographics, but we also need to consider how to manage staff and monitor their workload.</w:t>
      </w:r>
    </w:p>
    <w:p w14:paraId="5184E3FE" w14:textId="77777777" w:rsidR="00D84E09" w:rsidRPr="00D84E09" w:rsidRDefault="00D84E09" w:rsidP="00D84E09">
      <w:r w:rsidRPr="00D84E09">
        <w:t>With all this in mind, there is training available that can help managers navigate hybrid teams effectively and review HR processes, particularly regarding employee life cycles. We would need to carefully consider the specific job role and any changes that may need to be made to systems, communications, or technology. Additionally, agreements would have to be drawn up to define expectations of this new way of working, including how employees would stay in touch with colleagues and ensure they are fully integrated into the team.</w:t>
      </w:r>
    </w:p>
    <w:p w14:paraId="722B6322" w14:textId="5994C1B2" w:rsidR="00D84E09" w:rsidRPr="00D84E09" w:rsidRDefault="00D84E09" w:rsidP="00D84E09">
      <w:r w:rsidRPr="00D84E09">
        <w:t>To support these changes, implementing regular training and holding one-on-one meetings with staff will be important. This will not only ensure continuing learning and development but also help monitor employees' mental health and well-being. A Gall</w:t>
      </w:r>
      <w:r w:rsidR="009E44A4">
        <w:t>o</w:t>
      </w:r>
      <w:r w:rsidRPr="00D84E09">
        <w:t>p survey (2020) found that regular feedback and check-ins with homeworkers were highly effective in engaging employees and strengthening relationships within teams. Managers who consistently checked in with their remote teams found that these interactions helped to foster trust and a sense of inclusion, ultimately leading to improved morale and productivity.</w:t>
      </w:r>
    </w:p>
    <w:p w14:paraId="05870F2F" w14:textId="77777777" w:rsidR="00D84E09" w:rsidRPr="00D84E09" w:rsidRDefault="00D84E09" w:rsidP="00D84E09">
      <w:r w:rsidRPr="00D84E09">
        <w:t>In conclusion, while there are clear benefits to allowing flexible working arrangements, it’s essential that we carefully assess how such changes will impact our operational efficiency and team dynamics. I recommend further discussion to ensure we are fully prepared to manage and support a hybrid workforce effectively.</w:t>
      </w:r>
    </w:p>
    <w:p w14:paraId="160B28D9" w14:textId="6998C15A" w:rsidR="00333FFC" w:rsidRPr="00333FFC" w:rsidRDefault="00D84E09" w:rsidP="00333FFC">
      <w:r w:rsidRPr="00D84E09">
        <w:t>Best regards,</w:t>
      </w:r>
    </w:p>
    <w:p w14:paraId="3DA6D762" w14:textId="5A2ACA70" w:rsidR="00333FFC" w:rsidRPr="00333FFC" w:rsidRDefault="00333FFC" w:rsidP="00333FFC"/>
    <w:p w14:paraId="12D8AB37" w14:textId="77777777" w:rsidR="0034242D" w:rsidRPr="0034242D" w:rsidRDefault="0034242D" w:rsidP="0034242D">
      <w:r w:rsidRPr="0034242D">
        <w:rPr>
          <w:b/>
          <w:bCs/>
        </w:rPr>
        <w:lastRenderedPageBreak/>
        <w:t>Bibliography</w:t>
      </w:r>
    </w:p>
    <w:p w14:paraId="1D2D169A" w14:textId="77777777" w:rsidR="0034242D" w:rsidRPr="0034242D" w:rsidRDefault="0034242D" w:rsidP="0034242D">
      <w:proofErr w:type="spellStart"/>
      <w:r w:rsidRPr="0034242D">
        <w:t>Acas</w:t>
      </w:r>
      <w:proofErr w:type="spellEnd"/>
      <w:r w:rsidRPr="0034242D">
        <w:t xml:space="preserve"> (2024) 'Holiday pay: calculating holiday pay for irregular hours and part-year workers'. Available at: </w:t>
      </w:r>
      <w:hyperlink r:id="rId7" w:tgtFrame="_new" w:history="1">
        <w:r w:rsidRPr="0034242D">
          <w:rPr>
            <w:rStyle w:val="Hyperlink"/>
          </w:rPr>
          <w:t>https://www.acas.org.uk/checking-holiday-entitlement</w:t>
        </w:r>
      </w:hyperlink>
      <w:r w:rsidRPr="0034242D">
        <w:t xml:space="preserve"> (Accessed: 10 March 2025).</w:t>
      </w:r>
    </w:p>
    <w:p w14:paraId="65C8DF92" w14:textId="77777777" w:rsidR="0034242D" w:rsidRPr="0034242D" w:rsidRDefault="0034242D" w:rsidP="0034242D">
      <w:proofErr w:type="spellStart"/>
      <w:r w:rsidRPr="0034242D">
        <w:t>Acas</w:t>
      </w:r>
      <w:proofErr w:type="spellEnd"/>
      <w:r w:rsidRPr="0034242D">
        <w:t xml:space="preserve"> (2024) 'Statutory flexible working requests'. Available at: </w:t>
      </w:r>
      <w:hyperlink r:id="rId8" w:tgtFrame="_new" w:history="1">
        <w:r w:rsidRPr="0034242D">
          <w:rPr>
            <w:rStyle w:val="Hyperlink"/>
          </w:rPr>
          <w:t>https://www.acas.org.uk/statutory-flexible-working-requests</w:t>
        </w:r>
      </w:hyperlink>
      <w:r w:rsidRPr="0034242D">
        <w:t xml:space="preserve"> (Accessed: 10 March 2025).</w:t>
      </w:r>
    </w:p>
    <w:p w14:paraId="6BE4F190" w14:textId="6BE2E42D" w:rsidR="00E01856" w:rsidRPr="00E01856" w:rsidRDefault="00E01856" w:rsidP="00E01856">
      <w:r w:rsidRPr="00E01856">
        <w:t xml:space="preserve">Armstrong, M. (2017). </w:t>
      </w:r>
      <w:r w:rsidRPr="00E01856">
        <w:rPr>
          <w:i/>
          <w:iCs/>
        </w:rPr>
        <w:t>Armstrong's Handbook of Human Resource Management Practice</w:t>
      </w:r>
      <w:r w:rsidRPr="00E01856">
        <w:t xml:space="preserve"> (14th ed.) Kogan Page. </w:t>
      </w:r>
      <w:r>
        <w:t xml:space="preserve">p. </w:t>
      </w:r>
      <w:r w:rsidR="00357F0A">
        <w:t>303</w:t>
      </w:r>
      <w:r w:rsidR="00FD63A5">
        <w:t xml:space="preserve">-315, </w:t>
      </w:r>
      <w:r w:rsidR="003629A3">
        <w:t>533</w:t>
      </w:r>
    </w:p>
    <w:p w14:paraId="6635C4C5" w14:textId="38ECB4E8" w:rsidR="0034242D" w:rsidRPr="0034242D" w:rsidRDefault="0034242D" w:rsidP="0034242D"/>
    <w:p w14:paraId="37CAA683" w14:textId="77777777" w:rsidR="0034242D" w:rsidRDefault="0034242D" w:rsidP="0034242D">
      <w:r w:rsidRPr="0034242D">
        <w:t xml:space="preserve">Carmichael v National Power plc [1999] UKHL 47. Available at: </w:t>
      </w:r>
      <w:hyperlink r:id="rId9" w:tgtFrame="_new" w:history="1">
        <w:r w:rsidRPr="0034242D">
          <w:rPr>
            <w:rStyle w:val="Hyperlink"/>
          </w:rPr>
          <w:t>https://publications.parliament.uk/pa/ld199900/ldjudgmt/jd991118/car.htm</w:t>
        </w:r>
      </w:hyperlink>
      <w:r w:rsidRPr="0034242D">
        <w:t xml:space="preserve"> (Accessed: 10 March 2025).</w:t>
      </w:r>
    </w:p>
    <w:p w14:paraId="5EFEF2C8" w14:textId="71FA8557" w:rsidR="00EA2444" w:rsidRPr="0034242D" w:rsidRDefault="00EA2444" w:rsidP="0034242D">
      <w:r>
        <w:t xml:space="preserve">Chartered </w:t>
      </w:r>
      <w:r w:rsidR="005C7604">
        <w:t xml:space="preserve">Institute of Personal Development (CIPD) (2021) </w:t>
      </w:r>
      <w:r w:rsidR="0000560F" w:rsidRPr="0000560F">
        <w:rPr>
          <w:i/>
          <w:iCs/>
        </w:rPr>
        <w:t>Hybrid Working: Practical Guidance</w:t>
      </w:r>
      <w:r w:rsidR="0000560F">
        <w:t>, London, CIPD</w:t>
      </w:r>
    </w:p>
    <w:p w14:paraId="7462CD79" w14:textId="77777777" w:rsidR="0034242D" w:rsidRPr="0034242D" w:rsidRDefault="0034242D" w:rsidP="0034242D">
      <w:r w:rsidRPr="0034242D">
        <w:t xml:space="preserve">Chartered Institute of Personnel and Development (CIPD) (2019) </w:t>
      </w:r>
      <w:r w:rsidRPr="0034242D">
        <w:rPr>
          <w:i/>
          <w:iCs/>
        </w:rPr>
        <w:t>Building inclusive workplaces: assessing the evidence on inclusion.</w:t>
      </w:r>
      <w:r w:rsidRPr="0034242D">
        <w:t xml:space="preserve"> London: Chartered Institute of Personnel and Development. Available at: </w:t>
      </w:r>
      <w:hyperlink r:id="rId10" w:tgtFrame="_new" w:history="1">
        <w:r w:rsidRPr="0034242D">
          <w:rPr>
            <w:rStyle w:val="Hyperlink"/>
          </w:rPr>
          <w:t>https://www.cipd.org/globalassets/media/knowledge/knowledge-hub/reports/building-inclusive-workplaces-report-sept-2019_tcm18-64154.pdf</w:t>
        </w:r>
      </w:hyperlink>
      <w:r w:rsidRPr="0034242D">
        <w:t xml:space="preserve"> (Accessed: 14 March 2025).</w:t>
      </w:r>
    </w:p>
    <w:p w14:paraId="0D718BA7" w14:textId="77777777" w:rsidR="0034242D" w:rsidRPr="0034242D" w:rsidRDefault="0034242D" w:rsidP="0034242D">
      <w:r w:rsidRPr="0034242D">
        <w:t xml:space="preserve">Chartered Institute of Personnel and Development (CIPD) (2023) </w:t>
      </w:r>
      <w:r w:rsidRPr="0034242D">
        <w:rPr>
          <w:i/>
          <w:iCs/>
        </w:rPr>
        <w:t>Employment Law Guide: Understanding Legal Obligations in HR</w:t>
      </w:r>
      <w:r w:rsidRPr="0034242D">
        <w:t xml:space="preserve">. Available at: </w:t>
      </w:r>
      <w:hyperlink r:id="rId11" w:tgtFrame="_new" w:history="1">
        <w:r w:rsidRPr="0034242D">
          <w:rPr>
            <w:rStyle w:val="Hyperlink"/>
          </w:rPr>
          <w:t>www.cipd.co.uk</w:t>
        </w:r>
      </w:hyperlink>
      <w:r w:rsidRPr="0034242D">
        <w:t xml:space="preserve"> (Accessed: 10 March 2025).</w:t>
      </w:r>
    </w:p>
    <w:p w14:paraId="58074056" w14:textId="77777777" w:rsidR="0034242D" w:rsidRPr="0034242D" w:rsidRDefault="0034242D" w:rsidP="0034242D">
      <w:r w:rsidRPr="0034242D">
        <w:t>Chartered Institute of Personnel and Development (CIPD) (2024a</w:t>
      </w:r>
      <w:r w:rsidRPr="0034242D">
        <w:rPr>
          <w:i/>
          <w:iCs/>
        </w:rPr>
        <w:t>) Diversity in the workplace</w:t>
      </w:r>
      <w:r w:rsidRPr="0034242D">
        <w:t xml:space="preserve">. London: Chartered Institute of Personnel and Development. Available at: </w:t>
      </w:r>
      <w:hyperlink r:id="rId12" w:tgtFrame="_new" w:history="1">
        <w:r w:rsidRPr="0034242D">
          <w:rPr>
            <w:rStyle w:val="Hyperlink"/>
          </w:rPr>
          <w:t>https://www.cipd.org/uk/knowledge/factsheets/diversity-factsheet/</w:t>
        </w:r>
      </w:hyperlink>
      <w:r w:rsidRPr="0034242D">
        <w:t xml:space="preserve"> (Accessed: 14 March 2025).</w:t>
      </w:r>
    </w:p>
    <w:p w14:paraId="293C05B3" w14:textId="77777777" w:rsidR="0034242D" w:rsidRPr="0034242D" w:rsidRDefault="0034242D" w:rsidP="0034242D">
      <w:r w:rsidRPr="0034242D">
        <w:t xml:space="preserve">Chartered Institute of Personnel and Development (CIPD) (2024b) </w:t>
      </w:r>
      <w:r w:rsidRPr="0034242D">
        <w:rPr>
          <w:i/>
          <w:iCs/>
        </w:rPr>
        <w:t>The CIPD profession map</w:t>
      </w:r>
      <w:r w:rsidRPr="0034242D">
        <w:t xml:space="preserve">. London: Chartered Institute of Personnel and Development. Available at: </w:t>
      </w:r>
      <w:hyperlink r:id="rId13" w:tgtFrame="_new" w:history="1">
        <w:r w:rsidRPr="0034242D">
          <w:rPr>
            <w:rStyle w:val="Hyperlink"/>
          </w:rPr>
          <w:t>https://www.cipd.org/globalassets/media/comms/the-people-profession/profession-map-pdfs/profession-map-nov-2024.pdf</w:t>
        </w:r>
      </w:hyperlink>
      <w:r w:rsidRPr="0034242D">
        <w:t xml:space="preserve"> (Accessed: 15 March 2025).</w:t>
      </w:r>
    </w:p>
    <w:p w14:paraId="7EB3716D" w14:textId="0E89D73D" w:rsidR="0034242D" w:rsidRPr="0034242D" w:rsidRDefault="0034242D" w:rsidP="0034242D">
      <w:pPr>
        <w:rPr>
          <w:i/>
          <w:iCs/>
        </w:rPr>
      </w:pPr>
      <w:r w:rsidRPr="0034242D">
        <w:t xml:space="preserve">Chartered Institute of Personnel and Development (CIPD) (2024c) </w:t>
      </w:r>
      <w:r w:rsidRPr="0034242D">
        <w:rPr>
          <w:i/>
          <w:iCs/>
        </w:rPr>
        <w:t xml:space="preserve">Employee Relations and Legal Frameworks. </w:t>
      </w:r>
      <w:r w:rsidRPr="0034242D">
        <w:t>CIPD.</w:t>
      </w:r>
      <w:r w:rsidR="00730DAE" w:rsidRPr="00730DAE">
        <w:t xml:space="preserve"> </w:t>
      </w:r>
      <w:hyperlink r:id="rId14" w:history="1">
        <w:r w:rsidR="00730DAE" w:rsidRPr="00730DAE">
          <w:rPr>
            <w:rStyle w:val="Hyperlink"/>
          </w:rPr>
          <w:t>CIPD | The Professional Body for HR &amp; People Development</w:t>
        </w:r>
      </w:hyperlink>
      <w:r w:rsidR="00730DAE">
        <w:t xml:space="preserve"> </w:t>
      </w:r>
      <w:r w:rsidR="004B3E94" w:rsidRPr="0034242D">
        <w:t>(Accessed: 15 March 2025).</w:t>
      </w:r>
    </w:p>
    <w:p w14:paraId="451354CA" w14:textId="6ECB69CB" w:rsidR="0034242D" w:rsidRPr="0034242D" w:rsidRDefault="0034242D" w:rsidP="0034242D">
      <w:r w:rsidRPr="0034242D">
        <w:t xml:space="preserve">Chartered Institute of Personnel and Development (CIPD) (2024d) </w:t>
      </w:r>
      <w:r w:rsidRPr="0034242D">
        <w:rPr>
          <w:i/>
          <w:iCs/>
        </w:rPr>
        <w:t>Equality and Diversity in the Workplace.</w:t>
      </w:r>
      <w:r w:rsidRPr="0034242D">
        <w:t xml:space="preserve"> CIPD.</w:t>
      </w:r>
      <w:r w:rsidR="00EF3DEA" w:rsidRPr="00EF3DEA">
        <w:t xml:space="preserve"> </w:t>
      </w:r>
      <w:hyperlink r:id="rId15" w:history="1">
        <w:r w:rsidR="00EF3DEA" w:rsidRPr="00EF3DEA">
          <w:rPr>
            <w:rStyle w:val="Hyperlink"/>
          </w:rPr>
          <w:t>Equality, diversity and inclusion in the Workplace | Factsheets | CIPD</w:t>
        </w:r>
      </w:hyperlink>
      <w:r w:rsidR="00EF3DEA">
        <w:t xml:space="preserve"> </w:t>
      </w:r>
      <w:r w:rsidR="00EF3DEA" w:rsidRPr="0034242D">
        <w:t>(Accessed: 15 March 2025).</w:t>
      </w:r>
    </w:p>
    <w:p w14:paraId="11A89C55" w14:textId="77777777" w:rsidR="0034242D" w:rsidRPr="0034242D" w:rsidRDefault="0034242D" w:rsidP="0034242D">
      <w:r w:rsidRPr="0034242D">
        <w:t xml:space="preserve">Chartered Institute of Personnel and Development (CIPD) (2024e) </w:t>
      </w:r>
      <w:r w:rsidRPr="0034242D">
        <w:rPr>
          <w:i/>
          <w:iCs/>
        </w:rPr>
        <w:t>Managing Redundancies and Workforce Reductions</w:t>
      </w:r>
      <w:r w:rsidRPr="0034242D">
        <w:t xml:space="preserve">. Available at: </w:t>
      </w:r>
      <w:hyperlink r:id="rId16" w:tgtFrame="_new" w:history="1">
        <w:r w:rsidRPr="0034242D">
          <w:rPr>
            <w:rStyle w:val="Hyperlink"/>
          </w:rPr>
          <w:t>www.cipd.co.uk</w:t>
        </w:r>
      </w:hyperlink>
      <w:r w:rsidRPr="0034242D">
        <w:t xml:space="preserve"> (Accessed: 12 March 2025).</w:t>
      </w:r>
    </w:p>
    <w:p w14:paraId="0C821F48" w14:textId="77777777" w:rsidR="0034242D" w:rsidRDefault="0034242D" w:rsidP="0034242D">
      <w:r w:rsidRPr="0034242D">
        <w:t>Chartered Institute of Personnel and Development (CIPD) (2024f</w:t>
      </w:r>
      <w:r w:rsidRPr="0034242D">
        <w:rPr>
          <w:i/>
          <w:iCs/>
        </w:rPr>
        <w:t>) TUPE Transfers and Employee Rights.</w:t>
      </w:r>
      <w:r w:rsidRPr="0034242D">
        <w:t xml:space="preserve"> Available at: </w:t>
      </w:r>
      <w:hyperlink r:id="rId17" w:tgtFrame="_new" w:history="1">
        <w:r w:rsidRPr="0034242D">
          <w:rPr>
            <w:rStyle w:val="Hyperlink"/>
          </w:rPr>
          <w:t>www.cipd.co.uk</w:t>
        </w:r>
      </w:hyperlink>
      <w:r w:rsidRPr="0034242D">
        <w:t xml:space="preserve"> (Accessed: 12 March 2025).</w:t>
      </w:r>
    </w:p>
    <w:p w14:paraId="73279826" w14:textId="77777777" w:rsidR="00F25502" w:rsidRPr="00340ED3" w:rsidRDefault="00F25502" w:rsidP="00F25502">
      <w:r w:rsidRPr="00340ED3">
        <w:t xml:space="preserve">Court of Appeal, 2004. </w:t>
      </w:r>
      <w:r w:rsidRPr="00340ED3">
        <w:rPr>
          <w:i/>
          <w:iCs/>
        </w:rPr>
        <w:t>Bahl v The Law Society [2004] IRLR 799</w:t>
      </w:r>
      <w:r w:rsidRPr="00340ED3">
        <w:t xml:space="preserve">. Available at: </w:t>
      </w:r>
      <w:r w:rsidRPr="00340ED3">
        <w:rPr>
          <w:color w:val="0070C0"/>
          <w:u w:val="single"/>
        </w:rPr>
        <w:t>https://www.bailii.org/ew/cases/EWCA/Civ/2004/663.html</w:t>
      </w:r>
      <w:r w:rsidRPr="00340ED3">
        <w:rPr>
          <w:color w:val="0070C0"/>
        </w:rPr>
        <w:t xml:space="preserve"> </w:t>
      </w:r>
      <w:r w:rsidRPr="00340ED3">
        <w:t>[Accessed 22 Mar. 2025].</w:t>
      </w:r>
    </w:p>
    <w:p w14:paraId="6B1DD956" w14:textId="77777777" w:rsidR="00F25502" w:rsidRPr="0034242D" w:rsidRDefault="00F25502" w:rsidP="0034242D"/>
    <w:p w14:paraId="76F6BBAF" w14:textId="3DCBE273" w:rsidR="0034242D" w:rsidRDefault="0034242D" w:rsidP="0034242D">
      <w:r w:rsidRPr="0034242D">
        <w:t xml:space="preserve">Daniels, K. (2022) Introduction to Employment Law: Fundamentals for HR and Business Students. 6th </w:t>
      </w:r>
      <w:proofErr w:type="spellStart"/>
      <w:r w:rsidRPr="0034242D">
        <w:t>edn</w:t>
      </w:r>
      <w:proofErr w:type="spellEnd"/>
      <w:r w:rsidRPr="0034242D">
        <w:t>. London: CIPD/Kogan Page.</w:t>
      </w:r>
      <w:r w:rsidR="00332A7D">
        <w:t xml:space="preserve"> pp. </w:t>
      </w:r>
      <w:r w:rsidR="00AA46D4">
        <w:t>10,</w:t>
      </w:r>
      <w:r w:rsidR="004143BB">
        <w:t>16,</w:t>
      </w:r>
      <w:r w:rsidR="00332A7D">
        <w:t>44,47</w:t>
      </w:r>
      <w:r w:rsidR="00AD3AD8">
        <w:t>,56,</w:t>
      </w:r>
      <w:r w:rsidR="00AA46D4">
        <w:t>88,</w:t>
      </w:r>
      <w:r w:rsidR="009F0089">
        <w:t>120-21,</w:t>
      </w:r>
      <w:r w:rsidR="00AD3AD8">
        <w:t>137,</w:t>
      </w:r>
      <w:r w:rsidR="008D5392">
        <w:t>140,</w:t>
      </w:r>
      <w:r w:rsidR="00FA28A4">
        <w:t xml:space="preserve"> 202</w:t>
      </w:r>
      <w:r w:rsidR="00A02273">
        <w:t xml:space="preserve">, 207-213, </w:t>
      </w:r>
      <w:r w:rsidR="00214571">
        <w:t>215,</w:t>
      </w:r>
      <w:r w:rsidR="00AD3AD8">
        <w:t>259)</w:t>
      </w:r>
    </w:p>
    <w:p w14:paraId="13331A26" w14:textId="77777777" w:rsidR="00F25502" w:rsidRPr="00340ED3" w:rsidRDefault="00F25502" w:rsidP="00F25502">
      <w:r w:rsidRPr="00340ED3">
        <w:t xml:space="preserve">European Court of Justice, 1995. </w:t>
      </w:r>
      <w:proofErr w:type="spellStart"/>
      <w:r w:rsidRPr="00340ED3">
        <w:rPr>
          <w:i/>
          <w:iCs/>
        </w:rPr>
        <w:t>Kalanke</w:t>
      </w:r>
      <w:proofErr w:type="spellEnd"/>
      <w:r w:rsidRPr="00340ED3">
        <w:rPr>
          <w:i/>
          <w:iCs/>
        </w:rPr>
        <w:t xml:space="preserve"> v Freie </w:t>
      </w:r>
      <w:proofErr w:type="spellStart"/>
      <w:r w:rsidRPr="00340ED3">
        <w:rPr>
          <w:i/>
          <w:iCs/>
        </w:rPr>
        <w:t>Hansestadt</w:t>
      </w:r>
      <w:proofErr w:type="spellEnd"/>
      <w:r w:rsidRPr="00340ED3">
        <w:rPr>
          <w:i/>
          <w:iCs/>
        </w:rPr>
        <w:t xml:space="preserve"> Bremen [1995] ECR I-3051</w:t>
      </w:r>
      <w:r w:rsidRPr="00340ED3">
        <w:t xml:space="preserve">. Available at: </w:t>
      </w:r>
      <w:hyperlink r:id="rId18" w:tgtFrame="_new" w:history="1">
        <w:r w:rsidRPr="00340ED3">
          <w:rPr>
            <w:rStyle w:val="Hyperlink"/>
          </w:rPr>
          <w:t>https://eur-lex.europa.eu/legal-content/EN/TXT/?uri=CELEX%3A61993CJ0450</w:t>
        </w:r>
      </w:hyperlink>
      <w:r w:rsidRPr="00340ED3">
        <w:t xml:space="preserve"> [Accessed 22 Mar. 2025].</w:t>
      </w:r>
    </w:p>
    <w:p w14:paraId="5E801949" w14:textId="77777777" w:rsidR="0034242D" w:rsidRPr="0034242D" w:rsidRDefault="0034242D" w:rsidP="0034242D">
      <w:r w:rsidRPr="0034242D">
        <w:t xml:space="preserve">European Union (Withdrawal) Act 2018, Section 6. Available at: </w:t>
      </w:r>
      <w:hyperlink r:id="rId19" w:tgtFrame="_new" w:history="1">
        <w:r w:rsidRPr="0034242D">
          <w:rPr>
            <w:rStyle w:val="Hyperlink"/>
          </w:rPr>
          <w:t>www.legislation.gov.uk</w:t>
        </w:r>
      </w:hyperlink>
      <w:r w:rsidRPr="0034242D">
        <w:t xml:space="preserve"> (Accessed: 10 March 2025).</w:t>
      </w:r>
    </w:p>
    <w:p w14:paraId="7356E174" w14:textId="77777777" w:rsidR="0034242D" w:rsidRDefault="0034242D" w:rsidP="0034242D">
      <w:r w:rsidRPr="0034242D">
        <w:lastRenderedPageBreak/>
        <w:t xml:space="preserve">European Union (Withdrawal Agreement) Act 2020. Available at: </w:t>
      </w:r>
      <w:hyperlink r:id="rId20" w:tgtFrame="_new" w:history="1">
        <w:r w:rsidRPr="0034242D">
          <w:rPr>
            <w:rStyle w:val="Hyperlink"/>
          </w:rPr>
          <w:t>www.legislation.gov.uk</w:t>
        </w:r>
      </w:hyperlink>
      <w:r w:rsidRPr="0034242D">
        <w:t xml:space="preserve"> (Accessed: 10 March 2025).</w:t>
      </w:r>
    </w:p>
    <w:p w14:paraId="7EC4F0BA" w14:textId="7BEB4DB3" w:rsidR="009E44A4" w:rsidRPr="0034242D" w:rsidRDefault="00206DD5" w:rsidP="0034242D">
      <w:r>
        <w:t xml:space="preserve">Gallop (2020) </w:t>
      </w:r>
      <w:r w:rsidRPr="00025F8E">
        <w:rPr>
          <w:i/>
          <w:iCs/>
        </w:rPr>
        <w:t xml:space="preserve">Performance </w:t>
      </w:r>
      <w:r w:rsidR="003C52C3" w:rsidRPr="00025F8E">
        <w:rPr>
          <w:i/>
          <w:iCs/>
        </w:rPr>
        <w:t>Management Must Evolve to Survive COVID-19,</w:t>
      </w:r>
      <w:r w:rsidR="003C52C3">
        <w:t xml:space="preserve"> Washington</w:t>
      </w:r>
      <w:r w:rsidR="00025F8E">
        <w:t>, DC, Gallup</w:t>
      </w:r>
    </w:p>
    <w:p w14:paraId="67141A78" w14:textId="0F70E28A" w:rsidR="0034242D" w:rsidRPr="0034242D" w:rsidRDefault="0034242D" w:rsidP="0034242D">
      <w:r w:rsidRPr="0034242D">
        <w:t>GOV.U</w:t>
      </w:r>
      <w:r w:rsidR="00206DD5">
        <w:t>K</w:t>
      </w:r>
      <w:r w:rsidRPr="0034242D">
        <w:t xml:space="preserve"> (2023) 'Shared Parental Leave and Pay: How it works'. Available at: </w:t>
      </w:r>
      <w:hyperlink r:id="rId21" w:tgtFrame="_new" w:history="1">
        <w:r w:rsidRPr="0034242D">
          <w:rPr>
            <w:rStyle w:val="Hyperlink"/>
          </w:rPr>
          <w:t>https://www.gov.uk/shared-parental-leave-and-pay</w:t>
        </w:r>
      </w:hyperlink>
      <w:r w:rsidRPr="0034242D">
        <w:t xml:space="preserve"> (Accessed: 10 March 2025).</w:t>
      </w:r>
    </w:p>
    <w:p w14:paraId="09486D33" w14:textId="77777777" w:rsidR="0034242D" w:rsidRPr="0034242D" w:rsidRDefault="0034242D" w:rsidP="0034242D">
      <w:r w:rsidRPr="0034242D">
        <w:t xml:space="preserve">GOV.UK (2024) 'Holiday entitlement and pay'. Available at: </w:t>
      </w:r>
      <w:hyperlink r:id="rId22" w:tgtFrame="_new" w:history="1">
        <w:r w:rsidRPr="0034242D">
          <w:rPr>
            <w:rStyle w:val="Hyperlink"/>
          </w:rPr>
          <w:t>https://www.gov.uk/holiday-entitlement-rights</w:t>
        </w:r>
      </w:hyperlink>
      <w:r w:rsidRPr="0034242D">
        <w:t xml:space="preserve"> (Accessed: 10 March 2025).</w:t>
      </w:r>
    </w:p>
    <w:p w14:paraId="3A91FDD1" w14:textId="77777777" w:rsidR="0034242D" w:rsidRPr="0034242D" w:rsidRDefault="0034242D" w:rsidP="0034242D">
      <w:r w:rsidRPr="0034242D">
        <w:t xml:space="preserve">GOV.UK (n.d.) 'Flexible working: Overview'. Available at: </w:t>
      </w:r>
      <w:hyperlink r:id="rId23" w:tgtFrame="_new" w:history="1">
        <w:r w:rsidRPr="0034242D">
          <w:rPr>
            <w:rStyle w:val="Hyperlink"/>
          </w:rPr>
          <w:t>https://www.gov.uk/flexible-working</w:t>
        </w:r>
      </w:hyperlink>
      <w:r w:rsidRPr="0034242D">
        <w:t xml:space="preserve"> (Accessed: 10 March 2025).</w:t>
      </w:r>
    </w:p>
    <w:p w14:paraId="0F203EF7" w14:textId="59C7C32B" w:rsidR="0034242D" w:rsidRPr="0034242D" w:rsidRDefault="0034242D" w:rsidP="00D43F3F">
      <w:r w:rsidRPr="0034242D">
        <w:t xml:space="preserve">Hansard (2023) Retained EU Law (Revocation and Reform) Bill. Available at: </w:t>
      </w:r>
      <w:hyperlink r:id="rId24" w:tgtFrame="_new" w:history="1">
        <w:r w:rsidRPr="0034242D">
          <w:rPr>
            <w:rStyle w:val="Hyperlink"/>
          </w:rPr>
          <w:t>https://hansard.parliament.uk/commons/2023-01-18/debates/BD8058AD-784A-4E34-A21D-58B05D7DC48C/RetainedEULaw%28RevocationAndReform%29Bill</w:t>
        </w:r>
      </w:hyperlink>
      <w:r w:rsidRPr="0034242D">
        <w:t xml:space="preserve"> (Accessed: 15 March 2025).</w:t>
      </w:r>
    </w:p>
    <w:p w14:paraId="631C4B4A" w14:textId="77777777" w:rsidR="0034242D" w:rsidRPr="0034242D" w:rsidRDefault="0034242D" w:rsidP="0034242D">
      <w:r w:rsidRPr="0034242D">
        <w:t xml:space="preserve">Lock v British Gas Trading Ltd [2014] C-539/12, European Court of Justice. Available at: </w:t>
      </w:r>
      <w:hyperlink r:id="rId25" w:tgtFrame="_new" w:history="1">
        <w:r w:rsidRPr="0034242D">
          <w:rPr>
            <w:rStyle w:val="Hyperlink"/>
          </w:rPr>
          <w:t>www.curia.europa.eu</w:t>
        </w:r>
      </w:hyperlink>
      <w:r w:rsidRPr="0034242D">
        <w:t xml:space="preserve"> (Accessed: 10 March 2025).</w:t>
      </w:r>
    </w:p>
    <w:p w14:paraId="2F717FEF" w14:textId="13236E02" w:rsidR="0034242D" w:rsidRPr="0034242D" w:rsidRDefault="0034242D" w:rsidP="0034242D">
      <w:r w:rsidRPr="0034242D">
        <w:t xml:space="preserve">Maternity Action (2023) 'Shared parental leave and pay'. Available at: </w:t>
      </w:r>
      <w:hyperlink r:id="rId26" w:tgtFrame="_new" w:history="1">
        <w:r w:rsidRPr="0034242D">
          <w:rPr>
            <w:rStyle w:val="Hyperlink"/>
          </w:rPr>
          <w:t>https://maternityaction.org.uk/advice/shared-parental-leave-and-pay/</w:t>
        </w:r>
      </w:hyperlink>
      <w:r w:rsidRPr="0034242D">
        <w:t xml:space="preserve"> (Accessed: 10 March 2025)</w:t>
      </w:r>
    </w:p>
    <w:p w14:paraId="2C30B078" w14:textId="5472E83B" w:rsidR="00EF1394" w:rsidRDefault="0034242D" w:rsidP="0034242D">
      <w:r w:rsidRPr="0034242D">
        <w:t xml:space="preserve">Supreme Court (2021) Uber BV v Aslam [2021] UKSC 5. Available at: </w:t>
      </w:r>
      <w:hyperlink r:id="rId27" w:tgtFrame="_new" w:history="1">
        <w:r w:rsidRPr="0034242D">
          <w:rPr>
            <w:rStyle w:val="Hyperlink"/>
          </w:rPr>
          <w:t>www.supremecourt.uk</w:t>
        </w:r>
      </w:hyperlink>
      <w:r w:rsidRPr="0034242D">
        <w:t xml:space="preserve"> (Accessed: 10 March 2025).</w:t>
      </w:r>
      <w:r w:rsidR="006519B4">
        <w:t xml:space="preserve"> </w:t>
      </w:r>
    </w:p>
    <w:p w14:paraId="78F98C32" w14:textId="369CCE55" w:rsidR="00BE0A77" w:rsidRPr="00BA2220" w:rsidRDefault="00BE0A77" w:rsidP="00BE0A77">
      <w:r w:rsidRPr="00BA2220">
        <w:t xml:space="preserve">Taylor, S., &amp; Woodhams, C. (2022). </w:t>
      </w:r>
      <w:r w:rsidRPr="00BA2220">
        <w:rPr>
          <w:i/>
          <w:iCs/>
        </w:rPr>
        <w:t xml:space="preserve"> Human Resource Management: People and Organisations </w:t>
      </w:r>
      <w:r w:rsidRPr="00BA2220">
        <w:t xml:space="preserve">(3rd ed.). Kogan Page, London: CIPD </w:t>
      </w:r>
      <w:r w:rsidR="00BA2220" w:rsidRPr="00BA2220">
        <w:t>pp 95,</w:t>
      </w:r>
    </w:p>
    <w:p w14:paraId="37162F9C" w14:textId="77777777" w:rsidR="0034242D" w:rsidRPr="0034242D" w:rsidRDefault="0034242D" w:rsidP="0034242D">
      <w:r w:rsidRPr="0034242D">
        <w:t xml:space="preserve">The Times (2025) 'Saying a colleague would struggle with tech is age discrimination', The Times, 11 March 2025. Available at: </w:t>
      </w:r>
      <w:hyperlink r:id="rId28" w:tgtFrame="_new" w:history="1">
        <w:r w:rsidRPr="0034242D">
          <w:rPr>
            <w:rStyle w:val="Hyperlink"/>
          </w:rPr>
          <w:t>www.thetimes.co.uk</w:t>
        </w:r>
      </w:hyperlink>
      <w:r w:rsidRPr="0034242D">
        <w:t xml:space="preserve"> (Accessed: 11 March 2025).</w:t>
      </w:r>
    </w:p>
    <w:p w14:paraId="09497957" w14:textId="77777777" w:rsidR="0034242D" w:rsidRDefault="0034242D" w:rsidP="0034242D">
      <w:r w:rsidRPr="0034242D">
        <w:t xml:space="preserve">UK Government (2019) Crack down on misuse of non-disclosure agreements in the workplace. Available at: </w:t>
      </w:r>
      <w:hyperlink r:id="rId29" w:tgtFrame="_new" w:history="1">
        <w:r w:rsidRPr="0034242D">
          <w:rPr>
            <w:rStyle w:val="Hyperlink"/>
          </w:rPr>
          <w:t>https://www.gov.uk/government/news/crack-down-on-misuse-of-non-disclosure-agreements-in-the-workplace</w:t>
        </w:r>
      </w:hyperlink>
      <w:r w:rsidRPr="0034242D">
        <w:t xml:space="preserve"> (Accessed: 15 March 2025).</w:t>
      </w:r>
    </w:p>
    <w:p w14:paraId="389EF812" w14:textId="512288C2" w:rsidR="001156D8" w:rsidRDefault="001156D8" w:rsidP="0034242D">
      <w:r w:rsidRPr="001156D8">
        <w:t xml:space="preserve">UK Government (1996) </w:t>
      </w:r>
      <w:r w:rsidR="00EC0EC2">
        <w:rPr>
          <w:i/>
          <w:iCs/>
        </w:rPr>
        <w:t xml:space="preserve">Employment Rights </w:t>
      </w:r>
      <w:r w:rsidRPr="001156D8">
        <w:rPr>
          <w:i/>
          <w:iCs/>
        </w:rPr>
        <w:t xml:space="preserve">Act 1996 – </w:t>
      </w:r>
      <w:r w:rsidR="00EC0EC2">
        <w:rPr>
          <w:i/>
          <w:iCs/>
        </w:rPr>
        <w:t xml:space="preserve">Section </w:t>
      </w:r>
      <w:r w:rsidR="00FA28A4">
        <w:rPr>
          <w:i/>
          <w:iCs/>
        </w:rPr>
        <w:t xml:space="preserve">89, Section </w:t>
      </w:r>
      <w:r w:rsidR="00EC0EC2">
        <w:rPr>
          <w:i/>
          <w:iCs/>
        </w:rPr>
        <w:t xml:space="preserve">95 &amp; </w:t>
      </w:r>
      <w:r w:rsidRPr="001156D8">
        <w:rPr>
          <w:i/>
          <w:iCs/>
        </w:rPr>
        <w:t>Section 139</w:t>
      </w:r>
      <w:r w:rsidRPr="001156D8">
        <w:t xml:space="preserve">. Available at: </w:t>
      </w:r>
      <w:hyperlink r:id="rId30" w:tgtFrame="_new" w:history="1">
        <w:r w:rsidRPr="001156D8">
          <w:rPr>
            <w:rStyle w:val="Hyperlink"/>
          </w:rPr>
          <w:t>https://www.legislation.gov.uk/ukpga/1996/18/section/139</w:t>
        </w:r>
      </w:hyperlink>
      <w:r w:rsidRPr="001156D8">
        <w:t xml:space="preserve"> (Accessed: 2</w:t>
      </w:r>
      <w:r>
        <w:t>0</w:t>
      </w:r>
      <w:r w:rsidRPr="001156D8">
        <w:t xml:space="preserve"> March 2025).</w:t>
      </w:r>
    </w:p>
    <w:p w14:paraId="178EF8CC" w14:textId="77777777" w:rsidR="00B36EB0" w:rsidRPr="00340ED3" w:rsidRDefault="00B36EB0" w:rsidP="00B36EB0">
      <w:r w:rsidRPr="00340ED3">
        <w:t xml:space="preserve">UK Supreme Court, 2021. </w:t>
      </w:r>
      <w:r w:rsidRPr="00340ED3">
        <w:rPr>
          <w:i/>
          <w:iCs/>
        </w:rPr>
        <w:t>Brierley &amp; others v Asda Stores Ltd [2021] UKSC 10</w:t>
      </w:r>
      <w:r w:rsidRPr="00340ED3">
        <w:t xml:space="preserve">. Available at: </w:t>
      </w:r>
      <w:r w:rsidRPr="00340ED3">
        <w:rPr>
          <w:color w:val="0070C0"/>
          <w:u w:val="single"/>
        </w:rPr>
        <w:t>https://www.supremecourt.uk/cases/uksc-2019-0023.html</w:t>
      </w:r>
      <w:r w:rsidRPr="00340ED3">
        <w:rPr>
          <w:color w:val="0070C0"/>
        </w:rPr>
        <w:t xml:space="preserve"> </w:t>
      </w:r>
      <w:r w:rsidRPr="00340ED3">
        <w:t>[Accessed 22 Mar. 2025].</w:t>
      </w:r>
    </w:p>
    <w:p w14:paraId="218E91D1" w14:textId="29D71286" w:rsidR="00333FFC" w:rsidRPr="00BF367D" w:rsidRDefault="0034242D">
      <w:r w:rsidRPr="0034242D">
        <w:t xml:space="preserve">Working Families (2023) 'Shared Parental Leave: Sharing or splitting up leave'. Available at: </w:t>
      </w:r>
      <w:hyperlink r:id="rId31" w:tgtFrame="_new" w:history="1">
        <w:r w:rsidRPr="0034242D">
          <w:rPr>
            <w:rStyle w:val="Hyperlink"/>
          </w:rPr>
          <w:t>https://workingfamilies.org.uk/articles/shared-parental-leave-sharing-leave-with-a-partner-or-splitting-up-leave/</w:t>
        </w:r>
      </w:hyperlink>
      <w:r w:rsidRPr="0034242D">
        <w:t xml:space="preserve"> (Accessed: 10 March 2025).</w:t>
      </w:r>
    </w:p>
    <w:sectPr w:rsidR="00333FFC" w:rsidRPr="00BF367D">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FC0C0" w14:textId="77777777" w:rsidR="00503B62" w:rsidRDefault="00503B62" w:rsidP="00503B62">
      <w:pPr>
        <w:spacing w:after="0" w:line="240" w:lineRule="auto"/>
      </w:pPr>
      <w:r>
        <w:separator/>
      </w:r>
    </w:p>
  </w:endnote>
  <w:endnote w:type="continuationSeparator" w:id="0">
    <w:p w14:paraId="5F1CDBB0" w14:textId="77777777" w:rsidR="00503B62" w:rsidRDefault="00503B62" w:rsidP="00503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C8252" w14:textId="77777777" w:rsidR="00503B62" w:rsidRDefault="00503B62" w:rsidP="00503B62">
      <w:pPr>
        <w:spacing w:after="0" w:line="240" w:lineRule="auto"/>
      </w:pPr>
      <w:r>
        <w:separator/>
      </w:r>
    </w:p>
  </w:footnote>
  <w:footnote w:type="continuationSeparator" w:id="0">
    <w:p w14:paraId="495D0056" w14:textId="77777777" w:rsidR="00503B62" w:rsidRDefault="00503B62" w:rsidP="00503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47197" w14:textId="77777777" w:rsidR="00BF691B" w:rsidRDefault="00BF691B" w:rsidP="00BF691B">
    <w:pPr>
      <w:pStyle w:val="Header"/>
      <w:rPr>
        <w:sz w:val="24"/>
        <w:szCs w:val="24"/>
      </w:rPr>
    </w:pPr>
    <w:r>
      <w:rPr>
        <w:sz w:val="24"/>
        <w:szCs w:val="24"/>
      </w:rPr>
      <w:t>Sarah Francis-Davies</w:t>
    </w:r>
  </w:p>
  <w:p w14:paraId="6BD6879E" w14:textId="77777777" w:rsidR="00BF691B" w:rsidRDefault="00BF691B" w:rsidP="00BF691B">
    <w:pPr>
      <w:pStyle w:val="Header"/>
      <w:rPr>
        <w:sz w:val="24"/>
        <w:szCs w:val="24"/>
      </w:rPr>
    </w:pPr>
    <w:r>
      <w:rPr>
        <w:sz w:val="24"/>
        <w:szCs w:val="24"/>
      </w:rPr>
      <w:t>Student Number: 2327336</w:t>
    </w:r>
  </w:p>
  <w:p w14:paraId="201DA978" w14:textId="77777777" w:rsidR="00BF691B" w:rsidRDefault="00BF691B" w:rsidP="00BF691B">
    <w:pPr>
      <w:pStyle w:val="Header"/>
      <w:rPr>
        <w:sz w:val="24"/>
        <w:szCs w:val="24"/>
      </w:rPr>
    </w:pPr>
    <w:r>
      <w:rPr>
        <w:sz w:val="24"/>
        <w:szCs w:val="24"/>
      </w:rPr>
      <w:t>CIPD Level 5</w:t>
    </w:r>
  </w:p>
  <w:p w14:paraId="2CFB17D1" w14:textId="77777777" w:rsidR="00BF691B" w:rsidRPr="000816B8" w:rsidRDefault="00BF691B" w:rsidP="00BF691B">
    <w:pPr>
      <w:pStyle w:val="Header"/>
      <w:rPr>
        <w:sz w:val="24"/>
        <w:szCs w:val="24"/>
      </w:rPr>
    </w:pPr>
    <w:r w:rsidRPr="000816B8">
      <w:rPr>
        <w:sz w:val="24"/>
        <w:szCs w:val="24"/>
      </w:rPr>
      <w:t>Cohort 9</w:t>
    </w:r>
  </w:p>
  <w:p w14:paraId="33E00CFB" w14:textId="49F5CB27" w:rsidR="00D36911" w:rsidRPr="000816B8" w:rsidRDefault="000816B8" w:rsidP="00BF691B">
    <w:pPr>
      <w:pStyle w:val="Header"/>
      <w:rPr>
        <w:sz w:val="24"/>
        <w:szCs w:val="24"/>
      </w:rPr>
    </w:pPr>
    <w:r w:rsidRPr="000816B8">
      <w:rPr>
        <w:color w:val="004147"/>
        <w:sz w:val="24"/>
        <w:szCs w:val="24"/>
      </w:rPr>
      <w:t>Specialist employment law</w:t>
    </w:r>
  </w:p>
  <w:p w14:paraId="61F7478A" w14:textId="32323E12" w:rsidR="00BF691B" w:rsidRDefault="00BF691B" w:rsidP="00BF691B">
    <w:pPr>
      <w:pStyle w:val="Header"/>
      <w:rPr>
        <w:sz w:val="24"/>
        <w:szCs w:val="24"/>
      </w:rPr>
    </w:pPr>
    <w:r>
      <w:rPr>
        <w:sz w:val="24"/>
        <w:szCs w:val="24"/>
      </w:rPr>
      <w:t xml:space="preserve">Date: </w:t>
    </w:r>
    <w:r w:rsidR="000816B8">
      <w:rPr>
        <w:sz w:val="24"/>
        <w:szCs w:val="24"/>
      </w:rPr>
      <w:t>22/03/2025</w:t>
    </w:r>
  </w:p>
  <w:p w14:paraId="7AEE74DE" w14:textId="05889FAA" w:rsidR="00503B62" w:rsidRDefault="00D36911">
    <w:pPr>
      <w:pStyle w:val="Header"/>
    </w:pPr>
    <w:proofErr w:type="gramStart"/>
    <w:r>
      <w:t xml:space="preserve">3966 </w:t>
    </w:r>
    <w:r w:rsidR="00BF691B">
      <w:t xml:space="preserve"> Words</w:t>
    </w:r>
    <w:proofErr w:type="gramEnd"/>
    <w:r w:rsidR="00BF691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8E5"/>
    <w:multiLevelType w:val="multilevel"/>
    <w:tmpl w:val="E5904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F5E6B"/>
    <w:multiLevelType w:val="multilevel"/>
    <w:tmpl w:val="13921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061886"/>
    <w:multiLevelType w:val="multilevel"/>
    <w:tmpl w:val="FA78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375CE7"/>
    <w:multiLevelType w:val="multilevel"/>
    <w:tmpl w:val="8F6A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2C3942"/>
    <w:multiLevelType w:val="multilevel"/>
    <w:tmpl w:val="B834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264CBA"/>
    <w:multiLevelType w:val="multilevel"/>
    <w:tmpl w:val="94E2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F604FE"/>
    <w:multiLevelType w:val="multilevel"/>
    <w:tmpl w:val="67A2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034420"/>
    <w:multiLevelType w:val="multilevel"/>
    <w:tmpl w:val="6F36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244283"/>
    <w:multiLevelType w:val="multilevel"/>
    <w:tmpl w:val="DC206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F165BC"/>
    <w:multiLevelType w:val="multilevel"/>
    <w:tmpl w:val="46489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F22CA6"/>
    <w:multiLevelType w:val="multilevel"/>
    <w:tmpl w:val="4D3C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785967"/>
    <w:multiLevelType w:val="multilevel"/>
    <w:tmpl w:val="058C4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556E69"/>
    <w:multiLevelType w:val="multilevel"/>
    <w:tmpl w:val="1702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7D134F"/>
    <w:multiLevelType w:val="multilevel"/>
    <w:tmpl w:val="DE285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5C5537"/>
    <w:multiLevelType w:val="multilevel"/>
    <w:tmpl w:val="E600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E67F48"/>
    <w:multiLevelType w:val="multilevel"/>
    <w:tmpl w:val="8EE8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890198">
    <w:abstractNumId w:val="15"/>
  </w:num>
  <w:num w:numId="2" w16cid:durableId="603071739">
    <w:abstractNumId w:val="12"/>
  </w:num>
  <w:num w:numId="3" w16cid:durableId="9987583">
    <w:abstractNumId w:val="10"/>
  </w:num>
  <w:num w:numId="4" w16cid:durableId="1706053447">
    <w:abstractNumId w:val="14"/>
  </w:num>
  <w:num w:numId="5" w16cid:durableId="539325774">
    <w:abstractNumId w:val="5"/>
  </w:num>
  <w:num w:numId="6" w16cid:durableId="1470171159">
    <w:abstractNumId w:val="4"/>
  </w:num>
  <w:num w:numId="7" w16cid:durableId="126625784">
    <w:abstractNumId w:val="3"/>
  </w:num>
  <w:num w:numId="8" w16cid:durableId="1580555602">
    <w:abstractNumId w:val="2"/>
  </w:num>
  <w:num w:numId="9" w16cid:durableId="1826773016">
    <w:abstractNumId w:val="6"/>
  </w:num>
  <w:num w:numId="10" w16cid:durableId="1609463671">
    <w:abstractNumId w:val="13"/>
  </w:num>
  <w:num w:numId="11" w16cid:durableId="693969540">
    <w:abstractNumId w:val="0"/>
  </w:num>
  <w:num w:numId="12" w16cid:durableId="68113228">
    <w:abstractNumId w:val="8"/>
  </w:num>
  <w:num w:numId="13" w16cid:durableId="437801492">
    <w:abstractNumId w:val="7"/>
  </w:num>
  <w:num w:numId="14" w16cid:durableId="1261988300">
    <w:abstractNumId w:val="11"/>
  </w:num>
  <w:num w:numId="15" w16cid:durableId="379133790">
    <w:abstractNumId w:val="9"/>
  </w:num>
  <w:num w:numId="16" w16cid:durableId="1880166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B1D"/>
    <w:rsid w:val="0000560F"/>
    <w:rsid w:val="000115EA"/>
    <w:rsid w:val="000150D9"/>
    <w:rsid w:val="00025F8E"/>
    <w:rsid w:val="000266BF"/>
    <w:rsid w:val="000373D1"/>
    <w:rsid w:val="000376F4"/>
    <w:rsid w:val="0006676D"/>
    <w:rsid w:val="000816B8"/>
    <w:rsid w:val="000C2428"/>
    <w:rsid w:val="000C6FB4"/>
    <w:rsid w:val="000C7C64"/>
    <w:rsid w:val="000D59B1"/>
    <w:rsid w:val="000E731E"/>
    <w:rsid w:val="001024B2"/>
    <w:rsid w:val="001061C5"/>
    <w:rsid w:val="00112701"/>
    <w:rsid w:val="001156D8"/>
    <w:rsid w:val="00130C44"/>
    <w:rsid w:val="00132F27"/>
    <w:rsid w:val="00145906"/>
    <w:rsid w:val="00152083"/>
    <w:rsid w:val="001709F7"/>
    <w:rsid w:val="001756B9"/>
    <w:rsid w:val="001B29C2"/>
    <w:rsid w:val="001B6985"/>
    <w:rsid w:val="001B75CC"/>
    <w:rsid w:val="001D6890"/>
    <w:rsid w:val="001E256B"/>
    <w:rsid w:val="001F244E"/>
    <w:rsid w:val="00206DD5"/>
    <w:rsid w:val="00212E77"/>
    <w:rsid w:val="00214571"/>
    <w:rsid w:val="00223448"/>
    <w:rsid w:val="00240130"/>
    <w:rsid w:val="00251C27"/>
    <w:rsid w:val="002826D3"/>
    <w:rsid w:val="00294B10"/>
    <w:rsid w:val="002A75B8"/>
    <w:rsid w:val="002B1B1D"/>
    <w:rsid w:val="002E0326"/>
    <w:rsid w:val="002E0450"/>
    <w:rsid w:val="00304C3C"/>
    <w:rsid w:val="003075C4"/>
    <w:rsid w:val="00321320"/>
    <w:rsid w:val="00332A7D"/>
    <w:rsid w:val="00333FFC"/>
    <w:rsid w:val="00340ED3"/>
    <w:rsid w:val="0034242D"/>
    <w:rsid w:val="0035602C"/>
    <w:rsid w:val="00357F0A"/>
    <w:rsid w:val="003629A3"/>
    <w:rsid w:val="00367D64"/>
    <w:rsid w:val="00377829"/>
    <w:rsid w:val="003802A3"/>
    <w:rsid w:val="00393DB3"/>
    <w:rsid w:val="003C0BD2"/>
    <w:rsid w:val="003C52C3"/>
    <w:rsid w:val="003D4EBB"/>
    <w:rsid w:val="003E4287"/>
    <w:rsid w:val="00400C64"/>
    <w:rsid w:val="00404A67"/>
    <w:rsid w:val="00404F79"/>
    <w:rsid w:val="00410599"/>
    <w:rsid w:val="004143BB"/>
    <w:rsid w:val="0042101D"/>
    <w:rsid w:val="00425817"/>
    <w:rsid w:val="00451DBC"/>
    <w:rsid w:val="0046018A"/>
    <w:rsid w:val="004655B3"/>
    <w:rsid w:val="00485591"/>
    <w:rsid w:val="004A18D7"/>
    <w:rsid w:val="004A3681"/>
    <w:rsid w:val="004A41E3"/>
    <w:rsid w:val="004B35B6"/>
    <w:rsid w:val="004B3E94"/>
    <w:rsid w:val="004B5CB9"/>
    <w:rsid w:val="004D41E3"/>
    <w:rsid w:val="00503B62"/>
    <w:rsid w:val="00504FA4"/>
    <w:rsid w:val="0050706B"/>
    <w:rsid w:val="00520A87"/>
    <w:rsid w:val="00520CEB"/>
    <w:rsid w:val="0053009E"/>
    <w:rsid w:val="00531BBC"/>
    <w:rsid w:val="0053224F"/>
    <w:rsid w:val="00563E17"/>
    <w:rsid w:val="00573A63"/>
    <w:rsid w:val="00577628"/>
    <w:rsid w:val="00591ECE"/>
    <w:rsid w:val="005A1EBB"/>
    <w:rsid w:val="005C7604"/>
    <w:rsid w:val="005F2A3A"/>
    <w:rsid w:val="0063007A"/>
    <w:rsid w:val="0063603A"/>
    <w:rsid w:val="006519B4"/>
    <w:rsid w:val="00651D70"/>
    <w:rsid w:val="0068279A"/>
    <w:rsid w:val="00686BCD"/>
    <w:rsid w:val="00692E1B"/>
    <w:rsid w:val="006A4947"/>
    <w:rsid w:val="006C44AC"/>
    <w:rsid w:val="006D231A"/>
    <w:rsid w:val="006D30BB"/>
    <w:rsid w:val="00700573"/>
    <w:rsid w:val="00712170"/>
    <w:rsid w:val="0072147A"/>
    <w:rsid w:val="00725A96"/>
    <w:rsid w:val="00730DAE"/>
    <w:rsid w:val="00732955"/>
    <w:rsid w:val="0078774E"/>
    <w:rsid w:val="00791C8B"/>
    <w:rsid w:val="007939DD"/>
    <w:rsid w:val="007A0544"/>
    <w:rsid w:val="007C0346"/>
    <w:rsid w:val="007C1008"/>
    <w:rsid w:val="007C1985"/>
    <w:rsid w:val="007C343C"/>
    <w:rsid w:val="007E1548"/>
    <w:rsid w:val="007F160A"/>
    <w:rsid w:val="00821655"/>
    <w:rsid w:val="00826F3A"/>
    <w:rsid w:val="00834C22"/>
    <w:rsid w:val="00872DF4"/>
    <w:rsid w:val="00881AED"/>
    <w:rsid w:val="00885921"/>
    <w:rsid w:val="00886D0E"/>
    <w:rsid w:val="008A37E2"/>
    <w:rsid w:val="008B0623"/>
    <w:rsid w:val="008B180B"/>
    <w:rsid w:val="008C3704"/>
    <w:rsid w:val="008D5392"/>
    <w:rsid w:val="008E2614"/>
    <w:rsid w:val="008E30ED"/>
    <w:rsid w:val="008E3E0B"/>
    <w:rsid w:val="008F01E5"/>
    <w:rsid w:val="008F2DA9"/>
    <w:rsid w:val="008F696C"/>
    <w:rsid w:val="00904E4D"/>
    <w:rsid w:val="009164CD"/>
    <w:rsid w:val="009202A4"/>
    <w:rsid w:val="0094242D"/>
    <w:rsid w:val="00944332"/>
    <w:rsid w:val="009449F0"/>
    <w:rsid w:val="00947335"/>
    <w:rsid w:val="00962BD4"/>
    <w:rsid w:val="0096627B"/>
    <w:rsid w:val="009708A3"/>
    <w:rsid w:val="00970B7A"/>
    <w:rsid w:val="009B6552"/>
    <w:rsid w:val="009C4DAE"/>
    <w:rsid w:val="009E00EF"/>
    <w:rsid w:val="009E1496"/>
    <w:rsid w:val="009E44A4"/>
    <w:rsid w:val="009F0089"/>
    <w:rsid w:val="00A02273"/>
    <w:rsid w:val="00A12361"/>
    <w:rsid w:val="00A20075"/>
    <w:rsid w:val="00A3685A"/>
    <w:rsid w:val="00A4093A"/>
    <w:rsid w:val="00A415B8"/>
    <w:rsid w:val="00A512A4"/>
    <w:rsid w:val="00A56913"/>
    <w:rsid w:val="00A65287"/>
    <w:rsid w:val="00A75F47"/>
    <w:rsid w:val="00A851AC"/>
    <w:rsid w:val="00A9250B"/>
    <w:rsid w:val="00AA46D4"/>
    <w:rsid w:val="00AC0321"/>
    <w:rsid w:val="00AC3778"/>
    <w:rsid w:val="00AD3AD8"/>
    <w:rsid w:val="00AD4F32"/>
    <w:rsid w:val="00B05AFB"/>
    <w:rsid w:val="00B1696B"/>
    <w:rsid w:val="00B36EB0"/>
    <w:rsid w:val="00B45EB3"/>
    <w:rsid w:val="00BA2220"/>
    <w:rsid w:val="00BA4B18"/>
    <w:rsid w:val="00BB3C8C"/>
    <w:rsid w:val="00BD3508"/>
    <w:rsid w:val="00BE0A77"/>
    <w:rsid w:val="00BF1FE1"/>
    <w:rsid w:val="00BF367D"/>
    <w:rsid w:val="00BF691B"/>
    <w:rsid w:val="00C07478"/>
    <w:rsid w:val="00C41D95"/>
    <w:rsid w:val="00C84BC2"/>
    <w:rsid w:val="00C8791E"/>
    <w:rsid w:val="00C91D9C"/>
    <w:rsid w:val="00CE3BCC"/>
    <w:rsid w:val="00CE7FE0"/>
    <w:rsid w:val="00CF1750"/>
    <w:rsid w:val="00D07CF2"/>
    <w:rsid w:val="00D15670"/>
    <w:rsid w:val="00D22DF8"/>
    <w:rsid w:val="00D36911"/>
    <w:rsid w:val="00D43F3F"/>
    <w:rsid w:val="00D52B8C"/>
    <w:rsid w:val="00D64104"/>
    <w:rsid w:val="00D660F0"/>
    <w:rsid w:val="00D7706D"/>
    <w:rsid w:val="00D808FE"/>
    <w:rsid w:val="00D84E09"/>
    <w:rsid w:val="00DB0F9C"/>
    <w:rsid w:val="00DB4A64"/>
    <w:rsid w:val="00DB5D95"/>
    <w:rsid w:val="00DB67DA"/>
    <w:rsid w:val="00DB7BF4"/>
    <w:rsid w:val="00DB7FE4"/>
    <w:rsid w:val="00DF7E63"/>
    <w:rsid w:val="00E01856"/>
    <w:rsid w:val="00E030B2"/>
    <w:rsid w:val="00E5331E"/>
    <w:rsid w:val="00E670FB"/>
    <w:rsid w:val="00E67F98"/>
    <w:rsid w:val="00E740C1"/>
    <w:rsid w:val="00E75857"/>
    <w:rsid w:val="00E76B0E"/>
    <w:rsid w:val="00E9440F"/>
    <w:rsid w:val="00EA2444"/>
    <w:rsid w:val="00EA37B3"/>
    <w:rsid w:val="00EA7CC6"/>
    <w:rsid w:val="00EC0EC2"/>
    <w:rsid w:val="00EC4A0D"/>
    <w:rsid w:val="00EE0F18"/>
    <w:rsid w:val="00EE786C"/>
    <w:rsid w:val="00EF11B6"/>
    <w:rsid w:val="00EF1394"/>
    <w:rsid w:val="00EF3DE7"/>
    <w:rsid w:val="00EF3DEA"/>
    <w:rsid w:val="00F1047F"/>
    <w:rsid w:val="00F15221"/>
    <w:rsid w:val="00F25502"/>
    <w:rsid w:val="00F25EEF"/>
    <w:rsid w:val="00F34938"/>
    <w:rsid w:val="00F358A4"/>
    <w:rsid w:val="00F5484A"/>
    <w:rsid w:val="00F549B6"/>
    <w:rsid w:val="00F66A6B"/>
    <w:rsid w:val="00F74486"/>
    <w:rsid w:val="00F91C4A"/>
    <w:rsid w:val="00F94320"/>
    <w:rsid w:val="00F963D8"/>
    <w:rsid w:val="00FA28A4"/>
    <w:rsid w:val="00FA3C6F"/>
    <w:rsid w:val="00FD143B"/>
    <w:rsid w:val="00FD63A5"/>
    <w:rsid w:val="00FD7989"/>
    <w:rsid w:val="00FF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45EC"/>
  <w15:chartTrackingRefBased/>
  <w15:docId w15:val="{E573AB61-DF50-4286-9EFA-A7EE55061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B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B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B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B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B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B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B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B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B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B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B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B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B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B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B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B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B1D"/>
    <w:rPr>
      <w:rFonts w:eastAsiaTheme="majorEastAsia" w:cstheme="majorBidi"/>
      <w:color w:val="272727" w:themeColor="text1" w:themeTint="D8"/>
    </w:rPr>
  </w:style>
  <w:style w:type="paragraph" w:styleId="Title">
    <w:name w:val="Title"/>
    <w:basedOn w:val="Normal"/>
    <w:next w:val="Normal"/>
    <w:link w:val="TitleChar"/>
    <w:uiPriority w:val="10"/>
    <w:qFormat/>
    <w:rsid w:val="002B1B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B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B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B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B1D"/>
    <w:pPr>
      <w:spacing w:before="160"/>
      <w:jc w:val="center"/>
    </w:pPr>
    <w:rPr>
      <w:i/>
      <w:iCs/>
      <w:color w:val="404040" w:themeColor="text1" w:themeTint="BF"/>
    </w:rPr>
  </w:style>
  <w:style w:type="character" w:customStyle="1" w:styleId="QuoteChar">
    <w:name w:val="Quote Char"/>
    <w:basedOn w:val="DefaultParagraphFont"/>
    <w:link w:val="Quote"/>
    <w:uiPriority w:val="29"/>
    <w:rsid w:val="002B1B1D"/>
    <w:rPr>
      <w:i/>
      <w:iCs/>
      <w:color w:val="404040" w:themeColor="text1" w:themeTint="BF"/>
    </w:rPr>
  </w:style>
  <w:style w:type="paragraph" w:styleId="ListParagraph">
    <w:name w:val="List Paragraph"/>
    <w:basedOn w:val="Normal"/>
    <w:uiPriority w:val="34"/>
    <w:qFormat/>
    <w:rsid w:val="002B1B1D"/>
    <w:pPr>
      <w:ind w:left="720"/>
      <w:contextualSpacing/>
    </w:pPr>
  </w:style>
  <w:style w:type="character" w:styleId="IntenseEmphasis">
    <w:name w:val="Intense Emphasis"/>
    <w:basedOn w:val="DefaultParagraphFont"/>
    <w:uiPriority w:val="21"/>
    <w:qFormat/>
    <w:rsid w:val="002B1B1D"/>
    <w:rPr>
      <w:i/>
      <w:iCs/>
      <w:color w:val="0F4761" w:themeColor="accent1" w:themeShade="BF"/>
    </w:rPr>
  </w:style>
  <w:style w:type="paragraph" w:styleId="IntenseQuote">
    <w:name w:val="Intense Quote"/>
    <w:basedOn w:val="Normal"/>
    <w:next w:val="Normal"/>
    <w:link w:val="IntenseQuoteChar"/>
    <w:uiPriority w:val="30"/>
    <w:qFormat/>
    <w:rsid w:val="002B1B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B1D"/>
    <w:rPr>
      <w:i/>
      <w:iCs/>
      <w:color w:val="0F4761" w:themeColor="accent1" w:themeShade="BF"/>
    </w:rPr>
  </w:style>
  <w:style w:type="character" w:styleId="IntenseReference">
    <w:name w:val="Intense Reference"/>
    <w:basedOn w:val="DefaultParagraphFont"/>
    <w:uiPriority w:val="32"/>
    <w:qFormat/>
    <w:rsid w:val="002B1B1D"/>
    <w:rPr>
      <w:b/>
      <w:bCs/>
      <w:smallCaps/>
      <w:color w:val="0F4761" w:themeColor="accent1" w:themeShade="BF"/>
      <w:spacing w:val="5"/>
    </w:rPr>
  </w:style>
  <w:style w:type="paragraph" w:customStyle="1" w:styleId="Body">
    <w:name w:val="Body"/>
    <w:rsid w:val="002B1B1D"/>
    <w:pPr>
      <w:pBdr>
        <w:top w:val="nil"/>
        <w:left w:val="nil"/>
        <w:bottom w:val="nil"/>
        <w:right w:val="nil"/>
        <w:between w:val="nil"/>
        <w:bar w:val="nil"/>
      </w:pBdr>
      <w:spacing w:after="0"/>
    </w:pPr>
    <w:rPr>
      <w:rFonts w:ascii="Arial" w:eastAsia="Arial" w:hAnsi="Arial" w:cs="Arial"/>
      <w:color w:val="000000"/>
      <w:kern w:val="0"/>
      <w:u w:color="000000"/>
      <w:bdr w:val="nil"/>
      <w:lang w:eastAsia="en-GB"/>
    </w:rPr>
  </w:style>
  <w:style w:type="character" w:styleId="Emphasis">
    <w:name w:val="Emphasis"/>
    <w:basedOn w:val="DefaultParagraphFont"/>
    <w:uiPriority w:val="20"/>
    <w:qFormat/>
    <w:rsid w:val="0053009E"/>
    <w:rPr>
      <w:i/>
      <w:iCs/>
    </w:rPr>
  </w:style>
  <w:style w:type="character" w:styleId="Hyperlink">
    <w:name w:val="Hyperlink"/>
    <w:basedOn w:val="DefaultParagraphFont"/>
    <w:uiPriority w:val="99"/>
    <w:unhideWhenUsed/>
    <w:rsid w:val="0053009E"/>
    <w:rPr>
      <w:color w:val="0000FF"/>
      <w:u w:val="single"/>
    </w:rPr>
  </w:style>
  <w:style w:type="character" w:styleId="UnresolvedMention">
    <w:name w:val="Unresolved Mention"/>
    <w:basedOn w:val="DefaultParagraphFont"/>
    <w:uiPriority w:val="99"/>
    <w:semiHidden/>
    <w:unhideWhenUsed/>
    <w:rsid w:val="004A3681"/>
    <w:rPr>
      <w:color w:val="605E5C"/>
      <w:shd w:val="clear" w:color="auto" w:fill="E1DFDD"/>
    </w:rPr>
  </w:style>
  <w:style w:type="paragraph" w:styleId="NormalWeb">
    <w:name w:val="Normal (Web)"/>
    <w:basedOn w:val="Normal"/>
    <w:uiPriority w:val="99"/>
    <w:semiHidden/>
    <w:unhideWhenUsed/>
    <w:rsid w:val="00130C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Listparag">
    <w:name w:val="List parag"/>
    <w:rsid w:val="003C0BD2"/>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paragraph" w:styleId="Header">
    <w:name w:val="header"/>
    <w:basedOn w:val="Normal"/>
    <w:link w:val="HeaderChar"/>
    <w:unhideWhenUsed/>
    <w:rsid w:val="00503B62"/>
    <w:pPr>
      <w:tabs>
        <w:tab w:val="center" w:pos="4513"/>
        <w:tab w:val="right" w:pos="9026"/>
      </w:tabs>
      <w:spacing w:after="0" w:line="240" w:lineRule="auto"/>
    </w:pPr>
  </w:style>
  <w:style w:type="character" w:customStyle="1" w:styleId="HeaderChar">
    <w:name w:val="Header Char"/>
    <w:basedOn w:val="DefaultParagraphFont"/>
    <w:link w:val="Header"/>
    <w:rsid w:val="00503B62"/>
  </w:style>
  <w:style w:type="paragraph" w:styleId="Footer">
    <w:name w:val="footer"/>
    <w:basedOn w:val="Normal"/>
    <w:link w:val="FooterChar"/>
    <w:uiPriority w:val="99"/>
    <w:unhideWhenUsed/>
    <w:rsid w:val="00503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8726">
      <w:bodyDiv w:val="1"/>
      <w:marLeft w:val="0"/>
      <w:marRight w:val="0"/>
      <w:marTop w:val="0"/>
      <w:marBottom w:val="0"/>
      <w:divBdr>
        <w:top w:val="none" w:sz="0" w:space="0" w:color="auto"/>
        <w:left w:val="none" w:sz="0" w:space="0" w:color="auto"/>
        <w:bottom w:val="none" w:sz="0" w:space="0" w:color="auto"/>
        <w:right w:val="none" w:sz="0" w:space="0" w:color="auto"/>
      </w:divBdr>
    </w:div>
    <w:div w:id="29692659">
      <w:bodyDiv w:val="1"/>
      <w:marLeft w:val="0"/>
      <w:marRight w:val="0"/>
      <w:marTop w:val="0"/>
      <w:marBottom w:val="0"/>
      <w:divBdr>
        <w:top w:val="none" w:sz="0" w:space="0" w:color="auto"/>
        <w:left w:val="none" w:sz="0" w:space="0" w:color="auto"/>
        <w:bottom w:val="none" w:sz="0" w:space="0" w:color="auto"/>
        <w:right w:val="none" w:sz="0" w:space="0" w:color="auto"/>
      </w:divBdr>
    </w:div>
    <w:div w:id="42490225">
      <w:bodyDiv w:val="1"/>
      <w:marLeft w:val="0"/>
      <w:marRight w:val="0"/>
      <w:marTop w:val="0"/>
      <w:marBottom w:val="0"/>
      <w:divBdr>
        <w:top w:val="none" w:sz="0" w:space="0" w:color="auto"/>
        <w:left w:val="none" w:sz="0" w:space="0" w:color="auto"/>
        <w:bottom w:val="none" w:sz="0" w:space="0" w:color="auto"/>
        <w:right w:val="none" w:sz="0" w:space="0" w:color="auto"/>
      </w:divBdr>
    </w:div>
    <w:div w:id="127433569">
      <w:bodyDiv w:val="1"/>
      <w:marLeft w:val="0"/>
      <w:marRight w:val="0"/>
      <w:marTop w:val="0"/>
      <w:marBottom w:val="0"/>
      <w:divBdr>
        <w:top w:val="none" w:sz="0" w:space="0" w:color="auto"/>
        <w:left w:val="none" w:sz="0" w:space="0" w:color="auto"/>
        <w:bottom w:val="none" w:sz="0" w:space="0" w:color="auto"/>
        <w:right w:val="none" w:sz="0" w:space="0" w:color="auto"/>
      </w:divBdr>
    </w:div>
    <w:div w:id="306203476">
      <w:bodyDiv w:val="1"/>
      <w:marLeft w:val="0"/>
      <w:marRight w:val="0"/>
      <w:marTop w:val="0"/>
      <w:marBottom w:val="0"/>
      <w:divBdr>
        <w:top w:val="none" w:sz="0" w:space="0" w:color="auto"/>
        <w:left w:val="none" w:sz="0" w:space="0" w:color="auto"/>
        <w:bottom w:val="none" w:sz="0" w:space="0" w:color="auto"/>
        <w:right w:val="none" w:sz="0" w:space="0" w:color="auto"/>
      </w:divBdr>
    </w:div>
    <w:div w:id="386101997">
      <w:bodyDiv w:val="1"/>
      <w:marLeft w:val="0"/>
      <w:marRight w:val="0"/>
      <w:marTop w:val="0"/>
      <w:marBottom w:val="0"/>
      <w:divBdr>
        <w:top w:val="none" w:sz="0" w:space="0" w:color="auto"/>
        <w:left w:val="none" w:sz="0" w:space="0" w:color="auto"/>
        <w:bottom w:val="none" w:sz="0" w:space="0" w:color="auto"/>
        <w:right w:val="none" w:sz="0" w:space="0" w:color="auto"/>
      </w:divBdr>
    </w:div>
    <w:div w:id="421070179">
      <w:bodyDiv w:val="1"/>
      <w:marLeft w:val="0"/>
      <w:marRight w:val="0"/>
      <w:marTop w:val="0"/>
      <w:marBottom w:val="0"/>
      <w:divBdr>
        <w:top w:val="none" w:sz="0" w:space="0" w:color="auto"/>
        <w:left w:val="none" w:sz="0" w:space="0" w:color="auto"/>
        <w:bottom w:val="none" w:sz="0" w:space="0" w:color="auto"/>
        <w:right w:val="none" w:sz="0" w:space="0" w:color="auto"/>
      </w:divBdr>
    </w:div>
    <w:div w:id="474761161">
      <w:bodyDiv w:val="1"/>
      <w:marLeft w:val="0"/>
      <w:marRight w:val="0"/>
      <w:marTop w:val="0"/>
      <w:marBottom w:val="0"/>
      <w:divBdr>
        <w:top w:val="none" w:sz="0" w:space="0" w:color="auto"/>
        <w:left w:val="none" w:sz="0" w:space="0" w:color="auto"/>
        <w:bottom w:val="none" w:sz="0" w:space="0" w:color="auto"/>
        <w:right w:val="none" w:sz="0" w:space="0" w:color="auto"/>
      </w:divBdr>
    </w:div>
    <w:div w:id="522741980">
      <w:bodyDiv w:val="1"/>
      <w:marLeft w:val="0"/>
      <w:marRight w:val="0"/>
      <w:marTop w:val="0"/>
      <w:marBottom w:val="0"/>
      <w:divBdr>
        <w:top w:val="none" w:sz="0" w:space="0" w:color="auto"/>
        <w:left w:val="none" w:sz="0" w:space="0" w:color="auto"/>
        <w:bottom w:val="none" w:sz="0" w:space="0" w:color="auto"/>
        <w:right w:val="none" w:sz="0" w:space="0" w:color="auto"/>
      </w:divBdr>
    </w:div>
    <w:div w:id="667829565">
      <w:bodyDiv w:val="1"/>
      <w:marLeft w:val="0"/>
      <w:marRight w:val="0"/>
      <w:marTop w:val="0"/>
      <w:marBottom w:val="0"/>
      <w:divBdr>
        <w:top w:val="none" w:sz="0" w:space="0" w:color="auto"/>
        <w:left w:val="none" w:sz="0" w:space="0" w:color="auto"/>
        <w:bottom w:val="none" w:sz="0" w:space="0" w:color="auto"/>
        <w:right w:val="none" w:sz="0" w:space="0" w:color="auto"/>
      </w:divBdr>
    </w:div>
    <w:div w:id="679624600">
      <w:bodyDiv w:val="1"/>
      <w:marLeft w:val="0"/>
      <w:marRight w:val="0"/>
      <w:marTop w:val="0"/>
      <w:marBottom w:val="0"/>
      <w:divBdr>
        <w:top w:val="none" w:sz="0" w:space="0" w:color="auto"/>
        <w:left w:val="none" w:sz="0" w:space="0" w:color="auto"/>
        <w:bottom w:val="none" w:sz="0" w:space="0" w:color="auto"/>
        <w:right w:val="none" w:sz="0" w:space="0" w:color="auto"/>
      </w:divBdr>
    </w:div>
    <w:div w:id="780566416">
      <w:bodyDiv w:val="1"/>
      <w:marLeft w:val="0"/>
      <w:marRight w:val="0"/>
      <w:marTop w:val="0"/>
      <w:marBottom w:val="0"/>
      <w:divBdr>
        <w:top w:val="none" w:sz="0" w:space="0" w:color="auto"/>
        <w:left w:val="none" w:sz="0" w:space="0" w:color="auto"/>
        <w:bottom w:val="none" w:sz="0" w:space="0" w:color="auto"/>
        <w:right w:val="none" w:sz="0" w:space="0" w:color="auto"/>
      </w:divBdr>
    </w:div>
    <w:div w:id="840924393">
      <w:bodyDiv w:val="1"/>
      <w:marLeft w:val="0"/>
      <w:marRight w:val="0"/>
      <w:marTop w:val="0"/>
      <w:marBottom w:val="0"/>
      <w:divBdr>
        <w:top w:val="none" w:sz="0" w:space="0" w:color="auto"/>
        <w:left w:val="none" w:sz="0" w:space="0" w:color="auto"/>
        <w:bottom w:val="none" w:sz="0" w:space="0" w:color="auto"/>
        <w:right w:val="none" w:sz="0" w:space="0" w:color="auto"/>
      </w:divBdr>
    </w:div>
    <w:div w:id="891035887">
      <w:bodyDiv w:val="1"/>
      <w:marLeft w:val="0"/>
      <w:marRight w:val="0"/>
      <w:marTop w:val="0"/>
      <w:marBottom w:val="0"/>
      <w:divBdr>
        <w:top w:val="none" w:sz="0" w:space="0" w:color="auto"/>
        <w:left w:val="none" w:sz="0" w:space="0" w:color="auto"/>
        <w:bottom w:val="none" w:sz="0" w:space="0" w:color="auto"/>
        <w:right w:val="none" w:sz="0" w:space="0" w:color="auto"/>
      </w:divBdr>
    </w:div>
    <w:div w:id="958491377">
      <w:bodyDiv w:val="1"/>
      <w:marLeft w:val="0"/>
      <w:marRight w:val="0"/>
      <w:marTop w:val="0"/>
      <w:marBottom w:val="0"/>
      <w:divBdr>
        <w:top w:val="none" w:sz="0" w:space="0" w:color="auto"/>
        <w:left w:val="none" w:sz="0" w:space="0" w:color="auto"/>
        <w:bottom w:val="none" w:sz="0" w:space="0" w:color="auto"/>
        <w:right w:val="none" w:sz="0" w:space="0" w:color="auto"/>
      </w:divBdr>
    </w:div>
    <w:div w:id="978068602">
      <w:bodyDiv w:val="1"/>
      <w:marLeft w:val="0"/>
      <w:marRight w:val="0"/>
      <w:marTop w:val="0"/>
      <w:marBottom w:val="0"/>
      <w:divBdr>
        <w:top w:val="none" w:sz="0" w:space="0" w:color="auto"/>
        <w:left w:val="none" w:sz="0" w:space="0" w:color="auto"/>
        <w:bottom w:val="none" w:sz="0" w:space="0" w:color="auto"/>
        <w:right w:val="none" w:sz="0" w:space="0" w:color="auto"/>
      </w:divBdr>
    </w:div>
    <w:div w:id="1172573941">
      <w:bodyDiv w:val="1"/>
      <w:marLeft w:val="0"/>
      <w:marRight w:val="0"/>
      <w:marTop w:val="0"/>
      <w:marBottom w:val="0"/>
      <w:divBdr>
        <w:top w:val="none" w:sz="0" w:space="0" w:color="auto"/>
        <w:left w:val="none" w:sz="0" w:space="0" w:color="auto"/>
        <w:bottom w:val="none" w:sz="0" w:space="0" w:color="auto"/>
        <w:right w:val="none" w:sz="0" w:space="0" w:color="auto"/>
      </w:divBdr>
    </w:div>
    <w:div w:id="1240405252">
      <w:bodyDiv w:val="1"/>
      <w:marLeft w:val="0"/>
      <w:marRight w:val="0"/>
      <w:marTop w:val="0"/>
      <w:marBottom w:val="0"/>
      <w:divBdr>
        <w:top w:val="none" w:sz="0" w:space="0" w:color="auto"/>
        <w:left w:val="none" w:sz="0" w:space="0" w:color="auto"/>
        <w:bottom w:val="none" w:sz="0" w:space="0" w:color="auto"/>
        <w:right w:val="none" w:sz="0" w:space="0" w:color="auto"/>
      </w:divBdr>
    </w:div>
    <w:div w:id="1303728450">
      <w:bodyDiv w:val="1"/>
      <w:marLeft w:val="0"/>
      <w:marRight w:val="0"/>
      <w:marTop w:val="0"/>
      <w:marBottom w:val="0"/>
      <w:divBdr>
        <w:top w:val="none" w:sz="0" w:space="0" w:color="auto"/>
        <w:left w:val="none" w:sz="0" w:space="0" w:color="auto"/>
        <w:bottom w:val="none" w:sz="0" w:space="0" w:color="auto"/>
        <w:right w:val="none" w:sz="0" w:space="0" w:color="auto"/>
      </w:divBdr>
      <w:divsChild>
        <w:div w:id="249975022">
          <w:marLeft w:val="0"/>
          <w:marRight w:val="0"/>
          <w:marTop w:val="0"/>
          <w:marBottom w:val="0"/>
          <w:divBdr>
            <w:top w:val="none" w:sz="0" w:space="0" w:color="auto"/>
            <w:left w:val="none" w:sz="0" w:space="0" w:color="auto"/>
            <w:bottom w:val="none" w:sz="0" w:space="0" w:color="auto"/>
            <w:right w:val="none" w:sz="0" w:space="0" w:color="auto"/>
          </w:divBdr>
          <w:divsChild>
            <w:div w:id="1812595919">
              <w:marLeft w:val="0"/>
              <w:marRight w:val="0"/>
              <w:marTop w:val="0"/>
              <w:marBottom w:val="0"/>
              <w:divBdr>
                <w:top w:val="none" w:sz="0" w:space="0" w:color="auto"/>
                <w:left w:val="none" w:sz="0" w:space="0" w:color="auto"/>
                <w:bottom w:val="none" w:sz="0" w:space="0" w:color="auto"/>
                <w:right w:val="none" w:sz="0" w:space="0" w:color="auto"/>
              </w:divBdr>
              <w:divsChild>
                <w:div w:id="1216549835">
                  <w:marLeft w:val="0"/>
                  <w:marRight w:val="0"/>
                  <w:marTop w:val="0"/>
                  <w:marBottom w:val="0"/>
                  <w:divBdr>
                    <w:top w:val="none" w:sz="0" w:space="0" w:color="auto"/>
                    <w:left w:val="none" w:sz="0" w:space="0" w:color="auto"/>
                    <w:bottom w:val="none" w:sz="0" w:space="0" w:color="auto"/>
                    <w:right w:val="none" w:sz="0" w:space="0" w:color="auto"/>
                  </w:divBdr>
                  <w:divsChild>
                    <w:div w:id="235822445">
                      <w:marLeft w:val="0"/>
                      <w:marRight w:val="0"/>
                      <w:marTop w:val="0"/>
                      <w:marBottom w:val="0"/>
                      <w:divBdr>
                        <w:top w:val="none" w:sz="0" w:space="0" w:color="auto"/>
                        <w:left w:val="none" w:sz="0" w:space="0" w:color="auto"/>
                        <w:bottom w:val="none" w:sz="0" w:space="0" w:color="auto"/>
                        <w:right w:val="none" w:sz="0" w:space="0" w:color="auto"/>
                      </w:divBdr>
                      <w:divsChild>
                        <w:div w:id="664363632">
                          <w:marLeft w:val="0"/>
                          <w:marRight w:val="0"/>
                          <w:marTop w:val="0"/>
                          <w:marBottom w:val="0"/>
                          <w:divBdr>
                            <w:top w:val="none" w:sz="0" w:space="0" w:color="auto"/>
                            <w:left w:val="none" w:sz="0" w:space="0" w:color="auto"/>
                            <w:bottom w:val="none" w:sz="0" w:space="0" w:color="auto"/>
                            <w:right w:val="none" w:sz="0" w:space="0" w:color="auto"/>
                          </w:divBdr>
                          <w:divsChild>
                            <w:div w:id="1069381384">
                              <w:marLeft w:val="0"/>
                              <w:marRight w:val="0"/>
                              <w:marTop w:val="0"/>
                              <w:marBottom w:val="0"/>
                              <w:divBdr>
                                <w:top w:val="none" w:sz="0" w:space="0" w:color="auto"/>
                                <w:left w:val="none" w:sz="0" w:space="0" w:color="auto"/>
                                <w:bottom w:val="none" w:sz="0" w:space="0" w:color="auto"/>
                                <w:right w:val="none" w:sz="0" w:space="0" w:color="auto"/>
                              </w:divBdr>
                              <w:divsChild>
                                <w:div w:id="795174580">
                                  <w:marLeft w:val="0"/>
                                  <w:marRight w:val="0"/>
                                  <w:marTop w:val="0"/>
                                  <w:marBottom w:val="0"/>
                                  <w:divBdr>
                                    <w:top w:val="none" w:sz="0" w:space="0" w:color="auto"/>
                                    <w:left w:val="none" w:sz="0" w:space="0" w:color="auto"/>
                                    <w:bottom w:val="none" w:sz="0" w:space="0" w:color="auto"/>
                                    <w:right w:val="none" w:sz="0" w:space="0" w:color="auto"/>
                                  </w:divBdr>
                                  <w:divsChild>
                                    <w:div w:id="1031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306004">
          <w:marLeft w:val="0"/>
          <w:marRight w:val="0"/>
          <w:marTop w:val="0"/>
          <w:marBottom w:val="0"/>
          <w:divBdr>
            <w:top w:val="none" w:sz="0" w:space="0" w:color="auto"/>
            <w:left w:val="none" w:sz="0" w:space="0" w:color="auto"/>
            <w:bottom w:val="none" w:sz="0" w:space="0" w:color="auto"/>
            <w:right w:val="none" w:sz="0" w:space="0" w:color="auto"/>
          </w:divBdr>
          <w:divsChild>
            <w:div w:id="818151488">
              <w:marLeft w:val="0"/>
              <w:marRight w:val="0"/>
              <w:marTop w:val="0"/>
              <w:marBottom w:val="0"/>
              <w:divBdr>
                <w:top w:val="none" w:sz="0" w:space="0" w:color="auto"/>
                <w:left w:val="none" w:sz="0" w:space="0" w:color="auto"/>
                <w:bottom w:val="none" w:sz="0" w:space="0" w:color="auto"/>
                <w:right w:val="none" w:sz="0" w:space="0" w:color="auto"/>
              </w:divBdr>
              <w:divsChild>
                <w:div w:id="619193027">
                  <w:marLeft w:val="0"/>
                  <w:marRight w:val="0"/>
                  <w:marTop w:val="0"/>
                  <w:marBottom w:val="0"/>
                  <w:divBdr>
                    <w:top w:val="none" w:sz="0" w:space="0" w:color="auto"/>
                    <w:left w:val="none" w:sz="0" w:space="0" w:color="auto"/>
                    <w:bottom w:val="none" w:sz="0" w:space="0" w:color="auto"/>
                    <w:right w:val="none" w:sz="0" w:space="0" w:color="auto"/>
                  </w:divBdr>
                  <w:divsChild>
                    <w:div w:id="1534683631">
                      <w:marLeft w:val="0"/>
                      <w:marRight w:val="0"/>
                      <w:marTop w:val="0"/>
                      <w:marBottom w:val="0"/>
                      <w:divBdr>
                        <w:top w:val="none" w:sz="0" w:space="0" w:color="auto"/>
                        <w:left w:val="none" w:sz="0" w:space="0" w:color="auto"/>
                        <w:bottom w:val="none" w:sz="0" w:space="0" w:color="auto"/>
                        <w:right w:val="none" w:sz="0" w:space="0" w:color="auto"/>
                      </w:divBdr>
                      <w:divsChild>
                        <w:div w:id="405541361">
                          <w:marLeft w:val="0"/>
                          <w:marRight w:val="0"/>
                          <w:marTop w:val="0"/>
                          <w:marBottom w:val="0"/>
                          <w:divBdr>
                            <w:top w:val="none" w:sz="0" w:space="0" w:color="auto"/>
                            <w:left w:val="none" w:sz="0" w:space="0" w:color="auto"/>
                            <w:bottom w:val="none" w:sz="0" w:space="0" w:color="auto"/>
                            <w:right w:val="none" w:sz="0" w:space="0" w:color="auto"/>
                          </w:divBdr>
                          <w:divsChild>
                            <w:div w:id="1401951394">
                              <w:marLeft w:val="0"/>
                              <w:marRight w:val="0"/>
                              <w:marTop w:val="0"/>
                              <w:marBottom w:val="0"/>
                              <w:divBdr>
                                <w:top w:val="none" w:sz="0" w:space="0" w:color="auto"/>
                                <w:left w:val="none" w:sz="0" w:space="0" w:color="auto"/>
                                <w:bottom w:val="none" w:sz="0" w:space="0" w:color="auto"/>
                                <w:right w:val="none" w:sz="0" w:space="0" w:color="auto"/>
                              </w:divBdr>
                              <w:divsChild>
                                <w:div w:id="1949114552">
                                  <w:marLeft w:val="0"/>
                                  <w:marRight w:val="0"/>
                                  <w:marTop w:val="0"/>
                                  <w:marBottom w:val="0"/>
                                  <w:divBdr>
                                    <w:top w:val="none" w:sz="0" w:space="0" w:color="auto"/>
                                    <w:left w:val="none" w:sz="0" w:space="0" w:color="auto"/>
                                    <w:bottom w:val="none" w:sz="0" w:space="0" w:color="auto"/>
                                    <w:right w:val="none" w:sz="0" w:space="0" w:color="auto"/>
                                  </w:divBdr>
                                  <w:divsChild>
                                    <w:div w:id="1861747235">
                                      <w:marLeft w:val="0"/>
                                      <w:marRight w:val="0"/>
                                      <w:marTop w:val="0"/>
                                      <w:marBottom w:val="0"/>
                                      <w:divBdr>
                                        <w:top w:val="none" w:sz="0" w:space="0" w:color="auto"/>
                                        <w:left w:val="none" w:sz="0" w:space="0" w:color="auto"/>
                                        <w:bottom w:val="none" w:sz="0" w:space="0" w:color="auto"/>
                                        <w:right w:val="none" w:sz="0" w:space="0" w:color="auto"/>
                                      </w:divBdr>
                                      <w:divsChild>
                                        <w:div w:id="1032076185">
                                          <w:marLeft w:val="0"/>
                                          <w:marRight w:val="0"/>
                                          <w:marTop w:val="0"/>
                                          <w:marBottom w:val="0"/>
                                          <w:divBdr>
                                            <w:top w:val="none" w:sz="0" w:space="0" w:color="auto"/>
                                            <w:left w:val="none" w:sz="0" w:space="0" w:color="auto"/>
                                            <w:bottom w:val="none" w:sz="0" w:space="0" w:color="auto"/>
                                            <w:right w:val="none" w:sz="0" w:space="0" w:color="auto"/>
                                          </w:divBdr>
                                          <w:divsChild>
                                            <w:div w:id="121727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7636246">
          <w:marLeft w:val="0"/>
          <w:marRight w:val="0"/>
          <w:marTop w:val="0"/>
          <w:marBottom w:val="0"/>
          <w:divBdr>
            <w:top w:val="none" w:sz="0" w:space="0" w:color="auto"/>
            <w:left w:val="none" w:sz="0" w:space="0" w:color="auto"/>
            <w:bottom w:val="none" w:sz="0" w:space="0" w:color="auto"/>
            <w:right w:val="none" w:sz="0" w:space="0" w:color="auto"/>
          </w:divBdr>
          <w:divsChild>
            <w:div w:id="596713879">
              <w:marLeft w:val="0"/>
              <w:marRight w:val="0"/>
              <w:marTop w:val="0"/>
              <w:marBottom w:val="0"/>
              <w:divBdr>
                <w:top w:val="none" w:sz="0" w:space="0" w:color="auto"/>
                <w:left w:val="none" w:sz="0" w:space="0" w:color="auto"/>
                <w:bottom w:val="none" w:sz="0" w:space="0" w:color="auto"/>
                <w:right w:val="none" w:sz="0" w:space="0" w:color="auto"/>
              </w:divBdr>
              <w:divsChild>
                <w:div w:id="1144927920">
                  <w:marLeft w:val="0"/>
                  <w:marRight w:val="0"/>
                  <w:marTop w:val="0"/>
                  <w:marBottom w:val="0"/>
                  <w:divBdr>
                    <w:top w:val="none" w:sz="0" w:space="0" w:color="auto"/>
                    <w:left w:val="none" w:sz="0" w:space="0" w:color="auto"/>
                    <w:bottom w:val="none" w:sz="0" w:space="0" w:color="auto"/>
                    <w:right w:val="none" w:sz="0" w:space="0" w:color="auto"/>
                  </w:divBdr>
                  <w:divsChild>
                    <w:div w:id="1158306917">
                      <w:marLeft w:val="0"/>
                      <w:marRight w:val="0"/>
                      <w:marTop w:val="0"/>
                      <w:marBottom w:val="0"/>
                      <w:divBdr>
                        <w:top w:val="none" w:sz="0" w:space="0" w:color="auto"/>
                        <w:left w:val="none" w:sz="0" w:space="0" w:color="auto"/>
                        <w:bottom w:val="none" w:sz="0" w:space="0" w:color="auto"/>
                        <w:right w:val="none" w:sz="0" w:space="0" w:color="auto"/>
                      </w:divBdr>
                      <w:divsChild>
                        <w:div w:id="522281566">
                          <w:marLeft w:val="0"/>
                          <w:marRight w:val="0"/>
                          <w:marTop w:val="0"/>
                          <w:marBottom w:val="0"/>
                          <w:divBdr>
                            <w:top w:val="none" w:sz="0" w:space="0" w:color="auto"/>
                            <w:left w:val="none" w:sz="0" w:space="0" w:color="auto"/>
                            <w:bottom w:val="none" w:sz="0" w:space="0" w:color="auto"/>
                            <w:right w:val="none" w:sz="0" w:space="0" w:color="auto"/>
                          </w:divBdr>
                          <w:divsChild>
                            <w:div w:id="1215770431">
                              <w:marLeft w:val="0"/>
                              <w:marRight w:val="0"/>
                              <w:marTop w:val="0"/>
                              <w:marBottom w:val="0"/>
                              <w:divBdr>
                                <w:top w:val="none" w:sz="0" w:space="0" w:color="auto"/>
                                <w:left w:val="none" w:sz="0" w:space="0" w:color="auto"/>
                                <w:bottom w:val="none" w:sz="0" w:space="0" w:color="auto"/>
                                <w:right w:val="none" w:sz="0" w:space="0" w:color="auto"/>
                              </w:divBdr>
                              <w:divsChild>
                                <w:div w:id="194777872">
                                  <w:marLeft w:val="0"/>
                                  <w:marRight w:val="0"/>
                                  <w:marTop w:val="0"/>
                                  <w:marBottom w:val="0"/>
                                  <w:divBdr>
                                    <w:top w:val="none" w:sz="0" w:space="0" w:color="auto"/>
                                    <w:left w:val="none" w:sz="0" w:space="0" w:color="auto"/>
                                    <w:bottom w:val="none" w:sz="0" w:space="0" w:color="auto"/>
                                    <w:right w:val="none" w:sz="0" w:space="0" w:color="auto"/>
                                  </w:divBdr>
                                  <w:divsChild>
                                    <w:div w:id="2472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0231283">
          <w:marLeft w:val="0"/>
          <w:marRight w:val="0"/>
          <w:marTop w:val="0"/>
          <w:marBottom w:val="0"/>
          <w:divBdr>
            <w:top w:val="none" w:sz="0" w:space="0" w:color="auto"/>
            <w:left w:val="none" w:sz="0" w:space="0" w:color="auto"/>
            <w:bottom w:val="none" w:sz="0" w:space="0" w:color="auto"/>
            <w:right w:val="none" w:sz="0" w:space="0" w:color="auto"/>
          </w:divBdr>
          <w:divsChild>
            <w:div w:id="1406025216">
              <w:marLeft w:val="0"/>
              <w:marRight w:val="0"/>
              <w:marTop w:val="0"/>
              <w:marBottom w:val="0"/>
              <w:divBdr>
                <w:top w:val="none" w:sz="0" w:space="0" w:color="auto"/>
                <w:left w:val="none" w:sz="0" w:space="0" w:color="auto"/>
                <w:bottom w:val="none" w:sz="0" w:space="0" w:color="auto"/>
                <w:right w:val="none" w:sz="0" w:space="0" w:color="auto"/>
              </w:divBdr>
              <w:divsChild>
                <w:div w:id="2058890349">
                  <w:marLeft w:val="0"/>
                  <w:marRight w:val="0"/>
                  <w:marTop w:val="0"/>
                  <w:marBottom w:val="0"/>
                  <w:divBdr>
                    <w:top w:val="none" w:sz="0" w:space="0" w:color="auto"/>
                    <w:left w:val="none" w:sz="0" w:space="0" w:color="auto"/>
                    <w:bottom w:val="none" w:sz="0" w:space="0" w:color="auto"/>
                    <w:right w:val="none" w:sz="0" w:space="0" w:color="auto"/>
                  </w:divBdr>
                  <w:divsChild>
                    <w:div w:id="30956897">
                      <w:marLeft w:val="0"/>
                      <w:marRight w:val="0"/>
                      <w:marTop w:val="0"/>
                      <w:marBottom w:val="0"/>
                      <w:divBdr>
                        <w:top w:val="none" w:sz="0" w:space="0" w:color="auto"/>
                        <w:left w:val="none" w:sz="0" w:space="0" w:color="auto"/>
                        <w:bottom w:val="none" w:sz="0" w:space="0" w:color="auto"/>
                        <w:right w:val="none" w:sz="0" w:space="0" w:color="auto"/>
                      </w:divBdr>
                      <w:divsChild>
                        <w:div w:id="1232037798">
                          <w:marLeft w:val="0"/>
                          <w:marRight w:val="0"/>
                          <w:marTop w:val="0"/>
                          <w:marBottom w:val="0"/>
                          <w:divBdr>
                            <w:top w:val="none" w:sz="0" w:space="0" w:color="auto"/>
                            <w:left w:val="none" w:sz="0" w:space="0" w:color="auto"/>
                            <w:bottom w:val="none" w:sz="0" w:space="0" w:color="auto"/>
                            <w:right w:val="none" w:sz="0" w:space="0" w:color="auto"/>
                          </w:divBdr>
                          <w:divsChild>
                            <w:div w:id="338124508">
                              <w:marLeft w:val="0"/>
                              <w:marRight w:val="0"/>
                              <w:marTop w:val="0"/>
                              <w:marBottom w:val="0"/>
                              <w:divBdr>
                                <w:top w:val="none" w:sz="0" w:space="0" w:color="auto"/>
                                <w:left w:val="none" w:sz="0" w:space="0" w:color="auto"/>
                                <w:bottom w:val="none" w:sz="0" w:space="0" w:color="auto"/>
                                <w:right w:val="none" w:sz="0" w:space="0" w:color="auto"/>
                              </w:divBdr>
                              <w:divsChild>
                                <w:div w:id="2123263938">
                                  <w:marLeft w:val="0"/>
                                  <w:marRight w:val="0"/>
                                  <w:marTop w:val="0"/>
                                  <w:marBottom w:val="0"/>
                                  <w:divBdr>
                                    <w:top w:val="none" w:sz="0" w:space="0" w:color="auto"/>
                                    <w:left w:val="none" w:sz="0" w:space="0" w:color="auto"/>
                                    <w:bottom w:val="none" w:sz="0" w:space="0" w:color="auto"/>
                                    <w:right w:val="none" w:sz="0" w:space="0" w:color="auto"/>
                                  </w:divBdr>
                                  <w:divsChild>
                                    <w:div w:id="1870752518">
                                      <w:marLeft w:val="0"/>
                                      <w:marRight w:val="0"/>
                                      <w:marTop w:val="0"/>
                                      <w:marBottom w:val="0"/>
                                      <w:divBdr>
                                        <w:top w:val="none" w:sz="0" w:space="0" w:color="auto"/>
                                        <w:left w:val="none" w:sz="0" w:space="0" w:color="auto"/>
                                        <w:bottom w:val="none" w:sz="0" w:space="0" w:color="auto"/>
                                        <w:right w:val="none" w:sz="0" w:space="0" w:color="auto"/>
                                      </w:divBdr>
                                      <w:divsChild>
                                        <w:div w:id="1901285234">
                                          <w:marLeft w:val="0"/>
                                          <w:marRight w:val="0"/>
                                          <w:marTop w:val="0"/>
                                          <w:marBottom w:val="0"/>
                                          <w:divBdr>
                                            <w:top w:val="none" w:sz="0" w:space="0" w:color="auto"/>
                                            <w:left w:val="none" w:sz="0" w:space="0" w:color="auto"/>
                                            <w:bottom w:val="none" w:sz="0" w:space="0" w:color="auto"/>
                                            <w:right w:val="none" w:sz="0" w:space="0" w:color="auto"/>
                                          </w:divBdr>
                                          <w:divsChild>
                                            <w:div w:id="106132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5720139">
          <w:marLeft w:val="0"/>
          <w:marRight w:val="0"/>
          <w:marTop w:val="0"/>
          <w:marBottom w:val="0"/>
          <w:divBdr>
            <w:top w:val="none" w:sz="0" w:space="0" w:color="auto"/>
            <w:left w:val="none" w:sz="0" w:space="0" w:color="auto"/>
            <w:bottom w:val="none" w:sz="0" w:space="0" w:color="auto"/>
            <w:right w:val="none" w:sz="0" w:space="0" w:color="auto"/>
          </w:divBdr>
          <w:divsChild>
            <w:div w:id="1976567335">
              <w:marLeft w:val="0"/>
              <w:marRight w:val="0"/>
              <w:marTop w:val="0"/>
              <w:marBottom w:val="0"/>
              <w:divBdr>
                <w:top w:val="none" w:sz="0" w:space="0" w:color="auto"/>
                <w:left w:val="none" w:sz="0" w:space="0" w:color="auto"/>
                <w:bottom w:val="none" w:sz="0" w:space="0" w:color="auto"/>
                <w:right w:val="none" w:sz="0" w:space="0" w:color="auto"/>
              </w:divBdr>
              <w:divsChild>
                <w:div w:id="779842117">
                  <w:marLeft w:val="0"/>
                  <w:marRight w:val="0"/>
                  <w:marTop w:val="0"/>
                  <w:marBottom w:val="0"/>
                  <w:divBdr>
                    <w:top w:val="none" w:sz="0" w:space="0" w:color="auto"/>
                    <w:left w:val="none" w:sz="0" w:space="0" w:color="auto"/>
                    <w:bottom w:val="none" w:sz="0" w:space="0" w:color="auto"/>
                    <w:right w:val="none" w:sz="0" w:space="0" w:color="auto"/>
                  </w:divBdr>
                  <w:divsChild>
                    <w:div w:id="400298834">
                      <w:marLeft w:val="0"/>
                      <w:marRight w:val="0"/>
                      <w:marTop w:val="0"/>
                      <w:marBottom w:val="0"/>
                      <w:divBdr>
                        <w:top w:val="none" w:sz="0" w:space="0" w:color="auto"/>
                        <w:left w:val="none" w:sz="0" w:space="0" w:color="auto"/>
                        <w:bottom w:val="none" w:sz="0" w:space="0" w:color="auto"/>
                        <w:right w:val="none" w:sz="0" w:space="0" w:color="auto"/>
                      </w:divBdr>
                      <w:divsChild>
                        <w:div w:id="2127649549">
                          <w:marLeft w:val="0"/>
                          <w:marRight w:val="0"/>
                          <w:marTop w:val="0"/>
                          <w:marBottom w:val="0"/>
                          <w:divBdr>
                            <w:top w:val="none" w:sz="0" w:space="0" w:color="auto"/>
                            <w:left w:val="none" w:sz="0" w:space="0" w:color="auto"/>
                            <w:bottom w:val="none" w:sz="0" w:space="0" w:color="auto"/>
                            <w:right w:val="none" w:sz="0" w:space="0" w:color="auto"/>
                          </w:divBdr>
                          <w:divsChild>
                            <w:div w:id="1943877389">
                              <w:marLeft w:val="0"/>
                              <w:marRight w:val="0"/>
                              <w:marTop w:val="0"/>
                              <w:marBottom w:val="0"/>
                              <w:divBdr>
                                <w:top w:val="none" w:sz="0" w:space="0" w:color="auto"/>
                                <w:left w:val="none" w:sz="0" w:space="0" w:color="auto"/>
                                <w:bottom w:val="none" w:sz="0" w:space="0" w:color="auto"/>
                                <w:right w:val="none" w:sz="0" w:space="0" w:color="auto"/>
                              </w:divBdr>
                              <w:divsChild>
                                <w:div w:id="994918898">
                                  <w:marLeft w:val="0"/>
                                  <w:marRight w:val="0"/>
                                  <w:marTop w:val="0"/>
                                  <w:marBottom w:val="0"/>
                                  <w:divBdr>
                                    <w:top w:val="none" w:sz="0" w:space="0" w:color="auto"/>
                                    <w:left w:val="none" w:sz="0" w:space="0" w:color="auto"/>
                                    <w:bottom w:val="none" w:sz="0" w:space="0" w:color="auto"/>
                                    <w:right w:val="none" w:sz="0" w:space="0" w:color="auto"/>
                                  </w:divBdr>
                                  <w:divsChild>
                                    <w:div w:id="124842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577645">
      <w:bodyDiv w:val="1"/>
      <w:marLeft w:val="0"/>
      <w:marRight w:val="0"/>
      <w:marTop w:val="0"/>
      <w:marBottom w:val="0"/>
      <w:divBdr>
        <w:top w:val="none" w:sz="0" w:space="0" w:color="auto"/>
        <w:left w:val="none" w:sz="0" w:space="0" w:color="auto"/>
        <w:bottom w:val="none" w:sz="0" w:space="0" w:color="auto"/>
        <w:right w:val="none" w:sz="0" w:space="0" w:color="auto"/>
      </w:divBdr>
    </w:div>
    <w:div w:id="1416366934">
      <w:bodyDiv w:val="1"/>
      <w:marLeft w:val="0"/>
      <w:marRight w:val="0"/>
      <w:marTop w:val="0"/>
      <w:marBottom w:val="0"/>
      <w:divBdr>
        <w:top w:val="none" w:sz="0" w:space="0" w:color="auto"/>
        <w:left w:val="none" w:sz="0" w:space="0" w:color="auto"/>
        <w:bottom w:val="none" w:sz="0" w:space="0" w:color="auto"/>
        <w:right w:val="none" w:sz="0" w:space="0" w:color="auto"/>
      </w:divBdr>
    </w:div>
    <w:div w:id="1485898395">
      <w:bodyDiv w:val="1"/>
      <w:marLeft w:val="0"/>
      <w:marRight w:val="0"/>
      <w:marTop w:val="0"/>
      <w:marBottom w:val="0"/>
      <w:divBdr>
        <w:top w:val="none" w:sz="0" w:space="0" w:color="auto"/>
        <w:left w:val="none" w:sz="0" w:space="0" w:color="auto"/>
        <w:bottom w:val="none" w:sz="0" w:space="0" w:color="auto"/>
        <w:right w:val="none" w:sz="0" w:space="0" w:color="auto"/>
      </w:divBdr>
      <w:divsChild>
        <w:div w:id="1962375532">
          <w:marLeft w:val="0"/>
          <w:marRight w:val="0"/>
          <w:marTop w:val="0"/>
          <w:marBottom w:val="0"/>
          <w:divBdr>
            <w:top w:val="none" w:sz="0" w:space="0" w:color="auto"/>
            <w:left w:val="none" w:sz="0" w:space="0" w:color="auto"/>
            <w:bottom w:val="none" w:sz="0" w:space="0" w:color="auto"/>
            <w:right w:val="none" w:sz="0" w:space="0" w:color="auto"/>
          </w:divBdr>
          <w:divsChild>
            <w:div w:id="122337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42561">
      <w:bodyDiv w:val="1"/>
      <w:marLeft w:val="0"/>
      <w:marRight w:val="0"/>
      <w:marTop w:val="0"/>
      <w:marBottom w:val="0"/>
      <w:divBdr>
        <w:top w:val="none" w:sz="0" w:space="0" w:color="auto"/>
        <w:left w:val="none" w:sz="0" w:space="0" w:color="auto"/>
        <w:bottom w:val="none" w:sz="0" w:space="0" w:color="auto"/>
        <w:right w:val="none" w:sz="0" w:space="0" w:color="auto"/>
      </w:divBdr>
      <w:divsChild>
        <w:div w:id="2060279720">
          <w:marLeft w:val="0"/>
          <w:marRight w:val="0"/>
          <w:marTop w:val="0"/>
          <w:marBottom w:val="0"/>
          <w:divBdr>
            <w:top w:val="none" w:sz="0" w:space="0" w:color="auto"/>
            <w:left w:val="none" w:sz="0" w:space="0" w:color="auto"/>
            <w:bottom w:val="none" w:sz="0" w:space="0" w:color="auto"/>
            <w:right w:val="none" w:sz="0" w:space="0" w:color="auto"/>
          </w:divBdr>
          <w:divsChild>
            <w:div w:id="1768963676">
              <w:marLeft w:val="0"/>
              <w:marRight w:val="0"/>
              <w:marTop w:val="0"/>
              <w:marBottom w:val="0"/>
              <w:divBdr>
                <w:top w:val="none" w:sz="0" w:space="0" w:color="auto"/>
                <w:left w:val="none" w:sz="0" w:space="0" w:color="auto"/>
                <w:bottom w:val="none" w:sz="0" w:space="0" w:color="auto"/>
                <w:right w:val="none" w:sz="0" w:space="0" w:color="auto"/>
              </w:divBdr>
              <w:divsChild>
                <w:div w:id="1702316807">
                  <w:marLeft w:val="0"/>
                  <w:marRight w:val="0"/>
                  <w:marTop w:val="0"/>
                  <w:marBottom w:val="0"/>
                  <w:divBdr>
                    <w:top w:val="none" w:sz="0" w:space="0" w:color="auto"/>
                    <w:left w:val="none" w:sz="0" w:space="0" w:color="auto"/>
                    <w:bottom w:val="none" w:sz="0" w:space="0" w:color="auto"/>
                    <w:right w:val="none" w:sz="0" w:space="0" w:color="auto"/>
                  </w:divBdr>
                  <w:divsChild>
                    <w:div w:id="1634141277">
                      <w:marLeft w:val="0"/>
                      <w:marRight w:val="0"/>
                      <w:marTop w:val="0"/>
                      <w:marBottom w:val="0"/>
                      <w:divBdr>
                        <w:top w:val="none" w:sz="0" w:space="0" w:color="auto"/>
                        <w:left w:val="none" w:sz="0" w:space="0" w:color="auto"/>
                        <w:bottom w:val="none" w:sz="0" w:space="0" w:color="auto"/>
                        <w:right w:val="none" w:sz="0" w:space="0" w:color="auto"/>
                      </w:divBdr>
                      <w:divsChild>
                        <w:div w:id="225577076">
                          <w:marLeft w:val="0"/>
                          <w:marRight w:val="0"/>
                          <w:marTop w:val="0"/>
                          <w:marBottom w:val="0"/>
                          <w:divBdr>
                            <w:top w:val="none" w:sz="0" w:space="0" w:color="auto"/>
                            <w:left w:val="none" w:sz="0" w:space="0" w:color="auto"/>
                            <w:bottom w:val="none" w:sz="0" w:space="0" w:color="auto"/>
                            <w:right w:val="none" w:sz="0" w:space="0" w:color="auto"/>
                          </w:divBdr>
                          <w:divsChild>
                            <w:div w:id="663554266">
                              <w:marLeft w:val="0"/>
                              <w:marRight w:val="0"/>
                              <w:marTop w:val="0"/>
                              <w:marBottom w:val="0"/>
                              <w:divBdr>
                                <w:top w:val="none" w:sz="0" w:space="0" w:color="auto"/>
                                <w:left w:val="none" w:sz="0" w:space="0" w:color="auto"/>
                                <w:bottom w:val="none" w:sz="0" w:space="0" w:color="auto"/>
                                <w:right w:val="none" w:sz="0" w:space="0" w:color="auto"/>
                              </w:divBdr>
                              <w:divsChild>
                                <w:div w:id="1017000177">
                                  <w:marLeft w:val="0"/>
                                  <w:marRight w:val="0"/>
                                  <w:marTop w:val="0"/>
                                  <w:marBottom w:val="0"/>
                                  <w:divBdr>
                                    <w:top w:val="none" w:sz="0" w:space="0" w:color="auto"/>
                                    <w:left w:val="none" w:sz="0" w:space="0" w:color="auto"/>
                                    <w:bottom w:val="none" w:sz="0" w:space="0" w:color="auto"/>
                                    <w:right w:val="none" w:sz="0" w:space="0" w:color="auto"/>
                                  </w:divBdr>
                                  <w:divsChild>
                                    <w:div w:id="44007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258732">
          <w:marLeft w:val="0"/>
          <w:marRight w:val="0"/>
          <w:marTop w:val="0"/>
          <w:marBottom w:val="0"/>
          <w:divBdr>
            <w:top w:val="none" w:sz="0" w:space="0" w:color="auto"/>
            <w:left w:val="none" w:sz="0" w:space="0" w:color="auto"/>
            <w:bottom w:val="none" w:sz="0" w:space="0" w:color="auto"/>
            <w:right w:val="none" w:sz="0" w:space="0" w:color="auto"/>
          </w:divBdr>
          <w:divsChild>
            <w:div w:id="1232958114">
              <w:marLeft w:val="0"/>
              <w:marRight w:val="0"/>
              <w:marTop w:val="0"/>
              <w:marBottom w:val="0"/>
              <w:divBdr>
                <w:top w:val="none" w:sz="0" w:space="0" w:color="auto"/>
                <w:left w:val="none" w:sz="0" w:space="0" w:color="auto"/>
                <w:bottom w:val="none" w:sz="0" w:space="0" w:color="auto"/>
                <w:right w:val="none" w:sz="0" w:space="0" w:color="auto"/>
              </w:divBdr>
              <w:divsChild>
                <w:div w:id="685403476">
                  <w:marLeft w:val="0"/>
                  <w:marRight w:val="0"/>
                  <w:marTop w:val="0"/>
                  <w:marBottom w:val="0"/>
                  <w:divBdr>
                    <w:top w:val="none" w:sz="0" w:space="0" w:color="auto"/>
                    <w:left w:val="none" w:sz="0" w:space="0" w:color="auto"/>
                    <w:bottom w:val="none" w:sz="0" w:space="0" w:color="auto"/>
                    <w:right w:val="none" w:sz="0" w:space="0" w:color="auto"/>
                  </w:divBdr>
                  <w:divsChild>
                    <w:div w:id="99037692">
                      <w:marLeft w:val="0"/>
                      <w:marRight w:val="0"/>
                      <w:marTop w:val="0"/>
                      <w:marBottom w:val="0"/>
                      <w:divBdr>
                        <w:top w:val="none" w:sz="0" w:space="0" w:color="auto"/>
                        <w:left w:val="none" w:sz="0" w:space="0" w:color="auto"/>
                        <w:bottom w:val="none" w:sz="0" w:space="0" w:color="auto"/>
                        <w:right w:val="none" w:sz="0" w:space="0" w:color="auto"/>
                      </w:divBdr>
                      <w:divsChild>
                        <w:div w:id="703135864">
                          <w:marLeft w:val="0"/>
                          <w:marRight w:val="0"/>
                          <w:marTop w:val="0"/>
                          <w:marBottom w:val="0"/>
                          <w:divBdr>
                            <w:top w:val="none" w:sz="0" w:space="0" w:color="auto"/>
                            <w:left w:val="none" w:sz="0" w:space="0" w:color="auto"/>
                            <w:bottom w:val="none" w:sz="0" w:space="0" w:color="auto"/>
                            <w:right w:val="none" w:sz="0" w:space="0" w:color="auto"/>
                          </w:divBdr>
                          <w:divsChild>
                            <w:div w:id="762260277">
                              <w:marLeft w:val="0"/>
                              <w:marRight w:val="0"/>
                              <w:marTop w:val="0"/>
                              <w:marBottom w:val="0"/>
                              <w:divBdr>
                                <w:top w:val="none" w:sz="0" w:space="0" w:color="auto"/>
                                <w:left w:val="none" w:sz="0" w:space="0" w:color="auto"/>
                                <w:bottom w:val="none" w:sz="0" w:space="0" w:color="auto"/>
                                <w:right w:val="none" w:sz="0" w:space="0" w:color="auto"/>
                              </w:divBdr>
                              <w:divsChild>
                                <w:div w:id="2037001851">
                                  <w:marLeft w:val="0"/>
                                  <w:marRight w:val="0"/>
                                  <w:marTop w:val="0"/>
                                  <w:marBottom w:val="0"/>
                                  <w:divBdr>
                                    <w:top w:val="none" w:sz="0" w:space="0" w:color="auto"/>
                                    <w:left w:val="none" w:sz="0" w:space="0" w:color="auto"/>
                                    <w:bottom w:val="none" w:sz="0" w:space="0" w:color="auto"/>
                                    <w:right w:val="none" w:sz="0" w:space="0" w:color="auto"/>
                                  </w:divBdr>
                                  <w:divsChild>
                                    <w:div w:id="280651666">
                                      <w:marLeft w:val="0"/>
                                      <w:marRight w:val="0"/>
                                      <w:marTop w:val="0"/>
                                      <w:marBottom w:val="0"/>
                                      <w:divBdr>
                                        <w:top w:val="none" w:sz="0" w:space="0" w:color="auto"/>
                                        <w:left w:val="none" w:sz="0" w:space="0" w:color="auto"/>
                                        <w:bottom w:val="none" w:sz="0" w:space="0" w:color="auto"/>
                                        <w:right w:val="none" w:sz="0" w:space="0" w:color="auto"/>
                                      </w:divBdr>
                                      <w:divsChild>
                                        <w:div w:id="624972192">
                                          <w:marLeft w:val="0"/>
                                          <w:marRight w:val="0"/>
                                          <w:marTop w:val="0"/>
                                          <w:marBottom w:val="0"/>
                                          <w:divBdr>
                                            <w:top w:val="none" w:sz="0" w:space="0" w:color="auto"/>
                                            <w:left w:val="none" w:sz="0" w:space="0" w:color="auto"/>
                                            <w:bottom w:val="none" w:sz="0" w:space="0" w:color="auto"/>
                                            <w:right w:val="none" w:sz="0" w:space="0" w:color="auto"/>
                                          </w:divBdr>
                                          <w:divsChild>
                                            <w:div w:id="115475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42117">
          <w:marLeft w:val="0"/>
          <w:marRight w:val="0"/>
          <w:marTop w:val="0"/>
          <w:marBottom w:val="0"/>
          <w:divBdr>
            <w:top w:val="none" w:sz="0" w:space="0" w:color="auto"/>
            <w:left w:val="none" w:sz="0" w:space="0" w:color="auto"/>
            <w:bottom w:val="none" w:sz="0" w:space="0" w:color="auto"/>
            <w:right w:val="none" w:sz="0" w:space="0" w:color="auto"/>
          </w:divBdr>
          <w:divsChild>
            <w:div w:id="1757706606">
              <w:marLeft w:val="0"/>
              <w:marRight w:val="0"/>
              <w:marTop w:val="0"/>
              <w:marBottom w:val="0"/>
              <w:divBdr>
                <w:top w:val="none" w:sz="0" w:space="0" w:color="auto"/>
                <w:left w:val="none" w:sz="0" w:space="0" w:color="auto"/>
                <w:bottom w:val="none" w:sz="0" w:space="0" w:color="auto"/>
                <w:right w:val="none" w:sz="0" w:space="0" w:color="auto"/>
              </w:divBdr>
              <w:divsChild>
                <w:div w:id="1813210082">
                  <w:marLeft w:val="0"/>
                  <w:marRight w:val="0"/>
                  <w:marTop w:val="0"/>
                  <w:marBottom w:val="0"/>
                  <w:divBdr>
                    <w:top w:val="none" w:sz="0" w:space="0" w:color="auto"/>
                    <w:left w:val="none" w:sz="0" w:space="0" w:color="auto"/>
                    <w:bottom w:val="none" w:sz="0" w:space="0" w:color="auto"/>
                    <w:right w:val="none" w:sz="0" w:space="0" w:color="auto"/>
                  </w:divBdr>
                  <w:divsChild>
                    <w:div w:id="1322194438">
                      <w:marLeft w:val="0"/>
                      <w:marRight w:val="0"/>
                      <w:marTop w:val="0"/>
                      <w:marBottom w:val="0"/>
                      <w:divBdr>
                        <w:top w:val="none" w:sz="0" w:space="0" w:color="auto"/>
                        <w:left w:val="none" w:sz="0" w:space="0" w:color="auto"/>
                        <w:bottom w:val="none" w:sz="0" w:space="0" w:color="auto"/>
                        <w:right w:val="none" w:sz="0" w:space="0" w:color="auto"/>
                      </w:divBdr>
                      <w:divsChild>
                        <w:div w:id="613295482">
                          <w:marLeft w:val="0"/>
                          <w:marRight w:val="0"/>
                          <w:marTop w:val="0"/>
                          <w:marBottom w:val="0"/>
                          <w:divBdr>
                            <w:top w:val="none" w:sz="0" w:space="0" w:color="auto"/>
                            <w:left w:val="none" w:sz="0" w:space="0" w:color="auto"/>
                            <w:bottom w:val="none" w:sz="0" w:space="0" w:color="auto"/>
                            <w:right w:val="none" w:sz="0" w:space="0" w:color="auto"/>
                          </w:divBdr>
                          <w:divsChild>
                            <w:div w:id="2141218400">
                              <w:marLeft w:val="0"/>
                              <w:marRight w:val="0"/>
                              <w:marTop w:val="0"/>
                              <w:marBottom w:val="0"/>
                              <w:divBdr>
                                <w:top w:val="none" w:sz="0" w:space="0" w:color="auto"/>
                                <w:left w:val="none" w:sz="0" w:space="0" w:color="auto"/>
                                <w:bottom w:val="none" w:sz="0" w:space="0" w:color="auto"/>
                                <w:right w:val="none" w:sz="0" w:space="0" w:color="auto"/>
                              </w:divBdr>
                              <w:divsChild>
                                <w:div w:id="19935208">
                                  <w:marLeft w:val="0"/>
                                  <w:marRight w:val="0"/>
                                  <w:marTop w:val="0"/>
                                  <w:marBottom w:val="0"/>
                                  <w:divBdr>
                                    <w:top w:val="none" w:sz="0" w:space="0" w:color="auto"/>
                                    <w:left w:val="none" w:sz="0" w:space="0" w:color="auto"/>
                                    <w:bottom w:val="none" w:sz="0" w:space="0" w:color="auto"/>
                                    <w:right w:val="none" w:sz="0" w:space="0" w:color="auto"/>
                                  </w:divBdr>
                                  <w:divsChild>
                                    <w:div w:id="15631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9903133">
          <w:marLeft w:val="0"/>
          <w:marRight w:val="0"/>
          <w:marTop w:val="0"/>
          <w:marBottom w:val="0"/>
          <w:divBdr>
            <w:top w:val="none" w:sz="0" w:space="0" w:color="auto"/>
            <w:left w:val="none" w:sz="0" w:space="0" w:color="auto"/>
            <w:bottom w:val="none" w:sz="0" w:space="0" w:color="auto"/>
            <w:right w:val="none" w:sz="0" w:space="0" w:color="auto"/>
          </w:divBdr>
          <w:divsChild>
            <w:div w:id="1708525327">
              <w:marLeft w:val="0"/>
              <w:marRight w:val="0"/>
              <w:marTop w:val="0"/>
              <w:marBottom w:val="0"/>
              <w:divBdr>
                <w:top w:val="none" w:sz="0" w:space="0" w:color="auto"/>
                <w:left w:val="none" w:sz="0" w:space="0" w:color="auto"/>
                <w:bottom w:val="none" w:sz="0" w:space="0" w:color="auto"/>
                <w:right w:val="none" w:sz="0" w:space="0" w:color="auto"/>
              </w:divBdr>
              <w:divsChild>
                <w:div w:id="1300109770">
                  <w:marLeft w:val="0"/>
                  <w:marRight w:val="0"/>
                  <w:marTop w:val="0"/>
                  <w:marBottom w:val="0"/>
                  <w:divBdr>
                    <w:top w:val="none" w:sz="0" w:space="0" w:color="auto"/>
                    <w:left w:val="none" w:sz="0" w:space="0" w:color="auto"/>
                    <w:bottom w:val="none" w:sz="0" w:space="0" w:color="auto"/>
                    <w:right w:val="none" w:sz="0" w:space="0" w:color="auto"/>
                  </w:divBdr>
                  <w:divsChild>
                    <w:div w:id="1485927130">
                      <w:marLeft w:val="0"/>
                      <w:marRight w:val="0"/>
                      <w:marTop w:val="0"/>
                      <w:marBottom w:val="0"/>
                      <w:divBdr>
                        <w:top w:val="none" w:sz="0" w:space="0" w:color="auto"/>
                        <w:left w:val="none" w:sz="0" w:space="0" w:color="auto"/>
                        <w:bottom w:val="none" w:sz="0" w:space="0" w:color="auto"/>
                        <w:right w:val="none" w:sz="0" w:space="0" w:color="auto"/>
                      </w:divBdr>
                      <w:divsChild>
                        <w:div w:id="670259602">
                          <w:marLeft w:val="0"/>
                          <w:marRight w:val="0"/>
                          <w:marTop w:val="0"/>
                          <w:marBottom w:val="0"/>
                          <w:divBdr>
                            <w:top w:val="none" w:sz="0" w:space="0" w:color="auto"/>
                            <w:left w:val="none" w:sz="0" w:space="0" w:color="auto"/>
                            <w:bottom w:val="none" w:sz="0" w:space="0" w:color="auto"/>
                            <w:right w:val="none" w:sz="0" w:space="0" w:color="auto"/>
                          </w:divBdr>
                          <w:divsChild>
                            <w:div w:id="1678846409">
                              <w:marLeft w:val="0"/>
                              <w:marRight w:val="0"/>
                              <w:marTop w:val="0"/>
                              <w:marBottom w:val="0"/>
                              <w:divBdr>
                                <w:top w:val="none" w:sz="0" w:space="0" w:color="auto"/>
                                <w:left w:val="none" w:sz="0" w:space="0" w:color="auto"/>
                                <w:bottom w:val="none" w:sz="0" w:space="0" w:color="auto"/>
                                <w:right w:val="none" w:sz="0" w:space="0" w:color="auto"/>
                              </w:divBdr>
                              <w:divsChild>
                                <w:div w:id="1266965359">
                                  <w:marLeft w:val="0"/>
                                  <w:marRight w:val="0"/>
                                  <w:marTop w:val="0"/>
                                  <w:marBottom w:val="0"/>
                                  <w:divBdr>
                                    <w:top w:val="none" w:sz="0" w:space="0" w:color="auto"/>
                                    <w:left w:val="none" w:sz="0" w:space="0" w:color="auto"/>
                                    <w:bottom w:val="none" w:sz="0" w:space="0" w:color="auto"/>
                                    <w:right w:val="none" w:sz="0" w:space="0" w:color="auto"/>
                                  </w:divBdr>
                                  <w:divsChild>
                                    <w:div w:id="104159066">
                                      <w:marLeft w:val="0"/>
                                      <w:marRight w:val="0"/>
                                      <w:marTop w:val="0"/>
                                      <w:marBottom w:val="0"/>
                                      <w:divBdr>
                                        <w:top w:val="none" w:sz="0" w:space="0" w:color="auto"/>
                                        <w:left w:val="none" w:sz="0" w:space="0" w:color="auto"/>
                                        <w:bottom w:val="none" w:sz="0" w:space="0" w:color="auto"/>
                                        <w:right w:val="none" w:sz="0" w:space="0" w:color="auto"/>
                                      </w:divBdr>
                                      <w:divsChild>
                                        <w:div w:id="663701029">
                                          <w:marLeft w:val="0"/>
                                          <w:marRight w:val="0"/>
                                          <w:marTop w:val="0"/>
                                          <w:marBottom w:val="0"/>
                                          <w:divBdr>
                                            <w:top w:val="none" w:sz="0" w:space="0" w:color="auto"/>
                                            <w:left w:val="none" w:sz="0" w:space="0" w:color="auto"/>
                                            <w:bottom w:val="none" w:sz="0" w:space="0" w:color="auto"/>
                                            <w:right w:val="none" w:sz="0" w:space="0" w:color="auto"/>
                                          </w:divBdr>
                                          <w:divsChild>
                                            <w:div w:id="16943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153774">
          <w:marLeft w:val="0"/>
          <w:marRight w:val="0"/>
          <w:marTop w:val="0"/>
          <w:marBottom w:val="0"/>
          <w:divBdr>
            <w:top w:val="none" w:sz="0" w:space="0" w:color="auto"/>
            <w:left w:val="none" w:sz="0" w:space="0" w:color="auto"/>
            <w:bottom w:val="none" w:sz="0" w:space="0" w:color="auto"/>
            <w:right w:val="none" w:sz="0" w:space="0" w:color="auto"/>
          </w:divBdr>
          <w:divsChild>
            <w:div w:id="1493714774">
              <w:marLeft w:val="0"/>
              <w:marRight w:val="0"/>
              <w:marTop w:val="0"/>
              <w:marBottom w:val="0"/>
              <w:divBdr>
                <w:top w:val="none" w:sz="0" w:space="0" w:color="auto"/>
                <w:left w:val="none" w:sz="0" w:space="0" w:color="auto"/>
                <w:bottom w:val="none" w:sz="0" w:space="0" w:color="auto"/>
                <w:right w:val="none" w:sz="0" w:space="0" w:color="auto"/>
              </w:divBdr>
              <w:divsChild>
                <w:div w:id="968626409">
                  <w:marLeft w:val="0"/>
                  <w:marRight w:val="0"/>
                  <w:marTop w:val="0"/>
                  <w:marBottom w:val="0"/>
                  <w:divBdr>
                    <w:top w:val="none" w:sz="0" w:space="0" w:color="auto"/>
                    <w:left w:val="none" w:sz="0" w:space="0" w:color="auto"/>
                    <w:bottom w:val="none" w:sz="0" w:space="0" w:color="auto"/>
                    <w:right w:val="none" w:sz="0" w:space="0" w:color="auto"/>
                  </w:divBdr>
                  <w:divsChild>
                    <w:div w:id="765927277">
                      <w:marLeft w:val="0"/>
                      <w:marRight w:val="0"/>
                      <w:marTop w:val="0"/>
                      <w:marBottom w:val="0"/>
                      <w:divBdr>
                        <w:top w:val="none" w:sz="0" w:space="0" w:color="auto"/>
                        <w:left w:val="none" w:sz="0" w:space="0" w:color="auto"/>
                        <w:bottom w:val="none" w:sz="0" w:space="0" w:color="auto"/>
                        <w:right w:val="none" w:sz="0" w:space="0" w:color="auto"/>
                      </w:divBdr>
                      <w:divsChild>
                        <w:div w:id="149248351">
                          <w:marLeft w:val="0"/>
                          <w:marRight w:val="0"/>
                          <w:marTop w:val="0"/>
                          <w:marBottom w:val="0"/>
                          <w:divBdr>
                            <w:top w:val="none" w:sz="0" w:space="0" w:color="auto"/>
                            <w:left w:val="none" w:sz="0" w:space="0" w:color="auto"/>
                            <w:bottom w:val="none" w:sz="0" w:space="0" w:color="auto"/>
                            <w:right w:val="none" w:sz="0" w:space="0" w:color="auto"/>
                          </w:divBdr>
                          <w:divsChild>
                            <w:div w:id="208540557">
                              <w:marLeft w:val="0"/>
                              <w:marRight w:val="0"/>
                              <w:marTop w:val="0"/>
                              <w:marBottom w:val="0"/>
                              <w:divBdr>
                                <w:top w:val="none" w:sz="0" w:space="0" w:color="auto"/>
                                <w:left w:val="none" w:sz="0" w:space="0" w:color="auto"/>
                                <w:bottom w:val="none" w:sz="0" w:space="0" w:color="auto"/>
                                <w:right w:val="none" w:sz="0" w:space="0" w:color="auto"/>
                              </w:divBdr>
                              <w:divsChild>
                                <w:div w:id="1266695499">
                                  <w:marLeft w:val="0"/>
                                  <w:marRight w:val="0"/>
                                  <w:marTop w:val="0"/>
                                  <w:marBottom w:val="0"/>
                                  <w:divBdr>
                                    <w:top w:val="none" w:sz="0" w:space="0" w:color="auto"/>
                                    <w:left w:val="none" w:sz="0" w:space="0" w:color="auto"/>
                                    <w:bottom w:val="none" w:sz="0" w:space="0" w:color="auto"/>
                                    <w:right w:val="none" w:sz="0" w:space="0" w:color="auto"/>
                                  </w:divBdr>
                                  <w:divsChild>
                                    <w:div w:id="99656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983930">
      <w:bodyDiv w:val="1"/>
      <w:marLeft w:val="0"/>
      <w:marRight w:val="0"/>
      <w:marTop w:val="0"/>
      <w:marBottom w:val="0"/>
      <w:divBdr>
        <w:top w:val="none" w:sz="0" w:space="0" w:color="auto"/>
        <w:left w:val="none" w:sz="0" w:space="0" w:color="auto"/>
        <w:bottom w:val="none" w:sz="0" w:space="0" w:color="auto"/>
        <w:right w:val="none" w:sz="0" w:space="0" w:color="auto"/>
      </w:divBdr>
    </w:div>
    <w:div w:id="1699161149">
      <w:bodyDiv w:val="1"/>
      <w:marLeft w:val="0"/>
      <w:marRight w:val="0"/>
      <w:marTop w:val="0"/>
      <w:marBottom w:val="0"/>
      <w:divBdr>
        <w:top w:val="none" w:sz="0" w:space="0" w:color="auto"/>
        <w:left w:val="none" w:sz="0" w:space="0" w:color="auto"/>
        <w:bottom w:val="none" w:sz="0" w:space="0" w:color="auto"/>
        <w:right w:val="none" w:sz="0" w:space="0" w:color="auto"/>
      </w:divBdr>
    </w:div>
    <w:div w:id="1787039415">
      <w:bodyDiv w:val="1"/>
      <w:marLeft w:val="0"/>
      <w:marRight w:val="0"/>
      <w:marTop w:val="0"/>
      <w:marBottom w:val="0"/>
      <w:divBdr>
        <w:top w:val="none" w:sz="0" w:space="0" w:color="auto"/>
        <w:left w:val="none" w:sz="0" w:space="0" w:color="auto"/>
        <w:bottom w:val="none" w:sz="0" w:space="0" w:color="auto"/>
        <w:right w:val="none" w:sz="0" w:space="0" w:color="auto"/>
      </w:divBdr>
      <w:divsChild>
        <w:div w:id="834107343">
          <w:marLeft w:val="0"/>
          <w:marRight w:val="0"/>
          <w:marTop w:val="0"/>
          <w:marBottom w:val="0"/>
          <w:divBdr>
            <w:top w:val="none" w:sz="0" w:space="0" w:color="auto"/>
            <w:left w:val="none" w:sz="0" w:space="0" w:color="auto"/>
            <w:bottom w:val="none" w:sz="0" w:space="0" w:color="auto"/>
            <w:right w:val="none" w:sz="0" w:space="0" w:color="auto"/>
          </w:divBdr>
          <w:divsChild>
            <w:div w:id="202736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31407">
      <w:bodyDiv w:val="1"/>
      <w:marLeft w:val="0"/>
      <w:marRight w:val="0"/>
      <w:marTop w:val="0"/>
      <w:marBottom w:val="0"/>
      <w:divBdr>
        <w:top w:val="none" w:sz="0" w:space="0" w:color="auto"/>
        <w:left w:val="none" w:sz="0" w:space="0" w:color="auto"/>
        <w:bottom w:val="none" w:sz="0" w:space="0" w:color="auto"/>
        <w:right w:val="none" w:sz="0" w:space="0" w:color="auto"/>
      </w:divBdr>
    </w:div>
    <w:div w:id="1859656291">
      <w:bodyDiv w:val="1"/>
      <w:marLeft w:val="0"/>
      <w:marRight w:val="0"/>
      <w:marTop w:val="0"/>
      <w:marBottom w:val="0"/>
      <w:divBdr>
        <w:top w:val="none" w:sz="0" w:space="0" w:color="auto"/>
        <w:left w:val="none" w:sz="0" w:space="0" w:color="auto"/>
        <w:bottom w:val="none" w:sz="0" w:space="0" w:color="auto"/>
        <w:right w:val="none" w:sz="0" w:space="0" w:color="auto"/>
      </w:divBdr>
    </w:div>
    <w:div w:id="1887526804">
      <w:bodyDiv w:val="1"/>
      <w:marLeft w:val="0"/>
      <w:marRight w:val="0"/>
      <w:marTop w:val="0"/>
      <w:marBottom w:val="0"/>
      <w:divBdr>
        <w:top w:val="none" w:sz="0" w:space="0" w:color="auto"/>
        <w:left w:val="none" w:sz="0" w:space="0" w:color="auto"/>
        <w:bottom w:val="none" w:sz="0" w:space="0" w:color="auto"/>
        <w:right w:val="none" w:sz="0" w:space="0" w:color="auto"/>
      </w:divBdr>
    </w:div>
    <w:div w:id="1894539809">
      <w:bodyDiv w:val="1"/>
      <w:marLeft w:val="0"/>
      <w:marRight w:val="0"/>
      <w:marTop w:val="0"/>
      <w:marBottom w:val="0"/>
      <w:divBdr>
        <w:top w:val="none" w:sz="0" w:space="0" w:color="auto"/>
        <w:left w:val="none" w:sz="0" w:space="0" w:color="auto"/>
        <w:bottom w:val="none" w:sz="0" w:space="0" w:color="auto"/>
        <w:right w:val="none" w:sz="0" w:space="0" w:color="auto"/>
      </w:divBdr>
    </w:div>
    <w:div w:id="204120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comms/the-people-profession/profession-map-pdfs/profession-map-nov-2024.pdf" TargetMode="External"/><Relationship Id="rId18" Type="http://schemas.openxmlformats.org/officeDocument/2006/relationships/hyperlink" Target="https://eur-lex.europa.eu/legal-content/EN/TXT/?uri=CELEX%3A61993CJ0450" TargetMode="External"/><Relationship Id="rId26" Type="http://schemas.openxmlformats.org/officeDocument/2006/relationships/hyperlink" Target="https://maternityaction.org.uk/advice/shared-parental-leave-and-pay/" TargetMode="External"/><Relationship Id="rId3" Type="http://schemas.openxmlformats.org/officeDocument/2006/relationships/settings" Target="settings.xml"/><Relationship Id="rId21" Type="http://schemas.openxmlformats.org/officeDocument/2006/relationships/hyperlink" Target="https://www.gov.uk/shared-parental-leave-and-pay" TargetMode="External"/><Relationship Id="rId34" Type="http://schemas.openxmlformats.org/officeDocument/2006/relationships/theme" Target="theme/theme1.xml"/><Relationship Id="rId7" Type="http://schemas.openxmlformats.org/officeDocument/2006/relationships/hyperlink" Target="https://www.acas.org.uk/checking-holiday-entitlement" TargetMode="External"/><Relationship Id="rId12" Type="http://schemas.openxmlformats.org/officeDocument/2006/relationships/hyperlink" Target="https://www.cipd.org/uk/knowledge/factsheets/diversity-factsheet/" TargetMode="External"/><Relationship Id="rId17" Type="http://schemas.openxmlformats.org/officeDocument/2006/relationships/hyperlink" Target="http://www.cipd.co.uk" TargetMode="External"/><Relationship Id="rId25" Type="http://schemas.openxmlformats.org/officeDocument/2006/relationships/hyperlink" Target="http://www.curia.europa.e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pd.co.uk" TargetMode="External"/><Relationship Id="rId20" Type="http://schemas.openxmlformats.org/officeDocument/2006/relationships/hyperlink" Target="http://www.legislation.gov.uk" TargetMode="External"/><Relationship Id="rId29" Type="http://schemas.openxmlformats.org/officeDocument/2006/relationships/hyperlink" Target="https://www.gov.uk/government/news/crack-down-on-misuse-of-non-disclosure-agreements-in-the-workpla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pd.co.uk" TargetMode="External"/><Relationship Id="rId24" Type="http://schemas.openxmlformats.org/officeDocument/2006/relationships/hyperlink" Target="https://hansard.parliament.uk/commons/2023-01-18/debates/BD8058AD-784A-4E34-A21D-58B05D7DC48C/RetainedEULaw%28RevocationAndReform%29Bill"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ipd.org/en/knowledge/factsheets/diversity-factsheet/" TargetMode="External"/><Relationship Id="rId23" Type="http://schemas.openxmlformats.org/officeDocument/2006/relationships/hyperlink" Target="https://www.gov.uk/flexible-working" TargetMode="External"/><Relationship Id="rId28" Type="http://schemas.openxmlformats.org/officeDocument/2006/relationships/hyperlink" Target="http://www.thetimes.co.uk" TargetMode="External"/><Relationship Id="rId10" Type="http://schemas.openxmlformats.org/officeDocument/2006/relationships/hyperlink" Target="https://www.cipd.org/globalassets/media/knowledge/knowledge-hub/reports/building-inclusive-workplaces-report-sept-2019_tcm18-64154.pdf" TargetMode="External"/><Relationship Id="rId19" Type="http://schemas.openxmlformats.org/officeDocument/2006/relationships/hyperlink" Target="http://www.legislation.gov.uk" TargetMode="External"/><Relationship Id="rId31" Type="http://schemas.openxmlformats.org/officeDocument/2006/relationships/hyperlink" Target="https://workingfamilies.org.uk/articles/shared-parental-leave-sharing-leave-with-a-partner-or-splitting-up-leave/" TargetMode="External"/><Relationship Id="rId4" Type="http://schemas.openxmlformats.org/officeDocument/2006/relationships/webSettings" Target="webSettings.xml"/><Relationship Id="rId9" Type="http://schemas.openxmlformats.org/officeDocument/2006/relationships/hyperlink" Target="https://publications.parliament.uk/pa/ld199900/ldjudgmt/jd991118/car.htm" TargetMode="External"/><Relationship Id="rId14" Type="http://schemas.openxmlformats.org/officeDocument/2006/relationships/hyperlink" Target="https://www.cipd.org/en/" TargetMode="External"/><Relationship Id="rId22" Type="http://schemas.openxmlformats.org/officeDocument/2006/relationships/hyperlink" Target="https://www.gov.uk/holiday-entitlement-rights" TargetMode="External"/><Relationship Id="rId27" Type="http://schemas.openxmlformats.org/officeDocument/2006/relationships/hyperlink" Target="http://www.supremecourt.uk" TargetMode="External"/><Relationship Id="rId30" Type="http://schemas.openxmlformats.org/officeDocument/2006/relationships/hyperlink" Target="https://www.legislation.gov.uk/ukpga/1996/18/section/139" TargetMode="External"/><Relationship Id="rId8" Type="http://schemas.openxmlformats.org/officeDocument/2006/relationships/hyperlink" Target="https://www.acas.org.uk/statutory-flexible-working-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4046</TotalTime>
  <Pages>13</Pages>
  <Words>5042</Words>
  <Characters>28743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Francis-Davies</dc:creator>
  <cp:keywords/>
  <dc:description/>
  <cp:lastModifiedBy>Sarah Francis-Davies</cp:lastModifiedBy>
  <cp:revision>237</cp:revision>
  <cp:lastPrinted>2025-03-21T16:03:00Z</cp:lastPrinted>
  <dcterms:created xsi:type="dcterms:W3CDTF">2025-03-14T21:11:00Z</dcterms:created>
  <dcterms:modified xsi:type="dcterms:W3CDTF">2025-03-22T11:57:00Z</dcterms:modified>
</cp:coreProperties>
</file>