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pptm" ContentType="application/vnd.ms-powerpoint.presentation.macroEnabled.12"/>
  <Default Extension="pptx" ContentType="application/vnd.openxmlformats-officedocument.presentationml.presentation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A6D74D" w14:textId="2B03B684" w:rsidR="00CB79F8" w:rsidRPr="00723366" w:rsidRDefault="00CB79F8" w:rsidP="002232B1">
      <w:pPr>
        <w:spacing w:line="480" w:lineRule="auto"/>
        <w:jc w:val="center"/>
        <w:rPr>
          <w:rFonts w:ascii="Arial" w:hAnsi="Arial" w:cs="Arial"/>
          <w:sz w:val="24"/>
        </w:rPr>
      </w:pPr>
    </w:p>
    <w:p w14:paraId="2F97F556" w14:textId="77777777" w:rsidR="00817D71" w:rsidRPr="00723366" w:rsidRDefault="00817D71" w:rsidP="002232B1">
      <w:pPr>
        <w:spacing w:line="480" w:lineRule="auto"/>
        <w:jc w:val="center"/>
        <w:rPr>
          <w:rFonts w:ascii="Arial" w:hAnsi="Arial" w:cs="Arial"/>
          <w:sz w:val="24"/>
        </w:rPr>
      </w:pPr>
    </w:p>
    <w:p w14:paraId="65A61E5B" w14:textId="77777777" w:rsidR="00817D71" w:rsidRPr="00723366" w:rsidRDefault="00817D71" w:rsidP="002232B1">
      <w:pPr>
        <w:spacing w:line="480" w:lineRule="auto"/>
        <w:jc w:val="center"/>
        <w:rPr>
          <w:rFonts w:ascii="Arial" w:eastAsia="等线" w:hAnsi="Arial" w:cs="Arial"/>
          <w:sz w:val="24"/>
          <w14:ligatures w14:val="standardContextual"/>
        </w:rPr>
      </w:pPr>
    </w:p>
    <w:p w14:paraId="30E77495" w14:textId="77777777" w:rsidR="00817D71" w:rsidRPr="00723366" w:rsidRDefault="00817D71" w:rsidP="002232B1">
      <w:pPr>
        <w:spacing w:line="480" w:lineRule="auto"/>
        <w:jc w:val="center"/>
        <w:rPr>
          <w:rFonts w:ascii="Arial" w:eastAsia="等线" w:hAnsi="Arial" w:cs="Arial"/>
          <w:sz w:val="24"/>
          <w14:ligatures w14:val="standardContextual"/>
        </w:rPr>
      </w:pPr>
    </w:p>
    <w:p w14:paraId="3A7044B5" w14:textId="77777777" w:rsidR="00817D71" w:rsidRPr="00723366" w:rsidRDefault="00817D71" w:rsidP="002232B1">
      <w:pPr>
        <w:spacing w:line="480" w:lineRule="auto"/>
        <w:jc w:val="center"/>
        <w:rPr>
          <w:rFonts w:ascii="Arial" w:eastAsia="等线" w:hAnsi="Arial" w:cs="Arial"/>
          <w:sz w:val="24"/>
          <w14:ligatures w14:val="standardContextual"/>
        </w:rPr>
      </w:pPr>
      <w:r w:rsidRPr="00723366">
        <w:rPr>
          <w:rFonts w:ascii="Arial" w:eastAsia="等线" w:hAnsi="Arial" w:cs="Arial"/>
          <w:noProof/>
          <w:sz w:val="24"/>
          <w14:ligatures w14:val="standardContextual"/>
        </w:rPr>
        <w:drawing>
          <wp:inline distT="0" distB="0" distL="0" distR="0" wp14:anchorId="425A11DE" wp14:editId="146C36BC">
            <wp:extent cx="1162050" cy="1162050"/>
            <wp:effectExtent l="0" t="0" r="0" b="0"/>
            <wp:docPr id="25039439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62050" cy="1162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089FA9" w14:textId="77777777" w:rsidR="00817D71" w:rsidRPr="00723366" w:rsidRDefault="00817D71" w:rsidP="002232B1">
      <w:pPr>
        <w:spacing w:line="480" w:lineRule="auto"/>
        <w:jc w:val="center"/>
        <w:rPr>
          <w:rFonts w:ascii="Arial" w:eastAsia="等线" w:hAnsi="Arial" w:cs="Arial"/>
          <w:sz w:val="24"/>
          <w14:ligatures w14:val="standardContextual"/>
        </w:rPr>
      </w:pPr>
    </w:p>
    <w:p w14:paraId="65E1C9F1" w14:textId="77777777" w:rsidR="00817D71" w:rsidRPr="00723366" w:rsidRDefault="00817D71" w:rsidP="002232B1">
      <w:pPr>
        <w:spacing w:line="480" w:lineRule="auto"/>
        <w:jc w:val="center"/>
        <w:rPr>
          <w:rFonts w:ascii="Arial" w:eastAsia="等线" w:hAnsi="Arial" w:cs="Arial"/>
          <w:sz w:val="24"/>
          <w14:ligatures w14:val="standardContextual"/>
        </w:rPr>
      </w:pPr>
    </w:p>
    <w:p w14:paraId="220D218F" w14:textId="4D5DE262" w:rsidR="00817D71" w:rsidRPr="00723366" w:rsidRDefault="00817D71" w:rsidP="002232B1">
      <w:pPr>
        <w:spacing w:line="480" w:lineRule="auto"/>
        <w:jc w:val="center"/>
        <w:rPr>
          <w:rFonts w:ascii="Arial" w:eastAsia="等线" w:hAnsi="Arial" w:cs="Arial"/>
          <w:sz w:val="24"/>
          <w14:ligatures w14:val="standardContextual"/>
        </w:rPr>
      </w:pPr>
      <w:r w:rsidRPr="00723366">
        <w:rPr>
          <w:rFonts w:ascii="Arial" w:eastAsia="等线" w:hAnsi="Arial" w:cs="Arial"/>
          <w:sz w:val="24"/>
          <w14:ligatures w14:val="standardContextual"/>
        </w:rPr>
        <w:t>Contemporary Issues in Management</w:t>
      </w:r>
    </w:p>
    <w:p w14:paraId="6CCD277D" w14:textId="25C2B979" w:rsidR="00817D71" w:rsidRPr="00980C06" w:rsidRDefault="00817D71" w:rsidP="002232B1">
      <w:pPr>
        <w:spacing w:line="480" w:lineRule="auto"/>
        <w:jc w:val="center"/>
        <w:rPr>
          <w:rFonts w:ascii="Arial" w:eastAsia="等线" w:hAnsi="Arial" w:cs="Arial"/>
          <w:sz w:val="24"/>
          <w14:ligatures w14:val="standardContextual"/>
        </w:rPr>
      </w:pPr>
      <w:r w:rsidRPr="00980C06">
        <w:rPr>
          <w:rFonts w:ascii="Arial" w:eastAsia="等线" w:hAnsi="Arial" w:cs="Arial"/>
          <w:sz w:val="24"/>
          <w14:ligatures w14:val="standardContextual"/>
        </w:rPr>
        <w:t>BMBM6003</w:t>
      </w:r>
    </w:p>
    <w:p w14:paraId="4774363A" w14:textId="24F3D1CD" w:rsidR="00817D71" w:rsidRPr="00723366" w:rsidRDefault="00817D71" w:rsidP="00AA2805">
      <w:pPr>
        <w:spacing w:line="480" w:lineRule="auto"/>
        <w:rPr>
          <w:rFonts w:ascii="Arial" w:eastAsia="等线" w:hAnsi="Arial" w:cs="Arial"/>
          <w:sz w:val="24"/>
          <w14:ligatures w14:val="standardContextual"/>
        </w:rPr>
      </w:pPr>
      <w:r w:rsidRPr="00723366">
        <w:rPr>
          <w:rFonts w:ascii="Arial" w:eastAsia="等线" w:hAnsi="Arial" w:cs="Arial"/>
          <w:noProof/>
          <w:sz w:val="24"/>
          <w14:ligatures w14:val="standardContextual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67C8FE8" wp14:editId="44A77AD9">
                <wp:simplePos x="0" y="0"/>
                <wp:positionH relativeFrom="column">
                  <wp:posOffset>-662177</wp:posOffset>
                </wp:positionH>
                <wp:positionV relativeFrom="paragraph">
                  <wp:posOffset>376654</wp:posOffset>
                </wp:positionV>
                <wp:extent cx="6190537" cy="24449"/>
                <wp:effectExtent l="0" t="0" r="20320" b="33020"/>
                <wp:wrapNone/>
                <wp:docPr id="2038284459" name="直接连接符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190537" cy="24449"/>
                        </a:xfrm>
                        <a:prstGeom prst="line">
                          <a:avLst/>
                        </a:prstGeom>
                        <a:noFill/>
                        <a:ln w="1270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63558D1" id="直接连接符 2" o:spid="_x0000_s1026" style="position:absolute;flip: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2.15pt,29.65pt" to="435.3pt,3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" strokecolor="#4472c4" strokeweight="1pt">
                <v:stroke joinstyle="miter"/>
              </v:line>
            </w:pict>
          </mc:Fallback>
        </mc:AlternateContent>
      </w:r>
    </w:p>
    <w:p w14:paraId="50511BDF" w14:textId="77777777" w:rsidR="00817D71" w:rsidRPr="00723366" w:rsidRDefault="00817D71" w:rsidP="002232B1">
      <w:pPr>
        <w:spacing w:line="480" w:lineRule="auto"/>
        <w:jc w:val="center"/>
        <w:rPr>
          <w:rFonts w:ascii="Arial" w:eastAsia="等线" w:hAnsi="Arial" w:cs="Arial"/>
          <w:sz w:val="24"/>
          <w14:ligatures w14:val="standardContextual"/>
        </w:rPr>
      </w:pPr>
      <w:r w:rsidRPr="00723366">
        <w:rPr>
          <w:rFonts w:ascii="Arial" w:eastAsia="等线" w:hAnsi="Arial" w:cs="Arial"/>
          <w:sz w:val="24"/>
          <w14:ligatures w14:val="standardContextual"/>
        </w:rPr>
        <w:t>Prepared for: Helen Evans</w:t>
      </w:r>
    </w:p>
    <w:p w14:paraId="52A71AD1" w14:textId="77777777" w:rsidR="00817D71" w:rsidRPr="00723366" w:rsidRDefault="00817D71" w:rsidP="002232B1">
      <w:pPr>
        <w:spacing w:line="480" w:lineRule="auto"/>
        <w:jc w:val="center"/>
        <w:rPr>
          <w:rFonts w:ascii="Arial" w:eastAsia="等线" w:hAnsi="Arial" w:cs="Arial"/>
          <w:sz w:val="24"/>
          <w14:ligatures w14:val="standardContextual"/>
        </w:rPr>
      </w:pPr>
      <w:r w:rsidRPr="00723366">
        <w:rPr>
          <w:rFonts w:ascii="Arial" w:eastAsia="等线" w:hAnsi="Arial" w:cs="Arial"/>
          <w:sz w:val="24"/>
          <w14:ligatures w14:val="standardContextual"/>
        </w:rPr>
        <w:t>Written by: Jingwei Ge</w:t>
      </w:r>
    </w:p>
    <w:p w14:paraId="6FBCB7D6" w14:textId="77777777" w:rsidR="00817D71" w:rsidRPr="00723366" w:rsidRDefault="00817D71" w:rsidP="002232B1">
      <w:pPr>
        <w:spacing w:line="480" w:lineRule="auto"/>
        <w:jc w:val="center"/>
        <w:rPr>
          <w:rFonts w:ascii="Arial" w:eastAsia="等线" w:hAnsi="Arial" w:cs="Arial"/>
          <w:sz w:val="24"/>
          <w14:ligatures w14:val="standardContextual"/>
        </w:rPr>
      </w:pPr>
      <w:r w:rsidRPr="00723366">
        <w:rPr>
          <w:rFonts w:ascii="Arial" w:eastAsia="等线" w:hAnsi="Arial" w:cs="Arial"/>
          <w:sz w:val="24"/>
          <w14:ligatures w14:val="standardContextual"/>
        </w:rPr>
        <w:t>Student ID: 2400192</w:t>
      </w:r>
    </w:p>
    <w:p w14:paraId="35E58CDF" w14:textId="7E35FBCB" w:rsidR="00817D71" w:rsidRPr="00723366" w:rsidRDefault="00817D71" w:rsidP="002232B1">
      <w:pPr>
        <w:spacing w:line="480" w:lineRule="auto"/>
        <w:jc w:val="center"/>
        <w:rPr>
          <w:rFonts w:ascii="Arial" w:eastAsia="等线" w:hAnsi="Arial" w:cs="Arial"/>
          <w:sz w:val="24"/>
          <w14:ligatures w14:val="standardContextual"/>
        </w:rPr>
      </w:pPr>
      <w:r w:rsidRPr="00723366">
        <w:rPr>
          <w:rFonts w:ascii="Arial" w:eastAsia="等线" w:hAnsi="Arial" w:cs="Arial"/>
          <w:sz w:val="24"/>
          <w14:ligatures w14:val="standardContextual"/>
        </w:rPr>
        <w:t>Date submitted:</w:t>
      </w:r>
      <w:r w:rsidR="00723366" w:rsidRPr="00723366">
        <w:rPr>
          <w:rFonts w:ascii="Arial" w:eastAsia="等线" w:hAnsi="Arial" w:cs="Arial"/>
          <w:color w:val="FF0000"/>
          <w:sz w:val="24"/>
          <w14:ligatures w14:val="standardContextual"/>
        </w:rPr>
        <w:t xml:space="preserve"> </w:t>
      </w:r>
      <w:r w:rsidR="00723366" w:rsidRPr="00723366">
        <w:rPr>
          <w:rFonts w:ascii="Arial" w:eastAsia="等线" w:hAnsi="Arial" w:cs="Arial"/>
          <w:sz w:val="24"/>
          <w14:ligatures w14:val="standardContextual"/>
        </w:rPr>
        <w:t>17th</w:t>
      </w:r>
      <w:r w:rsidRPr="00723366">
        <w:rPr>
          <w:rFonts w:ascii="Arial" w:eastAsia="等线" w:hAnsi="Arial" w:cs="Arial"/>
          <w:sz w:val="24"/>
          <w14:ligatures w14:val="standardContextual"/>
        </w:rPr>
        <w:t xml:space="preserve"> </w:t>
      </w:r>
      <w:r w:rsidR="00723366" w:rsidRPr="00723366">
        <w:rPr>
          <w:rFonts w:ascii="Arial" w:eastAsia="等线" w:hAnsi="Arial" w:cs="Arial"/>
          <w:sz w:val="24"/>
          <w14:ligatures w14:val="standardContextual"/>
        </w:rPr>
        <w:t>January 2025</w:t>
      </w:r>
    </w:p>
    <w:p w14:paraId="1DF2E573" w14:textId="77777777" w:rsidR="00817D71" w:rsidRPr="00723366" w:rsidRDefault="00817D71" w:rsidP="002232B1">
      <w:pPr>
        <w:spacing w:line="480" w:lineRule="auto"/>
        <w:jc w:val="center"/>
        <w:rPr>
          <w:rFonts w:ascii="Arial" w:hAnsi="Arial" w:cs="Arial"/>
          <w:sz w:val="24"/>
        </w:rPr>
      </w:pPr>
    </w:p>
    <w:p w14:paraId="3E2D933C" w14:textId="77777777" w:rsidR="00817D71" w:rsidRPr="00723366" w:rsidRDefault="00817D71" w:rsidP="00B2593B">
      <w:pPr>
        <w:spacing w:line="480" w:lineRule="auto"/>
        <w:jc w:val="center"/>
        <w:rPr>
          <w:rFonts w:ascii="Arial" w:hAnsi="Arial" w:cs="Arial"/>
          <w:sz w:val="24"/>
        </w:rPr>
      </w:pPr>
    </w:p>
    <w:p w14:paraId="54E33E29" w14:textId="77777777" w:rsidR="00817D71" w:rsidRPr="00723366" w:rsidRDefault="00817D71" w:rsidP="002232B1">
      <w:pPr>
        <w:spacing w:line="480" w:lineRule="auto"/>
        <w:jc w:val="center"/>
        <w:rPr>
          <w:rFonts w:ascii="Arial" w:hAnsi="Arial" w:cs="Arial"/>
          <w:sz w:val="24"/>
        </w:rPr>
      </w:pPr>
    </w:p>
    <w:p w14:paraId="1C927D1C" w14:textId="3C8703AF" w:rsidR="00817D71" w:rsidRPr="00723366" w:rsidRDefault="00817D71" w:rsidP="002232B1">
      <w:pPr>
        <w:widowControl/>
        <w:spacing w:line="480" w:lineRule="auto"/>
        <w:jc w:val="left"/>
        <w:rPr>
          <w:rFonts w:ascii="Arial" w:hAnsi="Arial" w:cs="Arial"/>
          <w:sz w:val="24"/>
        </w:rPr>
      </w:pPr>
      <w:r w:rsidRPr="00723366">
        <w:rPr>
          <w:rFonts w:ascii="Arial" w:hAnsi="Arial" w:cs="Arial"/>
          <w:sz w:val="24"/>
        </w:rPr>
        <w:br w:type="page"/>
      </w:r>
    </w:p>
    <w:p w14:paraId="1B0A9279" w14:textId="77777777" w:rsidR="00817D71" w:rsidRPr="00723366" w:rsidRDefault="00817D71" w:rsidP="002232B1">
      <w:pPr>
        <w:spacing w:line="480" w:lineRule="auto"/>
        <w:rPr>
          <w:rFonts w:ascii="Arial" w:hAnsi="Arial" w:cs="Arial"/>
          <w:sz w:val="24"/>
        </w:rPr>
      </w:pPr>
    </w:p>
    <w:p w14:paraId="2C18299A" w14:textId="795B953C" w:rsidR="008D5F6E" w:rsidRPr="00723366" w:rsidRDefault="00BD19BB" w:rsidP="008D5F6E">
      <w:pPr>
        <w:spacing w:line="480" w:lineRule="auto"/>
        <w:rPr>
          <w:rFonts w:ascii="Arial" w:hAnsi="Arial" w:cs="Arial"/>
          <w:b/>
          <w:bCs/>
          <w:sz w:val="24"/>
        </w:rPr>
      </w:pPr>
      <w:r w:rsidRPr="00BD19BB">
        <w:rPr>
          <w:rFonts w:ascii="Arial" w:hAnsi="Arial" w:cs="Arial" w:hint="eastAsia"/>
          <w:b/>
          <w:bCs/>
          <w:sz w:val="24"/>
        </w:rPr>
        <w:t>video</w:t>
      </w:r>
      <w:r w:rsidR="008D5F6E" w:rsidRPr="00723366">
        <w:rPr>
          <w:rFonts w:ascii="Arial" w:hAnsi="Arial" w:cs="Arial" w:hint="eastAsia"/>
          <w:b/>
          <w:bCs/>
          <w:sz w:val="24"/>
        </w:rPr>
        <w:t xml:space="preserve"> (</w:t>
      </w:r>
      <w:r w:rsidR="00FE207D" w:rsidRPr="00FE207D">
        <w:rPr>
          <w:rFonts w:ascii="Arial" w:hAnsi="Arial" w:cs="Arial" w:hint="eastAsia"/>
          <w:b/>
          <w:bCs/>
          <w:sz w:val="24"/>
        </w:rPr>
        <w:t>'Right mouse button can be edited and opened</w:t>
      </w:r>
      <w:r w:rsidR="008D5F6E" w:rsidRPr="00723366">
        <w:rPr>
          <w:rFonts w:ascii="Arial" w:hAnsi="Arial" w:cs="Arial" w:hint="eastAsia"/>
          <w:b/>
          <w:bCs/>
          <w:sz w:val="24"/>
        </w:rPr>
        <w:t>)</w:t>
      </w:r>
    </w:p>
    <w:p w14:paraId="4C5A338B" w14:textId="3600BC92" w:rsidR="00817D71" w:rsidRPr="008D5F6E" w:rsidRDefault="00817D71" w:rsidP="002232B1">
      <w:pPr>
        <w:spacing w:line="480" w:lineRule="auto"/>
        <w:rPr>
          <w:rFonts w:ascii="Arial" w:hAnsi="Arial" w:cs="Arial"/>
          <w:b/>
          <w:bCs/>
          <w:sz w:val="24"/>
        </w:rPr>
      </w:pPr>
    </w:p>
    <w:p w14:paraId="2A0E6924" w14:textId="77777777" w:rsidR="00817D71" w:rsidRDefault="00817D71" w:rsidP="002232B1">
      <w:pPr>
        <w:spacing w:line="480" w:lineRule="auto"/>
        <w:rPr>
          <w:rFonts w:ascii="Arial" w:hAnsi="Arial" w:cs="Arial"/>
          <w:sz w:val="24"/>
        </w:rPr>
      </w:pPr>
    </w:p>
    <w:tbl>
      <w:tblPr>
        <w:tblStyle w:val="a7"/>
        <w:tblW w:w="0" w:type="auto"/>
        <w:tblLook w:val="04A0" w:firstRow="1" w:lastRow="0" w:firstColumn="1" w:lastColumn="0" w:noHBand="0" w:noVBand="1"/>
      </w:tblPr>
      <w:tblGrid>
        <w:gridCol w:w="8296"/>
      </w:tblGrid>
      <w:tr w:rsidR="001B241C" w14:paraId="76B8EB1A" w14:textId="77777777" w:rsidTr="001B241C">
        <w:tc>
          <w:tcPr>
            <w:tcW w:w="8296" w:type="dxa"/>
          </w:tcPr>
          <w:p w14:paraId="593238C6" w14:textId="1F59682F" w:rsidR="001B241C" w:rsidRDefault="001B241C" w:rsidP="002232B1">
            <w:pPr>
              <w:spacing w:line="48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object w:dxaOrig="7845" w:dyaOrig="4414" w14:anchorId="3B70EDD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392.05pt;height:220.6pt" o:ole="">
                  <v:imagedata r:id="rId7" o:title=""/>
                </v:shape>
                <o:OLEObject Type="Embed" ProgID="PowerPoint.ShowMacroEnabled.12" ShapeID="_x0000_i1025" DrawAspect="Content" ObjectID="_1798396219" r:id="rId8"/>
              </w:object>
            </w:r>
          </w:p>
        </w:tc>
      </w:tr>
    </w:tbl>
    <w:p w14:paraId="6B3441D5" w14:textId="779F85FB" w:rsidR="00723366" w:rsidRPr="002232B1" w:rsidRDefault="00723366" w:rsidP="002232B1">
      <w:pPr>
        <w:spacing w:line="480" w:lineRule="auto"/>
        <w:rPr>
          <w:rFonts w:ascii="Arial" w:hAnsi="Arial" w:cs="Arial"/>
          <w:sz w:val="24"/>
        </w:rPr>
      </w:pPr>
    </w:p>
    <w:p w14:paraId="5FABF21D" w14:textId="2077E293" w:rsidR="00723366" w:rsidRPr="00723366" w:rsidRDefault="00723366" w:rsidP="002232B1">
      <w:pPr>
        <w:spacing w:line="480" w:lineRule="auto"/>
        <w:rPr>
          <w:rFonts w:ascii="Arial" w:hAnsi="Arial" w:cs="Arial"/>
          <w:sz w:val="24"/>
        </w:rPr>
      </w:pPr>
    </w:p>
    <w:p w14:paraId="294E9BD6" w14:textId="77777777" w:rsidR="00817D71" w:rsidRPr="00723366" w:rsidRDefault="00817D71" w:rsidP="002232B1">
      <w:pPr>
        <w:spacing w:line="480" w:lineRule="auto"/>
        <w:rPr>
          <w:rFonts w:ascii="Arial" w:hAnsi="Arial" w:cs="Arial"/>
          <w:sz w:val="24"/>
        </w:rPr>
      </w:pPr>
    </w:p>
    <w:p w14:paraId="21D7CE37" w14:textId="6F0ED46B" w:rsidR="00817D71" w:rsidRPr="00723366" w:rsidRDefault="00817D71" w:rsidP="002232B1">
      <w:pPr>
        <w:widowControl/>
        <w:spacing w:line="480" w:lineRule="auto"/>
        <w:jc w:val="left"/>
        <w:rPr>
          <w:rFonts w:ascii="Arial" w:hAnsi="Arial" w:cs="Arial"/>
          <w:sz w:val="24"/>
        </w:rPr>
      </w:pPr>
      <w:r w:rsidRPr="00723366">
        <w:rPr>
          <w:rFonts w:ascii="Arial" w:hAnsi="Arial" w:cs="Arial"/>
          <w:sz w:val="24"/>
        </w:rPr>
        <w:br w:type="page"/>
      </w:r>
    </w:p>
    <w:p w14:paraId="3F8453E0" w14:textId="77777777" w:rsidR="00817D71" w:rsidRPr="00723366" w:rsidRDefault="00817D71" w:rsidP="002232B1">
      <w:pPr>
        <w:spacing w:line="480" w:lineRule="auto"/>
        <w:rPr>
          <w:rFonts w:ascii="Arial" w:hAnsi="Arial" w:cs="Arial"/>
          <w:sz w:val="24"/>
        </w:rPr>
      </w:pPr>
    </w:p>
    <w:p w14:paraId="5A2B7083" w14:textId="5F3F539B" w:rsidR="00817D71" w:rsidRPr="00723366" w:rsidRDefault="00E9410B" w:rsidP="002232B1">
      <w:pPr>
        <w:spacing w:line="480" w:lineRule="auto"/>
        <w:rPr>
          <w:rFonts w:ascii="Arial" w:hAnsi="Arial" w:cs="Arial"/>
          <w:b/>
          <w:bCs/>
          <w:sz w:val="24"/>
        </w:rPr>
      </w:pPr>
      <w:r w:rsidRPr="00E9410B">
        <w:rPr>
          <w:rFonts w:ascii="Arial" w:hAnsi="Arial" w:cs="Arial"/>
          <w:b/>
          <w:bCs/>
          <w:sz w:val="24"/>
        </w:rPr>
        <w:t>PowerPoint</w:t>
      </w:r>
      <w:proofErr w:type="gramStart"/>
      <w:r w:rsidRPr="00E9410B">
        <w:rPr>
          <w:rFonts w:ascii="Arial" w:hAnsi="Arial" w:cs="Arial" w:hint="eastAsia"/>
          <w:b/>
          <w:bCs/>
          <w:sz w:val="24"/>
        </w:rPr>
        <w:t>:</w:t>
      </w:r>
      <w:r>
        <w:rPr>
          <w:rFonts w:ascii="Arial" w:hAnsi="Arial" w:cs="Arial" w:hint="eastAsia"/>
          <w:b/>
          <w:bCs/>
          <w:sz w:val="24"/>
        </w:rPr>
        <w:t xml:space="preserve"> </w:t>
      </w:r>
      <w:r w:rsidR="00723366" w:rsidRPr="00723366">
        <w:rPr>
          <w:rFonts w:ascii="Arial" w:hAnsi="Arial" w:cs="Arial" w:hint="eastAsia"/>
          <w:b/>
          <w:bCs/>
          <w:sz w:val="24"/>
        </w:rPr>
        <w:t xml:space="preserve"> (</w:t>
      </w:r>
      <w:proofErr w:type="gramEnd"/>
      <w:r w:rsidR="00FE207D" w:rsidRPr="00FE207D">
        <w:rPr>
          <w:rFonts w:ascii="Arial" w:hAnsi="Arial" w:cs="Arial" w:hint="eastAsia"/>
          <w:b/>
          <w:bCs/>
          <w:sz w:val="24"/>
        </w:rPr>
        <w:t>'Right mouse button can be edited and opened</w:t>
      </w:r>
      <w:r w:rsidR="00723366" w:rsidRPr="00723366">
        <w:rPr>
          <w:rFonts w:ascii="Arial" w:hAnsi="Arial" w:cs="Arial" w:hint="eastAsia"/>
          <w:b/>
          <w:bCs/>
          <w:sz w:val="24"/>
        </w:rPr>
        <w:t>)</w:t>
      </w:r>
    </w:p>
    <w:p w14:paraId="7B9AFB9D" w14:textId="77777777" w:rsidR="00723366" w:rsidRPr="00723366" w:rsidRDefault="00723366" w:rsidP="002232B1">
      <w:pPr>
        <w:spacing w:line="480" w:lineRule="auto"/>
        <w:rPr>
          <w:rFonts w:ascii="Arial" w:hAnsi="Arial" w:cs="Arial"/>
          <w:sz w:val="24"/>
        </w:rPr>
      </w:pPr>
    </w:p>
    <w:p w14:paraId="39D0E046" w14:textId="2ABA9A6F" w:rsidR="00817D71" w:rsidRPr="00723366" w:rsidRDefault="00B2593B" w:rsidP="002232B1">
      <w:pPr>
        <w:spacing w:line="48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object w:dxaOrig="1503" w:dyaOrig="1044" w14:anchorId="53C3695E">
          <v:shape id="_x0000_i1026" type="#_x0000_t75" style="width:77pt;height:51.6pt" o:ole="">
            <v:imagedata r:id="rId9" o:title=""/>
          </v:shape>
          <o:OLEObject Type="Embed" ProgID="PowerPoint.Show.12" ShapeID="_x0000_i1026" DrawAspect="Icon" ObjectID="_1798396220" r:id="rId10"/>
        </w:object>
      </w:r>
    </w:p>
    <w:p w14:paraId="24AD7A4D" w14:textId="7B3B8E0A" w:rsidR="00817D71" w:rsidRPr="00723366" w:rsidRDefault="00D77069" w:rsidP="002232B1">
      <w:pPr>
        <w:spacing w:line="480" w:lineRule="auto"/>
        <w:rPr>
          <w:rFonts w:ascii="Arial" w:hAnsi="Arial" w:cs="Arial"/>
          <w:sz w:val="24"/>
        </w:rPr>
      </w:pPr>
      <w:r>
        <w:rPr>
          <w:rFonts w:hint="eastAsia"/>
        </w:rPr>
        <w:object w:dxaOrig="1503" w:dyaOrig="1044" w14:anchorId="15573A12">
          <v:shape id="_x0000_i1031" type="#_x0000_t75" style="width:75.35pt;height:52pt" o:ole="">
            <v:imagedata r:id="rId11" o:title=""/>
          </v:shape>
          <o:OLEObject Type="Embed" ProgID="Package" ShapeID="_x0000_i1031" DrawAspect="Icon" ObjectID="_1798396221" r:id="rId12"/>
        </w:object>
      </w:r>
    </w:p>
    <w:p w14:paraId="721896BF" w14:textId="77777777" w:rsidR="00817D71" w:rsidRPr="00723366" w:rsidRDefault="00817D71" w:rsidP="002232B1">
      <w:pPr>
        <w:spacing w:line="480" w:lineRule="auto"/>
        <w:rPr>
          <w:rFonts w:ascii="Arial" w:hAnsi="Arial" w:cs="Arial"/>
          <w:sz w:val="24"/>
        </w:rPr>
      </w:pPr>
    </w:p>
    <w:p w14:paraId="4C83600E" w14:textId="6A89359F" w:rsidR="00817D71" w:rsidRPr="00723366" w:rsidRDefault="00817D71" w:rsidP="002232B1">
      <w:pPr>
        <w:widowControl/>
        <w:spacing w:line="480" w:lineRule="auto"/>
        <w:jc w:val="left"/>
        <w:rPr>
          <w:rFonts w:ascii="Arial" w:hAnsi="Arial" w:cs="Arial"/>
          <w:sz w:val="24"/>
        </w:rPr>
      </w:pPr>
      <w:r w:rsidRPr="00723366">
        <w:rPr>
          <w:rFonts w:ascii="Arial" w:hAnsi="Arial" w:cs="Arial"/>
          <w:sz w:val="24"/>
        </w:rPr>
        <w:br w:type="page"/>
      </w:r>
    </w:p>
    <w:p w14:paraId="2CDAFD70" w14:textId="77777777" w:rsidR="00817D71" w:rsidRPr="00723366" w:rsidRDefault="00817D71" w:rsidP="002232B1">
      <w:pPr>
        <w:spacing w:line="480" w:lineRule="auto"/>
        <w:rPr>
          <w:rFonts w:ascii="Arial" w:hAnsi="Arial" w:cs="Arial"/>
          <w:sz w:val="24"/>
        </w:rPr>
      </w:pPr>
    </w:p>
    <w:p w14:paraId="4CC7003F" w14:textId="6CB1E072" w:rsidR="00274603" w:rsidRPr="00723366" w:rsidRDefault="00274603" w:rsidP="002232B1">
      <w:pPr>
        <w:spacing w:line="480" w:lineRule="auto"/>
        <w:rPr>
          <w:rFonts w:ascii="Arial" w:hAnsi="Arial" w:cs="Arial"/>
          <w:b/>
          <w:bCs/>
          <w:sz w:val="24"/>
          <w14:ligatures w14:val="standardContextual"/>
        </w:rPr>
      </w:pPr>
      <w:r w:rsidRPr="00723366">
        <w:rPr>
          <w:rFonts w:ascii="Arial" w:hAnsi="Arial" w:cs="Arial"/>
          <w:b/>
          <w:bCs/>
          <w:sz w:val="24"/>
          <w14:ligatures w14:val="standardContextual"/>
        </w:rPr>
        <w:t xml:space="preserve">Reference </w:t>
      </w:r>
    </w:p>
    <w:p w14:paraId="096151EC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  <w:r w:rsidRPr="00723366">
        <w:rPr>
          <w:rFonts w:ascii="Arial" w:hAnsi="Arial" w:cs="Arial"/>
          <w:sz w:val="24"/>
          <w14:ligatures w14:val="standardContextual"/>
        </w:rPr>
        <w:t>1.Barbalace, F. (2024). The Objects and Ikea’s Environmental Imaginary. </w:t>
      </w:r>
      <w:r w:rsidRPr="00723366">
        <w:rPr>
          <w:rFonts w:ascii="Arial" w:hAnsi="Arial" w:cs="Arial"/>
          <w:i/>
          <w:iCs/>
          <w:sz w:val="24"/>
          <w14:ligatures w14:val="standardContextual"/>
        </w:rPr>
        <w:t>Italian Sociological Review</w:t>
      </w:r>
      <w:r w:rsidRPr="00723366">
        <w:rPr>
          <w:rFonts w:ascii="Arial" w:hAnsi="Arial" w:cs="Arial"/>
          <w:sz w:val="24"/>
          <w14:ligatures w14:val="standardContextual"/>
        </w:rPr>
        <w:t>, </w:t>
      </w:r>
      <w:r w:rsidRPr="00723366">
        <w:rPr>
          <w:rFonts w:ascii="Arial" w:hAnsi="Arial" w:cs="Arial"/>
          <w:i/>
          <w:iCs/>
          <w:sz w:val="24"/>
          <w14:ligatures w14:val="standardContextual"/>
        </w:rPr>
        <w:t>14</w:t>
      </w:r>
      <w:r w:rsidRPr="00723366">
        <w:rPr>
          <w:rFonts w:ascii="Arial" w:hAnsi="Arial" w:cs="Arial"/>
          <w:sz w:val="24"/>
          <w14:ligatures w14:val="standardContextual"/>
        </w:rPr>
        <w:t>(3), PP. 953–977</w:t>
      </w:r>
    </w:p>
    <w:p w14:paraId="759086D3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</w:p>
    <w:p w14:paraId="4491406B" w14:textId="77777777" w:rsidR="00274603" w:rsidRPr="00723366" w:rsidRDefault="00274603" w:rsidP="002232B1">
      <w:pPr>
        <w:spacing w:line="480" w:lineRule="auto"/>
        <w:rPr>
          <w:rFonts w:ascii="Arial" w:hAnsi="Arial" w:cs="Arial"/>
          <w:color w:val="000000"/>
          <w:spacing w:val="-5"/>
          <w:sz w:val="24"/>
          <w:shd w:val="clear" w:color="auto" w:fill="FFFFFF"/>
          <w14:ligatures w14:val="standardContextual"/>
        </w:rPr>
      </w:pPr>
      <w:r w:rsidRPr="00723366">
        <w:rPr>
          <w:rFonts w:ascii="Arial" w:hAnsi="Arial" w:cs="Arial"/>
          <w:sz w:val="24"/>
          <w14:ligatures w14:val="standardContextual"/>
        </w:rPr>
        <w:t>2.</w:t>
      </w:r>
      <w:r w:rsidRPr="00723366">
        <w:rPr>
          <w:rFonts w:ascii="Arial" w:hAnsi="Arial" w:cs="Arial"/>
          <w:color w:val="000000"/>
          <w:spacing w:val="-5"/>
          <w:sz w:val="24"/>
          <w:shd w:val="clear" w:color="auto" w:fill="FFFFFF"/>
          <w14:ligatures w14:val="standardContextual"/>
        </w:rPr>
        <w:t xml:space="preserve"> Bård, T.</w:t>
      </w:r>
      <w:r w:rsidRPr="00723366">
        <w:rPr>
          <w:rFonts w:ascii="Arial" w:hAnsi="Arial" w:cs="Arial"/>
          <w:sz w:val="24"/>
          <w14:ligatures w14:val="standardContextual"/>
        </w:rPr>
        <w:t xml:space="preserve"> (2024). How platforms foster service innovations. </w:t>
      </w:r>
      <w:r w:rsidRPr="00723366">
        <w:rPr>
          <w:rFonts w:ascii="Arial" w:hAnsi="Arial" w:cs="Arial"/>
          <w:i/>
          <w:iCs/>
          <w:sz w:val="24"/>
          <w14:ligatures w14:val="standardContextual"/>
        </w:rPr>
        <w:t>Organizational Dynamics</w:t>
      </w:r>
      <w:r w:rsidRPr="00723366">
        <w:rPr>
          <w:rFonts w:ascii="Arial" w:hAnsi="Arial" w:cs="Arial"/>
          <w:sz w:val="24"/>
          <w14:ligatures w14:val="standardContextual"/>
        </w:rPr>
        <w:t>, </w:t>
      </w:r>
      <w:r w:rsidRPr="00723366">
        <w:rPr>
          <w:rFonts w:ascii="Arial" w:hAnsi="Arial" w:cs="Arial"/>
          <w:i/>
          <w:iCs/>
          <w:sz w:val="24"/>
          <w14:ligatures w14:val="standardContextual"/>
        </w:rPr>
        <w:t>49</w:t>
      </w:r>
      <w:r w:rsidRPr="00723366">
        <w:rPr>
          <w:rFonts w:ascii="Arial" w:hAnsi="Arial" w:cs="Arial"/>
          <w:sz w:val="24"/>
          <w14:ligatures w14:val="standardContextual"/>
        </w:rPr>
        <w:t>(3), PP. 100-121</w:t>
      </w:r>
    </w:p>
    <w:p w14:paraId="136114C7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</w:p>
    <w:p w14:paraId="0E66C9D9" w14:textId="77777777" w:rsidR="00274603" w:rsidRPr="00723366" w:rsidRDefault="00274603" w:rsidP="002232B1">
      <w:pPr>
        <w:spacing w:line="480" w:lineRule="auto"/>
        <w:rPr>
          <w:rFonts w:ascii="Arial" w:hAnsi="Arial" w:cs="Arial"/>
          <w:color w:val="000000"/>
          <w:spacing w:val="5"/>
          <w:sz w:val="24"/>
          <w:shd w:val="clear" w:color="auto" w:fill="FFFFFF"/>
          <w14:ligatures w14:val="standardContextual"/>
        </w:rPr>
      </w:pPr>
      <w:r w:rsidRPr="00723366">
        <w:rPr>
          <w:rFonts w:ascii="Arial" w:hAnsi="Arial" w:cs="Arial"/>
          <w:sz w:val="24"/>
          <w14:ligatures w14:val="standardContextual"/>
        </w:rPr>
        <w:t xml:space="preserve">3. Enrico, B. &amp; </w:t>
      </w:r>
      <w:proofErr w:type="spellStart"/>
      <w:proofErr w:type="gramStart"/>
      <w:r w:rsidRPr="00723366">
        <w:rPr>
          <w:rFonts w:ascii="Arial" w:hAnsi="Arial" w:cs="Arial"/>
          <w:sz w:val="24"/>
          <w14:ligatures w14:val="standardContextual"/>
        </w:rPr>
        <w:t>Torkel,S</w:t>
      </w:r>
      <w:proofErr w:type="spellEnd"/>
      <w:r w:rsidRPr="00723366">
        <w:rPr>
          <w:rFonts w:ascii="Arial" w:hAnsi="Arial" w:cs="Arial"/>
          <w:sz w:val="24"/>
          <w14:ligatures w14:val="standardContextual"/>
        </w:rPr>
        <w:t>.</w:t>
      </w:r>
      <w:proofErr w:type="gramEnd"/>
      <w:r w:rsidRPr="00723366">
        <w:rPr>
          <w:rFonts w:ascii="Arial" w:hAnsi="Arial" w:cs="Arial"/>
          <w:sz w:val="24"/>
          <w14:ligatures w14:val="standardContextual"/>
        </w:rPr>
        <w:t>(2024). Product development the IKEA way – The role of target costing as a framing device to configure and combine resources in networks.</w:t>
      </w:r>
      <w:r w:rsidRPr="00723366">
        <w:rPr>
          <w:rFonts w:ascii="Arial" w:hAnsi="Arial" w:cs="Arial"/>
          <w:i/>
          <w:iCs/>
          <w:sz w:val="24"/>
          <w14:ligatures w14:val="standardContextual"/>
        </w:rPr>
        <w:t xml:space="preserve"> Industrial Marketing Management</w:t>
      </w:r>
      <w:r w:rsidRPr="00723366">
        <w:rPr>
          <w:rFonts w:ascii="Arial" w:hAnsi="Arial" w:cs="Arial"/>
          <w:sz w:val="24"/>
          <w14:ligatures w14:val="standardContextual"/>
        </w:rPr>
        <w:t>.119(1).</w:t>
      </w:r>
      <w:r w:rsidRPr="00723366">
        <w:rPr>
          <w:rFonts w:ascii="Arial" w:hAnsi="Arial" w:cs="Arial"/>
          <w:color w:val="000000"/>
          <w:spacing w:val="5"/>
          <w:sz w:val="24"/>
          <w:shd w:val="clear" w:color="auto" w:fill="FFFFFF"/>
          <w14:ligatures w14:val="standardContextual"/>
        </w:rPr>
        <w:t xml:space="preserve"> PP. 206-217</w:t>
      </w:r>
    </w:p>
    <w:p w14:paraId="185A3C1D" w14:textId="77777777" w:rsidR="00274603" w:rsidRPr="00723366" w:rsidRDefault="00274603" w:rsidP="002232B1">
      <w:pPr>
        <w:spacing w:line="480" w:lineRule="auto"/>
        <w:rPr>
          <w:rFonts w:ascii="Arial" w:hAnsi="Arial" w:cs="Arial"/>
          <w:color w:val="000000"/>
          <w:spacing w:val="5"/>
          <w:sz w:val="24"/>
          <w:shd w:val="clear" w:color="auto" w:fill="FFFFFF"/>
          <w14:ligatures w14:val="standardContextual"/>
        </w:rPr>
      </w:pPr>
    </w:p>
    <w:p w14:paraId="58C0D370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  <w:r w:rsidRPr="00723366">
        <w:rPr>
          <w:rFonts w:ascii="Arial" w:hAnsi="Arial" w:cs="Arial"/>
          <w:sz w:val="24"/>
          <w14:ligatures w14:val="standardContextual"/>
        </w:rPr>
        <w:t xml:space="preserve">4. </w:t>
      </w:r>
      <w:proofErr w:type="spellStart"/>
      <w:r w:rsidRPr="00723366">
        <w:rPr>
          <w:rFonts w:ascii="Arial" w:hAnsi="Arial" w:cs="Arial"/>
          <w:sz w:val="24"/>
          <w14:ligatures w14:val="standardContextual"/>
        </w:rPr>
        <w:t>Ghassane</w:t>
      </w:r>
      <w:proofErr w:type="spellEnd"/>
      <w:r w:rsidRPr="00723366">
        <w:rPr>
          <w:rFonts w:ascii="Arial" w:hAnsi="Arial" w:cs="Arial"/>
          <w:sz w:val="24"/>
          <w14:ligatures w14:val="standardContextual"/>
        </w:rPr>
        <w:t>, B. (2022). Applying the circular economy concept to a sustainable business model for large retailers: the case of IKEA. </w:t>
      </w:r>
      <w:r w:rsidRPr="00723366">
        <w:rPr>
          <w:rFonts w:ascii="Arial" w:hAnsi="Arial" w:cs="Arial"/>
          <w:i/>
          <w:iCs/>
          <w:sz w:val="24"/>
          <w14:ligatures w14:val="standardContextual"/>
        </w:rPr>
        <w:t>International Journal of Competitiveness</w:t>
      </w:r>
      <w:r w:rsidRPr="00723366">
        <w:rPr>
          <w:rFonts w:ascii="Arial" w:hAnsi="Arial" w:cs="Arial"/>
          <w:sz w:val="24"/>
          <w14:ligatures w14:val="standardContextual"/>
        </w:rPr>
        <w:t>, 2 (3), PP. 212-233.</w:t>
      </w:r>
    </w:p>
    <w:p w14:paraId="787C64A6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</w:p>
    <w:p w14:paraId="572E22E6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  <w:r w:rsidRPr="00723366">
        <w:rPr>
          <w:rFonts w:ascii="Arial" w:hAnsi="Arial" w:cs="Arial"/>
          <w:sz w:val="24"/>
          <w14:ligatures w14:val="standardContextual"/>
        </w:rPr>
        <w:t xml:space="preserve">5. Justin, T. (2021), The IKEA effect and the production of epistemic goods, </w:t>
      </w:r>
      <w:r w:rsidRPr="00723366">
        <w:rPr>
          <w:rFonts w:ascii="Arial" w:hAnsi="Arial" w:cs="Arial"/>
          <w:i/>
          <w:iCs/>
          <w:sz w:val="24"/>
          <w14:ligatures w14:val="standardContextual"/>
        </w:rPr>
        <w:t>Philosophical Studies</w:t>
      </w:r>
      <w:r w:rsidRPr="00723366">
        <w:rPr>
          <w:rFonts w:ascii="Arial" w:hAnsi="Arial" w:cs="Arial"/>
          <w:sz w:val="24"/>
          <w14:ligatures w14:val="standardContextual"/>
        </w:rPr>
        <w:t>,179(1), PP. 3401–3420,</w:t>
      </w:r>
    </w:p>
    <w:p w14:paraId="1FFDAF4B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</w:p>
    <w:p w14:paraId="623A8CA3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:lang w:val="fr-FR"/>
          <w14:ligatures w14:val="standardContextual"/>
        </w:rPr>
      </w:pPr>
      <w:r w:rsidRPr="00723366">
        <w:rPr>
          <w:rFonts w:ascii="Arial" w:hAnsi="Arial" w:cs="Arial"/>
          <w:sz w:val="24"/>
          <w14:ligatures w14:val="standardContextual"/>
        </w:rPr>
        <w:t xml:space="preserve">6. </w:t>
      </w:r>
      <w:r w:rsidRPr="00723366">
        <w:rPr>
          <w:rFonts w:ascii="Arial" w:hAnsi="Arial" w:cs="Arial"/>
          <w:color w:val="000000"/>
          <w:spacing w:val="-5"/>
          <w:sz w:val="24"/>
          <w:shd w:val="clear" w:color="auto" w:fill="FFFFFF"/>
          <w14:ligatures w14:val="standardContextual"/>
        </w:rPr>
        <w:t>Mathew, D.</w:t>
      </w:r>
      <w:r w:rsidRPr="00723366">
        <w:rPr>
          <w:rFonts w:ascii="Arial" w:hAnsi="Arial" w:cs="Arial"/>
          <w:sz w:val="24"/>
          <w14:ligatures w14:val="standardContextual"/>
        </w:rPr>
        <w:t xml:space="preserve"> (2022). Setting up for Innovation Management. </w:t>
      </w:r>
      <w:r w:rsidRPr="00723366">
        <w:rPr>
          <w:rFonts w:ascii="Arial" w:hAnsi="Arial" w:cs="Arial"/>
          <w:i/>
          <w:iCs/>
          <w:sz w:val="24"/>
          <w:lang w:val="fr-FR"/>
          <w14:ligatures w14:val="standardContextual"/>
        </w:rPr>
        <w:t>Innovation</w:t>
      </w:r>
      <w:r w:rsidRPr="00723366">
        <w:rPr>
          <w:rFonts w:ascii="Arial" w:hAnsi="Arial" w:cs="Arial"/>
          <w:sz w:val="24"/>
          <w:lang w:val="fr-FR"/>
          <w14:ligatures w14:val="standardContextual"/>
        </w:rPr>
        <w:t>, </w:t>
      </w:r>
      <w:r w:rsidRPr="00723366">
        <w:rPr>
          <w:rFonts w:ascii="Arial" w:hAnsi="Arial" w:cs="Arial"/>
          <w:i/>
          <w:iCs/>
          <w:sz w:val="24"/>
          <w:lang w:val="fr-FR"/>
          <w14:ligatures w14:val="standardContextual"/>
        </w:rPr>
        <w:t>1</w:t>
      </w:r>
      <w:r w:rsidRPr="00723366">
        <w:rPr>
          <w:rFonts w:ascii="Arial" w:hAnsi="Arial" w:cs="Arial"/>
          <w:sz w:val="24"/>
          <w:lang w:val="fr-FR"/>
          <w14:ligatures w14:val="standardContextual"/>
        </w:rPr>
        <w:t>(3), PP. 1-22</w:t>
      </w:r>
    </w:p>
    <w:p w14:paraId="7B32327C" w14:textId="77777777" w:rsidR="00274603" w:rsidRPr="00723366" w:rsidRDefault="00274603" w:rsidP="002232B1">
      <w:pPr>
        <w:spacing w:line="480" w:lineRule="auto"/>
        <w:rPr>
          <w:rFonts w:ascii="Arial" w:hAnsi="Arial" w:cs="Arial"/>
          <w:i/>
          <w:iCs/>
          <w:sz w:val="24"/>
          <w:lang w:val="fr-FR"/>
          <w14:ligatures w14:val="standardContextual"/>
        </w:rPr>
      </w:pPr>
    </w:p>
    <w:p w14:paraId="4FC7C71E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  <w:r w:rsidRPr="00723366">
        <w:rPr>
          <w:rFonts w:ascii="Arial" w:hAnsi="Arial" w:cs="Arial"/>
          <w:sz w:val="24"/>
          <w:lang w:val="fr-FR"/>
          <w14:ligatures w14:val="standardContextual"/>
        </w:rPr>
        <w:lastRenderedPageBreak/>
        <w:t>7. Marianne, B</w:t>
      </w:r>
      <w:r w:rsidRPr="00723366">
        <w:rPr>
          <w:rFonts w:ascii="Arial" w:hAnsi="Arial" w:cs="Arial"/>
          <w:sz w:val="24"/>
          <w:lang w:val="fr-FR"/>
          <w14:ligatures w14:val="standardContextual"/>
        </w:rPr>
        <w:t>；</w:t>
      </w:r>
      <w:r w:rsidRPr="00723366">
        <w:rPr>
          <w:rFonts w:ascii="Arial" w:hAnsi="Arial" w:cs="Arial"/>
          <w:sz w:val="24"/>
          <w:lang w:val="fr-FR"/>
          <w14:ligatures w14:val="standardContextual"/>
        </w:rPr>
        <w:t>Anthony</w:t>
      </w:r>
      <w:r w:rsidRPr="00723366">
        <w:rPr>
          <w:rFonts w:ascii="Arial" w:hAnsi="Arial" w:cs="Arial"/>
          <w:sz w:val="24"/>
          <w:lang w:val="fr-FR"/>
          <w14:ligatures w14:val="standardContextual"/>
        </w:rPr>
        <w:t>，</w:t>
      </w:r>
      <w:r w:rsidRPr="00723366">
        <w:rPr>
          <w:rFonts w:ascii="Arial" w:hAnsi="Arial" w:cs="Arial"/>
          <w:sz w:val="24"/>
          <w:lang w:val="fr-FR"/>
          <w14:ligatures w14:val="standardContextual"/>
        </w:rPr>
        <w:t xml:space="preserve">L. (2017). </w:t>
      </w:r>
      <w:r w:rsidRPr="00723366">
        <w:rPr>
          <w:rFonts w:ascii="Arial" w:hAnsi="Arial" w:cs="Arial"/>
          <w:sz w:val="24"/>
          <w14:ligatures w14:val="standardContextual"/>
        </w:rPr>
        <w:t>IKEA: Product, pricing, and pass-through. </w:t>
      </w:r>
      <w:r w:rsidRPr="00723366">
        <w:rPr>
          <w:rFonts w:ascii="Arial" w:hAnsi="Arial" w:cs="Arial"/>
          <w:i/>
          <w:iCs/>
          <w:sz w:val="24"/>
          <w14:ligatures w14:val="standardContextual"/>
        </w:rPr>
        <w:t>Research in Economics</w:t>
      </w:r>
      <w:r w:rsidRPr="00723366">
        <w:rPr>
          <w:rFonts w:ascii="Arial" w:hAnsi="Arial" w:cs="Arial"/>
          <w:sz w:val="24"/>
          <w14:ligatures w14:val="standardContextual"/>
        </w:rPr>
        <w:t>, 71(3), PP. 507-520.</w:t>
      </w:r>
    </w:p>
    <w:p w14:paraId="3E2E9E58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</w:p>
    <w:p w14:paraId="1D7D64A5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  <w:r w:rsidRPr="00723366">
        <w:rPr>
          <w:rFonts w:ascii="Arial" w:hAnsi="Arial" w:cs="Arial"/>
          <w:sz w:val="24"/>
          <w14:ligatures w14:val="standardContextual"/>
        </w:rPr>
        <w:t>8. Oana, V; Michela, B; Carsten, B. (2021). The IKEA effect in collective problem-solving: When individuals prioritize their own solutions</w:t>
      </w:r>
      <w:r w:rsidRPr="00723366">
        <w:rPr>
          <w:rFonts w:ascii="Arial" w:hAnsi="Arial" w:cs="Arial"/>
          <w:i/>
          <w:iCs/>
          <w:sz w:val="24"/>
          <w14:ligatures w14:val="standardContextual"/>
        </w:rPr>
        <w:t>, Creativity and Innovation management</w:t>
      </w:r>
      <w:r w:rsidRPr="00723366">
        <w:rPr>
          <w:rFonts w:ascii="Arial" w:hAnsi="Arial" w:cs="Arial"/>
          <w:sz w:val="24"/>
          <w14:ligatures w14:val="standardContextual"/>
        </w:rPr>
        <w:t>, 30(1), PP. 116-128.</w:t>
      </w:r>
    </w:p>
    <w:p w14:paraId="6E8ADD23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</w:p>
    <w:p w14:paraId="605287B1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  <w:r w:rsidRPr="00723366">
        <w:rPr>
          <w:rFonts w:ascii="Arial" w:hAnsi="Arial" w:cs="Arial"/>
          <w:sz w:val="24"/>
          <w14:ligatures w14:val="standardContextual"/>
        </w:rPr>
        <w:t xml:space="preserve">9. Tian </w:t>
      </w:r>
      <w:proofErr w:type="spellStart"/>
      <w:r w:rsidRPr="00723366">
        <w:rPr>
          <w:rFonts w:ascii="Arial" w:hAnsi="Arial" w:cs="Arial"/>
          <w:sz w:val="24"/>
          <w14:ligatures w14:val="standardContextual"/>
        </w:rPr>
        <w:t>Heong</w:t>
      </w:r>
      <w:proofErr w:type="spellEnd"/>
      <w:r w:rsidRPr="00723366">
        <w:rPr>
          <w:rFonts w:ascii="Arial" w:hAnsi="Arial" w:cs="Arial"/>
          <w:sz w:val="24"/>
          <w14:ligatures w14:val="standardContextual"/>
        </w:rPr>
        <w:t xml:space="preserve"> Chan, Shi-Ying Lim (2022) The Emergence of Novel Product Uses: An Investigation of </w:t>
      </w:r>
      <w:proofErr w:type="spellStart"/>
      <w:r w:rsidRPr="00723366">
        <w:rPr>
          <w:rFonts w:ascii="Arial" w:hAnsi="Arial" w:cs="Arial"/>
          <w:sz w:val="24"/>
          <w14:ligatures w14:val="standardContextual"/>
        </w:rPr>
        <w:t>Exaptations</w:t>
      </w:r>
      <w:proofErr w:type="spellEnd"/>
      <w:r w:rsidRPr="00723366">
        <w:rPr>
          <w:rFonts w:ascii="Arial" w:hAnsi="Arial" w:cs="Arial"/>
          <w:sz w:val="24"/>
          <w14:ligatures w14:val="standardContextual"/>
        </w:rPr>
        <w:t xml:space="preserve"> in IKEA Hacks. </w:t>
      </w:r>
      <w:r w:rsidRPr="00723366">
        <w:rPr>
          <w:rFonts w:ascii="Arial" w:hAnsi="Arial" w:cs="Arial"/>
          <w:i/>
          <w:iCs/>
          <w:sz w:val="24"/>
          <w14:ligatures w14:val="standardContextual"/>
        </w:rPr>
        <w:t>Management Science</w:t>
      </w:r>
      <w:r w:rsidRPr="00723366">
        <w:rPr>
          <w:rFonts w:ascii="Arial" w:hAnsi="Arial" w:cs="Arial"/>
          <w:sz w:val="24"/>
          <w14:ligatures w14:val="standardContextual"/>
        </w:rPr>
        <w:t xml:space="preserve"> 69(5), PP.2870-2892.</w:t>
      </w:r>
    </w:p>
    <w:p w14:paraId="592C746E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</w:p>
    <w:p w14:paraId="197B85B7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  <w:r w:rsidRPr="00723366">
        <w:rPr>
          <w:rFonts w:ascii="Arial" w:hAnsi="Arial" w:cs="Arial"/>
          <w:sz w:val="24"/>
          <w14:ligatures w14:val="standardContextual"/>
        </w:rPr>
        <w:t>10. Wayfair Tech Blog</w:t>
      </w:r>
      <w:r w:rsidRPr="00723366">
        <w:rPr>
          <w:rFonts w:ascii="Arial" w:hAnsi="Arial" w:cs="Arial"/>
          <w:sz w:val="24"/>
          <w14:ligatures w14:val="standardContextual"/>
        </w:rPr>
        <w:tab/>
      </w:r>
      <w:r w:rsidRPr="00723366">
        <w:rPr>
          <w:rFonts w:ascii="Arial" w:hAnsi="Arial" w:cs="Arial"/>
          <w:sz w:val="24"/>
          <w14:ligatures w14:val="standardContextual"/>
        </w:rPr>
        <w:t>（</w:t>
      </w:r>
      <w:r w:rsidRPr="00723366">
        <w:rPr>
          <w:rFonts w:ascii="Arial" w:hAnsi="Arial" w:cs="Arial"/>
          <w:sz w:val="24"/>
          <w14:ligatures w14:val="standardContextual"/>
        </w:rPr>
        <w:t>2021</w:t>
      </w:r>
      <w:r w:rsidRPr="00723366">
        <w:rPr>
          <w:rFonts w:ascii="Arial" w:hAnsi="Arial" w:cs="Arial"/>
          <w:sz w:val="24"/>
          <w14:ligatures w14:val="standardContextual"/>
        </w:rPr>
        <w:t>），</w:t>
      </w:r>
      <w:r w:rsidRPr="00723366">
        <w:rPr>
          <w:rFonts w:ascii="Arial" w:hAnsi="Arial" w:cs="Arial"/>
          <w:i/>
          <w:iCs/>
          <w:sz w:val="24"/>
          <w14:ligatures w14:val="standardContextual"/>
        </w:rPr>
        <w:t>Distributed Authorization and Wayfair</w:t>
      </w:r>
      <w:proofErr w:type="gramStart"/>
      <w:r w:rsidRPr="00723366">
        <w:rPr>
          <w:rFonts w:ascii="Arial" w:hAnsi="Arial" w:cs="Arial"/>
          <w:i/>
          <w:iCs/>
          <w:sz w:val="24"/>
          <w14:ligatures w14:val="standardContextual"/>
        </w:rPr>
        <w:t>’</w:t>
      </w:r>
      <w:proofErr w:type="gramEnd"/>
      <w:r w:rsidRPr="00723366">
        <w:rPr>
          <w:rFonts w:ascii="Arial" w:hAnsi="Arial" w:cs="Arial"/>
          <w:i/>
          <w:iCs/>
          <w:sz w:val="24"/>
          <w14:ligatures w14:val="standardContextual"/>
        </w:rPr>
        <w:t>s Supply Chain of the Future</w:t>
      </w:r>
      <w:r w:rsidRPr="00723366">
        <w:rPr>
          <w:rFonts w:ascii="Arial" w:hAnsi="Arial" w:cs="Arial"/>
          <w:sz w:val="24"/>
          <w14:ligatures w14:val="standardContextual"/>
        </w:rPr>
        <w:t xml:space="preserve"> .[online]. </w:t>
      </w:r>
      <w:proofErr w:type="spellStart"/>
      <w:r w:rsidRPr="00723366">
        <w:rPr>
          <w:rFonts w:ascii="Arial" w:hAnsi="Arial" w:cs="Arial"/>
          <w:sz w:val="24"/>
          <w14:ligatures w14:val="standardContextual"/>
        </w:rPr>
        <w:t>Ayailable</w:t>
      </w:r>
      <w:proofErr w:type="spellEnd"/>
      <w:r w:rsidRPr="00723366">
        <w:rPr>
          <w:rFonts w:ascii="Arial" w:hAnsi="Arial" w:cs="Arial"/>
          <w:sz w:val="24"/>
          <w14:ligatures w14:val="standardContextual"/>
        </w:rPr>
        <w:t xml:space="preserve"> from: </w:t>
      </w:r>
      <w:hyperlink r:id="rId13" w:history="1">
        <w:r w:rsidRPr="00723366">
          <w:rPr>
            <w:rFonts w:ascii="Arial" w:hAnsi="Arial" w:cs="Arial"/>
            <w:color w:val="0000FF"/>
            <w:sz w:val="24"/>
            <w:u w:val="single"/>
            <w14:ligatures w14:val="standardContextual"/>
          </w:rPr>
          <w:t>About Wayfair | Distributed Authorization and Wayfair’s Supply Chain of the Future</w:t>
        </w:r>
      </w:hyperlink>
      <w:r w:rsidRPr="00723366">
        <w:rPr>
          <w:rFonts w:ascii="Arial" w:hAnsi="Arial" w:cs="Arial"/>
          <w:sz w:val="24"/>
          <w14:ligatures w14:val="standardContextual"/>
        </w:rPr>
        <w:t xml:space="preserve"> (Accessed 5 January 2025)</w:t>
      </w:r>
    </w:p>
    <w:p w14:paraId="32C58A95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</w:p>
    <w:p w14:paraId="5F624C72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  <w:r w:rsidRPr="00723366">
        <w:rPr>
          <w:rFonts w:ascii="Arial" w:hAnsi="Arial" w:cs="Arial"/>
          <w:sz w:val="24"/>
          <w14:ligatures w14:val="standardContextual"/>
        </w:rPr>
        <w:t>11. Wayfair</w:t>
      </w:r>
      <w:r w:rsidRPr="00723366">
        <w:rPr>
          <w:rFonts w:ascii="Arial" w:hAnsi="Arial" w:cs="Arial"/>
          <w:sz w:val="24"/>
          <w14:ligatures w14:val="standardContextual"/>
        </w:rPr>
        <w:t>（</w:t>
      </w:r>
      <w:r w:rsidRPr="00723366">
        <w:rPr>
          <w:rFonts w:ascii="Arial" w:hAnsi="Arial" w:cs="Arial"/>
          <w:sz w:val="24"/>
          <w14:ligatures w14:val="standardContextual"/>
        </w:rPr>
        <w:t>2021</w:t>
      </w:r>
      <w:r w:rsidRPr="00723366">
        <w:rPr>
          <w:rFonts w:ascii="Arial" w:hAnsi="Arial" w:cs="Arial"/>
          <w:sz w:val="24"/>
          <w14:ligatures w14:val="standardContextual"/>
        </w:rPr>
        <w:t>），</w:t>
      </w:r>
      <w:r w:rsidRPr="00723366">
        <w:rPr>
          <w:rFonts w:ascii="Arial" w:hAnsi="Arial" w:cs="Arial"/>
          <w:i/>
          <w:iCs/>
          <w:sz w:val="24"/>
          <w14:ligatures w14:val="standardContextual"/>
        </w:rPr>
        <w:t>Supply Chain</w:t>
      </w:r>
      <w:r w:rsidRPr="00723366">
        <w:rPr>
          <w:rFonts w:ascii="Arial" w:hAnsi="Arial" w:cs="Arial"/>
          <w:sz w:val="24"/>
          <w14:ligatures w14:val="standardContextual"/>
        </w:rPr>
        <w:t xml:space="preserve">.[online]. </w:t>
      </w:r>
      <w:proofErr w:type="spellStart"/>
      <w:r w:rsidRPr="00723366">
        <w:rPr>
          <w:rFonts w:ascii="Arial" w:hAnsi="Arial" w:cs="Arial"/>
          <w:sz w:val="24"/>
          <w14:ligatures w14:val="standardContextual"/>
        </w:rPr>
        <w:t>Ayailable</w:t>
      </w:r>
      <w:proofErr w:type="spellEnd"/>
      <w:r w:rsidRPr="00723366">
        <w:rPr>
          <w:rFonts w:ascii="Arial" w:hAnsi="Arial" w:cs="Arial"/>
          <w:sz w:val="24"/>
          <w14:ligatures w14:val="standardContextual"/>
        </w:rPr>
        <w:t xml:space="preserve"> from: </w:t>
      </w:r>
      <w:hyperlink r:id="rId14" w:history="1">
        <w:r w:rsidRPr="00723366">
          <w:rPr>
            <w:rFonts w:ascii="Arial" w:hAnsi="Arial" w:cs="Arial"/>
            <w:color w:val="0000FF"/>
            <w:sz w:val="24"/>
            <w:u w:val="single"/>
            <w14:ligatures w14:val="standardContextual"/>
          </w:rPr>
          <w:t>About Wayfair | Supply Chain</w:t>
        </w:r>
      </w:hyperlink>
      <w:r w:rsidRPr="00723366">
        <w:rPr>
          <w:rFonts w:ascii="Arial" w:hAnsi="Arial" w:cs="Arial"/>
          <w:sz w:val="24"/>
          <w14:ligatures w14:val="standardContextual"/>
        </w:rPr>
        <w:t xml:space="preserve"> (Accessed 5 January 2025)</w:t>
      </w:r>
    </w:p>
    <w:p w14:paraId="591B94D8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</w:p>
    <w:p w14:paraId="1229FDBC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  <w:r w:rsidRPr="00723366">
        <w:rPr>
          <w:rFonts w:ascii="Arial" w:hAnsi="Arial" w:cs="Arial"/>
          <w:sz w:val="24"/>
          <w14:ligatures w14:val="standardContextual"/>
        </w:rPr>
        <w:t xml:space="preserve">12. Y. Lee, E. S. Hu and J. J. Lim. (2021), IKEA Furniture Assembly Environment for Long-Horizon Complex Manipulation Tasks, </w:t>
      </w:r>
      <w:r w:rsidRPr="00723366">
        <w:rPr>
          <w:rFonts w:ascii="Arial" w:hAnsi="Arial" w:cs="Arial"/>
          <w:i/>
          <w:iCs/>
          <w:sz w:val="24"/>
          <w14:ligatures w14:val="standardContextual"/>
        </w:rPr>
        <w:t>2021 IEEE International Conference on Robotics and Automation (ICRA)</w:t>
      </w:r>
      <w:r w:rsidRPr="00723366">
        <w:rPr>
          <w:rFonts w:ascii="Arial" w:hAnsi="Arial" w:cs="Arial"/>
          <w:sz w:val="24"/>
          <w14:ligatures w14:val="standardContextual"/>
        </w:rPr>
        <w:t>,1(1), PP. 6343-</w:t>
      </w:r>
      <w:r w:rsidRPr="00723366">
        <w:rPr>
          <w:rFonts w:ascii="Arial" w:hAnsi="Arial" w:cs="Arial"/>
          <w:sz w:val="24"/>
          <w14:ligatures w14:val="standardContextual"/>
        </w:rPr>
        <w:lastRenderedPageBreak/>
        <w:t xml:space="preserve">6349, </w:t>
      </w:r>
    </w:p>
    <w:p w14:paraId="6FF7D1E9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</w:p>
    <w:p w14:paraId="113CD5D4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  <w:r w:rsidRPr="00723366">
        <w:rPr>
          <w:rFonts w:ascii="Arial" w:hAnsi="Arial" w:cs="Arial"/>
          <w:sz w:val="24"/>
          <w14:ligatures w14:val="standardContextual"/>
        </w:rPr>
        <w:t>13.</w:t>
      </w:r>
      <w:r w:rsidRPr="00723366">
        <w:rPr>
          <w:rFonts w:ascii="Arial" w:hAnsi="Arial" w:cs="Arial"/>
          <w:color w:val="333333"/>
          <w:sz w:val="24"/>
          <w:shd w:val="clear" w:color="auto" w:fill="FFFFFF"/>
          <w14:ligatures w14:val="standardContextual"/>
        </w:rPr>
        <w:t xml:space="preserve"> </w:t>
      </w:r>
      <w:r w:rsidRPr="00723366">
        <w:rPr>
          <w:rFonts w:ascii="Arial" w:hAnsi="Arial" w:cs="Arial"/>
          <w:sz w:val="24"/>
          <w14:ligatures w14:val="standardContextual"/>
        </w:rPr>
        <w:t xml:space="preserve">Yun, J. J., Zhao, X., Kim, S. A., &amp; </w:t>
      </w:r>
      <w:proofErr w:type="spellStart"/>
      <w:r w:rsidRPr="00723366">
        <w:rPr>
          <w:rFonts w:ascii="Arial" w:hAnsi="Arial" w:cs="Arial"/>
          <w:sz w:val="24"/>
          <w14:ligatures w14:val="standardContextual"/>
        </w:rPr>
        <w:t>Sadoi</w:t>
      </w:r>
      <w:proofErr w:type="spellEnd"/>
      <w:r w:rsidRPr="00723366">
        <w:rPr>
          <w:rFonts w:ascii="Arial" w:hAnsi="Arial" w:cs="Arial"/>
          <w:sz w:val="24"/>
          <w14:ligatures w14:val="standardContextual"/>
        </w:rPr>
        <w:t xml:space="preserve">, Y. (2022). Open Innovation Dynamics of Furniture Design and Function: The Difference between IKEA and </w:t>
      </w:r>
      <w:proofErr w:type="spellStart"/>
      <w:r w:rsidRPr="00723366">
        <w:rPr>
          <w:rFonts w:ascii="Arial" w:hAnsi="Arial" w:cs="Arial"/>
          <w:sz w:val="24"/>
          <w14:ligatures w14:val="standardContextual"/>
        </w:rPr>
        <w:t>Nitori</w:t>
      </w:r>
      <w:proofErr w:type="spellEnd"/>
      <w:r w:rsidRPr="00723366">
        <w:rPr>
          <w:rFonts w:ascii="Arial" w:hAnsi="Arial" w:cs="Arial"/>
          <w:sz w:val="24"/>
          <w14:ligatures w14:val="standardContextual"/>
        </w:rPr>
        <w:t>. </w:t>
      </w:r>
      <w:r w:rsidRPr="00723366">
        <w:rPr>
          <w:rFonts w:ascii="Arial" w:hAnsi="Arial" w:cs="Arial"/>
          <w:i/>
          <w:iCs/>
          <w:sz w:val="24"/>
          <w14:ligatures w14:val="standardContextual"/>
        </w:rPr>
        <w:t>Science, Technology and Society</w:t>
      </w:r>
      <w:r w:rsidRPr="00723366">
        <w:rPr>
          <w:rFonts w:ascii="Arial" w:hAnsi="Arial" w:cs="Arial"/>
          <w:sz w:val="24"/>
          <w14:ligatures w14:val="standardContextual"/>
        </w:rPr>
        <w:t>, 27(2), PP.172-190.</w:t>
      </w:r>
    </w:p>
    <w:p w14:paraId="65E3D4FE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</w:p>
    <w:p w14:paraId="706F1034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  <w:r w:rsidRPr="00723366">
        <w:rPr>
          <w:rFonts w:ascii="Arial" w:hAnsi="Arial" w:cs="Arial"/>
          <w:sz w:val="24"/>
          <w14:ligatures w14:val="standardContextual"/>
        </w:rPr>
        <w:t xml:space="preserve">14. </w:t>
      </w:r>
      <w:proofErr w:type="spellStart"/>
      <w:r w:rsidRPr="00723366">
        <w:rPr>
          <w:rFonts w:ascii="Arial" w:hAnsi="Arial" w:cs="Arial"/>
          <w:sz w:val="24"/>
          <w14:ligatures w14:val="standardContextual"/>
        </w:rPr>
        <w:t>Yansong</w:t>
      </w:r>
      <w:proofErr w:type="spellEnd"/>
      <w:r w:rsidRPr="00723366">
        <w:rPr>
          <w:rFonts w:ascii="Arial" w:hAnsi="Arial" w:cs="Arial"/>
          <w:sz w:val="24"/>
          <w14:ligatures w14:val="standardContextual"/>
        </w:rPr>
        <w:t xml:space="preserve">, P. (2022), An Analysis of Experiential Marketing Strategy—Taking IKEA as an Example, </w:t>
      </w:r>
      <w:r w:rsidRPr="00723366">
        <w:rPr>
          <w:rFonts w:ascii="Arial" w:hAnsi="Arial" w:cs="Arial"/>
          <w:i/>
          <w:iCs/>
          <w:sz w:val="24"/>
          <w14:ligatures w14:val="standardContextual"/>
        </w:rPr>
        <w:t>Proceedings of the 5th International Conference on Economic Management and Green Development</w:t>
      </w:r>
      <w:r w:rsidRPr="00723366">
        <w:rPr>
          <w:rFonts w:ascii="Arial" w:hAnsi="Arial" w:cs="Arial"/>
          <w:sz w:val="24"/>
          <w14:ligatures w14:val="standardContextual"/>
        </w:rPr>
        <w:t>,5(1), PP. 643–666,</w:t>
      </w:r>
    </w:p>
    <w:p w14:paraId="6FCD855C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</w:p>
    <w:p w14:paraId="3A821EF8" w14:textId="77777777" w:rsidR="00274603" w:rsidRPr="00723366" w:rsidRDefault="00274603" w:rsidP="002232B1">
      <w:pPr>
        <w:spacing w:line="480" w:lineRule="auto"/>
        <w:rPr>
          <w:rFonts w:ascii="Arial" w:hAnsi="Arial" w:cs="Arial"/>
          <w:sz w:val="24"/>
          <w14:ligatures w14:val="standardContextual"/>
        </w:rPr>
      </w:pPr>
      <w:r w:rsidRPr="00723366">
        <w:rPr>
          <w:rFonts w:ascii="Arial" w:hAnsi="Arial" w:cs="Arial"/>
          <w:sz w:val="24"/>
          <w14:ligatures w14:val="standardContextual"/>
        </w:rPr>
        <w:t>15. Zhou, S. (2024). Analyzing IKEA Brand’s Media Marketing Strategies and Improving Customer Experience through Inductive Reasoning Approach. </w:t>
      </w:r>
      <w:r w:rsidRPr="00723366">
        <w:rPr>
          <w:rFonts w:ascii="Arial" w:hAnsi="Arial" w:cs="Arial"/>
          <w:i/>
          <w:iCs/>
          <w:sz w:val="24"/>
          <w14:ligatures w14:val="standardContextual"/>
        </w:rPr>
        <w:t>Journal of Education, Humanities and Social Sciences</w:t>
      </w:r>
      <w:r w:rsidRPr="00723366">
        <w:rPr>
          <w:rFonts w:ascii="Arial" w:hAnsi="Arial" w:cs="Arial"/>
          <w:sz w:val="24"/>
          <w14:ligatures w14:val="standardContextual"/>
        </w:rPr>
        <w:t>, 27(6), PP.392-399.</w:t>
      </w:r>
    </w:p>
    <w:p w14:paraId="28A626E9" w14:textId="77777777" w:rsidR="00817D71" w:rsidRPr="00723366" w:rsidRDefault="00817D71" w:rsidP="002232B1">
      <w:pPr>
        <w:spacing w:line="480" w:lineRule="auto"/>
        <w:rPr>
          <w:rFonts w:ascii="Arial" w:hAnsi="Arial" w:cs="Arial"/>
          <w:sz w:val="24"/>
        </w:rPr>
      </w:pPr>
    </w:p>
    <w:p w14:paraId="0069D85A" w14:textId="77777777" w:rsidR="00817D71" w:rsidRPr="00723366" w:rsidRDefault="00817D71" w:rsidP="002232B1">
      <w:pPr>
        <w:spacing w:line="480" w:lineRule="auto"/>
        <w:rPr>
          <w:rFonts w:ascii="Arial" w:hAnsi="Arial" w:cs="Arial"/>
          <w:sz w:val="24"/>
        </w:rPr>
      </w:pPr>
    </w:p>
    <w:p w14:paraId="78297C0F" w14:textId="77777777" w:rsidR="00817D71" w:rsidRPr="00723366" w:rsidRDefault="00817D71" w:rsidP="002232B1">
      <w:pPr>
        <w:spacing w:line="480" w:lineRule="auto"/>
        <w:rPr>
          <w:rFonts w:ascii="Arial" w:hAnsi="Arial" w:cs="Arial"/>
          <w:sz w:val="24"/>
        </w:rPr>
      </w:pPr>
    </w:p>
    <w:sectPr w:rsidR="00817D71" w:rsidRPr="00723366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977C16" w14:textId="77777777" w:rsidR="00F156D5" w:rsidRDefault="00F156D5" w:rsidP="00817D71">
      <w:pPr>
        <w:rPr>
          <w:rFonts w:hint="eastAsia"/>
        </w:rPr>
      </w:pPr>
      <w:r>
        <w:separator/>
      </w:r>
    </w:p>
  </w:endnote>
  <w:endnote w:type="continuationSeparator" w:id="0">
    <w:p w14:paraId="1E90F8D7" w14:textId="77777777" w:rsidR="00F156D5" w:rsidRDefault="00F156D5" w:rsidP="00817D71">
      <w:pPr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273016" w14:textId="77777777" w:rsidR="00F156D5" w:rsidRDefault="00F156D5" w:rsidP="00817D71">
      <w:pPr>
        <w:rPr>
          <w:rFonts w:hint="eastAsia"/>
        </w:rPr>
      </w:pPr>
      <w:r>
        <w:separator/>
      </w:r>
    </w:p>
  </w:footnote>
  <w:footnote w:type="continuationSeparator" w:id="0">
    <w:p w14:paraId="00ED64FC" w14:textId="77777777" w:rsidR="00F156D5" w:rsidRDefault="00F156D5" w:rsidP="00817D71">
      <w:pPr>
        <w:rPr>
          <w:rFonts w:hint="eastAsia"/>
        </w:rPr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79F8"/>
    <w:rsid w:val="00073B52"/>
    <w:rsid w:val="0013304D"/>
    <w:rsid w:val="00165369"/>
    <w:rsid w:val="001A15CE"/>
    <w:rsid w:val="001B241C"/>
    <w:rsid w:val="00201145"/>
    <w:rsid w:val="002232B1"/>
    <w:rsid w:val="002333AC"/>
    <w:rsid w:val="002347FC"/>
    <w:rsid w:val="00270B3E"/>
    <w:rsid w:val="00274603"/>
    <w:rsid w:val="002812F5"/>
    <w:rsid w:val="00343944"/>
    <w:rsid w:val="003711BE"/>
    <w:rsid w:val="00377CF6"/>
    <w:rsid w:val="00387CE4"/>
    <w:rsid w:val="00397610"/>
    <w:rsid w:val="003E17FE"/>
    <w:rsid w:val="0040464F"/>
    <w:rsid w:val="00453F8E"/>
    <w:rsid w:val="004907E3"/>
    <w:rsid w:val="00495EE8"/>
    <w:rsid w:val="004C6D30"/>
    <w:rsid w:val="004E4AEB"/>
    <w:rsid w:val="004F79C7"/>
    <w:rsid w:val="005057CC"/>
    <w:rsid w:val="00532432"/>
    <w:rsid w:val="00614CEA"/>
    <w:rsid w:val="00676318"/>
    <w:rsid w:val="00713ABE"/>
    <w:rsid w:val="00720D9E"/>
    <w:rsid w:val="00723366"/>
    <w:rsid w:val="0077432C"/>
    <w:rsid w:val="00817D71"/>
    <w:rsid w:val="0086533B"/>
    <w:rsid w:val="00881688"/>
    <w:rsid w:val="008B3F61"/>
    <w:rsid w:val="008C4C56"/>
    <w:rsid w:val="008D5F6E"/>
    <w:rsid w:val="00906D90"/>
    <w:rsid w:val="00935E9F"/>
    <w:rsid w:val="00980C06"/>
    <w:rsid w:val="009B6AEB"/>
    <w:rsid w:val="009D0C02"/>
    <w:rsid w:val="009F11C7"/>
    <w:rsid w:val="00A10312"/>
    <w:rsid w:val="00A37117"/>
    <w:rsid w:val="00A53284"/>
    <w:rsid w:val="00A962AE"/>
    <w:rsid w:val="00AA2805"/>
    <w:rsid w:val="00B2593B"/>
    <w:rsid w:val="00B5090E"/>
    <w:rsid w:val="00B56F94"/>
    <w:rsid w:val="00B854E7"/>
    <w:rsid w:val="00BB7188"/>
    <w:rsid w:val="00BD19BB"/>
    <w:rsid w:val="00C54387"/>
    <w:rsid w:val="00C902FB"/>
    <w:rsid w:val="00CB79F8"/>
    <w:rsid w:val="00CF354B"/>
    <w:rsid w:val="00D073BC"/>
    <w:rsid w:val="00D42144"/>
    <w:rsid w:val="00D77069"/>
    <w:rsid w:val="00E528FC"/>
    <w:rsid w:val="00E65F78"/>
    <w:rsid w:val="00E9410B"/>
    <w:rsid w:val="00EC24C7"/>
    <w:rsid w:val="00F156D5"/>
    <w:rsid w:val="00F656A0"/>
    <w:rsid w:val="00FD52EE"/>
    <w:rsid w:val="00FE207D"/>
    <w:rsid w:val="00FE67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538208"/>
  <w15:chartTrackingRefBased/>
  <w15:docId w15:val="{C2474051-4224-4C35-AADE-CA00A3ED1C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8D5F6E"/>
    <w:pPr>
      <w:widowControl w:val="0"/>
      <w:jc w:val="both"/>
    </w:pPr>
    <w:rPr>
      <w:szCs w:val="24"/>
      <w14:ligatures w14:val="none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817D71"/>
    <w:pPr>
      <w:tabs>
        <w:tab w:val="center" w:pos="4153"/>
        <w:tab w:val="right" w:pos="8306"/>
      </w:tabs>
      <w:snapToGrid w:val="0"/>
      <w:jc w:val="center"/>
    </w:pPr>
    <w:rPr>
      <w:sz w:val="18"/>
      <w:szCs w:val="18"/>
      <w14:ligatures w14:val="standardContextual"/>
    </w:rPr>
  </w:style>
  <w:style w:type="character" w:customStyle="1" w:styleId="a4">
    <w:name w:val="页眉 字符"/>
    <w:basedOn w:val="a0"/>
    <w:link w:val="a3"/>
    <w:uiPriority w:val="99"/>
    <w:rsid w:val="00817D71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817D71"/>
    <w:pPr>
      <w:tabs>
        <w:tab w:val="center" w:pos="4153"/>
        <w:tab w:val="right" w:pos="8306"/>
      </w:tabs>
      <w:snapToGrid w:val="0"/>
      <w:jc w:val="left"/>
    </w:pPr>
    <w:rPr>
      <w:sz w:val="18"/>
      <w:szCs w:val="18"/>
      <w14:ligatures w14:val="standardContextual"/>
    </w:rPr>
  </w:style>
  <w:style w:type="character" w:customStyle="1" w:styleId="a6">
    <w:name w:val="页脚 字符"/>
    <w:basedOn w:val="a0"/>
    <w:link w:val="a5"/>
    <w:uiPriority w:val="99"/>
    <w:rsid w:val="00817D71"/>
    <w:rPr>
      <w:sz w:val="18"/>
      <w:szCs w:val="18"/>
    </w:rPr>
  </w:style>
  <w:style w:type="table" w:styleId="a7">
    <w:name w:val="Table Grid"/>
    <w:basedOn w:val="a1"/>
    <w:uiPriority w:val="39"/>
    <w:rsid w:val="001B241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PowerPoint_Macro-Enabled_Presentation.pptm"/><Relationship Id="rId13" Type="http://schemas.openxmlformats.org/officeDocument/2006/relationships/hyperlink" Target="https://www.aboutwayfair.com/careers/tech-blog/distributed-authorization-and-wayfairs-supply-chain-of-the-future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emf"/><Relationship Id="rId12" Type="http://schemas.openxmlformats.org/officeDocument/2006/relationships/oleObject" Target="embeddings/oleObject1.bin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4.emf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package" Target="embeddings/Microsoft_PowerPoint_Presentation.pptx"/><Relationship Id="rId4" Type="http://schemas.openxmlformats.org/officeDocument/2006/relationships/footnotes" Target="footnotes.xml"/><Relationship Id="rId9" Type="http://schemas.openxmlformats.org/officeDocument/2006/relationships/image" Target="media/image3.emf"/><Relationship Id="rId14" Type="http://schemas.openxmlformats.org/officeDocument/2006/relationships/hyperlink" Target="https://www.aboutwayfair.com/tag/supply-chain" TargetMode="Externa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6</Pages>
  <Words>465</Words>
  <Characters>2657</Characters>
  <Application>Microsoft Office Word</Application>
  <DocSecurity>0</DocSecurity>
  <Lines>22</Lines>
  <Paragraphs>6</Paragraphs>
  <ScaleCrop>false</ScaleCrop>
  <Company/>
  <LinksUpToDate>false</LinksUpToDate>
  <CharactersWithSpaces>3116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襂驎 凯</dc:creator>
  <cp:keywords/>
  <dc:description/>
  <cp:lastModifiedBy>襂驎 凯</cp:lastModifiedBy>
  <cp:revision>48</cp:revision>
  <dcterms:created xsi:type="dcterms:W3CDTF">2024-12-30T00:09:00Z</dcterms:created>
  <dcterms:modified xsi:type="dcterms:W3CDTF">2025-01-14T21:44:00Z</dcterms:modified>
</cp:coreProperties>
</file>