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F7E503" w14:textId="77777777" w:rsidR="00364D98" w:rsidRPr="00E77FC0" w:rsidRDefault="00364D98" w:rsidP="00364D98">
      <w:pPr>
        <w:jc w:val="center"/>
        <w:rPr>
          <w:rFonts w:asciiTheme="minorBidi" w:hAnsiTheme="minorBidi"/>
          <w:sz w:val="28"/>
          <w:szCs w:val="28"/>
        </w:rPr>
      </w:pPr>
      <w:r w:rsidRPr="00E77FC0">
        <w:rPr>
          <w:rFonts w:asciiTheme="minorBidi" w:hAnsiTheme="minorBidi"/>
          <w:sz w:val="28"/>
          <w:szCs w:val="28"/>
        </w:rPr>
        <w:t xml:space="preserve">Name: </w:t>
      </w:r>
      <w:proofErr w:type="spellStart"/>
      <w:r w:rsidRPr="00E77FC0">
        <w:rPr>
          <w:rFonts w:asciiTheme="minorBidi" w:hAnsiTheme="minorBidi"/>
          <w:sz w:val="28"/>
          <w:szCs w:val="28"/>
        </w:rPr>
        <w:t>Akhlima</w:t>
      </w:r>
      <w:proofErr w:type="spellEnd"/>
      <w:r w:rsidRPr="00E77FC0">
        <w:rPr>
          <w:rFonts w:asciiTheme="minorBidi" w:hAnsiTheme="minorBidi"/>
          <w:sz w:val="28"/>
          <w:szCs w:val="28"/>
        </w:rPr>
        <w:t xml:space="preserve"> Begum </w:t>
      </w:r>
      <w:proofErr w:type="spellStart"/>
      <w:r w:rsidRPr="00E77FC0">
        <w:rPr>
          <w:rFonts w:asciiTheme="minorBidi" w:hAnsiTheme="minorBidi"/>
          <w:sz w:val="28"/>
          <w:szCs w:val="28"/>
        </w:rPr>
        <w:t>Kolil</w:t>
      </w:r>
      <w:proofErr w:type="spellEnd"/>
    </w:p>
    <w:p w14:paraId="1B196462" w14:textId="77777777" w:rsidR="00364D98" w:rsidRPr="00E77FC0" w:rsidRDefault="00364D98" w:rsidP="00364D98">
      <w:pPr>
        <w:jc w:val="center"/>
        <w:rPr>
          <w:rFonts w:asciiTheme="minorBidi" w:hAnsiTheme="minorBidi"/>
          <w:sz w:val="28"/>
          <w:szCs w:val="28"/>
        </w:rPr>
      </w:pPr>
      <w:r w:rsidRPr="00E77FC0">
        <w:rPr>
          <w:rFonts w:asciiTheme="minorBidi" w:hAnsiTheme="minorBidi"/>
          <w:sz w:val="28"/>
          <w:szCs w:val="28"/>
        </w:rPr>
        <w:t>Student Number: 2527006</w:t>
      </w:r>
    </w:p>
    <w:p w14:paraId="382CB13C" w14:textId="4FF247B9" w:rsidR="00364D98" w:rsidRPr="00E77FC0" w:rsidRDefault="00364D98" w:rsidP="00364D98">
      <w:pPr>
        <w:jc w:val="center"/>
        <w:rPr>
          <w:rFonts w:asciiTheme="minorBidi" w:hAnsiTheme="minorBidi"/>
          <w:sz w:val="28"/>
          <w:szCs w:val="28"/>
        </w:rPr>
      </w:pPr>
      <w:r w:rsidRPr="00E77FC0">
        <w:rPr>
          <w:rFonts w:asciiTheme="minorBidi" w:hAnsiTheme="minorBidi"/>
          <w:sz w:val="28"/>
          <w:szCs w:val="28"/>
        </w:rPr>
        <w:t>Module Code and Title: (LCHS400</w:t>
      </w:r>
      <w:r w:rsidR="00E77FC0" w:rsidRPr="00E77FC0">
        <w:rPr>
          <w:rFonts w:asciiTheme="minorBidi" w:hAnsiTheme="minorBidi"/>
          <w:sz w:val="28"/>
          <w:szCs w:val="28"/>
        </w:rPr>
        <w:t>3</w:t>
      </w:r>
      <w:r w:rsidRPr="00E77FC0">
        <w:rPr>
          <w:rFonts w:asciiTheme="minorBidi" w:hAnsiTheme="minorBidi"/>
          <w:sz w:val="28"/>
          <w:szCs w:val="28"/>
        </w:rPr>
        <w:t xml:space="preserve">_LON) Introduction to </w:t>
      </w:r>
      <w:r w:rsidR="00E77FC0" w:rsidRPr="00E77FC0">
        <w:rPr>
          <w:rFonts w:asciiTheme="minorBidi" w:hAnsiTheme="minorBidi"/>
          <w:sz w:val="28"/>
          <w:szCs w:val="28"/>
        </w:rPr>
        <w:t>Health &amp; Social Care</w:t>
      </w:r>
    </w:p>
    <w:p w14:paraId="25981607" w14:textId="619C0AEB" w:rsidR="00364D98" w:rsidRPr="00E77FC0" w:rsidRDefault="00364D98" w:rsidP="00364D98">
      <w:pPr>
        <w:jc w:val="center"/>
        <w:rPr>
          <w:rFonts w:asciiTheme="minorBidi" w:hAnsiTheme="minorBidi"/>
          <w:sz w:val="28"/>
          <w:szCs w:val="28"/>
        </w:rPr>
      </w:pPr>
      <w:r w:rsidRPr="00E77FC0">
        <w:rPr>
          <w:rFonts w:asciiTheme="minorBidi" w:hAnsiTheme="minorBidi"/>
          <w:sz w:val="28"/>
          <w:szCs w:val="28"/>
        </w:rPr>
        <w:t xml:space="preserve">Lecturer Name: </w:t>
      </w:r>
      <w:r w:rsidR="00E77FC0" w:rsidRPr="00E77FC0">
        <w:rPr>
          <w:rFonts w:asciiTheme="minorBidi" w:hAnsiTheme="minorBidi"/>
          <w:sz w:val="28"/>
          <w:szCs w:val="28"/>
        </w:rPr>
        <w:t>Muhammad Aliyu</w:t>
      </w:r>
    </w:p>
    <w:p w14:paraId="5691CC1B" w14:textId="265E53E7" w:rsidR="00364D98" w:rsidRPr="00E77FC0" w:rsidRDefault="00364D98" w:rsidP="00364D98">
      <w:pPr>
        <w:jc w:val="center"/>
        <w:rPr>
          <w:rFonts w:asciiTheme="minorBidi" w:hAnsiTheme="minorBidi"/>
          <w:sz w:val="28"/>
          <w:szCs w:val="28"/>
        </w:rPr>
      </w:pPr>
      <w:r w:rsidRPr="00E77FC0">
        <w:rPr>
          <w:rFonts w:asciiTheme="minorBidi" w:hAnsiTheme="minorBidi"/>
          <w:sz w:val="28"/>
          <w:szCs w:val="28"/>
        </w:rPr>
        <w:t xml:space="preserve">Assignment Title: </w:t>
      </w:r>
      <w:r w:rsidR="00E77FC0" w:rsidRPr="00E77FC0">
        <w:rPr>
          <w:rFonts w:asciiTheme="minorBidi" w:hAnsiTheme="minorBidi"/>
          <w:sz w:val="28"/>
          <w:szCs w:val="28"/>
        </w:rPr>
        <w:t>Component 2- Written Assignment</w:t>
      </w:r>
    </w:p>
    <w:p w14:paraId="26F35B7E" w14:textId="77777777" w:rsidR="008653AA" w:rsidRPr="00E77FC0" w:rsidRDefault="008653AA">
      <w:pPr>
        <w:rPr>
          <w:rFonts w:asciiTheme="minorBidi" w:hAnsiTheme="minorBidi"/>
        </w:rPr>
      </w:pPr>
    </w:p>
    <w:p w14:paraId="66FD3F8F" w14:textId="77777777" w:rsidR="00364D98" w:rsidRPr="00E77FC0" w:rsidRDefault="00364D98">
      <w:pPr>
        <w:rPr>
          <w:rFonts w:asciiTheme="minorBidi" w:hAnsiTheme="minorBidi"/>
        </w:rPr>
      </w:pPr>
    </w:p>
    <w:p w14:paraId="6576570A" w14:textId="77777777" w:rsidR="00364D98" w:rsidRPr="00E77FC0" w:rsidRDefault="00364D98">
      <w:pPr>
        <w:rPr>
          <w:rFonts w:asciiTheme="minorBidi" w:hAnsiTheme="minorBidi"/>
        </w:rPr>
      </w:pPr>
    </w:p>
    <w:p w14:paraId="05EC46E0" w14:textId="77777777" w:rsidR="00364D98" w:rsidRPr="00E77FC0" w:rsidRDefault="00364D98">
      <w:pPr>
        <w:rPr>
          <w:rFonts w:asciiTheme="minorBidi" w:hAnsiTheme="minorBidi"/>
        </w:rPr>
      </w:pPr>
    </w:p>
    <w:p w14:paraId="2C16A668" w14:textId="77777777" w:rsidR="00364D98" w:rsidRPr="00E77FC0" w:rsidRDefault="00364D98">
      <w:pPr>
        <w:rPr>
          <w:rFonts w:asciiTheme="minorBidi" w:hAnsiTheme="minorBidi"/>
        </w:rPr>
      </w:pPr>
    </w:p>
    <w:p w14:paraId="5D6EACC0" w14:textId="77777777" w:rsidR="00364D98" w:rsidRPr="00E77FC0" w:rsidRDefault="00364D98">
      <w:pPr>
        <w:rPr>
          <w:rFonts w:asciiTheme="minorBidi" w:hAnsiTheme="minorBidi"/>
        </w:rPr>
      </w:pPr>
    </w:p>
    <w:p w14:paraId="0F271A37" w14:textId="77777777" w:rsidR="00364D98" w:rsidRPr="00E77FC0" w:rsidRDefault="00364D98">
      <w:pPr>
        <w:rPr>
          <w:rFonts w:asciiTheme="minorBidi" w:hAnsiTheme="minorBidi"/>
        </w:rPr>
      </w:pPr>
    </w:p>
    <w:p w14:paraId="3953BAEF" w14:textId="77777777" w:rsidR="00364D98" w:rsidRPr="00E77FC0" w:rsidRDefault="00364D98">
      <w:pPr>
        <w:rPr>
          <w:rFonts w:asciiTheme="minorBidi" w:hAnsiTheme="minorBidi"/>
        </w:rPr>
      </w:pPr>
    </w:p>
    <w:p w14:paraId="4B5077C3" w14:textId="77777777" w:rsidR="00364D98" w:rsidRPr="00E77FC0" w:rsidRDefault="00364D98">
      <w:pPr>
        <w:rPr>
          <w:rFonts w:asciiTheme="minorBidi" w:hAnsiTheme="minorBidi"/>
        </w:rPr>
      </w:pPr>
    </w:p>
    <w:p w14:paraId="0A3DE83C" w14:textId="77777777" w:rsidR="00364D98" w:rsidRPr="00E77FC0" w:rsidRDefault="00364D98">
      <w:pPr>
        <w:rPr>
          <w:rFonts w:asciiTheme="minorBidi" w:hAnsiTheme="minorBidi"/>
        </w:rPr>
      </w:pPr>
    </w:p>
    <w:p w14:paraId="7EBA9FC6" w14:textId="77777777" w:rsidR="00364D98" w:rsidRPr="00E77FC0" w:rsidRDefault="00364D98">
      <w:pPr>
        <w:rPr>
          <w:rFonts w:asciiTheme="minorBidi" w:hAnsiTheme="minorBidi"/>
        </w:rPr>
      </w:pPr>
    </w:p>
    <w:p w14:paraId="37E1BEA7" w14:textId="77777777" w:rsidR="00364D98" w:rsidRPr="00E77FC0" w:rsidRDefault="00364D98">
      <w:pPr>
        <w:rPr>
          <w:rFonts w:asciiTheme="minorBidi" w:hAnsiTheme="minorBidi"/>
        </w:rPr>
      </w:pPr>
    </w:p>
    <w:p w14:paraId="5F8A9EB8" w14:textId="77777777" w:rsidR="00364D98" w:rsidRPr="00E77FC0" w:rsidRDefault="00364D98">
      <w:pPr>
        <w:rPr>
          <w:rFonts w:asciiTheme="minorBidi" w:hAnsiTheme="minorBidi"/>
        </w:rPr>
      </w:pPr>
    </w:p>
    <w:p w14:paraId="39A183F9" w14:textId="77777777" w:rsidR="00364D98" w:rsidRPr="00E77FC0" w:rsidRDefault="00364D98">
      <w:pPr>
        <w:rPr>
          <w:rFonts w:asciiTheme="minorBidi" w:hAnsiTheme="minorBidi"/>
        </w:rPr>
      </w:pPr>
    </w:p>
    <w:p w14:paraId="296D6E46" w14:textId="77777777" w:rsidR="00364D98" w:rsidRPr="00E77FC0" w:rsidRDefault="00364D98">
      <w:pPr>
        <w:rPr>
          <w:rFonts w:asciiTheme="minorBidi" w:hAnsiTheme="minorBidi"/>
        </w:rPr>
      </w:pPr>
    </w:p>
    <w:p w14:paraId="4AA6185F" w14:textId="77777777" w:rsidR="00364D98" w:rsidRPr="00E77FC0" w:rsidRDefault="00364D98">
      <w:pPr>
        <w:rPr>
          <w:rFonts w:asciiTheme="minorBidi" w:hAnsiTheme="minorBidi"/>
        </w:rPr>
      </w:pPr>
    </w:p>
    <w:p w14:paraId="1C1CD277" w14:textId="77777777" w:rsidR="00364D98" w:rsidRPr="00E77FC0" w:rsidRDefault="00364D98">
      <w:pPr>
        <w:rPr>
          <w:rFonts w:asciiTheme="minorBidi" w:hAnsiTheme="minorBidi"/>
        </w:rPr>
      </w:pPr>
    </w:p>
    <w:p w14:paraId="091C6D43" w14:textId="77777777" w:rsidR="00364D98" w:rsidRPr="00E77FC0" w:rsidRDefault="00364D98">
      <w:pPr>
        <w:rPr>
          <w:rFonts w:asciiTheme="minorBidi" w:hAnsiTheme="minorBidi"/>
        </w:rPr>
      </w:pPr>
    </w:p>
    <w:p w14:paraId="47339986" w14:textId="77777777" w:rsidR="00364D98" w:rsidRPr="00E77FC0" w:rsidRDefault="00364D98">
      <w:pPr>
        <w:rPr>
          <w:rFonts w:asciiTheme="minorBidi" w:hAnsiTheme="minorBidi"/>
        </w:rPr>
      </w:pPr>
    </w:p>
    <w:p w14:paraId="7F17402B" w14:textId="77777777" w:rsidR="00364D98" w:rsidRPr="00E77FC0" w:rsidRDefault="00364D98">
      <w:pPr>
        <w:rPr>
          <w:rFonts w:asciiTheme="minorBidi" w:hAnsiTheme="minorBidi"/>
        </w:rPr>
      </w:pPr>
    </w:p>
    <w:p w14:paraId="054D76F5" w14:textId="77777777" w:rsidR="00364D98" w:rsidRPr="00E77FC0" w:rsidRDefault="00364D98">
      <w:pPr>
        <w:rPr>
          <w:rFonts w:asciiTheme="minorBidi" w:hAnsiTheme="minorBidi"/>
        </w:rPr>
      </w:pPr>
    </w:p>
    <w:p w14:paraId="32F2A88F" w14:textId="77777777" w:rsidR="00364D98" w:rsidRPr="00E77FC0" w:rsidRDefault="00364D98">
      <w:pPr>
        <w:rPr>
          <w:rFonts w:asciiTheme="minorBidi" w:hAnsiTheme="minorBidi"/>
        </w:rPr>
      </w:pPr>
    </w:p>
    <w:p w14:paraId="45E14F2C" w14:textId="77777777" w:rsidR="00364D98" w:rsidRPr="00E77FC0" w:rsidRDefault="00364D98">
      <w:pPr>
        <w:rPr>
          <w:rFonts w:asciiTheme="minorBidi" w:hAnsiTheme="minorBidi"/>
        </w:rPr>
      </w:pPr>
    </w:p>
    <w:p w14:paraId="0A050056" w14:textId="77777777" w:rsidR="00A02654" w:rsidRPr="00A02654" w:rsidRDefault="00A02654" w:rsidP="00A02654">
      <w:pPr>
        <w:rPr>
          <w:rFonts w:asciiTheme="minorBidi" w:hAnsiTheme="minorBidi"/>
          <w:b/>
          <w:bCs/>
          <w:sz w:val="22"/>
          <w:szCs w:val="22"/>
        </w:rPr>
      </w:pPr>
      <w:r w:rsidRPr="00A02654">
        <w:rPr>
          <w:rFonts w:asciiTheme="minorBidi" w:hAnsiTheme="minorBidi"/>
          <w:b/>
          <w:bCs/>
          <w:sz w:val="22"/>
          <w:szCs w:val="22"/>
        </w:rPr>
        <w:lastRenderedPageBreak/>
        <w:t>Introduction</w:t>
      </w:r>
    </w:p>
    <w:p w14:paraId="7CEAA6E6" w14:textId="77777777" w:rsidR="00A02654" w:rsidRPr="00A02654" w:rsidRDefault="00A02654" w:rsidP="00A02654">
      <w:pPr>
        <w:rPr>
          <w:rFonts w:asciiTheme="minorBidi" w:hAnsiTheme="minorBidi"/>
          <w:sz w:val="22"/>
          <w:szCs w:val="22"/>
        </w:rPr>
      </w:pPr>
      <w:r w:rsidRPr="00A02654">
        <w:rPr>
          <w:rFonts w:asciiTheme="minorBidi" w:hAnsiTheme="minorBidi"/>
          <w:sz w:val="22"/>
          <w:szCs w:val="22"/>
        </w:rPr>
        <w:t>High-quality health and social care requires professionals to exchange information effectively, maintain reliable documentation and cooperate with others involved in providing care. These principles are particularly significant when supporting older individuals who may have a combination of health, social and cognitive needs. Mrs Thompson is an 84-year-old woman who has recently returned home following treatment for pneumonia. She lives independently within sheltered accommodation and receives support from domiciliary carers twice each day. She also has mild dementia, which can affect her memory and ability to remember important aspects of her care. A concern arose after she failed to take her medication for two consecutive days and subsequently became more confused. A further concern occurred when she was found outdoors during cold weather without appropriate clothing. Together, these incidents suggest that Mrs Thompson may be experiencing risks to her health, safety and overall wellbeing and therefore require an appropriate and coordinated response. This report examines the importance of communication with Mrs Thompson and her family, using Berlo’s (1960) SMCR model and relevant principles of the Equality Act 2010. It also considers the importance of effective administration, accurate record keeping and appropriate handling of personal information, before exploring the value of collaborative working between the professionals supporting her.</w:t>
      </w:r>
    </w:p>
    <w:p w14:paraId="5111C695" w14:textId="77777777" w:rsidR="00A02654" w:rsidRPr="00A02654" w:rsidRDefault="00A02654" w:rsidP="00A02654">
      <w:pPr>
        <w:rPr>
          <w:rFonts w:asciiTheme="minorBidi" w:hAnsiTheme="minorBidi"/>
          <w:b/>
          <w:bCs/>
          <w:sz w:val="22"/>
          <w:szCs w:val="22"/>
        </w:rPr>
      </w:pPr>
      <w:r w:rsidRPr="00A02654">
        <w:rPr>
          <w:rFonts w:asciiTheme="minorBidi" w:hAnsiTheme="minorBidi"/>
          <w:b/>
          <w:bCs/>
          <w:sz w:val="22"/>
          <w:szCs w:val="22"/>
        </w:rPr>
        <w:t>1. Effective Communication</w:t>
      </w:r>
    </w:p>
    <w:p w14:paraId="31FC13E0" w14:textId="77777777" w:rsidR="00A02654" w:rsidRPr="00A02654" w:rsidRDefault="00A02654" w:rsidP="00A02654">
      <w:pPr>
        <w:rPr>
          <w:rFonts w:asciiTheme="minorBidi" w:hAnsiTheme="minorBidi"/>
          <w:sz w:val="22"/>
          <w:szCs w:val="22"/>
        </w:rPr>
      </w:pPr>
      <w:r w:rsidRPr="00A02654">
        <w:rPr>
          <w:rFonts w:asciiTheme="minorBidi" w:hAnsiTheme="minorBidi"/>
          <w:sz w:val="22"/>
          <w:szCs w:val="22"/>
        </w:rPr>
        <w:t>Clear and appropriate communication is an essential part of providing safe, respectful and person-centred care. It allows professionals to identify an individual's needs, explain information clearly and support their involvement in decisions relating to their care. Within health and social care, communication often takes place between several professionals and organisations, making effective information exchange important for maintaining continuity and coordination (Glasby, 2017). In Mrs Thompson’s circumstances, this is particularly relevant because her mild dementia may affect her memory, comprehension and ability to recall information. Nevertheless, professionals should avoid making assumptions about what she can or cannot understand and should ensure that she is treated with dignity and addressed directly.</w:t>
      </w:r>
    </w:p>
    <w:p w14:paraId="2E9358BC" w14:textId="77777777" w:rsidR="00A02654" w:rsidRPr="00A02654" w:rsidRDefault="00A02654" w:rsidP="00A02654">
      <w:pPr>
        <w:rPr>
          <w:rFonts w:asciiTheme="minorBidi" w:hAnsiTheme="minorBidi"/>
          <w:sz w:val="22"/>
          <w:szCs w:val="22"/>
        </w:rPr>
      </w:pPr>
      <w:r w:rsidRPr="00A02654">
        <w:rPr>
          <w:rFonts w:asciiTheme="minorBidi" w:hAnsiTheme="minorBidi"/>
          <w:sz w:val="22"/>
          <w:szCs w:val="22"/>
        </w:rPr>
        <w:t>Berlo’s (1960) SMCR model can be used to understand the different stages involved in the communication process. The model identifies four key components: Source, Message, Channel and Receiver. The source is responsible for initiating the communication, while the message represents the information being conveyed. The channel refers to the method through which the information is delivered, and the receiver is the individual who receives and interprets it. Berlo (1960) also recognises that factors including a person's knowledge, communication skills and attitudes can influence how effectively a message is communicated and understood.</w:t>
      </w:r>
    </w:p>
    <w:p w14:paraId="1E5AC97F" w14:textId="77777777" w:rsidR="00E77FC0" w:rsidRPr="00E77FC0" w:rsidRDefault="00E77FC0" w:rsidP="00E77FC0">
      <w:pPr>
        <w:rPr>
          <w:rFonts w:asciiTheme="minorBidi" w:hAnsiTheme="minorBidi"/>
          <w:sz w:val="22"/>
          <w:szCs w:val="22"/>
        </w:rPr>
      </w:pPr>
      <w:r w:rsidRPr="00E77FC0">
        <w:rPr>
          <w:rFonts w:asciiTheme="minorBidi" w:hAnsiTheme="minorBidi"/>
          <w:sz w:val="22"/>
          <w:szCs w:val="22"/>
        </w:rPr>
        <w:t xml:space="preserve">Applied to Mrs Thompson, a domiciliary care worker could be the source when discussing her medication. The message should be clear, simple and appropriate to her level of understanding. Instead of lengthy or complicated instructions, the care worker could explain one piece of information at a time and repeat important information where necessary. The channel could involve face-to-face verbal communication supported by written information or visual reminders. This may help compensate for memory difficulties. Mrs Thompson is the receiver and should be given sufficient time to listen, process and respond. The care worker </w:t>
      </w:r>
      <w:r w:rsidRPr="00E77FC0">
        <w:rPr>
          <w:rFonts w:asciiTheme="minorBidi" w:hAnsiTheme="minorBidi"/>
          <w:sz w:val="22"/>
          <w:szCs w:val="22"/>
        </w:rPr>
        <w:lastRenderedPageBreak/>
        <w:t>should check her understanding rather than assuming that the message has been understood.</w:t>
      </w:r>
    </w:p>
    <w:p w14:paraId="1BF0E016" w14:textId="77777777" w:rsidR="00E77FC0" w:rsidRPr="00E77FC0" w:rsidRDefault="00E77FC0" w:rsidP="00E77FC0">
      <w:pPr>
        <w:rPr>
          <w:rFonts w:asciiTheme="minorBidi" w:hAnsiTheme="minorBidi"/>
          <w:sz w:val="22"/>
          <w:szCs w:val="22"/>
        </w:rPr>
      </w:pPr>
      <w:r w:rsidRPr="00E77FC0">
        <w:rPr>
          <w:rFonts w:asciiTheme="minorBidi" w:hAnsiTheme="minorBidi"/>
          <w:sz w:val="22"/>
          <w:szCs w:val="22"/>
        </w:rPr>
        <w:t>Lee (2021) identifies effective communication as involving appropriate techniques and awareness of potential barriers. For Mrs Thompson, barriers could include confusion, memory difficulties, anxiety or hearing difficulties. Professionals should therefore communicate in a quiet environment, use straightforward language, maintain appropriate eye contact and allow adequate time for her to respond. Communication should remain respectful and should not become patronising because of her age or dementia.</w:t>
      </w:r>
    </w:p>
    <w:p w14:paraId="02D16265" w14:textId="77777777" w:rsidR="00E77FC0" w:rsidRPr="00E77FC0" w:rsidRDefault="00E77FC0" w:rsidP="00E77FC0">
      <w:pPr>
        <w:rPr>
          <w:rFonts w:asciiTheme="minorBidi" w:hAnsiTheme="minorBidi"/>
          <w:sz w:val="22"/>
          <w:szCs w:val="22"/>
        </w:rPr>
      </w:pPr>
      <w:r w:rsidRPr="00E77FC0">
        <w:rPr>
          <w:rFonts w:asciiTheme="minorBidi" w:hAnsiTheme="minorBidi"/>
          <w:sz w:val="22"/>
          <w:szCs w:val="22"/>
        </w:rPr>
        <w:t>The Equality Act 2010 is relevant because health and social care providers must avoid unlawful discrimination and make reasonable adjustments where required. For Mrs Thompson, adjustments could include allowing additional time for conversations, using accessible written information, reducing distractions and checking understanding. These approaches support her involvement in decisions rather than defining her solely by her dementia.</w:t>
      </w:r>
    </w:p>
    <w:p w14:paraId="35B86B39" w14:textId="77777777" w:rsidR="00E77FC0" w:rsidRPr="00E77FC0" w:rsidRDefault="00E77FC0" w:rsidP="00E77FC0">
      <w:pPr>
        <w:rPr>
          <w:rFonts w:asciiTheme="minorBidi" w:hAnsiTheme="minorBidi"/>
          <w:sz w:val="22"/>
          <w:szCs w:val="22"/>
        </w:rPr>
      </w:pPr>
      <w:r w:rsidRPr="00E77FC0">
        <w:rPr>
          <w:rFonts w:asciiTheme="minorBidi" w:hAnsiTheme="minorBidi"/>
          <w:sz w:val="22"/>
          <w:szCs w:val="22"/>
        </w:rPr>
        <w:t>Communication with family members can provide useful information about Mrs Thompson’s usual behaviour, preferences and changes in wellbeing. However, professionals should consider her consent, confidentiality and capacity before sharing personal information. Family involvement should support, rather than replace, communication with Mrs Thompson herself.</w:t>
      </w:r>
    </w:p>
    <w:p w14:paraId="7EF63BD4" w14:textId="77777777" w:rsidR="00E77FC0" w:rsidRPr="00E77FC0" w:rsidRDefault="00E77FC0" w:rsidP="00E77FC0">
      <w:pPr>
        <w:rPr>
          <w:rFonts w:asciiTheme="minorBidi" w:hAnsiTheme="minorBidi"/>
          <w:b/>
          <w:bCs/>
          <w:sz w:val="22"/>
          <w:szCs w:val="22"/>
        </w:rPr>
      </w:pPr>
      <w:r w:rsidRPr="00E77FC0">
        <w:rPr>
          <w:rFonts w:asciiTheme="minorBidi" w:hAnsiTheme="minorBidi"/>
          <w:b/>
          <w:bCs/>
          <w:sz w:val="22"/>
          <w:szCs w:val="22"/>
        </w:rPr>
        <w:t>2. Good Administrative Skills, Record Keeping and Data Protection</w:t>
      </w:r>
    </w:p>
    <w:p w14:paraId="4D1DDF75" w14:textId="77777777" w:rsidR="00357778" w:rsidRPr="00357778" w:rsidRDefault="00357778" w:rsidP="00357778">
      <w:pPr>
        <w:rPr>
          <w:rFonts w:asciiTheme="minorBidi" w:hAnsiTheme="minorBidi"/>
          <w:sz w:val="22"/>
          <w:szCs w:val="22"/>
        </w:rPr>
      </w:pPr>
      <w:r w:rsidRPr="00357778">
        <w:rPr>
          <w:rFonts w:asciiTheme="minorBidi" w:hAnsiTheme="minorBidi"/>
          <w:sz w:val="22"/>
          <w:szCs w:val="22"/>
        </w:rPr>
        <w:t>Effective administration is an important part of professional practice in health and social care because it contributes to the delivery of safe, consistent and accountable services. This includes keeping records up to date, reporting incidents, reviewing care plans, recording discussions and making sure important information is communicated to the appropriate professionals. As health and social care is delivered by different services and professionals, effective administration can help ensure that relevant information is available when required and that continuity of care is maintained (Glasby, 2017).</w:t>
      </w:r>
    </w:p>
    <w:p w14:paraId="0E12590F" w14:textId="77777777" w:rsidR="00357778" w:rsidRPr="00357778" w:rsidRDefault="00357778" w:rsidP="00357778">
      <w:pPr>
        <w:rPr>
          <w:rFonts w:asciiTheme="minorBidi" w:hAnsiTheme="minorBidi"/>
          <w:sz w:val="22"/>
          <w:szCs w:val="22"/>
        </w:rPr>
      </w:pPr>
      <w:r w:rsidRPr="00357778">
        <w:rPr>
          <w:rFonts w:asciiTheme="minorBidi" w:hAnsiTheme="minorBidi"/>
          <w:sz w:val="22"/>
          <w:szCs w:val="22"/>
        </w:rPr>
        <w:t>In relation to Mrs Thompson, the two occasions when she did not take her medication should be documented through the relevant medication and incident-reporting processes. Records should provide a clear factual account of what occurred, including the dates, circumstances and actions taken. Any changes observed in Mrs Thompson’s condition, such as her increased confusion, should also be recorded objectively without making assumptions about the cause. Details of the requested medication review should be included, such as which professional or service was contacted and any recommendations or follow-up actions agreed. Maintaining this information allows other professionals involved in her care to understand the situation and respond appropriately.</w:t>
      </w:r>
    </w:p>
    <w:p w14:paraId="70EF47D9" w14:textId="77777777" w:rsidR="00357778" w:rsidRPr="00357778" w:rsidRDefault="00357778" w:rsidP="00357778">
      <w:pPr>
        <w:rPr>
          <w:rFonts w:asciiTheme="minorBidi" w:hAnsiTheme="minorBidi"/>
          <w:sz w:val="22"/>
          <w:szCs w:val="22"/>
        </w:rPr>
      </w:pPr>
      <w:r w:rsidRPr="00357778">
        <w:rPr>
          <w:rFonts w:asciiTheme="minorBidi" w:hAnsiTheme="minorBidi"/>
          <w:sz w:val="22"/>
          <w:szCs w:val="22"/>
        </w:rPr>
        <w:t>The concern about Mrs Thompson being found outside in cold weather without appropriate clothing should also be documented and referred through the relevant safeguarding procedures. The Care Act 2014 provides the legal framework for adult social care in England and places an emphasis on promoting wellbeing and protecting adults who may be at risk of harm or neglect. The local authority’s investigation can help determine whether the incident reflects an underlying safeguarding concern and whether Mrs Thompson requires additional support or changes to her existing care arrangements.</w:t>
      </w:r>
    </w:p>
    <w:p w14:paraId="5A692304" w14:textId="77777777" w:rsidR="00E77FC0" w:rsidRPr="00E77FC0" w:rsidRDefault="00E77FC0" w:rsidP="00E77FC0">
      <w:pPr>
        <w:rPr>
          <w:rFonts w:asciiTheme="minorBidi" w:hAnsiTheme="minorBidi"/>
          <w:sz w:val="22"/>
          <w:szCs w:val="22"/>
        </w:rPr>
      </w:pPr>
      <w:r w:rsidRPr="00E77FC0">
        <w:rPr>
          <w:rFonts w:asciiTheme="minorBidi" w:hAnsiTheme="minorBidi"/>
          <w:sz w:val="22"/>
          <w:szCs w:val="22"/>
        </w:rPr>
        <w:lastRenderedPageBreak/>
        <w:t>Data protection is also important in record keeping. The Data Protection Act 2018 and UK GDPR establish requirements for handling personal information lawfully and securely. Professionals should ensure that Mrs Thompson’s information is accurate, relevant and only accessed by individuals with a legitimate reason to do so. Data protection principles include lawfulness, fairness and transparency, purpose limitation, data minimisation, accuracy, storage limitation, integrity and confidentiality.</w:t>
      </w:r>
    </w:p>
    <w:p w14:paraId="0E7148F1" w14:textId="77777777" w:rsidR="00E77FC0" w:rsidRPr="00E77FC0" w:rsidRDefault="00E77FC0" w:rsidP="00E77FC0">
      <w:pPr>
        <w:rPr>
          <w:rFonts w:asciiTheme="minorBidi" w:hAnsiTheme="minorBidi"/>
          <w:sz w:val="22"/>
          <w:szCs w:val="22"/>
        </w:rPr>
      </w:pPr>
      <w:r w:rsidRPr="00E77FC0">
        <w:rPr>
          <w:rFonts w:asciiTheme="minorBidi" w:hAnsiTheme="minorBidi"/>
          <w:sz w:val="22"/>
          <w:szCs w:val="22"/>
        </w:rPr>
        <w:t>For example, a domiciliary care worker should not discuss Mrs Thompson’s medical information with people who are not involved in her care. However, confidentiality does not mean professionals must avoid sharing information altogether. Where information is necessary to provide safe care or respond to safeguarding concerns, it can be shared appropriately in accordance with the relevant legal and organisational framework. This is important because several professionals need relevant information to understand the risks associated with her medication and recent behaviour.</w:t>
      </w:r>
    </w:p>
    <w:p w14:paraId="2B07FC06" w14:textId="77777777" w:rsidR="00E77FC0" w:rsidRPr="00E77FC0" w:rsidRDefault="00E77FC0" w:rsidP="00E77FC0">
      <w:pPr>
        <w:rPr>
          <w:rFonts w:asciiTheme="minorBidi" w:hAnsiTheme="minorBidi"/>
          <w:sz w:val="22"/>
          <w:szCs w:val="22"/>
        </w:rPr>
      </w:pPr>
      <w:r w:rsidRPr="00E77FC0">
        <w:rPr>
          <w:rFonts w:asciiTheme="minorBidi" w:hAnsiTheme="minorBidi"/>
          <w:sz w:val="22"/>
          <w:szCs w:val="22"/>
        </w:rPr>
        <w:t>Good record keeping also supports accountability. If a professional records a concern and the action taken, another professional can understand what has happened and identify outstanding actions. This can prevent duplication and reduce the likelihood of important tasks being overlooked. Chambers, Cantrell and Booth (2021) identify challenges associated with digital and data-driven technologies in health and social care, demonstrating that effective information management requires appropriate systems, processes and professional practice.</w:t>
      </w:r>
    </w:p>
    <w:p w14:paraId="6C5C4E0A" w14:textId="77777777" w:rsidR="00E77FC0" w:rsidRPr="00E77FC0" w:rsidRDefault="00E77FC0" w:rsidP="00E77FC0">
      <w:pPr>
        <w:rPr>
          <w:rFonts w:asciiTheme="minorBidi" w:hAnsiTheme="minorBidi"/>
          <w:sz w:val="22"/>
          <w:szCs w:val="22"/>
        </w:rPr>
      </w:pPr>
      <w:r w:rsidRPr="00E77FC0">
        <w:rPr>
          <w:rFonts w:asciiTheme="minorBidi" w:hAnsiTheme="minorBidi"/>
          <w:sz w:val="22"/>
          <w:szCs w:val="22"/>
        </w:rPr>
        <w:t>Therefore, good administration in Mrs Thompson’s case is not simply an organisational responsibility. Accurate records, appropriate information sharing and secure data handling directly contribute to safety, continuity of care, safeguarding and professional accountability.</w:t>
      </w:r>
    </w:p>
    <w:p w14:paraId="2C2AC9FF" w14:textId="77777777" w:rsidR="00E77FC0" w:rsidRPr="00E77FC0" w:rsidRDefault="00E77FC0" w:rsidP="00E77FC0">
      <w:pPr>
        <w:rPr>
          <w:rFonts w:asciiTheme="minorBidi" w:hAnsiTheme="minorBidi"/>
          <w:b/>
          <w:bCs/>
          <w:sz w:val="22"/>
          <w:szCs w:val="22"/>
        </w:rPr>
      </w:pPr>
      <w:r w:rsidRPr="00E77FC0">
        <w:rPr>
          <w:rFonts w:asciiTheme="minorBidi" w:hAnsiTheme="minorBidi"/>
          <w:b/>
          <w:bCs/>
          <w:sz w:val="22"/>
          <w:szCs w:val="22"/>
        </w:rPr>
        <w:t>3. Collaborative and Multi-Agency Working</w:t>
      </w:r>
    </w:p>
    <w:p w14:paraId="009418ED" w14:textId="77777777" w:rsidR="00E77FC0" w:rsidRPr="00E77FC0" w:rsidRDefault="00E77FC0" w:rsidP="00E77FC0">
      <w:pPr>
        <w:rPr>
          <w:rFonts w:asciiTheme="minorBidi" w:hAnsiTheme="minorBidi"/>
          <w:sz w:val="22"/>
          <w:szCs w:val="22"/>
        </w:rPr>
      </w:pPr>
      <w:r w:rsidRPr="00E77FC0">
        <w:rPr>
          <w:rFonts w:asciiTheme="minorBidi" w:hAnsiTheme="minorBidi"/>
          <w:sz w:val="22"/>
          <w:szCs w:val="22"/>
        </w:rPr>
        <w:t>Collaborative working is important because Mrs Thompson’s needs cannot be addressed effectively by one professional or organisation alone. She requires support from professionals with different areas of knowledge and responsibility. Glasby and Dickinson (2014) explain that partnership working and integrated care aim to bring different services together to provide coordinated support. This is particularly relevant because Mrs Thompson’s health, medication, cognitive and social needs are interconnected.</w:t>
      </w:r>
    </w:p>
    <w:p w14:paraId="4C8CF50B" w14:textId="77777777" w:rsidR="00E77FC0" w:rsidRPr="00E77FC0" w:rsidRDefault="00E77FC0" w:rsidP="00E77FC0">
      <w:pPr>
        <w:rPr>
          <w:rFonts w:asciiTheme="minorBidi" w:hAnsiTheme="minorBidi"/>
          <w:sz w:val="22"/>
          <w:szCs w:val="22"/>
        </w:rPr>
      </w:pPr>
      <w:r w:rsidRPr="00E77FC0">
        <w:rPr>
          <w:rFonts w:asciiTheme="minorBidi" w:hAnsiTheme="minorBidi"/>
          <w:sz w:val="22"/>
          <w:szCs w:val="22"/>
        </w:rPr>
        <w:t>The GP can review her medical condition following pneumonia and consider whether her medication requires adjustment. The community nurse can monitor her recovery and identify changes in health or wellbeing. Domiciliary care workers have regular contact with Mrs Thompson and may identify changes in medication adherence, confusion, mobility or ability to manage safely at home. The local authority can investigate concerns relating to her safety and determine whether additional social care or safeguarding measures are required. Where appropriate, a pharmacist may also contribute to medication management.</w:t>
      </w:r>
    </w:p>
    <w:p w14:paraId="56A182A2" w14:textId="77777777" w:rsidR="00E77FC0" w:rsidRPr="00E77FC0" w:rsidRDefault="00E77FC0" w:rsidP="00E77FC0">
      <w:pPr>
        <w:rPr>
          <w:rFonts w:asciiTheme="minorBidi" w:hAnsiTheme="minorBidi"/>
          <w:sz w:val="22"/>
          <w:szCs w:val="22"/>
        </w:rPr>
      </w:pPr>
      <w:r w:rsidRPr="00E77FC0">
        <w:rPr>
          <w:rFonts w:asciiTheme="minorBidi" w:hAnsiTheme="minorBidi"/>
          <w:sz w:val="22"/>
          <w:szCs w:val="22"/>
        </w:rPr>
        <w:t>Effective collaboration requires professionals to communicate relevant information, understand their responsibilities and work towards shared outcomes. A coordinated care plan can clarify who is responsible for particular actions and when these should be reviewed. Glasby and Dickinson (2014) emphasise the importance of partnership approaches in achieving integrated health and social care services.</w:t>
      </w:r>
    </w:p>
    <w:p w14:paraId="0D1D6BC7" w14:textId="77777777" w:rsidR="00E77FC0" w:rsidRPr="00E77FC0" w:rsidRDefault="00E77FC0" w:rsidP="00E77FC0">
      <w:pPr>
        <w:rPr>
          <w:rFonts w:asciiTheme="minorBidi" w:hAnsiTheme="minorBidi"/>
          <w:sz w:val="22"/>
          <w:szCs w:val="22"/>
        </w:rPr>
      </w:pPr>
      <w:r w:rsidRPr="00E77FC0">
        <w:rPr>
          <w:rFonts w:asciiTheme="minorBidi" w:hAnsiTheme="minorBidi"/>
          <w:sz w:val="22"/>
          <w:szCs w:val="22"/>
        </w:rPr>
        <w:lastRenderedPageBreak/>
        <w:t>However, multi-agency working can present challenges, including differences in professional priorities, unclear responsibilities, communication failures, organisational boundaries and concerns about confidentiality. Glasby (2017) highlights the complexity of health and social care systems, where services may operate across different organisational structures. Chambers, Cantrell and Booth (2021) also demonstrate that information and technology can create challenges affecting how effectively information is accessed and shared.</w:t>
      </w:r>
    </w:p>
    <w:p w14:paraId="3CBC6C7D" w14:textId="77777777" w:rsidR="00E77FC0" w:rsidRPr="00E77FC0" w:rsidRDefault="00E77FC0" w:rsidP="00E77FC0">
      <w:pPr>
        <w:rPr>
          <w:rFonts w:asciiTheme="minorBidi" w:hAnsiTheme="minorBidi"/>
          <w:sz w:val="22"/>
          <w:szCs w:val="22"/>
        </w:rPr>
      </w:pPr>
      <w:r w:rsidRPr="00E77FC0">
        <w:rPr>
          <w:rFonts w:asciiTheme="minorBidi" w:hAnsiTheme="minorBidi"/>
          <w:sz w:val="22"/>
          <w:szCs w:val="22"/>
        </w:rPr>
        <w:t>These challenges can be addressed through clear communication channels, accurate record keeping, regular multidisciplinary discussions and clearly allocated responsibilities. Professionals should agree what information needs to be shared and ensure important actions are followed up. Most importantly, Mrs Thompson should remain at the centre of the process. Her views, preferences and independence should be considered when professionals make decisions about her care. A coordinated approach can therefore improve safety while supporting her dignity and wellbeing.</w:t>
      </w:r>
    </w:p>
    <w:p w14:paraId="239ABDEB" w14:textId="77777777" w:rsidR="00E77FC0" w:rsidRPr="00E77FC0" w:rsidRDefault="00E77FC0" w:rsidP="00E77FC0">
      <w:pPr>
        <w:rPr>
          <w:rFonts w:asciiTheme="minorBidi" w:hAnsiTheme="minorBidi"/>
          <w:b/>
          <w:bCs/>
          <w:sz w:val="22"/>
          <w:szCs w:val="22"/>
        </w:rPr>
      </w:pPr>
      <w:r w:rsidRPr="00E77FC0">
        <w:rPr>
          <w:rFonts w:asciiTheme="minorBidi" w:hAnsiTheme="minorBidi"/>
          <w:b/>
          <w:bCs/>
          <w:sz w:val="22"/>
          <w:szCs w:val="22"/>
        </w:rPr>
        <w:t>Conclusion</w:t>
      </w:r>
    </w:p>
    <w:p w14:paraId="58C0B103" w14:textId="77777777" w:rsidR="005461ED" w:rsidRPr="005461ED" w:rsidRDefault="005461ED" w:rsidP="005461ED">
      <w:pPr>
        <w:rPr>
          <w:rFonts w:asciiTheme="minorBidi" w:hAnsiTheme="minorBidi"/>
          <w:sz w:val="22"/>
          <w:szCs w:val="22"/>
        </w:rPr>
      </w:pPr>
      <w:r w:rsidRPr="005461ED">
        <w:rPr>
          <w:rFonts w:asciiTheme="minorBidi" w:hAnsiTheme="minorBidi"/>
          <w:sz w:val="22"/>
          <w:szCs w:val="22"/>
        </w:rPr>
        <w:t>Mrs Thompson’s circumstances highlight how communication, effective administration and partnership working contribute to safe and person-centred health and social care. Appropriate communication can help her understand information, express her needs and remain involved in decisions relating to her care. Berlo’s (1960) SMCR model demonstrates the importance of considering how information is delivered and understood, while the Equality Act 2010 highlights the need to address communication barriers and make appropriate adjustments.</w:t>
      </w:r>
    </w:p>
    <w:p w14:paraId="73539847" w14:textId="77777777" w:rsidR="005461ED" w:rsidRPr="005461ED" w:rsidRDefault="005461ED" w:rsidP="005461ED">
      <w:pPr>
        <w:rPr>
          <w:rFonts w:asciiTheme="minorBidi" w:hAnsiTheme="minorBidi"/>
          <w:sz w:val="22"/>
          <w:szCs w:val="22"/>
        </w:rPr>
      </w:pPr>
      <w:r w:rsidRPr="005461ED">
        <w:rPr>
          <w:rFonts w:asciiTheme="minorBidi" w:hAnsiTheme="minorBidi"/>
          <w:sz w:val="22"/>
          <w:szCs w:val="22"/>
        </w:rPr>
        <w:t>Reliable documentation is also essential because it enables professionals to maintain continuity, demonstrate accountability and recognise potential risks at an early stage. The Data Protection Act 2018 and UK GDPR provide important safeguards for ensuring that Mrs Thompson’s personal information is managed lawfully and securely. In addition, effective cooperation between her GP, community nurse, domiciliary care workers and local authority can help ensure that her different needs are considered collectively. As Glasby and Dickinson (2014) emphasise, partnership working can support more integrated care. Bringing these elements together can help professionals manage risks effectively while protecting Mrs Thompson’s dignity, independence and overall wellbeing.</w:t>
      </w:r>
    </w:p>
    <w:p w14:paraId="7ACEFD13" w14:textId="77777777" w:rsidR="00E77FC0" w:rsidRPr="00E77FC0" w:rsidRDefault="00E77FC0" w:rsidP="00E77FC0">
      <w:pPr>
        <w:rPr>
          <w:rFonts w:asciiTheme="minorBidi" w:hAnsiTheme="minorBidi"/>
          <w:b/>
          <w:bCs/>
          <w:sz w:val="22"/>
          <w:szCs w:val="22"/>
        </w:rPr>
      </w:pPr>
    </w:p>
    <w:p w14:paraId="487C0CF8" w14:textId="77777777" w:rsidR="00E77FC0" w:rsidRPr="00E77FC0" w:rsidRDefault="00E77FC0" w:rsidP="00E77FC0">
      <w:pPr>
        <w:rPr>
          <w:rFonts w:asciiTheme="minorBidi" w:hAnsiTheme="minorBidi"/>
          <w:b/>
          <w:bCs/>
          <w:sz w:val="22"/>
          <w:szCs w:val="22"/>
        </w:rPr>
      </w:pPr>
    </w:p>
    <w:p w14:paraId="5B822052" w14:textId="77777777" w:rsidR="00E77FC0" w:rsidRPr="00E77FC0" w:rsidRDefault="00E77FC0" w:rsidP="00E77FC0">
      <w:pPr>
        <w:rPr>
          <w:rFonts w:asciiTheme="minorBidi" w:hAnsiTheme="minorBidi"/>
          <w:b/>
          <w:bCs/>
          <w:sz w:val="22"/>
          <w:szCs w:val="22"/>
        </w:rPr>
      </w:pPr>
    </w:p>
    <w:p w14:paraId="7D3D5B60" w14:textId="77777777" w:rsidR="00E77FC0" w:rsidRPr="00E77FC0" w:rsidRDefault="00E77FC0" w:rsidP="00E77FC0">
      <w:pPr>
        <w:rPr>
          <w:rFonts w:asciiTheme="minorBidi" w:hAnsiTheme="minorBidi"/>
          <w:b/>
          <w:bCs/>
          <w:sz w:val="22"/>
          <w:szCs w:val="22"/>
        </w:rPr>
      </w:pPr>
    </w:p>
    <w:p w14:paraId="0AD6BD9A" w14:textId="77777777" w:rsidR="00E77FC0" w:rsidRPr="00E77FC0" w:rsidRDefault="00E77FC0" w:rsidP="00E77FC0">
      <w:pPr>
        <w:rPr>
          <w:rFonts w:asciiTheme="minorBidi" w:hAnsiTheme="minorBidi"/>
          <w:b/>
          <w:bCs/>
          <w:sz w:val="22"/>
          <w:szCs w:val="22"/>
        </w:rPr>
      </w:pPr>
    </w:p>
    <w:p w14:paraId="579E3BD3" w14:textId="77777777" w:rsidR="00E77FC0" w:rsidRPr="00E77FC0" w:rsidRDefault="00E77FC0" w:rsidP="00E77FC0">
      <w:pPr>
        <w:rPr>
          <w:rFonts w:asciiTheme="minorBidi" w:hAnsiTheme="minorBidi"/>
          <w:b/>
          <w:bCs/>
          <w:sz w:val="22"/>
          <w:szCs w:val="22"/>
        </w:rPr>
      </w:pPr>
    </w:p>
    <w:p w14:paraId="38A5BEA2" w14:textId="77777777" w:rsidR="00E77FC0" w:rsidRPr="00E77FC0" w:rsidRDefault="00E77FC0" w:rsidP="00E77FC0">
      <w:pPr>
        <w:rPr>
          <w:rFonts w:asciiTheme="minorBidi" w:hAnsiTheme="minorBidi"/>
          <w:b/>
          <w:bCs/>
          <w:sz w:val="22"/>
          <w:szCs w:val="22"/>
        </w:rPr>
      </w:pPr>
    </w:p>
    <w:p w14:paraId="114842F2" w14:textId="77777777" w:rsidR="00E77FC0" w:rsidRPr="00E77FC0" w:rsidRDefault="00E77FC0" w:rsidP="00E77FC0">
      <w:pPr>
        <w:rPr>
          <w:rFonts w:asciiTheme="minorBidi" w:hAnsiTheme="minorBidi"/>
          <w:b/>
          <w:bCs/>
          <w:sz w:val="22"/>
          <w:szCs w:val="22"/>
        </w:rPr>
      </w:pPr>
    </w:p>
    <w:p w14:paraId="695017A3" w14:textId="77777777" w:rsidR="00E77FC0" w:rsidRPr="00E77FC0" w:rsidRDefault="00E77FC0" w:rsidP="00E77FC0">
      <w:pPr>
        <w:rPr>
          <w:rFonts w:asciiTheme="minorBidi" w:hAnsiTheme="minorBidi"/>
          <w:b/>
          <w:bCs/>
          <w:sz w:val="22"/>
          <w:szCs w:val="22"/>
        </w:rPr>
      </w:pPr>
    </w:p>
    <w:p w14:paraId="6173066E" w14:textId="77777777" w:rsidR="00446EE2" w:rsidRDefault="00446EE2" w:rsidP="00E77FC0">
      <w:pPr>
        <w:rPr>
          <w:rFonts w:asciiTheme="minorBidi" w:hAnsiTheme="minorBidi"/>
          <w:b/>
          <w:bCs/>
          <w:sz w:val="22"/>
          <w:szCs w:val="22"/>
        </w:rPr>
      </w:pPr>
    </w:p>
    <w:p w14:paraId="55516E88" w14:textId="5B9E42BC" w:rsidR="00E77FC0" w:rsidRPr="00E77FC0" w:rsidRDefault="00E77FC0" w:rsidP="00E77FC0">
      <w:pPr>
        <w:rPr>
          <w:rFonts w:asciiTheme="minorBidi" w:hAnsiTheme="minorBidi"/>
          <w:b/>
          <w:bCs/>
          <w:sz w:val="22"/>
          <w:szCs w:val="22"/>
        </w:rPr>
      </w:pPr>
      <w:r w:rsidRPr="00E77FC0">
        <w:rPr>
          <w:rFonts w:asciiTheme="minorBidi" w:hAnsiTheme="minorBidi"/>
          <w:b/>
          <w:bCs/>
          <w:sz w:val="22"/>
          <w:szCs w:val="22"/>
        </w:rPr>
        <w:lastRenderedPageBreak/>
        <w:t>Reference List</w:t>
      </w:r>
    </w:p>
    <w:p w14:paraId="300A4D7F" w14:textId="77777777" w:rsidR="00E77FC0" w:rsidRPr="00E77FC0" w:rsidRDefault="00E77FC0" w:rsidP="00E77FC0">
      <w:pPr>
        <w:rPr>
          <w:rFonts w:asciiTheme="minorBidi" w:hAnsiTheme="minorBidi"/>
          <w:sz w:val="22"/>
          <w:szCs w:val="22"/>
        </w:rPr>
      </w:pPr>
      <w:r w:rsidRPr="00E77FC0">
        <w:rPr>
          <w:rFonts w:asciiTheme="minorBidi" w:hAnsiTheme="minorBidi"/>
          <w:sz w:val="22"/>
          <w:szCs w:val="22"/>
        </w:rPr>
        <w:t xml:space="preserve">Berlo, D.K. (1960) </w:t>
      </w:r>
      <w:r w:rsidRPr="00E77FC0">
        <w:rPr>
          <w:rFonts w:asciiTheme="minorBidi" w:hAnsiTheme="minorBidi"/>
          <w:i/>
          <w:iCs/>
          <w:sz w:val="22"/>
          <w:szCs w:val="22"/>
        </w:rPr>
        <w:t>The Process of Communication: An Introduction to Theory and Practice</w:t>
      </w:r>
      <w:r w:rsidRPr="00E77FC0">
        <w:rPr>
          <w:rFonts w:asciiTheme="minorBidi" w:hAnsiTheme="minorBidi"/>
          <w:sz w:val="22"/>
          <w:szCs w:val="22"/>
        </w:rPr>
        <w:t>. New York: Holt, Rinehart and Winston.</w:t>
      </w:r>
    </w:p>
    <w:p w14:paraId="164BBECE" w14:textId="77777777" w:rsidR="00E77FC0" w:rsidRPr="00E77FC0" w:rsidRDefault="00E77FC0" w:rsidP="00E77FC0">
      <w:pPr>
        <w:rPr>
          <w:rFonts w:asciiTheme="minorBidi" w:hAnsiTheme="minorBidi"/>
          <w:sz w:val="22"/>
          <w:szCs w:val="22"/>
        </w:rPr>
      </w:pPr>
      <w:r w:rsidRPr="00E77FC0">
        <w:rPr>
          <w:rFonts w:asciiTheme="minorBidi" w:hAnsiTheme="minorBidi"/>
          <w:sz w:val="22"/>
          <w:szCs w:val="22"/>
        </w:rPr>
        <w:t xml:space="preserve">Care Act 2014. Available at: </w:t>
      </w:r>
      <w:hyperlink r:id="rId4" w:history="1">
        <w:r w:rsidRPr="00E77FC0">
          <w:rPr>
            <w:rStyle w:val="Hyperlink"/>
            <w:rFonts w:asciiTheme="minorBidi" w:hAnsiTheme="minorBidi"/>
            <w:sz w:val="22"/>
            <w:szCs w:val="22"/>
          </w:rPr>
          <w:t>https://www.legislation.gov.uk/ukpga/2014/23/contents</w:t>
        </w:r>
      </w:hyperlink>
      <w:r w:rsidRPr="00E77FC0">
        <w:rPr>
          <w:rFonts w:asciiTheme="minorBidi" w:hAnsiTheme="minorBidi"/>
          <w:sz w:val="22"/>
          <w:szCs w:val="22"/>
        </w:rPr>
        <w:t xml:space="preserve"> (Accessed: 12 August 2026).</w:t>
      </w:r>
    </w:p>
    <w:p w14:paraId="72E3AB1E" w14:textId="77777777" w:rsidR="00E77FC0" w:rsidRPr="00E77FC0" w:rsidRDefault="00E77FC0" w:rsidP="00E77FC0">
      <w:pPr>
        <w:rPr>
          <w:rFonts w:asciiTheme="minorBidi" w:hAnsiTheme="minorBidi"/>
          <w:sz w:val="22"/>
          <w:szCs w:val="22"/>
        </w:rPr>
      </w:pPr>
      <w:r w:rsidRPr="00E77FC0">
        <w:rPr>
          <w:rFonts w:asciiTheme="minorBidi" w:hAnsiTheme="minorBidi"/>
          <w:sz w:val="22"/>
          <w:szCs w:val="22"/>
        </w:rPr>
        <w:t xml:space="preserve">Chambers, D., Cantrell, A. and Booth, A. (2021) </w:t>
      </w:r>
      <w:r w:rsidRPr="00E77FC0">
        <w:rPr>
          <w:rFonts w:asciiTheme="minorBidi" w:hAnsiTheme="minorBidi"/>
          <w:i/>
          <w:iCs/>
          <w:sz w:val="22"/>
          <w:szCs w:val="22"/>
        </w:rPr>
        <w:t>Rapid evidence review: challenges to implementing digital and data-driven technologies in health and social care</w:t>
      </w:r>
      <w:r w:rsidRPr="00E77FC0">
        <w:rPr>
          <w:rFonts w:asciiTheme="minorBidi" w:hAnsiTheme="minorBidi"/>
          <w:sz w:val="22"/>
          <w:szCs w:val="22"/>
        </w:rPr>
        <w:t>. Sheffield: The University of Sheffield.</w:t>
      </w:r>
    </w:p>
    <w:p w14:paraId="23288647" w14:textId="77777777" w:rsidR="00E77FC0" w:rsidRPr="00E77FC0" w:rsidRDefault="00E77FC0" w:rsidP="00E77FC0">
      <w:pPr>
        <w:rPr>
          <w:rFonts w:asciiTheme="minorBidi" w:hAnsiTheme="minorBidi"/>
          <w:sz w:val="22"/>
          <w:szCs w:val="22"/>
        </w:rPr>
      </w:pPr>
      <w:r w:rsidRPr="00E77FC0">
        <w:rPr>
          <w:rFonts w:asciiTheme="minorBidi" w:hAnsiTheme="minorBidi"/>
          <w:sz w:val="22"/>
          <w:szCs w:val="22"/>
        </w:rPr>
        <w:t xml:space="preserve">Data Protection Act 2018. Available at: </w:t>
      </w:r>
      <w:hyperlink r:id="rId5" w:history="1">
        <w:r w:rsidRPr="00E77FC0">
          <w:rPr>
            <w:rStyle w:val="Hyperlink"/>
            <w:rFonts w:asciiTheme="minorBidi" w:hAnsiTheme="minorBidi"/>
            <w:sz w:val="22"/>
            <w:szCs w:val="22"/>
          </w:rPr>
          <w:t>https://www.legislation.gov.uk/ukpga/2018/12/contents</w:t>
        </w:r>
      </w:hyperlink>
      <w:r w:rsidRPr="00E77FC0">
        <w:rPr>
          <w:rFonts w:asciiTheme="minorBidi" w:hAnsiTheme="minorBidi"/>
          <w:sz w:val="22"/>
          <w:szCs w:val="22"/>
        </w:rPr>
        <w:t xml:space="preserve"> (Accessed: 12 August 2026).</w:t>
      </w:r>
    </w:p>
    <w:p w14:paraId="64B40651" w14:textId="77777777" w:rsidR="00E77FC0" w:rsidRPr="00E77FC0" w:rsidRDefault="00E77FC0" w:rsidP="00E77FC0">
      <w:pPr>
        <w:rPr>
          <w:rFonts w:asciiTheme="minorBidi" w:hAnsiTheme="minorBidi"/>
          <w:sz w:val="22"/>
          <w:szCs w:val="22"/>
        </w:rPr>
      </w:pPr>
      <w:r w:rsidRPr="00E77FC0">
        <w:rPr>
          <w:rFonts w:asciiTheme="minorBidi" w:hAnsiTheme="minorBidi"/>
          <w:sz w:val="22"/>
          <w:szCs w:val="22"/>
        </w:rPr>
        <w:t xml:space="preserve">Equality Act 2010. Available at: </w:t>
      </w:r>
      <w:hyperlink r:id="rId6" w:history="1">
        <w:r w:rsidRPr="00E77FC0">
          <w:rPr>
            <w:rStyle w:val="Hyperlink"/>
            <w:rFonts w:asciiTheme="minorBidi" w:hAnsiTheme="minorBidi"/>
            <w:sz w:val="22"/>
            <w:szCs w:val="22"/>
          </w:rPr>
          <w:t>https://www.legislation.gov.uk/ukpga/2010/15/contents</w:t>
        </w:r>
      </w:hyperlink>
      <w:r w:rsidRPr="00E77FC0">
        <w:rPr>
          <w:rFonts w:asciiTheme="minorBidi" w:hAnsiTheme="minorBidi"/>
          <w:sz w:val="22"/>
          <w:szCs w:val="22"/>
        </w:rPr>
        <w:t xml:space="preserve"> (Accessed: 12 August 2026).</w:t>
      </w:r>
    </w:p>
    <w:p w14:paraId="696337ED" w14:textId="77777777" w:rsidR="00E77FC0" w:rsidRPr="00E77FC0" w:rsidRDefault="00E77FC0" w:rsidP="00E77FC0">
      <w:pPr>
        <w:rPr>
          <w:rFonts w:asciiTheme="minorBidi" w:hAnsiTheme="minorBidi"/>
          <w:sz w:val="22"/>
          <w:szCs w:val="22"/>
        </w:rPr>
      </w:pPr>
      <w:r w:rsidRPr="00E77FC0">
        <w:rPr>
          <w:rFonts w:asciiTheme="minorBidi" w:hAnsiTheme="minorBidi"/>
          <w:sz w:val="22"/>
          <w:szCs w:val="22"/>
        </w:rPr>
        <w:t xml:space="preserve">Glasby, J. (2017) </w:t>
      </w:r>
      <w:r w:rsidRPr="00E77FC0">
        <w:rPr>
          <w:rFonts w:asciiTheme="minorBidi" w:hAnsiTheme="minorBidi"/>
          <w:i/>
          <w:iCs/>
          <w:sz w:val="22"/>
          <w:szCs w:val="22"/>
        </w:rPr>
        <w:t>Understanding Health and Social Care</w:t>
      </w:r>
      <w:r w:rsidRPr="00E77FC0">
        <w:rPr>
          <w:rFonts w:asciiTheme="minorBidi" w:hAnsiTheme="minorBidi"/>
          <w:sz w:val="22"/>
          <w:szCs w:val="22"/>
        </w:rPr>
        <w:t xml:space="preserve">. 3rd </w:t>
      </w:r>
      <w:proofErr w:type="spellStart"/>
      <w:r w:rsidRPr="00E77FC0">
        <w:rPr>
          <w:rFonts w:asciiTheme="minorBidi" w:hAnsiTheme="minorBidi"/>
          <w:sz w:val="22"/>
          <w:szCs w:val="22"/>
        </w:rPr>
        <w:t>edn</w:t>
      </w:r>
      <w:proofErr w:type="spellEnd"/>
      <w:r w:rsidRPr="00E77FC0">
        <w:rPr>
          <w:rFonts w:asciiTheme="minorBidi" w:hAnsiTheme="minorBidi"/>
          <w:sz w:val="22"/>
          <w:szCs w:val="22"/>
        </w:rPr>
        <w:t>. Bristol: The Policy Press.</w:t>
      </w:r>
    </w:p>
    <w:p w14:paraId="1E656B85" w14:textId="77777777" w:rsidR="00E77FC0" w:rsidRPr="00E77FC0" w:rsidRDefault="00E77FC0" w:rsidP="00E77FC0">
      <w:pPr>
        <w:rPr>
          <w:rFonts w:asciiTheme="minorBidi" w:hAnsiTheme="minorBidi"/>
          <w:sz w:val="22"/>
          <w:szCs w:val="22"/>
        </w:rPr>
      </w:pPr>
      <w:r w:rsidRPr="00E77FC0">
        <w:rPr>
          <w:rFonts w:asciiTheme="minorBidi" w:hAnsiTheme="minorBidi"/>
          <w:sz w:val="22"/>
          <w:szCs w:val="22"/>
        </w:rPr>
        <w:t xml:space="preserve">Glasby, J. and Dickinson, H. (2014) </w:t>
      </w:r>
      <w:r w:rsidRPr="00E77FC0">
        <w:rPr>
          <w:rFonts w:asciiTheme="minorBidi" w:hAnsiTheme="minorBidi"/>
          <w:i/>
          <w:iCs/>
          <w:sz w:val="22"/>
          <w:szCs w:val="22"/>
        </w:rPr>
        <w:t>Partnership Working in Health and Social Care: What is Integrated Care and How Can We Deliver It?</w:t>
      </w:r>
      <w:r w:rsidRPr="00E77FC0">
        <w:rPr>
          <w:rFonts w:asciiTheme="minorBidi" w:hAnsiTheme="minorBidi"/>
          <w:sz w:val="22"/>
          <w:szCs w:val="22"/>
        </w:rPr>
        <w:t xml:space="preserve"> Bristol: The Policy Press.</w:t>
      </w:r>
    </w:p>
    <w:p w14:paraId="33DAA0CA" w14:textId="77777777" w:rsidR="00E77FC0" w:rsidRPr="00E77FC0" w:rsidRDefault="00E77FC0" w:rsidP="00E77FC0">
      <w:pPr>
        <w:rPr>
          <w:rFonts w:asciiTheme="minorBidi" w:hAnsiTheme="minorBidi"/>
          <w:sz w:val="22"/>
          <w:szCs w:val="22"/>
        </w:rPr>
      </w:pPr>
      <w:r w:rsidRPr="00E77FC0">
        <w:rPr>
          <w:rFonts w:asciiTheme="minorBidi" w:hAnsiTheme="minorBidi"/>
          <w:sz w:val="22"/>
          <w:szCs w:val="22"/>
        </w:rPr>
        <w:t xml:space="preserve">Lee, E. (2021) ‘Effective Communication in Health and Social Care’, </w:t>
      </w:r>
      <w:r w:rsidRPr="00E77FC0">
        <w:rPr>
          <w:rFonts w:asciiTheme="minorBidi" w:hAnsiTheme="minorBidi"/>
          <w:i/>
          <w:iCs/>
          <w:sz w:val="22"/>
          <w:szCs w:val="22"/>
        </w:rPr>
        <w:t>CPD Online</w:t>
      </w:r>
      <w:r w:rsidRPr="00E77FC0">
        <w:rPr>
          <w:rFonts w:asciiTheme="minorBidi" w:hAnsiTheme="minorBidi"/>
          <w:sz w:val="22"/>
          <w:szCs w:val="22"/>
        </w:rPr>
        <w:t xml:space="preserve">. Available at: </w:t>
      </w:r>
      <w:hyperlink r:id="rId7" w:history="1">
        <w:r w:rsidRPr="00E77FC0">
          <w:rPr>
            <w:rStyle w:val="Hyperlink"/>
            <w:rFonts w:asciiTheme="minorBidi" w:hAnsiTheme="minorBidi"/>
            <w:sz w:val="22"/>
            <w:szCs w:val="22"/>
          </w:rPr>
          <w:t>https://cpdonline.co.uk/knowledge-base/care/effective-communication-in-health-and-social-care/</w:t>
        </w:r>
      </w:hyperlink>
      <w:r w:rsidRPr="00E77FC0">
        <w:rPr>
          <w:rFonts w:asciiTheme="minorBidi" w:hAnsiTheme="minorBidi"/>
          <w:sz w:val="22"/>
          <w:szCs w:val="22"/>
        </w:rPr>
        <w:t xml:space="preserve"> (Accessed: 12 August 2026).</w:t>
      </w:r>
    </w:p>
    <w:p w14:paraId="65572632" w14:textId="77777777" w:rsidR="00E77FC0" w:rsidRPr="00E77FC0" w:rsidRDefault="00E77FC0" w:rsidP="00E77FC0">
      <w:pPr>
        <w:rPr>
          <w:rFonts w:asciiTheme="minorBidi" w:hAnsiTheme="minorBidi"/>
          <w:sz w:val="22"/>
          <w:szCs w:val="22"/>
        </w:rPr>
      </w:pPr>
      <w:r w:rsidRPr="00E77FC0">
        <w:rPr>
          <w:rFonts w:asciiTheme="minorBidi" w:hAnsiTheme="minorBidi"/>
          <w:sz w:val="22"/>
          <w:szCs w:val="22"/>
        </w:rPr>
        <w:t xml:space="preserve">Maclean, S. (2015) </w:t>
      </w:r>
      <w:r w:rsidRPr="00E77FC0">
        <w:rPr>
          <w:rFonts w:asciiTheme="minorBidi" w:hAnsiTheme="minorBidi"/>
          <w:i/>
          <w:iCs/>
          <w:sz w:val="22"/>
          <w:szCs w:val="22"/>
        </w:rPr>
        <w:t>Social Work Theory Cards</w:t>
      </w:r>
      <w:r w:rsidRPr="00E77FC0">
        <w:rPr>
          <w:rFonts w:asciiTheme="minorBidi" w:hAnsiTheme="minorBidi"/>
          <w:sz w:val="22"/>
          <w:szCs w:val="22"/>
        </w:rPr>
        <w:t>. Lichfield: Kirwin Maclean Associates Ltd.</w:t>
      </w:r>
    </w:p>
    <w:p w14:paraId="5B612A93" w14:textId="77777777" w:rsidR="00E77FC0" w:rsidRPr="00E77FC0" w:rsidRDefault="00E77FC0" w:rsidP="00E77FC0">
      <w:pPr>
        <w:rPr>
          <w:rFonts w:asciiTheme="minorBidi" w:hAnsiTheme="minorBidi"/>
          <w:sz w:val="22"/>
          <w:szCs w:val="22"/>
        </w:rPr>
      </w:pPr>
      <w:r w:rsidRPr="00E77FC0">
        <w:rPr>
          <w:rFonts w:asciiTheme="minorBidi" w:hAnsiTheme="minorBidi"/>
          <w:sz w:val="22"/>
          <w:szCs w:val="22"/>
        </w:rPr>
        <w:t xml:space="preserve">UK General Data Protection Regulation (UK GDPR) (2018) </w:t>
      </w:r>
      <w:r w:rsidRPr="00E77FC0">
        <w:rPr>
          <w:rFonts w:asciiTheme="minorBidi" w:hAnsiTheme="minorBidi"/>
          <w:i/>
          <w:iCs/>
          <w:sz w:val="22"/>
          <w:szCs w:val="22"/>
        </w:rPr>
        <w:t>Guide to the UK GDPR</w:t>
      </w:r>
      <w:r w:rsidRPr="00E77FC0">
        <w:rPr>
          <w:rFonts w:asciiTheme="minorBidi" w:hAnsiTheme="minorBidi"/>
          <w:sz w:val="22"/>
          <w:szCs w:val="22"/>
        </w:rPr>
        <w:t xml:space="preserve">. Available at: </w:t>
      </w:r>
      <w:hyperlink r:id="rId8" w:history="1">
        <w:r w:rsidRPr="00E77FC0">
          <w:rPr>
            <w:rStyle w:val="Hyperlink"/>
            <w:rFonts w:asciiTheme="minorBidi" w:hAnsiTheme="minorBidi"/>
            <w:sz w:val="22"/>
            <w:szCs w:val="22"/>
          </w:rPr>
          <w:t>https://ico.org.uk/for-organisations/uk-gdpr-guidance-and-resources/</w:t>
        </w:r>
      </w:hyperlink>
      <w:r w:rsidRPr="00E77FC0">
        <w:rPr>
          <w:rFonts w:asciiTheme="minorBidi" w:hAnsiTheme="minorBidi"/>
          <w:sz w:val="22"/>
          <w:szCs w:val="22"/>
        </w:rPr>
        <w:t xml:space="preserve"> (Accessed: 12 August 2026).</w:t>
      </w:r>
    </w:p>
    <w:p w14:paraId="7A61E2A4" w14:textId="77777777" w:rsidR="00364D98" w:rsidRPr="00E77FC0" w:rsidRDefault="00364D98">
      <w:pPr>
        <w:rPr>
          <w:sz w:val="22"/>
          <w:szCs w:val="22"/>
        </w:rPr>
      </w:pPr>
    </w:p>
    <w:sectPr w:rsidR="00364D98" w:rsidRPr="00E77F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D98"/>
    <w:rsid w:val="00357778"/>
    <w:rsid w:val="00364D98"/>
    <w:rsid w:val="00446EE2"/>
    <w:rsid w:val="005461ED"/>
    <w:rsid w:val="006C1E92"/>
    <w:rsid w:val="008653AA"/>
    <w:rsid w:val="00A02654"/>
    <w:rsid w:val="00C3585A"/>
    <w:rsid w:val="00D86F4B"/>
    <w:rsid w:val="00E77FC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6B9CF"/>
  <w15:chartTrackingRefBased/>
  <w15:docId w15:val="{628A54C6-2204-4C37-A93E-53B3996DA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4D98"/>
  </w:style>
  <w:style w:type="paragraph" w:styleId="Heading1">
    <w:name w:val="heading 1"/>
    <w:basedOn w:val="Normal"/>
    <w:next w:val="Normal"/>
    <w:link w:val="Heading1Char"/>
    <w:uiPriority w:val="9"/>
    <w:qFormat/>
    <w:rsid w:val="00364D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4D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4D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4D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4D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4D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4D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4D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4D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4D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4D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4D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4D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4D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4D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4D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4D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4D98"/>
    <w:rPr>
      <w:rFonts w:eastAsiaTheme="majorEastAsia" w:cstheme="majorBidi"/>
      <w:color w:val="272727" w:themeColor="text1" w:themeTint="D8"/>
    </w:rPr>
  </w:style>
  <w:style w:type="paragraph" w:styleId="Title">
    <w:name w:val="Title"/>
    <w:basedOn w:val="Normal"/>
    <w:next w:val="Normal"/>
    <w:link w:val="TitleChar"/>
    <w:uiPriority w:val="10"/>
    <w:qFormat/>
    <w:rsid w:val="00364D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4D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4D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4D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4D98"/>
    <w:pPr>
      <w:spacing w:before="160"/>
      <w:jc w:val="center"/>
    </w:pPr>
    <w:rPr>
      <w:i/>
      <w:iCs/>
      <w:color w:val="404040" w:themeColor="text1" w:themeTint="BF"/>
    </w:rPr>
  </w:style>
  <w:style w:type="character" w:customStyle="1" w:styleId="QuoteChar">
    <w:name w:val="Quote Char"/>
    <w:basedOn w:val="DefaultParagraphFont"/>
    <w:link w:val="Quote"/>
    <w:uiPriority w:val="29"/>
    <w:rsid w:val="00364D98"/>
    <w:rPr>
      <w:i/>
      <w:iCs/>
      <w:color w:val="404040" w:themeColor="text1" w:themeTint="BF"/>
    </w:rPr>
  </w:style>
  <w:style w:type="paragraph" w:styleId="ListParagraph">
    <w:name w:val="List Paragraph"/>
    <w:basedOn w:val="Normal"/>
    <w:uiPriority w:val="34"/>
    <w:qFormat/>
    <w:rsid w:val="00364D98"/>
    <w:pPr>
      <w:ind w:left="720"/>
      <w:contextualSpacing/>
    </w:pPr>
  </w:style>
  <w:style w:type="character" w:styleId="IntenseEmphasis">
    <w:name w:val="Intense Emphasis"/>
    <w:basedOn w:val="DefaultParagraphFont"/>
    <w:uiPriority w:val="21"/>
    <w:qFormat/>
    <w:rsid w:val="00364D98"/>
    <w:rPr>
      <w:i/>
      <w:iCs/>
      <w:color w:val="0F4761" w:themeColor="accent1" w:themeShade="BF"/>
    </w:rPr>
  </w:style>
  <w:style w:type="paragraph" w:styleId="IntenseQuote">
    <w:name w:val="Intense Quote"/>
    <w:basedOn w:val="Normal"/>
    <w:next w:val="Normal"/>
    <w:link w:val="IntenseQuoteChar"/>
    <w:uiPriority w:val="30"/>
    <w:qFormat/>
    <w:rsid w:val="00364D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4D98"/>
    <w:rPr>
      <w:i/>
      <w:iCs/>
      <w:color w:val="0F4761" w:themeColor="accent1" w:themeShade="BF"/>
    </w:rPr>
  </w:style>
  <w:style w:type="character" w:styleId="IntenseReference">
    <w:name w:val="Intense Reference"/>
    <w:basedOn w:val="DefaultParagraphFont"/>
    <w:uiPriority w:val="32"/>
    <w:qFormat/>
    <w:rsid w:val="00364D98"/>
    <w:rPr>
      <w:b/>
      <w:bCs/>
      <w:smallCaps/>
      <w:color w:val="0F4761" w:themeColor="accent1" w:themeShade="BF"/>
      <w:spacing w:val="5"/>
    </w:rPr>
  </w:style>
  <w:style w:type="character" w:styleId="Hyperlink">
    <w:name w:val="Hyperlink"/>
    <w:basedOn w:val="DefaultParagraphFont"/>
    <w:uiPriority w:val="99"/>
    <w:unhideWhenUsed/>
    <w:rsid w:val="00E77FC0"/>
    <w:rPr>
      <w:color w:val="467886" w:themeColor="hyperlink"/>
      <w:u w:val="single"/>
    </w:rPr>
  </w:style>
  <w:style w:type="character" w:styleId="UnresolvedMention">
    <w:name w:val="Unresolved Mention"/>
    <w:basedOn w:val="DefaultParagraphFont"/>
    <w:uiPriority w:val="99"/>
    <w:semiHidden/>
    <w:unhideWhenUsed/>
    <w:rsid w:val="00E77F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o.org.uk/for-organisations/uk-gdpr-guidance-and-resources/" TargetMode="External"/><Relationship Id="rId3" Type="http://schemas.openxmlformats.org/officeDocument/2006/relationships/webSettings" Target="webSettings.xml"/><Relationship Id="rId7" Type="http://schemas.openxmlformats.org/officeDocument/2006/relationships/hyperlink" Target="https://cpdonline.co.uk/knowledge-base/care/effective-communication-in-health-and-social-car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ukpga/2010/15/contents" TargetMode="External"/><Relationship Id="rId5" Type="http://schemas.openxmlformats.org/officeDocument/2006/relationships/hyperlink" Target="https://www.legislation.gov.uk/ukpga/2018/12/contents" TargetMode="External"/><Relationship Id="rId10" Type="http://schemas.openxmlformats.org/officeDocument/2006/relationships/theme" Target="theme/theme1.xml"/><Relationship Id="rId4" Type="http://schemas.openxmlformats.org/officeDocument/2006/relationships/hyperlink" Target="https://www.legislation.gov.uk/ukpga/2014/23/contents"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2228</Words>
  <Characters>12704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UK Health Security Agency</Company>
  <LinksUpToDate>false</LinksUpToDate>
  <CharactersWithSpaces>14903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Shahrima Hussain</dc:creator>
  <cp:keywords/>
  <dc:description/>
  <cp:lastModifiedBy>Shahrima Hussain</cp:lastModifiedBy>
  <cp:revision>5</cp:revision>
  <dcterms:created xsi:type="dcterms:W3CDTF">2026-08-12T14:31:00Z</dcterms:created>
  <dcterms:modified xsi:type="dcterms:W3CDTF">2026-08-12T14:54:00Z</dcterms:modified>
</cp:coreProperties>
</file>