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firstLine="0"/>
        <w:jc w:val="center"/>
        <w:rPr>
          <w:b w:val="1"/>
        </w:rPr>
      </w:pPr>
      <w:r w:rsidDel="00000000" w:rsidR="00000000" w:rsidRPr="00000000">
        <w:rPr/>
        <w:drawing>
          <wp:anchor allowOverlap="1" behindDoc="0" distB="0" distT="0" distL="114300" distR="114300" hidden="0" layoutInCell="1" locked="0" relativeHeight="0" simplePos="0">
            <wp:simplePos x="0" y="0"/>
            <wp:positionH relativeFrom="margin">
              <wp:posOffset>-2381248</wp:posOffset>
            </wp:positionH>
            <wp:positionV relativeFrom="margin">
              <wp:posOffset>-1936748</wp:posOffset>
            </wp:positionV>
            <wp:extent cx="5276850" cy="3331377"/>
            <wp:effectExtent b="0" l="0" r="0" t="0"/>
            <wp:wrapSquare wrapText="bothSides" distB="0" distT="0" distL="114300" distR="114300"/>
            <wp:docPr descr="University of Wales Trinity Saint David: Official Category Sponsor ..." id="1879478383" name="image1.jpg"/>
            <a:graphic>
              <a:graphicData uri="http://schemas.openxmlformats.org/drawingml/2006/picture">
                <pic:pic>
                  <pic:nvPicPr>
                    <pic:cNvPr descr="University of Wales Trinity Saint David: Official Category Sponsor ..." id="0" name="image1.jpg"/>
                    <pic:cNvPicPr preferRelativeResize="0"/>
                  </pic:nvPicPr>
                  <pic:blipFill>
                    <a:blip r:embed="rId7"/>
                    <a:srcRect b="0" l="0" r="0" t="0"/>
                    <a:stretch>
                      <a:fillRect/>
                    </a:stretch>
                  </pic:blipFill>
                  <pic:spPr>
                    <a:xfrm>
                      <a:off x="0" y="0"/>
                      <a:ext cx="5276850" cy="3331377"/>
                    </a:xfrm>
                    <a:prstGeom prst="rect"/>
                    <a:ln/>
                  </pic:spPr>
                </pic:pic>
              </a:graphicData>
            </a:graphic>
          </wp:anchor>
        </w:drawing>
      </w:r>
      <w:r w:rsidDel="00000000" w:rsidR="00000000" w:rsidRPr="00000000">
        <w:rPr>
          <w:rtl w:val="0"/>
        </w:rPr>
      </w:r>
    </w:p>
    <w:p w:rsidR="00000000" w:rsidDel="00000000" w:rsidP="00000000" w:rsidRDefault="00000000" w:rsidRPr="00000000" w14:paraId="00000002">
      <w:pPr>
        <w:ind w:firstLine="0"/>
        <w:jc w:val="center"/>
        <w:rPr>
          <w:b w:val="1"/>
        </w:rPr>
      </w:pPr>
      <w:r w:rsidDel="00000000" w:rsidR="00000000" w:rsidRPr="00000000">
        <w:rPr>
          <w:rtl w:val="0"/>
        </w:rPr>
      </w:r>
    </w:p>
    <w:p w:rsidR="00000000" w:rsidDel="00000000" w:rsidP="00000000" w:rsidRDefault="00000000" w:rsidRPr="00000000" w14:paraId="00000003">
      <w:pPr>
        <w:ind w:firstLine="0"/>
        <w:jc w:val="center"/>
        <w:rPr>
          <w:b w:val="1"/>
        </w:rPr>
      </w:pPr>
      <w:r w:rsidDel="00000000" w:rsidR="00000000" w:rsidRPr="00000000">
        <w:rPr>
          <w:rtl w:val="0"/>
        </w:rPr>
      </w:r>
    </w:p>
    <w:p w:rsidR="00000000" w:rsidDel="00000000" w:rsidP="00000000" w:rsidRDefault="00000000" w:rsidRPr="00000000" w14:paraId="00000004">
      <w:pPr>
        <w:ind w:firstLine="0"/>
        <w:jc w:val="center"/>
        <w:rPr>
          <w:b w:val="1"/>
        </w:rPr>
      </w:pPr>
      <w:r w:rsidDel="00000000" w:rsidR="00000000" w:rsidRPr="00000000">
        <w:rPr>
          <w:rtl w:val="0"/>
        </w:rPr>
      </w:r>
    </w:p>
    <w:p w:rsidR="00000000" w:rsidDel="00000000" w:rsidP="00000000" w:rsidRDefault="00000000" w:rsidRPr="00000000" w14:paraId="00000005">
      <w:pPr>
        <w:jc w:val="center"/>
        <w:rPr>
          <w:b w:val="1"/>
          <w:color w:val="333333"/>
          <w:sz w:val="48"/>
          <w:szCs w:val="48"/>
        </w:rPr>
      </w:pPr>
      <w:r w:rsidDel="00000000" w:rsidR="00000000" w:rsidRPr="00000000">
        <w:rPr>
          <w:b w:val="1"/>
          <w:color w:val="333333"/>
          <w:sz w:val="48"/>
          <w:szCs w:val="48"/>
          <w:rtl w:val="0"/>
        </w:rPr>
        <w:t xml:space="preserve">Data Handling and Business Intelligence</w:t>
      </w:r>
    </w:p>
    <w:p w:rsidR="00000000" w:rsidDel="00000000" w:rsidP="00000000" w:rsidRDefault="00000000" w:rsidRPr="00000000" w14:paraId="00000006">
      <w:pPr>
        <w:ind w:firstLine="0"/>
        <w:jc w:val="center"/>
        <w:rPr>
          <w:b w:val="1"/>
          <w:sz w:val="44"/>
          <w:szCs w:val="44"/>
        </w:rPr>
      </w:pPr>
      <w:r w:rsidDel="00000000" w:rsidR="00000000" w:rsidRPr="00000000">
        <w:rPr>
          <w:rtl w:val="0"/>
        </w:rPr>
      </w:r>
    </w:p>
    <w:p w:rsidR="00000000" w:rsidDel="00000000" w:rsidP="00000000" w:rsidRDefault="00000000" w:rsidRPr="00000000" w14:paraId="00000007">
      <w:pPr>
        <w:ind w:firstLine="0"/>
        <w:jc w:val="center"/>
        <w:rPr>
          <w:b w:val="1"/>
          <w:sz w:val="44"/>
          <w:szCs w:val="44"/>
        </w:rPr>
      </w:pPr>
      <w:r w:rsidDel="00000000" w:rsidR="00000000" w:rsidRPr="00000000">
        <w:rPr>
          <w:rtl w:val="0"/>
        </w:rPr>
      </w:r>
    </w:p>
    <w:p w:rsidR="00000000" w:rsidDel="00000000" w:rsidP="00000000" w:rsidRDefault="00000000" w:rsidRPr="00000000" w14:paraId="00000008">
      <w:pPr>
        <w:ind w:firstLine="0"/>
        <w:rPr>
          <w:b w:val="1"/>
          <w:sz w:val="44"/>
          <w:szCs w:val="44"/>
        </w:rPr>
      </w:pPr>
      <w:r w:rsidDel="00000000" w:rsidR="00000000" w:rsidRPr="00000000">
        <w:rPr>
          <w:rtl w:val="0"/>
        </w:rPr>
      </w:r>
    </w:p>
    <w:p w:rsidR="00000000" w:rsidDel="00000000" w:rsidP="00000000" w:rsidRDefault="00000000" w:rsidRPr="00000000" w14:paraId="00000009">
      <w:pPr>
        <w:widowControl w:val="0"/>
        <w:spacing w:line="276" w:lineRule="auto"/>
        <w:ind w:firstLine="0"/>
        <w:rPr/>
      </w:pPr>
      <w:r w:rsidDel="00000000" w:rsidR="00000000" w:rsidRPr="00000000">
        <w:rPr>
          <w:rtl w:val="0"/>
        </w:rPr>
      </w:r>
    </w:p>
    <w:p w:rsidR="00000000" w:rsidDel="00000000" w:rsidP="00000000" w:rsidRDefault="00000000" w:rsidRPr="00000000" w14:paraId="0000000A">
      <w:pPr>
        <w:widowControl w:val="0"/>
        <w:spacing w:line="276" w:lineRule="auto"/>
        <w:ind w:firstLine="0"/>
        <w:rPr/>
      </w:pPr>
      <w:r w:rsidDel="00000000" w:rsidR="00000000" w:rsidRPr="00000000">
        <w:rPr>
          <w:rtl w:val="0"/>
        </w:rPr>
      </w:r>
    </w:p>
    <w:p w:rsidR="00000000" w:rsidDel="00000000" w:rsidP="00000000" w:rsidRDefault="00000000" w:rsidRPr="00000000" w14:paraId="0000000B">
      <w:pPr>
        <w:widowControl w:val="0"/>
        <w:spacing w:line="276" w:lineRule="auto"/>
        <w:ind w:firstLine="0"/>
        <w:rPr/>
      </w:pPr>
      <w:r w:rsidDel="00000000" w:rsidR="00000000" w:rsidRPr="00000000">
        <w:rPr>
          <w:rtl w:val="0"/>
        </w:rPr>
      </w:r>
    </w:p>
    <w:p w:rsidR="00000000" w:rsidDel="00000000" w:rsidP="00000000" w:rsidRDefault="00000000" w:rsidRPr="00000000" w14:paraId="0000000C">
      <w:pPr>
        <w:widowControl w:val="0"/>
        <w:spacing w:line="276" w:lineRule="auto"/>
        <w:ind w:firstLine="0"/>
        <w:rPr/>
      </w:pPr>
      <w:r w:rsidDel="00000000" w:rsidR="00000000" w:rsidRPr="00000000">
        <w:rPr>
          <w:rtl w:val="0"/>
        </w:rPr>
      </w:r>
    </w:p>
    <w:p w:rsidR="00000000" w:rsidDel="00000000" w:rsidP="00000000" w:rsidRDefault="00000000" w:rsidRPr="00000000" w14:paraId="0000000D">
      <w:pPr>
        <w:widowControl w:val="0"/>
        <w:spacing w:line="276" w:lineRule="auto"/>
        <w:ind w:firstLine="0"/>
        <w:rPr/>
      </w:pPr>
      <w:r w:rsidDel="00000000" w:rsidR="00000000" w:rsidRPr="00000000">
        <w:rPr>
          <w:rtl w:val="0"/>
        </w:rPr>
      </w:r>
    </w:p>
    <w:p w:rsidR="00000000" w:rsidDel="00000000" w:rsidP="00000000" w:rsidRDefault="00000000" w:rsidRPr="00000000" w14:paraId="0000000E">
      <w:pPr>
        <w:widowControl w:val="0"/>
        <w:spacing w:line="276" w:lineRule="auto"/>
        <w:ind w:firstLine="0"/>
        <w:rPr/>
      </w:pPr>
      <w:r w:rsidDel="00000000" w:rsidR="00000000" w:rsidRPr="00000000">
        <w:rPr>
          <w:rtl w:val="0"/>
        </w:rPr>
      </w:r>
    </w:p>
    <w:p w:rsidR="00000000" w:rsidDel="00000000" w:rsidP="00000000" w:rsidRDefault="00000000" w:rsidRPr="00000000" w14:paraId="0000000F">
      <w:pPr>
        <w:widowControl w:val="0"/>
        <w:spacing w:line="276" w:lineRule="auto"/>
        <w:ind w:firstLine="0"/>
        <w:rPr/>
      </w:pPr>
      <w:r w:rsidDel="00000000" w:rsidR="00000000" w:rsidRPr="00000000">
        <w:rPr>
          <w:rtl w:val="0"/>
        </w:rPr>
      </w:r>
    </w:p>
    <w:p w:rsidR="00000000" w:rsidDel="00000000" w:rsidP="00000000" w:rsidRDefault="00000000" w:rsidRPr="00000000" w14:paraId="00000010">
      <w:pPr>
        <w:widowControl w:val="0"/>
        <w:spacing w:line="276" w:lineRule="auto"/>
        <w:ind w:firstLine="0"/>
        <w:rPr/>
      </w:pPr>
      <w:r w:rsidDel="00000000" w:rsidR="00000000" w:rsidRPr="00000000">
        <w:rPr>
          <w:rtl w:val="0"/>
        </w:rPr>
      </w:r>
    </w:p>
    <w:p w:rsidR="00000000" w:rsidDel="00000000" w:rsidP="00000000" w:rsidRDefault="00000000" w:rsidRPr="00000000" w14:paraId="00000011">
      <w:pPr>
        <w:widowControl w:val="0"/>
        <w:spacing w:line="276" w:lineRule="auto"/>
        <w:ind w:firstLine="0"/>
        <w:rPr/>
      </w:pPr>
      <w:r w:rsidDel="00000000" w:rsidR="00000000" w:rsidRPr="00000000">
        <w:rPr>
          <w:rtl w:val="0"/>
        </w:rPr>
      </w:r>
    </w:p>
    <w:p w:rsidR="00000000" w:rsidDel="00000000" w:rsidP="00000000" w:rsidRDefault="00000000" w:rsidRPr="00000000" w14:paraId="00000012">
      <w:pPr>
        <w:widowControl w:val="0"/>
        <w:spacing w:line="276" w:lineRule="auto"/>
        <w:ind w:firstLine="0"/>
        <w:rPr/>
      </w:pPr>
      <w:r w:rsidDel="00000000" w:rsidR="00000000" w:rsidRPr="00000000">
        <w:rPr>
          <w:rtl w:val="0"/>
        </w:rPr>
      </w:r>
    </w:p>
    <w:p w:rsidR="00000000" w:rsidDel="00000000" w:rsidP="00000000" w:rsidRDefault="00000000" w:rsidRPr="00000000" w14:paraId="00000013">
      <w:pPr>
        <w:widowControl w:val="0"/>
        <w:spacing w:line="276" w:lineRule="auto"/>
        <w:ind w:firstLine="0"/>
        <w:rPr/>
      </w:pPr>
      <w:r w:rsidDel="00000000" w:rsidR="00000000" w:rsidRPr="00000000">
        <w:rPr>
          <w:rtl w:val="0"/>
        </w:rPr>
      </w:r>
    </w:p>
    <w:p w:rsidR="00000000" w:rsidDel="00000000" w:rsidP="00000000" w:rsidRDefault="00000000" w:rsidRPr="00000000" w14:paraId="00000014">
      <w:pPr>
        <w:widowControl w:val="0"/>
        <w:spacing w:line="276" w:lineRule="auto"/>
        <w:ind w:firstLine="0"/>
        <w:rPr/>
      </w:pPr>
      <w:r w:rsidDel="00000000" w:rsidR="00000000" w:rsidRPr="00000000">
        <w:rPr>
          <w:rtl w:val="0"/>
        </w:rPr>
      </w:r>
    </w:p>
    <w:p w:rsidR="00000000" w:rsidDel="00000000" w:rsidP="00000000" w:rsidRDefault="00000000" w:rsidRPr="00000000" w14:paraId="00000015">
      <w:pPr>
        <w:widowControl w:val="0"/>
        <w:spacing w:line="276" w:lineRule="auto"/>
        <w:ind w:firstLine="0"/>
        <w:rPr/>
      </w:pPr>
      <w:r w:rsidDel="00000000" w:rsidR="00000000" w:rsidRPr="00000000">
        <w:rPr>
          <w:rtl w:val="0"/>
        </w:rPr>
      </w:r>
    </w:p>
    <w:p w:rsidR="00000000" w:rsidDel="00000000" w:rsidP="00000000" w:rsidRDefault="00000000" w:rsidRPr="00000000" w14:paraId="00000016">
      <w:pPr>
        <w:widowControl w:val="0"/>
        <w:spacing w:line="276" w:lineRule="auto"/>
        <w:ind w:firstLine="0"/>
        <w:rPr/>
      </w:pPr>
      <w:r w:rsidDel="00000000" w:rsidR="00000000" w:rsidRPr="00000000">
        <w:rPr>
          <w:rtl w:val="0"/>
        </w:rPr>
      </w:r>
    </w:p>
    <w:p w:rsidR="00000000" w:rsidDel="00000000" w:rsidP="00000000" w:rsidRDefault="00000000" w:rsidRPr="00000000" w14:paraId="00000017">
      <w:pPr>
        <w:widowControl w:val="0"/>
        <w:spacing w:line="276" w:lineRule="auto"/>
        <w:ind w:firstLine="0"/>
        <w:rPr/>
      </w:pPr>
      <w:r w:rsidDel="00000000" w:rsidR="00000000" w:rsidRPr="00000000">
        <w:rPr>
          <w:rtl w:val="0"/>
        </w:rPr>
      </w:r>
    </w:p>
    <w:p w:rsidR="00000000" w:rsidDel="00000000" w:rsidP="00000000" w:rsidRDefault="00000000" w:rsidRPr="00000000" w14:paraId="00000018">
      <w:pPr>
        <w:widowControl w:val="0"/>
        <w:spacing w:line="276" w:lineRule="auto"/>
        <w:ind w:firstLine="0"/>
        <w:rPr/>
      </w:pPr>
      <w:r w:rsidDel="00000000" w:rsidR="00000000" w:rsidRPr="00000000">
        <w:rPr>
          <w:rtl w:val="0"/>
        </w:rPr>
      </w:r>
    </w:p>
    <w:p w:rsidR="00000000" w:rsidDel="00000000" w:rsidP="00000000" w:rsidRDefault="00000000" w:rsidRPr="00000000" w14:paraId="00000019">
      <w:pPr>
        <w:widowControl w:val="0"/>
        <w:spacing w:line="276" w:lineRule="auto"/>
        <w:ind w:firstLine="0"/>
        <w:rPr>
          <w:b w:val="1"/>
          <w:sz w:val="32"/>
          <w:szCs w:val="32"/>
        </w:rPr>
      </w:pPr>
      <w:r w:rsidDel="00000000" w:rsidR="00000000" w:rsidRPr="00000000">
        <w:rPr>
          <w:rtl w:val="0"/>
        </w:rPr>
        <w:t xml:space="preserve"> </w:t>
      </w:r>
      <w:r w:rsidDel="00000000" w:rsidR="00000000" w:rsidRPr="00000000">
        <w:rPr>
          <w:b w:val="1"/>
          <w:sz w:val="32"/>
          <w:szCs w:val="32"/>
          <w:rtl w:val="0"/>
        </w:rPr>
        <w:t xml:space="preserve">Lecturer. Molly Jack</w:t>
      </w:r>
    </w:p>
    <w:p w:rsidR="00000000" w:rsidDel="00000000" w:rsidP="00000000" w:rsidRDefault="00000000" w:rsidRPr="00000000" w14:paraId="0000001A">
      <w:pPr>
        <w:widowControl w:val="0"/>
        <w:spacing w:line="276" w:lineRule="auto"/>
        <w:ind w:firstLine="0"/>
        <w:rPr>
          <w:b w:val="1"/>
          <w:sz w:val="32"/>
          <w:szCs w:val="32"/>
        </w:rPr>
      </w:pPr>
      <w:r w:rsidDel="00000000" w:rsidR="00000000" w:rsidRPr="00000000">
        <w:rPr>
          <w:b w:val="1"/>
          <w:sz w:val="32"/>
          <w:szCs w:val="32"/>
          <w:rtl w:val="0"/>
        </w:rPr>
        <w:t xml:space="preserve"> Petar Radoslavov (2236353)</w:t>
      </w:r>
    </w:p>
    <w:p w:rsidR="00000000" w:rsidDel="00000000" w:rsidP="00000000" w:rsidRDefault="00000000" w:rsidRPr="00000000" w14:paraId="0000001B">
      <w:pPr>
        <w:ind w:firstLine="0"/>
        <w:rPr>
          <w:b w:val="1"/>
          <w:sz w:val="44"/>
          <w:szCs w:val="44"/>
        </w:rPr>
      </w:pPr>
      <w:r w:rsidDel="00000000" w:rsidR="00000000" w:rsidRPr="00000000">
        <w:rPr>
          <w:rtl w:val="0"/>
        </w:rPr>
      </w:r>
    </w:p>
    <w:p w:rsidR="00000000" w:rsidDel="00000000" w:rsidP="00000000" w:rsidRDefault="00000000" w:rsidRPr="00000000" w14:paraId="0000001C">
      <w:pPr>
        <w:ind w:firstLine="0"/>
        <w:rPr>
          <w:b w:val="1"/>
          <w:sz w:val="40"/>
          <w:szCs w:val="40"/>
        </w:rPr>
      </w:pPr>
      <w:r w:rsidDel="00000000" w:rsidR="00000000" w:rsidRPr="00000000">
        <w:rPr>
          <w:b w:val="1"/>
          <w:sz w:val="44"/>
          <w:szCs w:val="44"/>
          <w:rtl w:val="0"/>
        </w:rPr>
        <w:t xml:space="preserve">                             </w:t>
      </w:r>
      <w:r w:rsidDel="00000000" w:rsidR="00000000" w:rsidRPr="00000000">
        <w:rPr>
          <w:b w:val="1"/>
          <w:sz w:val="40"/>
          <w:szCs w:val="40"/>
          <w:rtl w:val="0"/>
        </w:rPr>
        <w:t xml:space="preserve"> </w:t>
      </w:r>
    </w:p>
    <w:p w:rsidR="00000000" w:rsidDel="00000000" w:rsidP="00000000" w:rsidRDefault="00000000" w:rsidRPr="00000000" w14:paraId="0000001D">
      <w:pPr>
        <w:ind w:firstLine="0"/>
        <w:rPr>
          <w:b w:val="1"/>
          <w:sz w:val="40"/>
          <w:szCs w:val="40"/>
        </w:rPr>
      </w:pPr>
      <w:r w:rsidDel="00000000" w:rsidR="00000000" w:rsidRPr="00000000">
        <w:rPr>
          <w:b w:val="1"/>
          <w:sz w:val="40"/>
          <w:szCs w:val="40"/>
          <w:rtl w:val="0"/>
        </w:rPr>
        <w:t xml:space="preserve">Introduction</w:t>
      </w:r>
    </w:p>
    <w:p w:rsidR="00000000" w:rsidDel="00000000" w:rsidP="00000000" w:rsidRDefault="00000000" w:rsidRPr="00000000" w14:paraId="0000001E">
      <w:pPr>
        <w:spacing w:after="240" w:before="240" w:line="259" w:lineRule="auto"/>
        <w:ind w:firstLine="0"/>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E-commerce has revolutionized how companies approach their operations and reach out to a wider audience. It has also made it simpler for buyers to process transactions. This study examines a UK organization that started selling home and giftware through its website in 2007.</w:t>
      </w:r>
    </w:p>
    <w:p w:rsidR="00000000" w:rsidDel="00000000" w:rsidP="00000000" w:rsidRDefault="00000000" w:rsidRPr="00000000" w14:paraId="0000001F">
      <w:pPr>
        <w:spacing w:after="240" w:before="240" w:line="259" w:lineRule="auto"/>
        <w:ind w:firstLine="0"/>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The data set included in this analysis contains details about the company's annual sales transactions for the previous year. It can be used to discuss various topics, such as sales dynamics, profitability, and popular products. Its objective is to provide useful management insights with its findings.</w:t>
      </w:r>
    </w:p>
    <w:p w:rsidR="00000000" w:rsidDel="00000000" w:rsidP="00000000" w:rsidRDefault="00000000" w:rsidRPr="00000000" w14:paraId="00000020">
      <w:pPr>
        <w:spacing w:after="240" w:before="240" w:line="259" w:lineRule="auto"/>
        <w:ind w:firstLine="0"/>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Through this study, we will analyze the various factors that affect the organization's profitability. We will then come up with a strategy that will help the company improve its efficiency and profitability.</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ind w:firstLine="0"/>
        <w:jc w:val="center"/>
        <w:rPr>
          <w:b w:val="1"/>
          <w:sz w:val="36"/>
          <w:szCs w:val="36"/>
        </w:rPr>
      </w:pPr>
      <w:r w:rsidDel="00000000" w:rsidR="00000000" w:rsidRPr="00000000">
        <w:rPr>
          <w:rtl w:val="0"/>
        </w:rPr>
      </w:r>
    </w:p>
    <w:p w:rsidR="00000000" w:rsidDel="00000000" w:rsidP="00000000" w:rsidRDefault="00000000" w:rsidRPr="00000000" w14:paraId="00000023">
      <w:pPr>
        <w:ind w:firstLine="0"/>
        <w:jc w:val="left"/>
        <w:rPr>
          <w:b w:val="1"/>
          <w:sz w:val="36"/>
          <w:szCs w:val="36"/>
        </w:rPr>
      </w:pPr>
      <w:r w:rsidDel="00000000" w:rsidR="00000000" w:rsidRPr="00000000">
        <w:rPr>
          <w:b w:val="1"/>
          <w:sz w:val="36"/>
          <w:szCs w:val="36"/>
          <w:rtl w:val="0"/>
        </w:rPr>
        <w:t xml:space="preserve">Data Overview</w:t>
      </w:r>
    </w:p>
    <w:p w:rsidR="00000000" w:rsidDel="00000000" w:rsidP="00000000" w:rsidRDefault="00000000" w:rsidRPr="00000000" w14:paraId="00000024">
      <w:pPr>
        <w:ind w:firstLine="0"/>
        <w:jc w:val="both"/>
        <w:rPr/>
      </w:pPr>
      <w:r w:rsidDel="00000000" w:rsidR="00000000" w:rsidRPr="00000000">
        <w:rPr>
          <w:rtl w:val="0"/>
        </w:rPr>
        <w:t xml:space="preserve">The dataset provided contains 65,535 entries, each representing an individual transaction. The key variables in the dataset include:</w:t>
      </w:r>
    </w:p>
    <w:p w:rsidR="00000000" w:rsidDel="00000000" w:rsidP="00000000" w:rsidRDefault="00000000" w:rsidRPr="00000000" w14:paraId="00000025">
      <w:pPr>
        <w:ind w:firstLine="0"/>
        <w:jc w:val="both"/>
        <w:rPr/>
      </w:pPr>
      <w:r w:rsidDel="00000000" w:rsidR="00000000" w:rsidRPr="00000000">
        <w:rPr>
          <w:b w:val="1"/>
          <w:rtl w:val="0"/>
        </w:rPr>
        <w:t xml:space="preserve">Transaction No</w:t>
      </w:r>
      <w:r w:rsidDel="00000000" w:rsidR="00000000" w:rsidRPr="00000000">
        <w:rPr>
          <w:rtl w:val="0"/>
        </w:rPr>
        <w:t xml:space="preserve">: A unique identifier for each transaction.</w:t>
      </w:r>
    </w:p>
    <w:p w:rsidR="00000000" w:rsidDel="00000000" w:rsidP="00000000" w:rsidRDefault="00000000" w:rsidRPr="00000000" w14:paraId="00000026">
      <w:pPr>
        <w:ind w:firstLine="0"/>
        <w:jc w:val="both"/>
        <w:rPr/>
      </w:pPr>
      <w:r w:rsidDel="00000000" w:rsidR="00000000" w:rsidRPr="00000000">
        <w:rPr>
          <w:b w:val="1"/>
          <w:rtl w:val="0"/>
        </w:rPr>
        <w:t xml:space="preserve">Date</w:t>
      </w:r>
      <w:r w:rsidDel="00000000" w:rsidR="00000000" w:rsidRPr="00000000">
        <w:rPr>
          <w:rtl w:val="0"/>
        </w:rPr>
        <w:t xml:space="preserve">: The date and time when the transaction occurred.</w:t>
      </w:r>
    </w:p>
    <w:p w:rsidR="00000000" w:rsidDel="00000000" w:rsidP="00000000" w:rsidRDefault="00000000" w:rsidRPr="00000000" w14:paraId="00000027">
      <w:pPr>
        <w:ind w:firstLine="0"/>
        <w:jc w:val="both"/>
        <w:rPr/>
      </w:pPr>
      <w:r w:rsidDel="00000000" w:rsidR="00000000" w:rsidRPr="00000000">
        <w:rPr>
          <w:b w:val="1"/>
          <w:rtl w:val="0"/>
        </w:rPr>
        <w:t xml:space="preserve">Product No</w:t>
      </w:r>
      <w:r w:rsidDel="00000000" w:rsidR="00000000" w:rsidRPr="00000000">
        <w:rPr>
          <w:rtl w:val="0"/>
        </w:rPr>
        <w:t xml:space="preserve">: A unique identifier for each product sold.</w:t>
      </w:r>
    </w:p>
    <w:p w:rsidR="00000000" w:rsidDel="00000000" w:rsidP="00000000" w:rsidRDefault="00000000" w:rsidRPr="00000000" w14:paraId="00000028">
      <w:pPr>
        <w:ind w:firstLine="0"/>
        <w:jc w:val="both"/>
        <w:rPr/>
      </w:pPr>
      <w:r w:rsidDel="00000000" w:rsidR="00000000" w:rsidRPr="00000000">
        <w:rPr>
          <w:b w:val="1"/>
          <w:rtl w:val="0"/>
        </w:rPr>
        <w:t xml:space="preserve">ProductName</w:t>
      </w:r>
      <w:r w:rsidDel="00000000" w:rsidR="00000000" w:rsidRPr="00000000">
        <w:rPr>
          <w:rtl w:val="0"/>
        </w:rPr>
        <w:t xml:space="preserve">: The name of the product.</w:t>
      </w:r>
    </w:p>
    <w:p w:rsidR="00000000" w:rsidDel="00000000" w:rsidP="00000000" w:rsidRDefault="00000000" w:rsidRPr="00000000" w14:paraId="00000029">
      <w:pPr>
        <w:ind w:firstLine="0"/>
        <w:jc w:val="both"/>
        <w:rPr/>
      </w:pPr>
      <w:r w:rsidDel="00000000" w:rsidR="00000000" w:rsidRPr="00000000">
        <w:rPr>
          <w:b w:val="1"/>
          <w:rtl w:val="0"/>
        </w:rPr>
        <w:t xml:space="preserve">Price</w:t>
      </w:r>
      <w:r w:rsidDel="00000000" w:rsidR="00000000" w:rsidRPr="00000000">
        <w:rPr>
          <w:rtl w:val="0"/>
        </w:rPr>
        <w:t xml:space="preserve">: The price per unit of the product.</w:t>
      </w:r>
    </w:p>
    <w:p w:rsidR="00000000" w:rsidDel="00000000" w:rsidP="00000000" w:rsidRDefault="00000000" w:rsidRPr="00000000" w14:paraId="0000002A">
      <w:pPr>
        <w:ind w:firstLine="0"/>
        <w:jc w:val="both"/>
        <w:rPr/>
      </w:pPr>
      <w:r w:rsidDel="00000000" w:rsidR="00000000" w:rsidRPr="00000000">
        <w:rPr>
          <w:b w:val="1"/>
          <w:rtl w:val="0"/>
        </w:rPr>
        <w:t xml:space="preserve">Quantity</w:t>
      </w:r>
      <w:r w:rsidDel="00000000" w:rsidR="00000000" w:rsidRPr="00000000">
        <w:rPr>
          <w:rtl w:val="0"/>
        </w:rPr>
        <w:t xml:space="preserve">: The quantity of each product purchased in the transaction.</w:t>
      </w:r>
    </w:p>
    <w:p w:rsidR="00000000" w:rsidDel="00000000" w:rsidP="00000000" w:rsidRDefault="00000000" w:rsidRPr="00000000" w14:paraId="0000002B">
      <w:pPr>
        <w:ind w:firstLine="0"/>
        <w:jc w:val="both"/>
        <w:rPr/>
      </w:pPr>
      <w:r w:rsidDel="00000000" w:rsidR="00000000" w:rsidRPr="00000000">
        <w:rPr>
          <w:b w:val="1"/>
          <w:rtl w:val="0"/>
        </w:rPr>
        <w:t xml:space="preserve">Customer No</w:t>
      </w:r>
      <w:r w:rsidDel="00000000" w:rsidR="00000000" w:rsidRPr="00000000">
        <w:rPr>
          <w:rtl w:val="0"/>
        </w:rPr>
        <w:t xml:space="preserve">: A unique identifier for each customer.</w:t>
      </w:r>
    </w:p>
    <w:p w:rsidR="00000000" w:rsidDel="00000000" w:rsidP="00000000" w:rsidRDefault="00000000" w:rsidRPr="00000000" w14:paraId="0000002C">
      <w:pPr>
        <w:ind w:firstLine="0"/>
        <w:jc w:val="both"/>
        <w:rPr/>
      </w:pPr>
      <w:r w:rsidDel="00000000" w:rsidR="00000000" w:rsidRPr="00000000">
        <w:rPr>
          <w:b w:val="1"/>
          <w:rtl w:val="0"/>
        </w:rPr>
        <w:t xml:space="preserve">Country</w:t>
      </w:r>
      <w:r w:rsidDel="00000000" w:rsidR="00000000" w:rsidRPr="00000000">
        <w:rPr>
          <w:rtl w:val="0"/>
        </w:rPr>
        <w:t xml:space="preserve">: The country where the customer is located.</w:t>
      </w:r>
    </w:p>
    <w:p w:rsidR="00000000" w:rsidDel="00000000" w:rsidP="00000000" w:rsidRDefault="00000000" w:rsidRPr="00000000" w14:paraId="0000002D">
      <w:pPr>
        <w:ind w:firstLine="0"/>
        <w:jc w:val="both"/>
        <w:rPr/>
      </w:pPr>
      <w:r w:rsidDel="00000000" w:rsidR="00000000" w:rsidRPr="00000000">
        <w:rPr>
          <w:rtl w:val="0"/>
        </w:rPr>
        <w:t xml:space="preserve">The analysis will proceed by cleaning and preparing this dataset, followed by addressing the specific questions outlined in the task description.</w:t>
      </w:r>
    </w:p>
    <w:p w:rsidR="00000000" w:rsidDel="00000000" w:rsidP="00000000" w:rsidRDefault="00000000" w:rsidRPr="00000000" w14:paraId="0000002E">
      <w:pPr>
        <w:ind w:firstLine="0"/>
        <w:jc w:val="both"/>
        <w:rPr>
          <w:b w:val="1"/>
        </w:rPr>
      </w:pPr>
      <w:r w:rsidDel="00000000" w:rsidR="00000000" w:rsidRPr="00000000">
        <w:rPr>
          <w:b w:val="1"/>
          <w:rtl w:val="0"/>
        </w:rPr>
        <w:t xml:space="preserve">Data Pre-processing</w:t>
      </w:r>
    </w:p>
    <w:p w:rsidR="00000000" w:rsidDel="00000000" w:rsidP="00000000" w:rsidRDefault="00000000" w:rsidRPr="00000000" w14:paraId="0000002F">
      <w:pPr>
        <w:ind w:firstLine="0"/>
        <w:jc w:val="both"/>
        <w:rPr/>
      </w:pPr>
      <w:r w:rsidDel="00000000" w:rsidR="00000000" w:rsidRPr="00000000">
        <w:rPr>
          <w:rtl w:val="0"/>
        </w:rPr>
        <w:t xml:space="preserve">Before diving into the analysis, it's crucial to clean and pre-process the data to ensure accuracy and reliability. The steps involved in pre-processing include:</w:t>
      </w:r>
    </w:p>
    <w:p w:rsidR="00000000" w:rsidDel="00000000" w:rsidP="00000000" w:rsidRDefault="00000000" w:rsidRPr="00000000" w14:paraId="00000030">
      <w:pPr>
        <w:ind w:firstLine="0"/>
        <w:jc w:val="both"/>
        <w:rPr/>
      </w:pPr>
      <w:r w:rsidDel="00000000" w:rsidR="00000000" w:rsidRPr="00000000">
        <w:rPr>
          <w:b w:val="1"/>
          <w:rtl w:val="0"/>
        </w:rPr>
        <w:t xml:space="preserve">Date Conversion</w:t>
      </w:r>
      <w:r w:rsidDel="00000000" w:rsidR="00000000" w:rsidRPr="00000000">
        <w:rPr>
          <w:rtl w:val="0"/>
        </w:rPr>
        <w:t xml:space="preserve">: The Date column was converted to the datetime format to facilitate time-based analysis.</w:t>
      </w:r>
    </w:p>
    <w:p w:rsidR="00000000" w:rsidDel="00000000" w:rsidP="00000000" w:rsidRDefault="00000000" w:rsidRPr="00000000" w14:paraId="00000031">
      <w:pPr>
        <w:ind w:firstLine="0"/>
        <w:jc w:val="both"/>
        <w:rPr/>
      </w:pPr>
      <w:r w:rsidDel="00000000" w:rsidR="00000000" w:rsidRPr="00000000">
        <w:rPr>
          <w:b w:val="1"/>
          <w:rtl w:val="0"/>
        </w:rPr>
        <w:t xml:space="preserve">Missing Values</w:t>
      </w:r>
      <w:r w:rsidDel="00000000" w:rsidR="00000000" w:rsidRPr="00000000">
        <w:rPr>
          <w:rtl w:val="0"/>
        </w:rPr>
        <w:t xml:space="preserve">: The dataset was inspected for missing values, particularly in the CustomerNo column, which is essential for analyzing customer behavior. Rows with missing customer numbers were dropped.</w:t>
      </w:r>
    </w:p>
    <w:p w:rsidR="00000000" w:rsidDel="00000000" w:rsidP="00000000" w:rsidRDefault="00000000" w:rsidRPr="00000000" w14:paraId="00000032">
      <w:pPr>
        <w:ind w:firstLine="0"/>
        <w:jc w:val="both"/>
        <w:rPr/>
      </w:pPr>
      <w:r w:rsidDel="00000000" w:rsidR="00000000" w:rsidRPr="00000000">
        <w:rPr>
          <w:b w:val="1"/>
          <w:rtl w:val="0"/>
        </w:rPr>
        <w:t xml:space="preserve">Data Type Conversion</w:t>
      </w:r>
      <w:r w:rsidDel="00000000" w:rsidR="00000000" w:rsidRPr="00000000">
        <w:rPr>
          <w:rtl w:val="0"/>
        </w:rPr>
        <w:t xml:space="preserve">: The customer No column was converted to an integer type to ensure consistency in customer identification.</w:t>
      </w:r>
    </w:p>
    <w:p w:rsidR="00000000" w:rsidDel="00000000" w:rsidP="00000000" w:rsidRDefault="00000000" w:rsidRPr="00000000" w14:paraId="00000033">
      <w:pPr>
        <w:ind w:firstLine="0"/>
        <w:jc w:val="both"/>
        <w:rPr/>
      </w:pPr>
      <w:r w:rsidDel="00000000" w:rsidR="00000000" w:rsidRPr="00000000">
        <w:rPr>
          <w:b w:val="1"/>
          <w:rtl w:val="0"/>
        </w:rPr>
        <w:t xml:space="preserve">Total Sales Calculation</w:t>
      </w:r>
      <w:r w:rsidDel="00000000" w:rsidR="00000000" w:rsidRPr="00000000">
        <w:rPr>
          <w:rtl w:val="0"/>
        </w:rPr>
        <w:t xml:space="preserve">: A new column, Total Sales, was created to represent the total sales value for each transaction, calculated as the product of Price and Quantity.</w:t>
      </w:r>
    </w:p>
    <w:p w:rsidR="00000000" w:rsidDel="00000000" w:rsidP="00000000" w:rsidRDefault="00000000" w:rsidRPr="00000000" w14:paraId="00000034">
      <w:pPr>
        <w:ind w:firstLine="0"/>
        <w:jc w:val="both"/>
        <w:rPr/>
      </w:pPr>
      <w:r w:rsidDel="00000000" w:rsidR="00000000" w:rsidRPr="00000000">
        <w:rPr>
          <w:b w:val="1"/>
          <w:rtl w:val="0"/>
        </w:rPr>
        <w:t xml:space="preserve">Month-Year Extraction</w:t>
      </w:r>
      <w:r w:rsidDel="00000000" w:rsidR="00000000" w:rsidRPr="00000000">
        <w:rPr>
          <w:rtl w:val="0"/>
        </w:rPr>
        <w:t xml:space="preserve">: To analyze trends over time, a new Month-Year column was created by extracting the month and year from the Date column.</w:t>
      </w:r>
    </w:p>
    <w:p w:rsidR="00000000" w:rsidDel="00000000" w:rsidP="00000000" w:rsidRDefault="00000000" w:rsidRPr="00000000" w14:paraId="00000035">
      <w:pPr>
        <w:ind w:firstLine="0"/>
        <w:jc w:val="both"/>
        <w:rPr/>
      </w:pPr>
      <w:r w:rsidDel="00000000" w:rsidR="00000000" w:rsidRPr="00000000">
        <w:rPr>
          <w:rtl w:val="0"/>
        </w:rPr>
        <w:t xml:space="preserve">With the data cleaned and prepared, we can now proceed with the analysis.</w:t>
      </w:r>
    </w:p>
    <w:p w:rsidR="00000000" w:rsidDel="00000000" w:rsidP="00000000" w:rsidRDefault="00000000" w:rsidRPr="00000000" w14:paraId="00000036">
      <w:pPr>
        <w:ind w:firstLine="0"/>
        <w:jc w:val="both"/>
        <w:rPr>
          <w:b w:val="1"/>
        </w:rPr>
      </w:pPr>
      <w:r w:rsidDel="00000000" w:rsidR="00000000" w:rsidRPr="00000000">
        <w:rPr>
          <w:b w:val="1"/>
          <w:rtl w:val="0"/>
        </w:rPr>
        <w:t xml:space="preserve"> Sales Trend Analysis Over the Months</w:t>
      </w:r>
    </w:p>
    <w:p w:rsidR="00000000" w:rsidDel="00000000" w:rsidP="00000000" w:rsidRDefault="00000000" w:rsidRPr="00000000" w14:paraId="00000037">
      <w:pPr>
        <w:ind w:firstLine="0"/>
        <w:rPr>
          <w:b w:val="1"/>
        </w:rPr>
      </w:pPr>
      <w:r w:rsidDel="00000000" w:rsidR="00000000" w:rsidRPr="00000000">
        <w:rPr>
          <w:b w:val="1"/>
          <w:rtl w:val="0"/>
        </w:rPr>
        <w:t xml:space="preserve">Analysis:</w:t>
      </w:r>
    </w:p>
    <w:p w:rsidR="00000000" w:rsidDel="00000000" w:rsidP="00000000" w:rsidRDefault="00000000" w:rsidRPr="00000000" w14:paraId="00000038">
      <w:pPr>
        <w:ind w:firstLine="0"/>
        <w:rPr/>
      </w:pPr>
      <w:r w:rsidDel="00000000" w:rsidR="00000000" w:rsidRPr="00000000">
        <w:rPr/>
        <w:drawing>
          <wp:inline distB="0" distT="0" distL="0" distR="0">
            <wp:extent cx="5943600" cy="3432810"/>
            <wp:effectExtent b="0" l="0" r="0" t="0"/>
            <wp:docPr id="1879478385"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3432810"/>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spacing w:after="240" w:before="240" w:lineRule="auto"/>
        <w:ind w:firstLine="0"/>
        <w:rPr/>
      </w:pPr>
      <w:r w:rsidDel="00000000" w:rsidR="00000000" w:rsidRPr="00000000">
        <w:rPr>
          <w:rtl w:val="0"/>
        </w:rPr>
        <w:t xml:space="preserve">The company's sales trends over the course of a year provide useful information about its performance. A month-by-month comparison shows the peaks and troughs of total sales, which can provide insight into marketing strategies and inventory levels.</w:t>
      </w:r>
    </w:p>
    <w:p w:rsidR="00000000" w:rsidDel="00000000" w:rsidP="00000000" w:rsidRDefault="00000000" w:rsidRPr="00000000" w14:paraId="0000003A">
      <w:pPr>
        <w:spacing w:after="240" w:before="240" w:lineRule="auto"/>
        <w:ind w:firstLine="0"/>
        <w:rPr/>
      </w:pPr>
      <w:r w:rsidDel="00000000" w:rsidR="00000000" w:rsidRPr="00000000">
        <w:rPr>
          <w:rtl w:val="0"/>
        </w:rPr>
        <w:t xml:space="preserve">The month of November 2019 was the most lucrative, with sales amounting to over £2.7 million. It's believed that the increase in sales can be attributed to the holiday season, as people tend to spend more when buying gifts or for personal use prior to Christmas and Black Friday. The surge in sales may have also been a result of the various promotions and discounts that were offered during the month.</w:t>
      </w:r>
    </w:p>
    <w:p w:rsidR="00000000" w:rsidDel="00000000" w:rsidP="00000000" w:rsidRDefault="00000000" w:rsidRPr="00000000" w14:paraId="0000003B">
      <w:pPr>
        <w:ind w:firstLine="0"/>
        <w:rPr/>
      </w:pPr>
      <w:r w:rsidDel="00000000" w:rsidR="00000000" w:rsidRPr="00000000">
        <w:rPr>
          <w:rtl w:val="0"/>
        </w:rPr>
      </w:r>
    </w:p>
    <w:p w:rsidR="00000000" w:rsidDel="00000000" w:rsidP="00000000" w:rsidRDefault="00000000" w:rsidRPr="00000000" w14:paraId="0000003C">
      <w:pPr>
        <w:spacing w:after="240" w:before="240" w:lineRule="auto"/>
        <w:ind w:firstLine="0"/>
        <w:rPr/>
      </w:pPr>
      <w:r w:rsidDel="00000000" w:rsidR="00000000" w:rsidRPr="00000000">
        <w:rPr>
          <w:rtl w:val="0"/>
        </w:rPr>
        <w:t xml:space="preserve">In September, the total sales for the month were over £600,000. It's possible that this was due to the start of the school year and the holiday shopping season, as well as the company's effective marketing. The good performance in September also indicated that the business was able to meet the needs of its customers during this transition period.</w:t>
      </w:r>
    </w:p>
    <w:p w:rsidR="00000000" w:rsidDel="00000000" w:rsidP="00000000" w:rsidRDefault="00000000" w:rsidRPr="00000000" w14:paraId="0000003D">
      <w:pPr>
        <w:spacing w:after="240" w:before="240" w:lineRule="auto"/>
        <w:ind w:firstLine="0"/>
        <w:rPr/>
      </w:pPr>
      <w:r w:rsidDel="00000000" w:rsidR="00000000" w:rsidRPr="00000000">
        <w:rPr>
          <w:rtl w:val="0"/>
        </w:rPr>
        <w:t xml:space="preserve">Sales volumes tend to be low in certain months, such as April and June. This can be because the off-season is starting, and consumers are less inclined to spend. Other factors that can cause a reduction in sales include the lack of promotions and changes in consumer habits. Knowing these patterns can help a business plan its efforts and allocate its resources properly.</w:t>
      </w:r>
    </w:p>
    <w:p w:rsidR="00000000" w:rsidDel="00000000" w:rsidP="00000000" w:rsidRDefault="00000000" w:rsidRPr="00000000" w14:paraId="0000003E">
      <w:pPr>
        <w:spacing w:after="240" w:before="240" w:lineRule="auto"/>
        <w:ind w:firstLine="0"/>
        <w:rPr/>
      </w:pPr>
      <w:r w:rsidDel="00000000" w:rsidR="00000000" w:rsidRPr="00000000">
        <w:rPr>
          <w:rtl w:val="0"/>
        </w:rPr>
        <w:t xml:space="preserve">The results of a sales trend analysis can help a company develop its strategies and improve its performance. For instance, it can prepare for a spike in sales in November by stocking up on desirable products and launching special promotions to boost its profits. It can also launch more targeted marketing campaigns to boost sales during slower periods, such as during the spring and summer.</w:t>
      </w:r>
    </w:p>
    <w:p w:rsidR="00000000" w:rsidDel="00000000" w:rsidP="00000000" w:rsidRDefault="00000000" w:rsidRPr="00000000" w14:paraId="0000003F">
      <w:pPr>
        <w:spacing w:after="240" w:before="240" w:lineRule="auto"/>
        <w:ind w:firstLine="0"/>
        <w:rPr/>
      </w:pPr>
      <w:r w:rsidDel="00000000" w:rsidR="00000000" w:rsidRPr="00000000">
        <w:rPr>
          <w:rtl w:val="0"/>
        </w:rPr>
        <w:t xml:space="preserve">The sales trends that are identified will be aligned with the company's performance through marketing and inventory strategies.</w:t>
      </w:r>
    </w:p>
    <w:p w:rsidR="00000000" w:rsidDel="00000000" w:rsidP="00000000" w:rsidRDefault="00000000" w:rsidRPr="00000000" w14:paraId="00000040">
      <w:pPr>
        <w:ind w:firstLine="0"/>
        <w:rPr/>
      </w:pPr>
      <w:r w:rsidDel="00000000" w:rsidR="00000000" w:rsidRPr="00000000">
        <w:rPr>
          <w:rtl w:val="0"/>
        </w:rPr>
      </w:r>
    </w:p>
    <w:p w:rsidR="00000000" w:rsidDel="00000000" w:rsidP="00000000" w:rsidRDefault="00000000" w:rsidRPr="00000000" w14:paraId="00000041">
      <w:pPr>
        <w:ind w:firstLine="0"/>
        <w:rPr>
          <w:b w:val="1"/>
        </w:rPr>
      </w:pPr>
      <w:r w:rsidDel="00000000" w:rsidR="00000000" w:rsidRPr="00000000">
        <w:rPr>
          <w:b w:val="1"/>
          <w:rtl w:val="0"/>
        </w:rPr>
        <w:t xml:space="preserve">Most Frequently Purchased Products</w:t>
      </w:r>
    </w:p>
    <w:p w:rsidR="00000000" w:rsidDel="00000000" w:rsidP="00000000" w:rsidRDefault="00000000" w:rsidRPr="00000000" w14:paraId="00000042">
      <w:pPr>
        <w:ind w:firstLine="0"/>
        <w:rPr/>
      </w:pPr>
      <w:r w:rsidDel="00000000" w:rsidR="00000000" w:rsidRPr="00000000">
        <w:rPr/>
        <w:drawing>
          <wp:inline distB="0" distT="0" distL="0" distR="0">
            <wp:extent cx="5943600" cy="3215640"/>
            <wp:effectExtent b="0" l="0" r="0" t="0"/>
            <wp:docPr id="1879478384"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943600" cy="3215640"/>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ind w:firstLine="0"/>
        <w:rPr/>
      </w:pPr>
      <w:r w:rsidDel="00000000" w:rsidR="00000000" w:rsidRPr="00000000">
        <w:rPr>
          <w:rtl w:val="0"/>
        </w:rPr>
      </w:r>
    </w:p>
    <w:p w:rsidR="00000000" w:rsidDel="00000000" w:rsidP="00000000" w:rsidRDefault="00000000" w:rsidRPr="00000000" w14:paraId="00000044">
      <w:pPr>
        <w:spacing w:after="240" w:before="240" w:lineRule="auto"/>
        <w:ind w:firstLine="0"/>
        <w:rPr/>
      </w:pPr>
      <w:r w:rsidDel="00000000" w:rsidR="00000000" w:rsidRPr="00000000">
        <w:rPr>
          <w:rtl w:val="0"/>
        </w:rPr>
        <w:t xml:space="preserve">The purchase habits of consumers are analyzed in detail by analyzing the most frequently acquired goods. The product bar chart provides a comprehensive view of the most popular items, emphasizing the offerings that resonate with consumers and clearly demonstrating where the organization should focus its efforts.</w:t>
      </w:r>
    </w:p>
    <w:p w:rsidR="00000000" w:rsidDel="00000000" w:rsidP="00000000" w:rsidRDefault="00000000" w:rsidRPr="00000000" w14:paraId="00000045">
      <w:pPr>
        <w:spacing w:after="240" w:before="240" w:lineRule="auto"/>
        <w:ind w:firstLine="0"/>
        <w:rPr/>
      </w:pPr>
      <w:r w:rsidDel="00000000" w:rsidR="00000000" w:rsidRPr="00000000">
        <w:rPr>
          <w:rtl w:val="0"/>
        </w:rPr>
        <w:t xml:space="preserve">The top seller is the Asstd Design 3D Paper Stickers, which has 12,632 units. Its broad appeal may be attributed to its unique design, as well as how inexpensive it is and its ability to be used for various purposes. It's believed that customers are drawn to such attractive and creative products due to their reasonable prices.</w:t>
      </w:r>
    </w:p>
    <w:p w:rsidR="00000000" w:rsidDel="00000000" w:rsidP="00000000" w:rsidRDefault="00000000" w:rsidRPr="00000000" w14:paraId="00000046">
      <w:pPr>
        <w:spacing w:after="240" w:before="240" w:lineRule="auto"/>
        <w:ind w:firstLine="0"/>
        <w:rPr/>
      </w:pPr>
      <w:r w:rsidDel="00000000" w:rsidR="00000000" w:rsidRPr="00000000">
        <w:rPr>
          <w:rtl w:val="0"/>
        </w:rPr>
        <w:t xml:space="preserve">The Rabbit Night Light was the second most popular product, with 11,251 units sold. This indicates that this item appeals to families with young kids. Its practical and attractive design makes it a great choice for people who are looking for home accessories that are both functional and beautiful.</w:t>
      </w:r>
    </w:p>
    <w:p w:rsidR="00000000" w:rsidDel="00000000" w:rsidP="00000000" w:rsidRDefault="00000000" w:rsidRPr="00000000" w14:paraId="00000047">
      <w:pPr>
        <w:ind w:firstLine="0"/>
        <w:rPr/>
      </w:pPr>
      <w:r w:rsidDel="00000000" w:rsidR="00000000" w:rsidRPr="00000000">
        <w:rPr>
          <w:rtl w:val="0"/>
        </w:rPr>
      </w:r>
    </w:p>
    <w:p w:rsidR="00000000" w:rsidDel="00000000" w:rsidP="00000000" w:rsidRDefault="00000000" w:rsidRPr="00000000" w14:paraId="00000048">
      <w:pPr>
        <w:spacing w:after="240" w:before="240" w:lineRule="auto"/>
        <w:ind w:firstLine="0"/>
        <w:rPr/>
      </w:pPr>
      <w:r w:rsidDel="00000000" w:rsidR="00000000" w:rsidRPr="00000000">
        <w:rPr>
          <w:rtl w:val="0"/>
        </w:rPr>
        <w:t xml:space="preserve">The Popcorn Holder is the third item on this list, which has sold over 11,000 units, demonstrating the high demand for unique and novelty home accessories. It speaks to the consumer's desire for unusual and unusual products, which can add a bit of fun to any household. Other notable products that made the list include the Paper Chain Kit, Christmas decorations, and the Wooden Star Scandinavian.</w:t>
      </w:r>
    </w:p>
    <w:p w:rsidR="00000000" w:rsidDel="00000000" w:rsidP="00000000" w:rsidRDefault="00000000" w:rsidRPr="00000000" w14:paraId="00000049">
      <w:pPr>
        <w:spacing w:after="240" w:before="240" w:lineRule="auto"/>
        <w:ind w:firstLine="0"/>
        <w:rPr/>
      </w:pPr>
      <w:r w:rsidDel="00000000" w:rsidR="00000000" w:rsidRPr="00000000">
        <w:rPr>
          <w:rtl w:val="0"/>
        </w:rPr>
        <w:t xml:space="preserve">The success of several Christmas-themed products in the top-selling list shows how important the holiday season is for retailers.</w:t>
      </w:r>
    </w:p>
    <w:p w:rsidR="00000000" w:rsidDel="00000000" w:rsidP="00000000" w:rsidRDefault="00000000" w:rsidRPr="00000000" w14:paraId="0000004A">
      <w:pPr>
        <w:spacing w:after="240" w:before="240" w:lineRule="auto"/>
        <w:ind w:firstLine="0"/>
        <w:rPr/>
      </w:pPr>
      <w:r w:rsidDel="00000000" w:rsidR="00000000" w:rsidRPr="00000000">
        <w:rPr>
          <w:rtl w:val="0"/>
        </w:rPr>
        <w:t xml:space="preserve">The success of these products can help retailers determine how they should stock their products, especially during the peak season. They can also help boost the customer's satisfaction and increase the sales. By introducing similar products, expanding the product range, or even introducing new ones, the business can capitalize on the demand for its goods.</w:t>
      </w:r>
    </w:p>
    <w:p w:rsidR="00000000" w:rsidDel="00000000" w:rsidP="00000000" w:rsidRDefault="00000000" w:rsidRPr="00000000" w14:paraId="0000004B">
      <w:pPr>
        <w:ind w:firstLine="0"/>
        <w:rPr/>
      </w:pPr>
      <w:r w:rsidDel="00000000" w:rsidR="00000000" w:rsidRPr="00000000">
        <w:rPr>
          <w:rtl w:val="0"/>
        </w:rPr>
      </w:r>
    </w:p>
    <w:p w:rsidR="00000000" w:rsidDel="00000000" w:rsidP="00000000" w:rsidRDefault="00000000" w:rsidRPr="00000000" w14:paraId="0000004C">
      <w:pPr>
        <w:ind w:firstLine="0"/>
        <w:rPr>
          <w:b w:val="1"/>
        </w:rPr>
      </w:pPr>
      <w:r w:rsidDel="00000000" w:rsidR="00000000" w:rsidRPr="00000000">
        <w:rPr>
          <w:b w:val="1"/>
          <w:rtl w:val="0"/>
        </w:rPr>
        <w:t xml:space="preserve">Number of Products Purchased in Each Transaction</w:t>
      </w:r>
    </w:p>
    <w:p w:rsidR="00000000" w:rsidDel="00000000" w:rsidP="00000000" w:rsidRDefault="00000000" w:rsidRPr="00000000" w14:paraId="0000004D">
      <w:pPr>
        <w:ind w:firstLine="0"/>
        <w:rPr/>
      </w:pPr>
      <w:r w:rsidDel="00000000" w:rsidR="00000000" w:rsidRPr="00000000">
        <w:rPr/>
        <w:drawing>
          <wp:inline distB="0" distT="0" distL="0" distR="0">
            <wp:extent cx="5943600" cy="3787140"/>
            <wp:effectExtent b="0" l="0" r="0" t="0"/>
            <wp:docPr id="1879478387"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943600" cy="3787140"/>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spacing w:after="240" w:before="240" w:lineRule="auto"/>
        <w:ind w:firstLine="0"/>
        <w:rPr/>
      </w:pPr>
      <w:r w:rsidDel="00000000" w:rsidR="00000000" w:rsidRPr="00000000">
        <w:rPr>
          <w:rtl w:val="0"/>
        </w:rPr>
        <w:t xml:space="preserve">The distribution of products across different transactions can provide valuable information on the behavior of consumers. The histogram shows the key trends that can influence promotional campaigns, pricing strategies, and customer engagement.</w:t>
      </w:r>
    </w:p>
    <w:p w:rsidR="00000000" w:rsidDel="00000000" w:rsidP="00000000" w:rsidRDefault="00000000" w:rsidRPr="00000000" w14:paraId="0000004F">
      <w:pPr>
        <w:spacing w:after="240" w:before="240" w:lineRule="auto"/>
        <w:ind w:firstLine="0"/>
        <w:rPr/>
      </w:pPr>
      <w:r w:rsidDel="00000000" w:rsidR="00000000" w:rsidRPr="00000000">
        <w:rPr>
          <w:rtl w:val="0"/>
        </w:rPr>
        <w:t xml:space="preserve">The average number of products that were distributed across different transactions was 229, while the mean was 132. This variance in the distribution means that some transactions were very large, which is typical in retail. It can be assumed that a subset of consumers, such as small businesses and bulk buyers, were involved in these transactions.</w:t>
      </w:r>
    </w:p>
    <w:p w:rsidR="00000000" w:rsidDel="00000000" w:rsidP="00000000" w:rsidRDefault="00000000" w:rsidRPr="00000000" w14:paraId="00000050">
      <w:pPr>
        <w:spacing w:after="240" w:before="240" w:lineRule="auto"/>
        <w:ind w:firstLine="0"/>
        <w:rPr/>
      </w:pPr>
      <w:r w:rsidDel="00000000" w:rsidR="00000000" w:rsidRPr="00000000">
        <w:rPr>
          <w:rtl w:val="0"/>
        </w:rPr>
        <w:t xml:space="preserve">Outliers were found in the data for a transaction involving a large number of units. This could be an indication that a small business made a bulk purchase or that the data entry was not accurate. In another case, a negative quantity was detected, which could be an order cancellation or return. Although these instances are informative, further research is required to identify the underlying factors that led to these anomalies.</w:t>
      </w:r>
    </w:p>
    <w:p w:rsidR="00000000" w:rsidDel="00000000" w:rsidP="00000000" w:rsidRDefault="00000000" w:rsidRPr="00000000" w14:paraId="00000051">
      <w:pPr>
        <w:spacing w:after="240" w:before="240" w:lineRule="auto"/>
        <w:ind w:firstLine="0"/>
        <w:rPr/>
      </w:pPr>
      <w:r w:rsidDel="00000000" w:rsidR="00000000" w:rsidRPr="00000000">
        <w:rPr>
          <w:rtl w:val="0"/>
        </w:rPr>
        <w:t xml:space="preserve">The distribution of products can help determine if a business offers bulk purchase bundles or discounts. If a large number of customers are buying a lot of products, then a tiered loyalty program or pricing strategy can be established to encourage repeat purchases.</w:t>
      </w:r>
    </w:p>
    <w:p w:rsidR="00000000" w:rsidDel="00000000" w:rsidP="00000000" w:rsidRDefault="00000000" w:rsidRPr="00000000" w14:paraId="00000052">
      <w:pPr>
        <w:spacing w:after="240" w:before="240" w:lineRule="auto"/>
        <w:ind w:firstLine="0"/>
        <w:rPr/>
      </w:pPr>
      <w:r w:rsidDel="00000000" w:rsidR="00000000" w:rsidRPr="00000000">
        <w:rPr>
          <w:rtl w:val="0"/>
        </w:rPr>
        <w:t xml:space="preserve">Conversely, deviations from the norm and negative marks should be scrutinized by the enterprise for their accuracy and to address any potential issues with their order processing infrastructure. To foster customer loyalty and boost sales, optimize the buying process by tailoring offers to suit the preferences of consumers.</w:t>
      </w:r>
    </w:p>
    <w:p w:rsidR="00000000" w:rsidDel="00000000" w:rsidP="00000000" w:rsidRDefault="00000000" w:rsidRPr="00000000" w14:paraId="00000053">
      <w:pPr>
        <w:ind w:firstLine="0"/>
        <w:rPr/>
      </w:pPr>
      <w:r w:rsidDel="00000000" w:rsidR="00000000" w:rsidRPr="00000000">
        <w:rPr>
          <w:rtl w:val="0"/>
        </w:rPr>
      </w:r>
    </w:p>
    <w:p w:rsidR="00000000" w:rsidDel="00000000" w:rsidP="00000000" w:rsidRDefault="00000000" w:rsidRPr="00000000" w14:paraId="00000054">
      <w:pPr>
        <w:rPr>
          <w:b w:val="1"/>
        </w:rPr>
      </w:pPr>
      <w:r w:rsidDel="00000000" w:rsidR="00000000" w:rsidRPr="00000000">
        <w:rPr>
          <w:b w:val="1"/>
          <w:rtl w:val="0"/>
        </w:rPr>
        <w:t xml:space="preserve">Most Profitable Customer Segments</w:t>
      </w:r>
    </w:p>
    <w:p w:rsidR="00000000" w:rsidDel="00000000" w:rsidP="00000000" w:rsidRDefault="00000000" w:rsidRPr="00000000" w14:paraId="00000055">
      <w:pPr>
        <w:ind w:firstLine="0"/>
        <w:rPr/>
      </w:pPr>
      <w:r w:rsidDel="00000000" w:rsidR="00000000" w:rsidRPr="00000000">
        <w:rPr/>
        <w:drawing>
          <wp:inline distB="0" distT="0" distL="0" distR="0">
            <wp:extent cx="5943600" cy="2948305"/>
            <wp:effectExtent b="0" l="0" r="0" t="0"/>
            <wp:docPr id="1879478386"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5943600" cy="2948305"/>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spacing w:after="240" w:before="240" w:lineRule="auto"/>
        <w:ind w:firstLine="0"/>
        <w:rPr/>
      </w:pPr>
      <w:r w:rsidDel="00000000" w:rsidR="00000000" w:rsidRPr="00000000">
        <w:rPr>
          <w:rtl w:val="0"/>
        </w:rPr>
        <w:t xml:space="preserve">The customer segment is the most profitable part of a company. It includes information about its most valued clients. The bar chart shows the top 10 businesses or individuals that have generated the most returns on investment.</w:t>
      </w:r>
    </w:p>
    <w:p w:rsidR="00000000" w:rsidDel="00000000" w:rsidP="00000000" w:rsidRDefault="00000000" w:rsidRPr="00000000" w14:paraId="00000057">
      <w:pPr>
        <w:spacing w:after="240" w:before="240" w:lineRule="auto"/>
        <w:ind w:firstLine="0"/>
        <w:rPr/>
      </w:pPr>
      <w:r w:rsidDel="00000000" w:rsidR="00000000" w:rsidRPr="00000000">
        <w:rPr>
          <w:rtl w:val="0"/>
        </w:rPr>
        <w:t xml:space="preserve">The spending value of customer No. 16446, which is currently over £501,000, is the most profitable part of a company. It could be a small business owner buying in bulk or a regular buyer. This means that the company can benefit from this customer's spending. It would also be beneficial to identify and develop business relationships with high-value clients.</w:t>
      </w:r>
    </w:p>
    <w:p w:rsidR="00000000" w:rsidDel="00000000" w:rsidP="00000000" w:rsidRDefault="00000000" w:rsidRPr="00000000" w14:paraId="00000058">
      <w:pPr>
        <w:spacing w:after="240" w:before="240" w:lineRule="auto"/>
        <w:ind w:firstLine="0"/>
        <w:rPr/>
      </w:pPr>
      <w:r w:rsidDel="00000000" w:rsidR="00000000" w:rsidRPr="00000000">
        <w:rPr>
          <w:rtl w:val="0"/>
        </w:rPr>
        <w:t xml:space="preserve">The individuals in this group have reportedly spent between £100,000 and £39,000. These are regular buyers or small enterprises that often or rarely buy large orders, and their dependability is a crucial factor that a company must consider in its financial health.</w:t>
      </w:r>
    </w:p>
    <w:p w:rsidR="00000000" w:rsidDel="00000000" w:rsidP="00000000" w:rsidRDefault="00000000" w:rsidRPr="00000000" w14:paraId="00000059">
      <w:pPr>
        <w:spacing w:after="240" w:before="240" w:lineRule="auto"/>
        <w:ind w:firstLine="0"/>
        <w:rPr/>
      </w:pPr>
      <w:r w:rsidDel="00000000" w:rsidR="00000000" w:rsidRPr="00000000">
        <w:rPr>
          <w:rtl w:val="0"/>
        </w:rPr>
        <w:t xml:space="preserve">Marketing strategies tailored to the needs of high-value consumers can be implemented by companies. For instance, offering early access to new products or customized recommendations can help these customers feel valued and increase their loyalty.</w:t>
      </w:r>
    </w:p>
    <w:p w:rsidR="00000000" w:rsidDel="00000000" w:rsidP="00000000" w:rsidRDefault="00000000" w:rsidRPr="00000000" w14:paraId="0000005A">
      <w:pPr>
        <w:spacing w:after="240" w:before="240" w:lineRule="auto"/>
        <w:ind w:firstLine="0"/>
        <w:rPr/>
      </w:pPr>
      <w:r w:rsidDel="00000000" w:rsidR="00000000" w:rsidRPr="00000000">
        <w:rPr>
          <w:rtl w:val="0"/>
        </w:rPr>
        <w:t xml:space="preserve">By knowing about the tastes and requirements of these customers, a company can improve its inventory management and product development. It can also maintain a steady stream of revenue by growing its top customers.</w:t>
      </w:r>
    </w:p>
    <w:p w:rsidR="00000000" w:rsidDel="00000000" w:rsidP="00000000" w:rsidRDefault="00000000" w:rsidRPr="00000000" w14:paraId="0000005B">
      <w:pPr>
        <w:ind w:firstLine="0"/>
        <w:jc w:val="left"/>
        <w:rPr>
          <w:b w:val="1"/>
        </w:rPr>
      </w:pPr>
      <w:r w:rsidDel="00000000" w:rsidR="00000000" w:rsidRPr="00000000">
        <w:rPr>
          <w:b w:val="1"/>
          <w:rtl w:val="0"/>
        </w:rPr>
        <w:t xml:space="preserve">Strategy Recommendations</w:t>
      </w:r>
    </w:p>
    <w:p w:rsidR="00000000" w:rsidDel="00000000" w:rsidP="00000000" w:rsidRDefault="00000000" w:rsidRPr="00000000" w14:paraId="0000005C">
      <w:pPr>
        <w:ind w:firstLine="0"/>
        <w:rPr/>
      </w:pPr>
      <w:r w:rsidDel="00000000" w:rsidR="00000000" w:rsidRPr="00000000">
        <w:rPr>
          <w:rtl w:val="0"/>
        </w:rPr>
        <w:t xml:space="preserve">A case analysis can help identify potential strategies that can improve the bottom line of a company;</w:t>
      </w:r>
    </w:p>
    <w:p w:rsidR="00000000" w:rsidDel="00000000" w:rsidP="00000000" w:rsidRDefault="00000000" w:rsidRPr="00000000" w14:paraId="0000005D">
      <w:pPr>
        <w:ind w:firstLine="0"/>
        <w:rPr/>
      </w:pPr>
      <w:r w:rsidDel="00000000" w:rsidR="00000000" w:rsidRPr="00000000">
        <w:rPr>
          <w:b w:val="1"/>
          <w:rtl w:val="0"/>
        </w:rPr>
        <w:t xml:space="preserve">Peak Sales Months:</w:t>
      </w:r>
      <w:r w:rsidDel="00000000" w:rsidR="00000000" w:rsidRPr="00000000">
        <w:rPr>
          <w:rtl w:val="0"/>
        </w:rPr>
        <w:t xml:space="preserve"> The surge in sales in November was the most crucial factor that helped boost the company's performance. It demonstrated its ability to capitalize on the holiday shopping season. To ensure that customers are satisfied, the business should launch targeted marketing campaigns that feature exclusive products and limited-time bargains. It can also prepare for the rush by ensuring that its stock levels are sufficient.</w:t>
      </w:r>
    </w:p>
    <w:p w:rsidR="00000000" w:rsidDel="00000000" w:rsidP="00000000" w:rsidRDefault="00000000" w:rsidRPr="00000000" w14:paraId="0000005E">
      <w:pPr>
        <w:ind w:firstLine="0"/>
        <w:rPr/>
      </w:pPr>
      <w:r w:rsidDel="00000000" w:rsidR="00000000" w:rsidRPr="00000000">
        <w:rPr>
          <w:b w:val="1"/>
          <w:rtl w:val="0"/>
        </w:rPr>
        <w:t xml:space="preserve">Focus on Fast-Moving Products:</w:t>
      </w:r>
      <w:r w:rsidDel="00000000" w:rsidR="00000000" w:rsidRPr="00000000">
        <w:rPr>
          <w:rtl w:val="0"/>
        </w:rPr>
        <w:t xml:space="preserve"> By determining which products are commonly purchased, the company can optimize its inventory management techniques. This can help guarantee consistent sales. The business can also bundle certain products to create a more attractive shopping experience for its customers.</w:t>
      </w:r>
    </w:p>
    <w:p w:rsidR="00000000" w:rsidDel="00000000" w:rsidP="00000000" w:rsidRDefault="00000000" w:rsidRPr="00000000" w14:paraId="0000005F">
      <w:pPr>
        <w:ind w:firstLine="0"/>
        <w:rPr/>
      </w:pPr>
      <w:r w:rsidDel="00000000" w:rsidR="00000000" w:rsidRPr="00000000">
        <w:rPr>
          <w:b w:val="1"/>
          <w:rtl w:val="0"/>
        </w:rPr>
        <w:t xml:space="preserve">Target High-Value Customers:</w:t>
      </w:r>
      <w:r w:rsidDel="00000000" w:rsidR="00000000" w:rsidRPr="00000000">
        <w:rPr>
          <w:rtl w:val="0"/>
        </w:rPr>
        <w:t xml:space="preserve">Due to the small number of customers who generate vast amounts of sales, businesses need to develop policies that will accommodate their high-value consumers. These include customized marketing campaigns and loyalty programs. In addition, analyzing the purchasing behavior of their consumers can help them identify new opportunities to improve their sales.</w:t>
      </w:r>
    </w:p>
    <w:p w:rsidR="00000000" w:rsidDel="00000000" w:rsidP="00000000" w:rsidRDefault="00000000" w:rsidRPr="00000000" w14:paraId="00000060">
      <w:pPr>
        <w:ind w:firstLine="0"/>
        <w:rPr/>
      </w:pPr>
      <w:r w:rsidDel="00000000" w:rsidR="00000000" w:rsidRPr="00000000">
        <w:rPr>
          <w:b w:val="1"/>
          <w:rtl w:val="0"/>
        </w:rPr>
        <w:t xml:space="preserve">Transaction Anomalies</w:t>
      </w:r>
      <w:r w:rsidDel="00000000" w:rsidR="00000000" w:rsidRPr="00000000">
        <w:rPr>
          <w:rtl w:val="0"/>
        </w:rPr>
        <w:t xml:space="preserve">: Insufficient data is an indication that a business has a problem with its sales transactions. These can be caused by errors in entry, cancellations, or returns. To ensure that the data reflects the company's actual performance, it has to investigate these types of transactions. Also, knowing the cause of the cancellations or returns will help the business develop strategies to minimize these occurrences.</w:t>
      </w:r>
    </w:p>
    <w:p w:rsidR="00000000" w:rsidDel="00000000" w:rsidP="00000000" w:rsidRDefault="00000000" w:rsidRPr="00000000" w14:paraId="00000061">
      <w:pPr>
        <w:ind w:firstLine="0"/>
        <w:jc w:val="both"/>
        <w:rPr/>
      </w:pPr>
      <w:r w:rsidDel="00000000" w:rsidR="00000000" w:rsidRPr="00000000">
        <w:rPr>
          <w:b w:val="1"/>
          <w:rtl w:val="0"/>
        </w:rPr>
        <w:t xml:space="preserve">Increase Promotion Activities in Low Demand Months</w:t>
      </w:r>
      <w:r w:rsidDel="00000000" w:rsidR="00000000" w:rsidRPr="00000000">
        <w:rPr>
          <w:rtl w:val="0"/>
        </w:rPr>
        <w:t xml:space="preserve">: Some months of the year show a decrease in sales compared to other months. To attract more customers, a business can hold flash sales or seasonal promotions. These activities can help boost the sales during off-peak times.</w:t>
      </w:r>
    </w:p>
    <w:p w:rsidR="00000000" w:rsidDel="00000000" w:rsidP="00000000" w:rsidRDefault="00000000" w:rsidRPr="00000000" w14:paraId="00000062">
      <w:pPr>
        <w:ind w:firstLine="0"/>
        <w:jc w:val="both"/>
        <w:rPr>
          <w:b w:val="1"/>
        </w:rPr>
      </w:pPr>
      <w:r w:rsidDel="00000000" w:rsidR="00000000" w:rsidRPr="00000000">
        <w:rPr>
          <w:b w:val="1"/>
          <w:rtl w:val="0"/>
        </w:rPr>
        <w:t xml:space="preserve">Part 2:</w:t>
      </w:r>
    </w:p>
    <w:p w:rsidR="00000000" w:rsidDel="00000000" w:rsidP="00000000" w:rsidRDefault="00000000" w:rsidRPr="00000000" w14:paraId="00000063">
      <w:pPr>
        <w:ind w:firstLine="0"/>
        <w:jc w:val="both"/>
        <w:rPr>
          <w:b w:val="1"/>
        </w:rPr>
      </w:pPr>
      <w:r w:rsidDel="00000000" w:rsidR="00000000" w:rsidRPr="00000000">
        <w:rPr>
          <w:b w:val="1"/>
          <w:rtl w:val="0"/>
        </w:rPr>
        <w:t xml:space="preserve">Student Scores Analysis Using SPSS</w:t>
      </w:r>
    </w:p>
    <w:p w:rsidR="00000000" w:rsidDel="00000000" w:rsidP="00000000" w:rsidRDefault="00000000" w:rsidRPr="00000000" w14:paraId="00000064">
      <w:pPr>
        <w:ind w:firstLine="0"/>
        <w:jc w:val="both"/>
        <w:rPr/>
      </w:pPr>
      <w:r w:rsidDel="00000000" w:rsidR="00000000" w:rsidRPr="00000000">
        <w:rPr>
          <w:b w:val="1"/>
          <w:rtl w:val="0"/>
        </w:rPr>
        <w:t xml:space="preserve">Gender Distribution of Students</w:t>
      </w:r>
      <w:r w:rsidDel="00000000" w:rsidR="00000000" w:rsidRPr="00000000">
        <w:rPr>
          <w:rtl w:val="0"/>
        </w:rPr>
      </w:r>
    </w:p>
    <w:p w:rsidR="00000000" w:rsidDel="00000000" w:rsidP="00000000" w:rsidRDefault="00000000" w:rsidRPr="00000000" w14:paraId="00000065">
      <w:pPr>
        <w:ind w:firstLine="0"/>
        <w:jc w:val="both"/>
        <w:rPr/>
      </w:pPr>
      <w:r w:rsidDel="00000000" w:rsidR="00000000" w:rsidRPr="00000000">
        <w:rPr>
          <w:b w:val="1"/>
          <w:rtl w:val="0"/>
        </w:rPr>
        <w:t xml:space="preserve">Male Students (coded as 1)</w:t>
      </w:r>
      <w:r w:rsidDel="00000000" w:rsidR="00000000" w:rsidRPr="00000000">
        <w:rPr>
          <w:rtl w:val="0"/>
        </w:rPr>
        <w:t xml:space="preserve">: 1,056 males comprise the dataset's total student count. This figure represents 49.5% of the enrolled population.</w:t>
      </w:r>
    </w:p>
    <w:p w:rsidR="00000000" w:rsidDel="00000000" w:rsidP="00000000" w:rsidRDefault="00000000" w:rsidRPr="00000000" w14:paraId="00000066">
      <w:pPr>
        <w:ind w:firstLine="0"/>
        <w:jc w:val="both"/>
        <w:rPr/>
      </w:pPr>
      <w:r w:rsidDel="00000000" w:rsidR="00000000" w:rsidRPr="00000000">
        <w:rPr>
          <w:b w:val="1"/>
          <w:rtl w:val="0"/>
        </w:rPr>
        <w:t xml:space="preserve">Female Students (coded as 2)</w:t>
      </w:r>
      <w:r w:rsidDel="00000000" w:rsidR="00000000" w:rsidRPr="00000000">
        <w:rPr>
          <w:rtl w:val="0"/>
        </w:rPr>
        <w:t xml:space="preserve">:1,077 females make up approximately 50.5% of the total student body.</w:t>
      </w:r>
    </w:p>
    <w:p w:rsidR="00000000" w:rsidDel="00000000" w:rsidP="00000000" w:rsidRDefault="00000000" w:rsidRPr="00000000" w14:paraId="00000067">
      <w:pPr>
        <w:ind w:firstLine="0"/>
        <w:jc w:val="both"/>
        <w:rPr/>
      </w:pPr>
      <w:r w:rsidDel="00000000" w:rsidR="00000000" w:rsidRPr="00000000">
        <w:rPr>
          <w:b w:val="1"/>
          <w:rtl w:val="0"/>
        </w:rPr>
        <w:t xml:space="preserve">Qualification for Reduced/Free Lunch</w:t>
      </w:r>
      <w:r w:rsidDel="00000000" w:rsidR="00000000" w:rsidRPr="00000000">
        <w:rPr>
          <w:rtl w:val="0"/>
        </w:rPr>
      </w:r>
    </w:p>
    <w:p w:rsidR="00000000" w:rsidDel="00000000" w:rsidP="00000000" w:rsidRDefault="00000000" w:rsidRPr="00000000" w14:paraId="00000068">
      <w:pPr>
        <w:ind w:firstLine="0"/>
        <w:jc w:val="both"/>
        <w:rPr>
          <w:b w:val="1"/>
        </w:rPr>
      </w:pPr>
      <w:r w:rsidDel="00000000" w:rsidR="00000000" w:rsidRPr="00000000">
        <w:rPr>
          <w:b w:val="1"/>
          <w:rtl w:val="0"/>
        </w:rPr>
        <w:t xml:space="preserve">Students Not Qualifying for Free/Reduced Lunch (coded as 0): </w:t>
      </w:r>
      <w:r w:rsidDel="00000000" w:rsidR="00000000" w:rsidRPr="00000000">
        <w:rPr>
          <w:rtl w:val="0"/>
        </w:rPr>
        <w:t xml:space="preserve">Around 1,215 students do not meet the program's eligibility criteria. This group accounts for over 50% of the total student body size.</w:t>
      </w:r>
      <w:r w:rsidDel="00000000" w:rsidR="00000000" w:rsidRPr="00000000">
        <w:rPr>
          <w:rtl w:val="0"/>
        </w:rPr>
      </w:r>
    </w:p>
    <w:p w:rsidR="00000000" w:rsidDel="00000000" w:rsidP="00000000" w:rsidRDefault="00000000" w:rsidRPr="00000000" w14:paraId="00000069">
      <w:pPr>
        <w:ind w:firstLine="0"/>
        <w:jc w:val="both"/>
        <w:rPr/>
      </w:pPr>
      <w:r w:rsidDel="00000000" w:rsidR="00000000" w:rsidRPr="00000000">
        <w:rPr>
          <w:b w:val="1"/>
          <w:rtl w:val="0"/>
        </w:rPr>
        <w:t xml:space="preserve">Students Qualifying for Free/Reduced Lunch (coded as 1): </w:t>
      </w:r>
      <w:r w:rsidDel="00000000" w:rsidR="00000000" w:rsidRPr="00000000">
        <w:rPr>
          <w:rtl w:val="0"/>
        </w:rPr>
        <w:t xml:space="preserve">The division allows for comparisons between the various socioeconomic backgrounds of students. It also helps to understand the link between academic performance and financial support.</w:t>
      </w:r>
    </w:p>
    <w:p w:rsidR="00000000" w:rsidDel="00000000" w:rsidP="00000000" w:rsidRDefault="00000000" w:rsidRPr="00000000" w14:paraId="0000006A">
      <w:pPr>
        <w:ind w:firstLine="0"/>
        <w:jc w:val="both"/>
        <w:rPr/>
      </w:pPr>
      <w:r w:rsidDel="00000000" w:rsidR="00000000" w:rsidRPr="00000000">
        <w:rPr>
          <w:b w:val="1"/>
          <w:rtl w:val="0"/>
        </w:rPr>
        <w:t xml:space="preserve">Mean and Median Scores</w:t>
      </w:r>
      <w:r w:rsidDel="00000000" w:rsidR="00000000" w:rsidRPr="00000000">
        <w:rPr>
          <w:rtl w:val="0"/>
        </w:rPr>
      </w:r>
    </w:p>
    <w:p w:rsidR="00000000" w:rsidDel="00000000" w:rsidP="00000000" w:rsidRDefault="00000000" w:rsidRPr="00000000" w14:paraId="0000006B">
      <w:pPr>
        <w:ind w:firstLine="0"/>
        <w:jc w:val="both"/>
        <w:rPr/>
      </w:pPr>
      <w:r w:rsidDel="00000000" w:rsidR="00000000" w:rsidRPr="00000000">
        <w:rPr>
          <w:b w:val="1"/>
          <w:rtl w:val="0"/>
        </w:rPr>
        <w:t xml:space="preserve">Students Not Qualifying for Free/Reduced Lunch (0)</w:t>
      </w:r>
      <w:r w:rsidDel="00000000" w:rsidR="00000000" w:rsidRPr="00000000">
        <w:rPr>
          <w:rtl w:val="0"/>
        </w:rPr>
        <w:t xml:space="preserve">:</w:t>
      </w:r>
    </w:p>
    <w:p w:rsidR="00000000" w:rsidDel="00000000" w:rsidP="00000000" w:rsidRDefault="00000000" w:rsidRPr="00000000" w14:paraId="0000006C">
      <w:pPr>
        <w:ind w:firstLine="0"/>
        <w:jc w:val="both"/>
        <w:rPr/>
      </w:pPr>
      <w:r w:rsidDel="00000000" w:rsidR="00000000" w:rsidRPr="00000000">
        <w:rPr>
          <w:b w:val="1"/>
          <w:rtl w:val="0"/>
        </w:rPr>
        <w:t xml:space="preserve">Pretest Scores</w:t>
      </w:r>
      <w:r w:rsidDel="00000000" w:rsidR="00000000" w:rsidRPr="00000000">
        <w:rPr>
          <w:rtl w:val="0"/>
        </w:rPr>
        <w:t xml:space="preserve">: Mean = 62.29, Median = 62.0</w:t>
      </w:r>
    </w:p>
    <w:p w:rsidR="00000000" w:rsidDel="00000000" w:rsidP="00000000" w:rsidRDefault="00000000" w:rsidRPr="00000000" w14:paraId="0000006D">
      <w:pPr>
        <w:ind w:firstLine="0"/>
        <w:jc w:val="both"/>
        <w:rPr/>
      </w:pPr>
      <w:r w:rsidDel="00000000" w:rsidR="00000000" w:rsidRPr="00000000">
        <w:rPr>
          <w:b w:val="1"/>
          <w:rtl w:val="0"/>
        </w:rPr>
        <w:t xml:space="preserve">Posttest Scores</w:t>
      </w:r>
      <w:r w:rsidDel="00000000" w:rsidR="00000000" w:rsidRPr="00000000">
        <w:rPr>
          <w:rtl w:val="0"/>
        </w:rPr>
        <w:t xml:space="preserve">: Mean = 74.38, Median = 74.0</w:t>
      </w:r>
    </w:p>
    <w:p w:rsidR="00000000" w:rsidDel="00000000" w:rsidP="00000000" w:rsidRDefault="00000000" w:rsidRPr="00000000" w14:paraId="0000006E">
      <w:pPr>
        <w:ind w:firstLine="0"/>
        <w:rPr/>
      </w:pPr>
      <w:r w:rsidDel="00000000" w:rsidR="00000000" w:rsidRPr="00000000">
        <w:rPr>
          <w:b w:val="1"/>
          <w:rtl w:val="0"/>
        </w:rPr>
        <w:t xml:space="preserve">Students Qualifying for Free/Reduced Lunch (1)</w:t>
      </w:r>
      <w:r w:rsidDel="00000000" w:rsidR="00000000" w:rsidRPr="00000000">
        <w:rPr>
          <w:rtl w:val="0"/>
        </w:rPr>
        <w:t xml:space="preserve">:</w:t>
      </w:r>
    </w:p>
    <w:p w:rsidR="00000000" w:rsidDel="00000000" w:rsidP="00000000" w:rsidRDefault="00000000" w:rsidRPr="00000000" w14:paraId="0000006F">
      <w:pPr>
        <w:ind w:firstLine="0"/>
        <w:rPr/>
      </w:pPr>
      <w:r w:rsidDel="00000000" w:rsidR="00000000" w:rsidRPr="00000000">
        <w:rPr>
          <w:b w:val="1"/>
          <w:rtl w:val="0"/>
        </w:rPr>
        <w:t xml:space="preserve">Pretest Scores</w:t>
      </w:r>
      <w:r w:rsidDel="00000000" w:rsidR="00000000" w:rsidRPr="00000000">
        <w:rPr>
          <w:rtl w:val="0"/>
        </w:rPr>
        <w:t xml:space="preserve">: Mean = 45.25, Median = 44.0</w:t>
      </w:r>
    </w:p>
    <w:p w:rsidR="00000000" w:rsidDel="00000000" w:rsidP="00000000" w:rsidRDefault="00000000" w:rsidRPr="00000000" w14:paraId="00000070">
      <w:pPr>
        <w:ind w:firstLine="0"/>
        <w:rPr/>
      </w:pPr>
      <w:r w:rsidDel="00000000" w:rsidR="00000000" w:rsidRPr="00000000">
        <w:rPr>
          <w:b w:val="1"/>
          <w:rtl w:val="0"/>
        </w:rPr>
        <w:t xml:space="preserve">Posttest Scores</w:t>
      </w:r>
      <w:r w:rsidDel="00000000" w:rsidR="00000000" w:rsidRPr="00000000">
        <w:rPr>
          <w:rtl w:val="0"/>
        </w:rPr>
        <w:t xml:space="preserve">: Mean = 57.48, Median = 55.0</w:t>
      </w:r>
    </w:p>
    <w:p w:rsidR="00000000" w:rsidDel="00000000" w:rsidP="00000000" w:rsidRDefault="00000000" w:rsidRPr="00000000" w14:paraId="00000071">
      <w:pPr>
        <w:spacing w:after="240" w:before="240" w:lineRule="auto"/>
        <w:ind w:firstLine="0"/>
        <w:rPr/>
      </w:pPr>
      <w:r w:rsidDel="00000000" w:rsidR="00000000" w:rsidRPr="00000000">
        <w:rPr>
          <w:rtl w:val="0"/>
        </w:rPr>
        <w:t xml:space="preserve">The results indicate that even though the pre-test and post-test performance of all students improved, those who receive free or reduced lunch still had slightly different outcomes. The mean and median scores for this group were higher than those of the financially supported group.</w:t>
      </w:r>
    </w:p>
    <w:p w:rsidR="00000000" w:rsidDel="00000000" w:rsidP="00000000" w:rsidRDefault="00000000" w:rsidRPr="00000000" w14:paraId="00000072">
      <w:pPr>
        <w:spacing w:after="240" w:before="240" w:lineRule="auto"/>
        <w:ind w:firstLine="0"/>
        <w:rPr/>
      </w:pPr>
      <w:r w:rsidDel="00000000" w:rsidR="00000000" w:rsidRPr="00000000">
        <w:rPr>
          <w:rtl w:val="0"/>
        </w:rPr>
        <w:t xml:space="preserve">Inequitable outcomes among pupils are linked to their socioeconomic backgrounds and academic performance, which highlights the need to address the issue of unfair education provision.</w:t>
      </w:r>
    </w:p>
    <w:p w:rsidR="00000000" w:rsidDel="00000000" w:rsidP="00000000" w:rsidRDefault="00000000" w:rsidRPr="00000000" w14:paraId="00000073">
      <w:pPr>
        <w:ind w:firstLine="0"/>
        <w:rPr/>
      </w:pPr>
      <w:r w:rsidDel="00000000" w:rsidR="00000000" w:rsidRPr="00000000">
        <w:rPr>
          <w:rtl w:val="0"/>
        </w:rPr>
      </w:r>
    </w:p>
    <w:p w:rsidR="00000000" w:rsidDel="00000000" w:rsidP="00000000" w:rsidRDefault="00000000" w:rsidRPr="00000000" w14:paraId="00000074">
      <w:pPr>
        <w:ind w:firstLine="0"/>
        <w:rPr/>
      </w:pPr>
      <w:r w:rsidDel="00000000" w:rsidR="00000000" w:rsidRPr="00000000">
        <w:rPr>
          <w:b w:val="1"/>
          <w:rtl w:val="0"/>
        </w:rPr>
        <w:t xml:space="preserve">Clustering Analysis (Example: K-Means Clustering)</w:t>
      </w:r>
      <w:r w:rsidDel="00000000" w:rsidR="00000000" w:rsidRPr="00000000">
        <w:rPr>
          <w:rtl w:val="0"/>
        </w:rPr>
      </w:r>
    </w:p>
    <w:p w:rsidR="00000000" w:rsidDel="00000000" w:rsidP="00000000" w:rsidRDefault="00000000" w:rsidRPr="00000000" w14:paraId="00000075">
      <w:pPr>
        <w:ind w:firstLine="0"/>
        <w:rPr/>
      </w:pPr>
      <w:r w:rsidDel="00000000" w:rsidR="00000000" w:rsidRPr="00000000">
        <w:rPr>
          <w:rtl w:val="0"/>
        </w:rPr>
        <w:t xml:space="preserve">Typical SPSS Output for K-Means Clustering</w:t>
      </w:r>
    </w:p>
    <w:p w:rsidR="00000000" w:rsidDel="00000000" w:rsidP="00000000" w:rsidRDefault="00000000" w:rsidRPr="00000000" w14:paraId="00000076">
      <w:pPr>
        <w:ind w:firstLine="0"/>
        <w:rPr/>
      </w:pPr>
      <w:r w:rsidDel="00000000" w:rsidR="00000000" w:rsidRPr="00000000">
        <w:rPr>
          <w:rtl w:val="0"/>
        </w:rPr>
        <w:t xml:space="preserve">1. Initial Cluster Centers:</w:t>
      </w:r>
    </w:p>
    <w:p w:rsidR="00000000" w:rsidDel="00000000" w:rsidP="00000000" w:rsidRDefault="00000000" w:rsidRPr="00000000" w14:paraId="00000077">
      <w:pPr>
        <w:ind w:firstLine="0"/>
        <w:rPr/>
      </w:pPr>
      <w:r w:rsidDel="00000000" w:rsidR="00000000" w:rsidRPr="00000000">
        <w:rPr>
          <w:rtl w:val="0"/>
        </w:rPr>
        <w:t xml:space="preserve">This table shows the initial "centroids" or average values for each cluster across the selected variables (e.g., Pretest, Posttest scores) before the clustering algorithm iterates.</w:t>
      </w:r>
    </w:p>
    <w:p w:rsidR="00000000" w:rsidDel="00000000" w:rsidP="00000000" w:rsidRDefault="00000000" w:rsidRPr="00000000" w14:paraId="00000078">
      <w:pPr>
        <w:rPr/>
      </w:pPr>
      <w:r w:rsidDel="00000000" w:rsidR="00000000" w:rsidRPr="00000000">
        <w:rPr>
          <w:rtl w:val="0"/>
        </w:rPr>
      </w:r>
    </w:p>
    <w:tbl>
      <w:tblPr>
        <w:tblStyle w:val="Table1"/>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79">
            <w:pPr>
              <w:spacing w:line="480" w:lineRule="auto"/>
              <w:rPr/>
            </w:pPr>
            <w:r w:rsidDel="00000000" w:rsidR="00000000" w:rsidRPr="00000000">
              <w:rPr>
                <w:rtl w:val="0"/>
              </w:rPr>
              <w:t xml:space="preserve">Cluster</w:t>
            </w:r>
          </w:p>
        </w:tc>
        <w:tc>
          <w:tcPr/>
          <w:p w:rsidR="00000000" w:rsidDel="00000000" w:rsidP="00000000" w:rsidRDefault="00000000" w:rsidRPr="00000000" w14:paraId="0000007A">
            <w:pPr>
              <w:spacing w:line="480" w:lineRule="auto"/>
              <w:rPr/>
            </w:pPr>
            <w:r w:rsidDel="00000000" w:rsidR="00000000" w:rsidRPr="00000000">
              <w:rPr>
                <w:rtl w:val="0"/>
              </w:rPr>
              <w:t xml:space="preserve">Pretest</w:t>
            </w:r>
          </w:p>
        </w:tc>
        <w:tc>
          <w:tcPr/>
          <w:p w:rsidR="00000000" w:rsidDel="00000000" w:rsidP="00000000" w:rsidRDefault="00000000" w:rsidRPr="00000000" w14:paraId="0000007B">
            <w:pPr>
              <w:spacing w:line="480" w:lineRule="auto"/>
              <w:rPr/>
            </w:pPr>
            <w:r w:rsidDel="00000000" w:rsidR="00000000" w:rsidRPr="00000000">
              <w:rPr>
                <w:rtl w:val="0"/>
              </w:rPr>
              <w:t xml:space="preserve">Posttest</w:t>
            </w:r>
          </w:p>
        </w:tc>
      </w:tr>
      <w:tr>
        <w:trPr>
          <w:cantSplit w:val="0"/>
          <w:tblHeader w:val="0"/>
        </w:trPr>
        <w:tc>
          <w:tcPr/>
          <w:p w:rsidR="00000000" w:rsidDel="00000000" w:rsidP="00000000" w:rsidRDefault="00000000" w:rsidRPr="00000000" w14:paraId="0000007C">
            <w:pPr>
              <w:spacing w:line="480" w:lineRule="auto"/>
              <w:rPr/>
            </w:pPr>
            <w:r w:rsidDel="00000000" w:rsidR="00000000" w:rsidRPr="00000000">
              <w:rPr>
                <w:rtl w:val="0"/>
              </w:rPr>
              <w:t xml:space="preserve">1</w:t>
            </w:r>
          </w:p>
        </w:tc>
        <w:tc>
          <w:tcPr/>
          <w:p w:rsidR="00000000" w:rsidDel="00000000" w:rsidP="00000000" w:rsidRDefault="00000000" w:rsidRPr="00000000" w14:paraId="0000007D">
            <w:pPr>
              <w:spacing w:line="480" w:lineRule="auto"/>
              <w:rPr/>
            </w:pPr>
            <w:r w:rsidDel="00000000" w:rsidR="00000000" w:rsidRPr="00000000">
              <w:rPr>
                <w:rtl w:val="0"/>
              </w:rPr>
              <w:t xml:space="preserve">44</w:t>
            </w:r>
          </w:p>
        </w:tc>
        <w:tc>
          <w:tcPr/>
          <w:p w:rsidR="00000000" w:rsidDel="00000000" w:rsidP="00000000" w:rsidRDefault="00000000" w:rsidRPr="00000000" w14:paraId="0000007E">
            <w:pPr>
              <w:spacing w:line="480" w:lineRule="auto"/>
              <w:rPr/>
            </w:pPr>
            <w:r w:rsidDel="00000000" w:rsidR="00000000" w:rsidRPr="00000000">
              <w:rPr>
                <w:rtl w:val="0"/>
              </w:rPr>
              <w:t xml:space="preserve">55</w:t>
            </w:r>
          </w:p>
        </w:tc>
      </w:tr>
      <w:tr>
        <w:trPr>
          <w:cantSplit w:val="0"/>
          <w:tblHeader w:val="0"/>
        </w:trPr>
        <w:tc>
          <w:tcPr/>
          <w:p w:rsidR="00000000" w:rsidDel="00000000" w:rsidP="00000000" w:rsidRDefault="00000000" w:rsidRPr="00000000" w14:paraId="0000007F">
            <w:pPr>
              <w:spacing w:line="480" w:lineRule="auto"/>
              <w:rPr/>
            </w:pPr>
            <w:r w:rsidDel="00000000" w:rsidR="00000000" w:rsidRPr="00000000">
              <w:rPr>
                <w:rtl w:val="0"/>
              </w:rPr>
              <w:t xml:space="preserve">2</w:t>
            </w:r>
          </w:p>
        </w:tc>
        <w:tc>
          <w:tcPr/>
          <w:p w:rsidR="00000000" w:rsidDel="00000000" w:rsidP="00000000" w:rsidRDefault="00000000" w:rsidRPr="00000000" w14:paraId="00000080">
            <w:pPr>
              <w:spacing w:line="480" w:lineRule="auto"/>
              <w:rPr/>
            </w:pPr>
            <w:r w:rsidDel="00000000" w:rsidR="00000000" w:rsidRPr="00000000">
              <w:rPr>
                <w:rtl w:val="0"/>
              </w:rPr>
              <w:t xml:space="preserve">63</w:t>
            </w:r>
          </w:p>
        </w:tc>
        <w:tc>
          <w:tcPr/>
          <w:p w:rsidR="00000000" w:rsidDel="00000000" w:rsidP="00000000" w:rsidRDefault="00000000" w:rsidRPr="00000000" w14:paraId="00000081">
            <w:pPr>
              <w:spacing w:line="480" w:lineRule="auto"/>
              <w:rPr/>
            </w:pPr>
            <w:r w:rsidDel="00000000" w:rsidR="00000000" w:rsidRPr="00000000">
              <w:rPr>
                <w:rtl w:val="0"/>
              </w:rPr>
              <w:t xml:space="preserve">74</w:t>
            </w:r>
          </w:p>
        </w:tc>
      </w:tr>
    </w:tbl>
    <w:p w:rsidR="00000000" w:rsidDel="00000000" w:rsidP="00000000" w:rsidRDefault="00000000" w:rsidRPr="00000000" w14:paraId="00000082">
      <w:pPr>
        <w:ind w:firstLine="0"/>
        <w:rPr/>
      </w:pPr>
      <w:r w:rsidDel="00000000" w:rsidR="00000000" w:rsidRPr="00000000">
        <w:rPr>
          <w:rtl w:val="0"/>
        </w:rPr>
        <w:t xml:space="preserve">2. Iteration History:</w:t>
      </w:r>
    </w:p>
    <w:p w:rsidR="00000000" w:rsidDel="00000000" w:rsidP="00000000" w:rsidRDefault="00000000" w:rsidRPr="00000000" w14:paraId="00000083">
      <w:pPr>
        <w:ind w:firstLine="0"/>
        <w:rPr/>
      </w:pPr>
      <w:r w:rsidDel="00000000" w:rsidR="00000000" w:rsidRPr="00000000">
        <w:rPr>
          <w:rtl w:val="0"/>
        </w:rPr>
        <w:t xml:space="preserve">This section displays how the cluster centers shift during each iteration of the K-Means algorithm until convergence is reached (i.e., when the clusters no longer change significantly).</w:t>
      </w:r>
    </w:p>
    <w:p w:rsidR="00000000" w:rsidDel="00000000" w:rsidP="00000000" w:rsidRDefault="00000000" w:rsidRPr="00000000" w14:paraId="00000084">
      <w:pPr>
        <w:rPr/>
      </w:pPr>
      <w:r w:rsidDel="00000000" w:rsidR="00000000" w:rsidRPr="00000000">
        <w:rPr>
          <w:rtl w:val="0"/>
        </w:rPr>
      </w:r>
    </w:p>
    <w:tbl>
      <w:tblPr>
        <w:tblStyle w:val="Table2"/>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1870"/>
        <w:gridCol w:w="1870"/>
        <w:gridCol w:w="1870"/>
        <w:gridCol w:w="1870"/>
        <w:gridCol w:w="1870"/>
        <w:tblGridChange w:id="0">
          <w:tblGrid>
            <w:gridCol w:w="1870"/>
            <w:gridCol w:w="1870"/>
            <w:gridCol w:w="1870"/>
            <w:gridCol w:w="1870"/>
            <w:gridCol w:w="1870"/>
          </w:tblGrid>
        </w:tblGridChange>
      </w:tblGrid>
      <w:tr>
        <w:trPr>
          <w:cantSplit w:val="0"/>
          <w:tblHeader w:val="0"/>
        </w:trPr>
        <w:tc>
          <w:tcPr/>
          <w:p w:rsidR="00000000" w:rsidDel="00000000" w:rsidP="00000000" w:rsidRDefault="00000000" w:rsidRPr="00000000" w14:paraId="00000085">
            <w:pPr>
              <w:spacing w:line="480" w:lineRule="auto"/>
              <w:rPr/>
            </w:pPr>
            <w:r w:rsidDel="00000000" w:rsidR="00000000" w:rsidRPr="00000000">
              <w:rPr>
                <w:rtl w:val="0"/>
              </w:rPr>
              <w:t xml:space="preserve">Iteration</w:t>
            </w:r>
          </w:p>
        </w:tc>
        <w:tc>
          <w:tcPr/>
          <w:p w:rsidR="00000000" w:rsidDel="00000000" w:rsidP="00000000" w:rsidRDefault="00000000" w:rsidRPr="00000000" w14:paraId="00000086">
            <w:pPr>
              <w:spacing w:line="480" w:lineRule="auto"/>
              <w:ind w:firstLine="0"/>
              <w:rPr/>
            </w:pPr>
            <w:r w:rsidDel="00000000" w:rsidR="00000000" w:rsidRPr="00000000">
              <w:rPr>
                <w:rtl w:val="0"/>
              </w:rPr>
              <w:t xml:space="preserve">Cluster 1 Pretest</w:t>
            </w:r>
          </w:p>
        </w:tc>
        <w:tc>
          <w:tcPr/>
          <w:p w:rsidR="00000000" w:rsidDel="00000000" w:rsidP="00000000" w:rsidRDefault="00000000" w:rsidRPr="00000000" w14:paraId="00000087">
            <w:pPr>
              <w:spacing w:line="480" w:lineRule="auto"/>
              <w:ind w:firstLine="0"/>
              <w:rPr/>
            </w:pPr>
            <w:r w:rsidDel="00000000" w:rsidR="00000000" w:rsidRPr="00000000">
              <w:rPr>
                <w:rtl w:val="0"/>
              </w:rPr>
              <w:t xml:space="preserve">Cluster 1 Posttest</w:t>
            </w:r>
          </w:p>
        </w:tc>
        <w:tc>
          <w:tcPr/>
          <w:p w:rsidR="00000000" w:rsidDel="00000000" w:rsidP="00000000" w:rsidRDefault="00000000" w:rsidRPr="00000000" w14:paraId="00000088">
            <w:pPr>
              <w:spacing w:line="480" w:lineRule="auto"/>
              <w:ind w:firstLine="0"/>
              <w:rPr/>
            </w:pPr>
            <w:r w:rsidDel="00000000" w:rsidR="00000000" w:rsidRPr="00000000">
              <w:rPr>
                <w:rtl w:val="0"/>
              </w:rPr>
              <w:t xml:space="preserve">Cluster 2 Pretest</w:t>
            </w:r>
          </w:p>
        </w:tc>
        <w:tc>
          <w:tcPr/>
          <w:p w:rsidR="00000000" w:rsidDel="00000000" w:rsidP="00000000" w:rsidRDefault="00000000" w:rsidRPr="00000000" w14:paraId="00000089">
            <w:pPr>
              <w:spacing w:line="480" w:lineRule="auto"/>
              <w:ind w:firstLine="0"/>
              <w:rPr/>
            </w:pPr>
            <w:r w:rsidDel="00000000" w:rsidR="00000000" w:rsidRPr="00000000">
              <w:rPr>
                <w:rtl w:val="0"/>
              </w:rPr>
              <w:t xml:space="preserve">Cluster 2 Posttest</w:t>
            </w:r>
          </w:p>
        </w:tc>
      </w:tr>
      <w:tr>
        <w:trPr>
          <w:cantSplit w:val="0"/>
          <w:tblHeader w:val="0"/>
        </w:trPr>
        <w:tc>
          <w:tcPr/>
          <w:p w:rsidR="00000000" w:rsidDel="00000000" w:rsidP="00000000" w:rsidRDefault="00000000" w:rsidRPr="00000000" w14:paraId="0000008A">
            <w:pPr>
              <w:spacing w:line="480" w:lineRule="auto"/>
              <w:rPr/>
            </w:pPr>
            <w:r w:rsidDel="00000000" w:rsidR="00000000" w:rsidRPr="00000000">
              <w:rPr>
                <w:rtl w:val="0"/>
              </w:rPr>
              <w:t xml:space="preserve">1</w:t>
            </w:r>
          </w:p>
        </w:tc>
        <w:tc>
          <w:tcPr/>
          <w:p w:rsidR="00000000" w:rsidDel="00000000" w:rsidP="00000000" w:rsidRDefault="00000000" w:rsidRPr="00000000" w14:paraId="0000008B">
            <w:pPr>
              <w:spacing w:line="480" w:lineRule="auto"/>
              <w:rPr/>
            </w:pPr>
            <w:r w:rsidDel="00000000" w:rsidR="00000000" w:rsidRPr="00000000">
              <w:rPr>
                <w:rtl w:val="0"/>
              </w:rPr>
              <w:t xml:space="preserve">45.5</w:t>
            </w:r>
          </w:p>
        </w:tc>
        <w:tc>
          <w:tcPr/>
          <w:p w:rsidR="00000000" w:rsidDel="00000000" w:rsidP="00000000" w:rsidRDefault="00000000" w:rsidRPr="00000000" w14:paraId="0000008C">
            <w:pPr>
              <w:spacing w:line="480" w:lineRule="auto"/>
              <w:rPr/>
            </w:pPr>
            <w:r w:rsidDel="00000000" w:rsidR="00000000" w:rsidRPr="00000000">
              <w:rPr>
                <w:rtl w:val="0"/>
              </w:rPr>
              <w:t xml:space="preserve">56.5</w:t>
            </w:r>
          </w:p>
        </w:tc>
        <w:tc>
          <w:tcPr/>
          <w:p w:rsidR="00000000" w:rsidDel="00000000" w:rsidP="00000000" w:rsidRDefault="00000000" w:rsidRPr="00000000" w14:paraId="0000008D">
            <w:pPr>
              <w:spacing w:line="480" w:lineRule="auto"/>
              <w:rPr/>
            </w:pPr>
            <w:r w:rsidDel="00000000" w:rsidR="00000000" w:rsidRPr="00000000">
              <w:rPr>
                <w:rtl w:val="0"/>
              </w:rPr>
              <w:t xml:space="preserve">61.5</w:t>
            </w:r>
          </w:p>
        </w:tc>
        <w:tc>
          <w:tcPr/>
          <w:p w:rsidR="00000000" w:rsidDel="00000000" w:rsidP="00000000" w:rsidRDefault="00000000" w:rsidRPr="00000000" w14:paraId="0000008E">
            <w:pPr>
              <w:spacing w:line="480" w:lineRule="auto"/>
              <w:rPr/>
            </w:pPr>
            <w:r w:rsidDel="00000000" w:rsidR="00000000" w:rsidRPr="00000000">
              <w:rPr>
                <w:rtl w:val="0"/>
              </w:rPr>
              <w:t xml:space="preserve">72.5</w:t>
            </w:r>
          </w:p>
        </w:tc>
      </w:tr>
      <w:tr>
        <w:trPr>
          <w:cantSplit w:val="0"/>
          <w:tblHeader w:val="0"/>
        </w:trPr>
        <w:tc>
          <w:tcPr/>
          <w:p w:rsidR="00000000" w:rsidDel="00000000" w:rsidP="00000000" w:rsidRDefault="00000000" w:rsidRPr="00000000" w14:paraId="0000008F">
            <w:pPr>
              <w:spacing w:line="480" w:lineRule="auto"/>
              <w:rPr/>
            </w:pPr>
            <w:r w:rsidDel="00000000" w:rsidR="00000000" w:rsidRPr="00000000">
              <w:rPr>
                <w:rtl w:val="0"/>
              </w:rPr>
              <w:t xml:space="preserve">2</w:t>
            </w:r>
          </w:p>
        </w:tc>
        <w:tc>
          <w:tcPr/>
          <w:p w:rsidR="00000000" w:rsidDel="00000000" w:rsidP="00000000" w:rsidRDefault="00000000" w:rsidRPr="00000000" w14:paraId="00000090">
            <w:pPr>
              <w:spacing w:line="480" w:lineRule="auto"/>
              <w:rPr/>
            </w:pPr>
            <w:r w:rsidDel="00000000" w:rsidR="00000000" w:rsidRPr="00000000">
              <w:rPr>
                <w:rtl w:val="0"/>
              </w:rPr>
              <w:t xml:space="preserve">46.0</w:t>
            </w:r>
          </w:p>
        </w:tc>
        <w:tc>
          <w:tcPr/>
          <w:p w:rsidR="00000000" w:rsidDel="00000000" w:rsidP="00000000" w:rsidRDefault="00000000" w:rsidRPr="00000000" w14:paraId="00000091">
            <w:pPr>
              <w:spacing w:line="480" w:lineRule="auto"/>
              <w:rPr/>
            </w:pPr>
            <w:r w:rsidDel="00000000" w:rsidR="00000000" w:rsidRPr="00000000">
              <w:rPr>
                <w:rtl w:val="0"/>
              </w:rPr>
              <w:t xml:space="preserve">57.0</w:t>
            </w:r>
          </w:p>
        </w:tc>
        <w:tc>
          <w:tcPr/>
          <w:p w:rsidR="00000000" w:rsidDel="00000000" w:rsidP="00000000" w:rsidRDefault="00000000" w:rsidRPr="00000000" w14:paraId="00000092">
            <w:pPr>
              <w:spacing w:line="480" w:lineRule="auto"/>
              <w:rPr/>
            </w:pPr>
            <w:r w:rsidDel="00000000" w:rsidR="00000000" w:rsidRPr="00000000">
              <w:rPr>
                <w:rtl w:val="0"/>
              </w:rPr>
              <w:t xml:space="preserve">61.0</w:t>
            </w:r>
          </w:p>
        </w:tc>
        <w:tc>
          <w:tcPr/>
          <w:p w:rsidR="00000000" w:rsidDel="00000000" w:rsidP="00000000" w:rsidRDefault="00000000" w:rsidRPr="00000000" w14:paraId="00000093">
            <w:pPr>
              <w:spacing w:line="480" w:lineRule="auto"/>
              <w:rPr/>
            </w:pPr>
            <w:r w:rsidDel="00000000" w:rsidR="00000000" w:rsidRPr="00000000">
              <w:rPr>
                <w:rtl w:val="0"/>
              </w:rPr>
              <w:t xml:space="preserve">72.0</w:t>
            </w:r>
          </w:p>
        </w:tc>
      </w:tr>
      <w:tr>
        <w:trPr>
          <w:cantSplit w:val="0"/>
          <w:tblHeader w:val="0"/>
        </w:trPr>
        <w:tc>
          <w:tcPr/>
          <w:p w:rsidR="00000000" w:rsidDel="00000000" w:rsidP="00000000" w:rsidRDefault="00000000" w:rsidRPr="00000000" w14:paraId="00000094">
            <w:pPr>
              <w:spacing w:line="480" w:lineRule="auto"/>
              <w:rPr/>
            </w:pPr>
            <w:r w:rsidDel="00000000" w:rsidR="00000000" w:rsidRPr="00000000">
              <w:rPr>
                <w:rtl w:val="0"/>
              </w:rPr>
              <w:t xml:space="preserve">...</w:t>
            </w:r>
          </w:p>
        </w:tc>
        <w:tc>
          <w:tcPr/>
          <w:p w:rsidR="00000000" w:rsidDel="00000000" w:rsidP="00000000" w:rsidRDefault="00000000" w:rsidRPr="00000000" w14:paraId="00000095">
            <w:pPr>
              <w:spacing w:line="480" w:lineRule="auto"/>
              <w:rPr/>
            </w:pPr>
            <w:r w:rsidDel="00000000" w:rsidR="00000000" w:rsidRPr="00000000">
              <w:rPr>
                <w:rtl w:val="0"/>
              </w:rPr>
              <w:t xml:space="preserve">...</w:t>
            </w:r>
          </w:p>
        </w:tc>
        <w:tc>
          <w:tcPr/>
          <w:p w:rsidR="00000000" w:rsidDel="00000000" w:rsidP="00000000" w:rsidRDefault="00000000" w:rsidRPr="00000000" w14:paraId="00000096">
            <w:pPr>
              <w:spacing w:line="480" w:lineRule="auto"/>
              <w:rPr/>
            </w:pPr>
            <w:r w:rsidDel="00000000" w:rsidR="00000000" w:rsidRPr="00000000">
              <w:rPr>
                <w:rtl w:val="0"/>
              </w:rPr>
              <w:t xml:space="preserve">...</w:t>
            </w:r>
          </w:p>
        </w:tc>
        <w:tc>
          <w:tcPr/>
          <w:p w:rsidR="00000000" w:rsidDel="00000000" w:rsidP="00000000" w:rsidRDefault="00000000" w:rsidRPr="00000000" w14:paraId="00000097">
            <w:pPr>
              <w:spacing w:line="480" w:lineRule="auto"/>
              <w:rPr/>
            </w:pPr>
            <w:r w:rsidDel="00000000" w:rsidR="00000000" w:rsidRPr="00000000">
              <w:rPr>
                <w:rtl w:val="0"/>
              </w:rPr>
              <w:t xml:space="preserve">...</w:t>
            </w:r>
          </w:p>
        </w:tc>
        <w:tc>
          <w:tcPr/>
          <w:p w:rsidR="00000000" w:rsidDel="00000000" w:rsidP="00000000" w:rsidRDefault="00000000" w:rsidRPr="00000000" w14:paraId="00000098">
            <w:pPr>
              <w:spacing w:line="480" w:lineRule="auto"/>
              <w:rPr/>
            </w:pPr>
            <w:r w:rsidDel="00000000" w:rsidR="00000000" w:rsidRPr="00000000">
              <w:rPr>
                <w:rtl w:val="0"/>
              </w:rPr>
              <w:t xml:space="preserve">...</w:t>
            </w:r>
          </w:p>
        </w:tc>
      </w:tr>
    </w:tbl>
    <w:p w:rsidR="00000000" w:rsidDel="00000000" w:rsidP="00000000" w:rsidRDefault="00000000" w:rsidRPr="00000000" w14:paraId="00000099">
      <w:pPr>
        <w:ind w:firstLine="0"/>
        <w:rPr/>
      </w:pPr>
      <w:r w:rsidDel="00000000" w:rsidR="00000000" w:rsidRPr="00000000">
        <w:rPr>
          <w:rtl w:val="0"/>
        </w:rPr>
        <w:t xml:space="preserve">3. Final Cluster Centers:</w:t>
      </w:r>
    </w:p>
    <w:p w:rsidR="00000000" w:rsidDel="00000000" w:rsidP="00000000" w:rsidRDefault="00000000" w:rsidRPr="00000000" w14:paraId="0000009A">
      <w:pPr>
        <w:ind w:firstLine="0"/>
        <w:rPr/>
      </w:pPr>
      <w:r w:rsidDel="00000000" w:rsidR="00000000" w:rsidRPr="00000000">
        <w:rPr>
          <w:rtl w:val="0"/>
        </w:rPr>
        <w:t xml:space="preserve">The centroids represent the values of the clusters' variables after the algorithm has been executed.</w:t>
      </w:r>
    </w:p>
    <w:p w:rsidR="00000000" w:rsidDel="00000000" w:rsidP="00000000" w:rsidRDefault="00000000" w:rsidRPr="00000000" w14:paraId="0000009B">
      <w:pPr>
        <w:rPr/>
      </w:pPr>
      <w:r w:rsidDel="00000000" w:rsidR="00000000" w:rsidRPr="00000000">
        <w:rPr>
          <w:rtl w:val="0"/>
        </w:rPr>
      </w:r>
    </w:p>
    <w:tbl>
      <w:tblPr>
        <w:tblStyle w:val="Table3"/>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9C">
            <w:pPr>
              <w:spacing w:line="480" w:lineRule="auto"/>
              <w:rPr/>
            </w:pPr>
            <w:r w:rsidDel="00000000" w:rsidR="00000000" w:rsidRPr="00000000">
              <w:rPr>
                <w:rtl w:val="0"/>
              </w:rPr>
              <w:t xml:space="preserve">Cluster</w:t>
            </w:r>
          </w:p>
        </w:tc>
        <w:tc>
          <w:tcPr/>
          <w:p w:rsidR="00000000" w:rsidDel="00000000" w:rsidP="00000000" w:rsidRDefault="00000000" w:rsidRPr="00000000" w14:paraId="0000009D">
            <w:pPr>
              <w:spacing w:line="480" w:lineRule="auto"/>
              <w:rPr/>
            </w:pPr>
            <w:r w:rsidDel="00000000" w:rsidR="00000000" w:rsidRPr="00000000">
              <w:rPr>
                <w:rtl w:val="0"/>
              </w:rPr>
              <w:t xml:space="preserve">Pretest</w:t>
            </w:r>
          </w:p>
        </w:tc>
        <w:tc>
          <w:tcPr/>
          <w:p w:rsidR="00000000" w:rsidDel="00000000" w:rsidP="00000000" w:rsidRDefault="00000000" w:rsidRPr="00000000" w14:paraId="0000009E">
            <w:pPr>
              <w:spacing w:line="480" w:lineRule="auto"/>
              <w:rPr/>
            </w:pPr>
            <w:r w:rsidDel="00000000" w:rsidR="00000000" w:rsidRPr="00000000">
              <w:rPr>
                <w:rtl w:val="0"/>
              </w:rPr>
              <w:t xml:space="preserve">Posttest</w:t>
            </w:r>
          </w:p>
        </w:tc>
      </w:tr>
      <w:tr>
        <w:trPr>
          <w:cantSplit w:val="0"/>
          <w:tblHeader w:val="0"/>
        </w:trPr>
        <w:tc>
          <w:tcPr/>
          <w:p w:rsidR="00000000" w:rsidDel="00000000" w:rsidP="00000000" w:rsidRDefault="00000000" w:rsidRPr="00000000" w14:paraId="0000009F">
            <w:pPr>
              <w:spacing w:line="480" w:lineRule="auto"/>
              <w:rPr/>
            </w:pPr>
            <w:r w:rsidDel="00000000" w:rsidR="00000000" w:rsidRPr="00000000">
              <w:rPr>
                <w:rtl w:val="0"/>
              </w:rPr>
              <w:t xml:space="preserve">1</w:t>
            </w:r>
          </w:p>
        </w:tc>
        <w:tc>
          <w:tcPr/>
          <w:p w:rsidR="00000000" w:rsidDel="00000000" w:rsidP="00000000" w:rsidRDefault="00000000" w:rsidRPr="00000000" w14:paraId="000000A0">
            <w:pPr>
              <w:spacing w:line="480" w:lineRule="auto"/>
              <w:rPr/>
            </w:pPr>
            <w:r w:rsidDel="00000000" w:rsidR="00000000" w:rsidRPr="00000000">
              <w:rPr>
                <w:rtl w:val="0"/>
              </w:rPr>
              <w:t xml:space="preserve">46</w:t>
            </w:r>
          </w:p>
        </w:tc>
        <w:tc>
          <w:tcPr/>
          <w:p w:rsidR="00000000" w:rsidDel="00000000" w:rsidP="00000000" w:rsidRDefault="00000000" w:rsidRPr="00000000" w14:paraId="000000A1">
            <w:pPr>
              <w:spacing w:line="480" w:lineRule="auto"/>
              <w:rPr/>
            </w:pPr>
            <w:r w:rsidDel="00000000" w:rsidR="00000000" w:rsidRPr="00000000">
              <w:rPr>
                <w:rtl w:val="0"/>
              </w:rPr>
              <w:t xml:space="preserve">57</w:t>
            </w:r>
          </w:p>
        </w:tc>
      </w:tr>
      <w:tr>
        <w:trPr>
          <w:cantSplit w:val="0"/>
          <w:tblHeader w:val="0"/>
        </w:trPr>
        <w:tc>
          <w:tcPr/>
          <w:p w:rsidR="00000000" w:rsidDel="00000000" w:rsidP="00000000" w:rsidRDefault="00000000" w:rsidRPr="00000000" w14:paraId="000000A2">
            <w:pPr>
              <w:spacing w:line="480" w:lineRule="auto"/>
              <w:rPr/>
            </w:pPr>
            <w:r w:rsidDel="00000000" w:rsidR="00000000" w:rsidRPr="00000000">
              <w:rPr>
                <w:rtl w:val="0"/>
              </w:rPr>
              <w:t xml:space="preserve">2</w:t>
            </w:r>
          </w:p>
        </w:tc>
        <w:tc>
          <w:tcPr/>
          <w:p w:rsidR="00000000" w:rsidDel="00000000" w:rsidP="00000000" w:rsidRDefault="00000000" w:rsidRPr="00000000" w14:paraId="000000A3">
            <w:pPr>
              <w:spacing w:line="480" w:lineRule="auto"/>
              <w:rPr/>
            </w:pPr>
            <w:r w:rsidDel="00000000" w:rsidR="00000000" w:rsidRPr="00000000">
              <w:rPr>
                <w:rtl w:val="0"/>
              </w:rPr>
              <w:t xml:space="preserve">61</w:t>
            </w:r>
          </w:p>
        </w:tc>
        <w:tc>
          <w:tcPr/>
          <w:p w:rsidR="00000000" w:rsidDel="00000000" w:rsidP="00000000" w:rsidRDefault="00000000" w:rsidRPr="00000000" w14:paraId="000000A4">
            <w:pPr>
              <w:spacing w:line="480" w:lineRule="auto"/>
              <w:rPr/>
            </w:pPr>
            <w:r w:rsidDel="00000000" w:rsidR="00000000" w:rsidRPr="00000000">
              <w:rPr>
                <w:rtl w:val="0"/>
              </w:rPr>
              <w:t xml:space="preserve">72</w:t>
            </w:r>
          </w:p>
        </w:tc>
      </w:tr>
    </w:tbl>
    <w:p w:rsidR="00000000" w:rsidDel="00000000" w:rsidP="00000000" w:rsidRDefault="00000000" w:rsidRPr="00000000" w14:paraId="000000A5">
      <w:pPr>
        <w:ind w:firstLine="0"/>
        <w:rPr/>
      </w:pPr>
      <w:r w:rsidDel="00000000" w:rsidR="00000000" w:rsidRPr="00000000">
        <w:rPr>
          <w:rtl w:val="0"/>
        </w:rPr>
        <w:t xml:space="preserve">The final centers represent two groups of students. One has lower post-test and pre-test scores, while the other has higher scores. The findings suggest that there are underlying factors that influence the academic performance of these two groups.</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ind w:firstLine="0"/>
        <w:rPr/>
      </w:pPr>
      <w:r w:rsidDel="00000000" w:rsidR="00000000" w:rsidRPr="00000000">
        <w:rPr>
          <w:rtl w:val="0"/>
        </w:rPr>
        <w:t xml:space="preserve">4. Number of Cases in Each Cluster:</w:t>
      </w:r>
    </w:p>
    <w:p w:rsidR="00000000" w:rsidDel="00000000" w:rsidP="00000000" w:rsidRDefault="00000000" w:rsidRPr="00000000" w14:paraId="000000A8">
      <w:pPr>
        <w:ind w:firstLine="0"/>
        <w:rPr/>
      </w:pPr>
      <w:r w:rsidDel="00000000" w:rsidR="00000000" w:rsidRPr="00000000">
        <w:rPr>
          <w:rtl w:val="0"/>
        </w:rPr>
        <w:t xml:space="preserve">This table shows the distribution of the dataset across the identified clusters.</w:t>
      </w:r>
    </w:p>
    <w:p w:rsidR="00000000" w:rsidDel="00000000" w:rsidP="00000000" w:rsidRDefault="00000000" w:rsidRPr="00000000" w14:paraId="000000A9">
      <w:pPr>
        <w:rPr/>
      </w:pPr>
      <w:r w:rsidDel="00000000" w:rsidR="00000000" w:rsidRPr="00000000">
        <w:rPr>
          <w:rtl w:val="0"/>
        </w:rPr>
      </w:r>
    </w:p>
    <w:tbl>
      <w:tblPr>
        <w:tblStyle w:val="Table4"/>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4675"/>
        <w:gridCol w:w="4675"/>
        <w:tblGridChange w:id="0">
          <w:tblGrid>
            <w:gridCol w:w="4675"/>
            <w:gridCol w:w="4675"/>
          </w:tblGrid>
        </w:tblGridChange>
      </w:tblGrid>
      <w:tr>
        <w:trPr>
          <w:cantSplit w:val="0"/>
          <w:tblHeader w:val="0"/>
        </w:trPr>
        <w:tc>
          <w:tcPr/>
          <w:p w:rsidR="00000000" w:rsidDel="00000000" w:rsidP="00000000" w:rsidRDefault="00000000" w:rsidRPr="00000000" w14:paraId="000000AA">
            <w:pPr>
              <w:spacing w:line="480" w:lineRule="auto"/>
              <w:rPr/>
            </w:pPr>
            <w:r w:rsidDel="00000000" w:rsidR="00000000" w:rsidRPr="00000000">
              <w:rPr>
                <w:rtl w:val="0"/>
              </w:rPr>
              <w:t xml:space="preserve">Cluster</w:t>
            </w:r>
          </w:p>
        </w:tc>
        <w:tc>
          <w:tcPr/>
          <w:p w:rsidR="00000000" w:rsidDel="00000000" w:rsidP="00000000" w:rsidRDefault="00000000" w:rsidRPr="00000000" w14:paraId="000000AB">
            <w:pPr>
              <w:spacing w:line="480" w:lineRule="auto"/>
              <w:rPr/>
            </w:pPr>
            <w:r w:rsidDel="00000000" w:rsidR="00000000" w:rsidRPr="00000000">
              <w:rPr>
                <w:rtl w:val="0"/>
              </w:rPr>
              <w:t xml:space="preserve">Number of Students</w:t>
            </w:r>
          </w:p>
        </w:tc>
      </w:tr>
      <w:tr>
        <w:trPr>
          <w:cantSplit w:val="0"/>
          <w:tblHeader w:val="0"/>
        </w:trPr>
        <w:tc>
          <w:tcPr/>
          <w:p w:rsidR="00000000" w:rsidDel="00000000" w:rsidP="00000000" w:rsidRDefault="00000000" w:rsidRPr="00000000" w14:paraId="000000AC">
            <w:pPr>
              <w:spacing w:line="480" w:lineRule="auto"/>
              <w:rPr/>
            </w:pPr>
            <w:r w:rsidDel="00000000" w:rsidR="00000000" w:rsidRPr="00000000">
              <w:rPr>
                <w:rtl w:val="0"/>
              </w:rPr>
              <w:t xml:space="preserve">1</w:t>
            </w:r>
          </w:p>
        </w:tc>
        <w:tc>
          <w:tcPr/>
          <w:p w:rsidR="00000000" w:rsidDel="00000000" w:rsidP="00000000" w:rsidRDefault="00000000" w:rsidRPr="00000000" w14:paraId="000000AD">
            <w:pPr>
              <w:spacing w:line="480" w:lineRule="auto"/>
              <w:rPr/>
            </w:pPr>
            <w:r w:rsidDel="00000000" w:rsidR="00000000" w:rsidRPr="00000000">
              <w:rPr>
                <w:rtl w:val="0"/>
              </w:rPr>
              <w:t xml:space="preserve">918</w:t>
            </w:r>
          </w:p>
        </w:tc>
      </w:tr>
      <w:tr>
        <w:trPr>
          <w:cantSplit w:val="0"/>
          <w:tblHeader w:val="0"/>
        </w:trPr>
        <w:tc>
          <w:tcPr/>
          <w:p w:rsidR="00000000" w:rsidDel="00000000" w:rsidP="00000000" w:rsidRDefault="00000000" w:rsidRPr="00000000" w14:paraId="000000AE">
            <w:pPr>
              <w:spacing w:line="480" w:lineRule="auto"/>
              <w:rPr/>
            </w:pPr>
            <w:r w:rsidDel="00000000" w:rsidR="00000000" w:rsidRPr="00000000">
              <w:rPr>
                <w:rtl w:val="0"/>
              </w:rPr>
              <w:t xml:space="preserve">2</w:t>
            </w:r>
          </w:p>
        </w:tc>
        <w:tc>
          <w:tcPr/>
          <w:p w:rsidR="00000000" w:rsidDel="00000000" w:rsidP="00000000" w:rsidRDefault="00000000" w:rsidRPr="00000000" w14:paraId="000000AF">
            <w:pPr>
              <w:spacing w:line="480" w:lineRule="auto"/>
              <w:rPr/>
            </w:pPr>
            <w:r w:rsidDel="00000000" w:rsidR="00000000" w:rsidRPr="00000000">
              <w:rPr>
                <w:rtl w:val="0"/>
              </w:rPr>
              <w:t xml:space="preserve">1,215</w:t>
            </w:r>
          </w:p>
        </w:tc>
      </w:tr>
    </w:tbl>
    <w:p w:rsidR="00000000" w:rsidDel="00000000" w:rsidP="00000000" w:rsidRDefault="00000000" w:rsidRPr="00000000" w14:paraId="000000B0">
      <w:pPr>
        <w:ind w:firstLine="0"/>
        <w:rPr/>
      </w:pPr>
      <w:r w:rsidDel="00000000" w:rsidR="00000000" w:rsidRPr="00000000">
        <w:rPr>
          <w:rtl w:val="0"/>
        </w:rPr>
        <w:t xml:space="preserve">This distribution suggests that a significant number of students fall into the lower-performing group, possibly due to their qualifying for free or reduced lunch..</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ind w:firstLine="0"/>
        <w:rPr/>
      </w:pPr>
      <w:r w:rsidDel="00000000" w:rsidR="00000000" w:rsidRPr="00000000">
        <w:rPr>
          <w:rtl w:val="0"/>
        </w:rPr>
        <w:t xml:space="preserve">5. ANOVA Table (if included):</w:t>
      </w:r>
    </w:p>
    <w:p w:rsidR="00000000" w:rsidDel="00000000" w:rsidP="00000000" w:rsidRDefault="00000000" w:rsidRPr="00000000" w14:paraId="000000B3">
      <w:pPr>
        <w:ind w:firstLine="0"/>
        <w:rPr/>
      </w:pPr>
      <w:r w:rsidDel="00000000" w:rsidR="00000000" w:rsidRPr="00000000">
        <w:rPr>
          <w:rtl w:val="0"/>
        </w:rPr>
        <w:t xml:space="preserve">The ANOVA table aims to analyze the differences in the means of the different variables across clusters. A value of 0.05 indicates that there are significant differences in the clusters.</w:t>
      </w:r>
    </w:p>
    <w:p w:rsidR="00000000" w:rsidDel="00000000" w:rsidP="00000000" w:rsidRDefault="00000000" w:rsidRPr="00000000" w14:paraId="000000B4">
      <w:pPr>
        <w:rPr/>
      </w:pPr>
      <w:r w:rsidDel="00000000" w:rsidR="00000000" w:rsidRPr="00000000">
        <w:rPr>
          <w:rtl w:val="0"/>
        </w:rPr>
      </w:r>
    </w:p>
    <w:tbl>
      <w:tblPr>
        <w:tblStyle w:val="Table5"/>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2337"/>
        <w:gridCol w:w="2337"/>
        <w:gridCol w:w="2338"/>
        <w:gridCol w:w="2338"/>
        <w:tblGridChange w:id="0">
          <w:tblGrid>
            <w:gridCol w:w="2337"/>
            <w:gridCol w:w="2337"/>
            <w:gridCol w:w="2338"/>
            <w:gridCol w:w="2338"/>
          </w:tblGrid>
        </w:tblGridChange>
      </w:tblGrid>
      <w:tr>
        <w:trPr>
          <w:cantSplit w:val="0"/>
          <w:tblHeader w:val="0"/>
        </w:trPr>
        <w:tc>
          <w:tcPr/>
          <w:p w:rsidR="00000000" w:rsidDel="00000000" w:rsidP="00000000" w:rsidRDefault="00000000" w:rsidRPr="00000000" w14:paraId="000000B5">
            <w:pPr>
              <w:spacing w:line="480" w:lineRule="auto"/>
              <w:rPr/>
            </w:pPr>
            <w:r w:rsidDel="00000000" w:rsidR="00000000" w:rsidRPr="00000000">
              <w:rPr>
                <w:rtl w:val="0"/>
              </w:rPr>
              <w:t xml:space="preserve">Variable</w:t>
            </w:r>
          </w:p>
        </w:tc>
        <w:tc>
          <w:tcPr/>
          <w:p w:rsidR="00000000" w:rsidDel="00000000" w:rsidP="00000000" w:rsidRDefault="00000000" w:rsidRPr="00000000" w14:paraId="000000B6">
            <w:pPr>
              <w:spacing w:line="480" w:lineRule="auto"/>
              <w:ind w:firstLine="0"/>
              <w:rPr/>
            </w:pPr>
            <w:r w:rsidDel="00000000" w:rsidR="00000000" w:rsidRPr="00000000">
              <w:rPr>
                <w:rtl w:val="0"/>
              </w:rPr>
              <w:t xml:space="preserve">Cluster Error</w:t>
            </w:r>
          </w:p>
        </w:tc>
        <w:tc>
          <w:tcPr/>
          <w:p w:rsidR="00000000" w:rsidDel="00000000" w:rsidP="00000000" w:rsidRDefault="00000000" w:rsidRPr="00000000" w14:paraId="000000B7">
            <w:pPr>
              <w:spacing w:line="480" w:lineRule="auto"/>
              <w:rPr/>
            </w:pPr>
            <w:r w:rsidDel="00000000" w:rsidR="00000000" w:rsidRPr="00000000">
              <w:rPr>
                <w:rtl w:val="0"/>
              </w:rPr>
              <w:t xml:space="preserve">F</w:t>
            </w:r>
          </w:p>
        </w:tc>
        <w:tc>
          <w:tcPr/>
          <w:p w:rsidR="00000000" w:rsidDel="00000000" w:rsidP="00000000" w:rsidRDefault="00000000" w:rsidRPr="00000000" w14:paraId="000000B8">
            <w:pPr>
              <w:spacing w:line="480" w:lineRule="auto"/>
              <w:rPr/>
            </w:pPr>
            <w:r w:rsidDel="00000000" w:rsidR="00000000" w:rsidRPr="00000000">
              <w:rPr>
                <w:rtl w:val="0"/>
              </w:rPr>
              <w:t xml:space="preserve">Sig.</w:t>
            </w:r>
          </w:p>
        </w:tc>
      </w:tr>
      <w:tr>
        <w:trPr>
          <w:cantSplit w:val="0"/>
          <w:tblHeader w:val="0"/>
        </w:trPr>
        <w:tc>
          <w:tcPr/>
          <w:p w:rsidR="00000000" w:rsidDel="00000000" w:rsidP="00000000" w:rsidRDefault="00000000" w:rsidRPr="00000000" w14:paraId="000000B9">
            <w:pPr>
              <w:spacing w:line="480" w:lineRule="auto"/>
              <w:rPr/>
            </w:pPr>
            <w:r w:rsidDel="00000000" w:rsidR="00000000" w:rsidRPr="00000000">
              <w:rPr>
                <w:rtl w:val="0"/>
              </w:rPr>
              <w:t xml:space="preserve">Pretest</w:t>
            </w:r>
          </w:p>
        </w:tc>
        <w:tc>
          <w:tcPr/>
          <w:p w:rsidR="00000000" w:rsidDel="00000000" w:rsidP="00000000" w:rsidRDefault="00000000" w:rsidRPr="00000000" w14:paraId="000000BA">
            <w:pPr>
              <w:spacing w:line="480" w:lineRule="auto"/>
              <w:rPr/>
            </w:pPr>
            <w:r w:rsidDel="00000000" w:rsidR="00000000" w:rsidRPr="00000000">
              <w:rPr>
                <w:rtl w:val="0"/>
              </w:rPr>
              <w:t xml:space="preserve">1120.5</w:t>
            </w:r>
          </w:p>
        </w:tc>
        <w:tc>
          <w:tcPr/>
          <w:p w:rsidR="00000000" w:rsidDel="00000000" w:rsidP="00000000" w:rsidRDefault="00000000" w:rsidRPr="00000000" w14:paraId="000000BB">
            <w:pPr>
              <w:spacing w:line="480" w:lineRule="auto"/>
              <w:rPr/>
            </w:pPr>
            <w:r w:rsidDel="00000000" w:rsidR="00000000" w:rsidRPr="00000000">
              <w:rPr>
                <w:rtl w:val="0"/>
              </w:rPr>
              <w:t xml:space="preserve">45.23</w:t>
            </w:r>
          </w:p>
        </w:tc>
        <w:tc>
          <w:tcPr/>
          <w:p w:rsidR="00000000" w:rsidDel="00000000" w:rsidP="00000000" w:rsidRDefault="00000000" w:rsidRPr="00000000" w14:paraId="000000BC">
            <w:pPr>
              <w:spacing w:line="480" w:lineRule="auto"/>
              <w:rPr/>
            </w:pPr>
            <w:r w:rsidDel="00000000" w:rsidR="00000000" w:rsidRPr="00000000">
              <w:rPr>
                <w:rtl w:val="0"/>
              </w:rPr>
              <w:t xml:space="preserve">0.000</w:t>
            </w:r>
          </w:p>
        </w:tc>
      </w:tr>
      <w:tr>
        <w:trPr>
          <w:cantSplit w:val="0"/>
          <w:tblHeader w:val="0"/>
        </w:trPr>
        <w:tc>
          <w:tcPr/>
          <w:p w:rsidR="00000000" w:rsidDel="00000000" w:rsidP="00000000" w:rsidRDefault="00000000" w:rsidRPr="00000000" w14:paraId="000000BD">
            <w:pPr>
              <w:spacing w:line="480" w:lineRule="auto"/>
              <w:rPr/>
            </w:pPr>
            <w:r w:rsidDel="00000000" w:rsidR="00000000" w:rsidRPr="00000000">
              <w:rPr>
                <w:rtl w:val="0"/>
              </w:rPr>
              <w:t xml:space="preserve">Posttest</w:t>
            </w:r>
          </w:p>
        </w:tc>
        <w:tc>
          <w:tcPr/>
          <w:p w:rsidR="00000000" w:rsidDel="00000000" w:rsidP="00000000" w:rsidRDefault="00000000" w:rsidRPr="00000000" w14:paraId="000000BE">
            <w:pPr>
              <w:spacing w:line="480" w:lineRule="auto"/>
              <w:rPr/>
            </w:pPr>
            <w:r w:rsidDel="00000000" w:rsidR="00000000" w:rsidRPr="00000000">
              <w:rPr>
                <w:rtl w:val="0"/>
              </w:rPr>
              <w:t xml:space="preserve">980.2</w:t>
            </w:r>
          </w:p>
        </w:tc>
        <w:tc>
          <w:tcPr/>
          <w:p w:rsidR="00000000" w:rsidDel="00000000" w:rsidP="00000000" w:rsidRDefault="00000000" w:rsidRPr="00000000" w14:paraId="000000BF">
            <w:pPr>
              <w:spacing w:line="480" w:lineRule="auto"/>
              <w:rPr/>
            </w:pPr>
            <w:r w:rsidDel="00000000" w:rsidR="00000000" w:rsidRPr="00000000">
              <w:rPr>
                <w:rtl w:val="0"/>
              </w:rPr>
              <w:t xml:space="preserve">37.11</w:t>
            </w:r>
          </w:p>
        </w:tc>
        <w:tc>
          <w:tcPr/>
          <w:p w:rsidR="00000000" w:rsidDel="00000000" w:rsidP="00000000" w:rsidRDefault="00000000" w:rsidRPr="00000000" w14:paraId="000000C0">
            <w:pPr>
              <w:spacing w:line="480" w:lineRule="auto"/>
              <w:rPr/>
            </w:pPr>
            <w:r w:rsidDel="00000000" w:rsidR="00000000" w:rsidRPr="00000000">
              <w:rPr>
                <w:rtl w:val="0"/>
              </w:rPr>
              <w:t xml:space="preserve">0.000</w:t>
            </w:r>
          </w:p>
        </w:tc>
      </w:tr>
    </w:tbl>
    <w:p w:rsidR="00000000" w:rsidDel="00000000" w:rsidP="00000000" w:rsidRDefault="00000000" w:rsidRPr="00000000" w14:paraId="000000C1">
      <w:pPr>
        <w:ind w:firstLine="0"/>
        <w:rPr/>
      </w:pPr>
      <w:r w:rsidDel="00000000" w:rsidR="00000000" w:rsidRPr="00000000">
        <w:rPr>
          <w:rtl w:val="0"/>
        </w:rPr>
        <w:t xml:space="preserve">The results of the study indicate that clustering is important and that the academic performance of the groups differs significantly.</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ind w:firstLine="0"/>
        <w:rPr>
          <w:b w:val="1"/>
        </w:rPr>
      </w:pPr>
      <w:r w:rsidDel="00000000" w:rsidR="00000000" w:rsidRPr="00000000">
        <w:rPr>
          <w:rtl w:val="0"/>
        </w:rPr>
      </w:r>
    </w:p>
    <w:p w:rsidR="00000000" w:rsidDel="00000000" w:rsidP="00000000" w:rsidRDefault="00000000" w:rsidRPr="00000000" w14:paraId="000000C4">
      <w:pPr>
        <w:ind w:firstLine="0"/>
        <w:rPr/>
      </w:pPr>
      <w:r w:rsidDel="00000000" w:rsidR="00000000" w:rsidRPr="00000000">
        <w:rPr>
          <w:b w:val="1"/>
          <w:rtl w:val="0"/>
        </w:rPr>
        <w:t xml:space="preserve">Comparison of SPSS vs. Excel</w:t>
      </w:r>
      <w:r w:rsidDel="00000000" w:rsidR="00000000" w:rsidRPr="00000000">
        <w:rPr>
          <w:rtl w:val="0"/>
        </w:rPr>
      </w:r>
    </w:p>
    <w:tbl>
      <w:tblPr>
        <w:tblStyle w:val="Table6"/>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00"/>
      </w:tblPr>
      <w:tblGrid>
        <w:gridCol w:w="1522"/>
        <w:gridCol w:w="3871"/>
        <w:gridCol w:w="3957"/>
        <w:tblGridChange w:id="0">
          <w:tblGrid>
            <w:gridCol w:w="1522"/>
            <w:gridCol w:w="3871"/>
            <w:gridCol w:w="3957"/>
          </w:tblGrid>
        </w:tblGridChange>
      </w:tblGrid>
      <w:tr>
        <w:trPr>
          <w:cantSplit w:val="0"/>
          <w:tblHeader w:val="0"/>
        </w:trPr>
        <w:tc>
          <w:tcPr/>
          <w:p w:rsidR="00000000" w:rsidDel="00000000" w:rsidP="00000000" w:rsidRDefault="00000000" w:rsidRPr="00000000" w14:paraId="000000C5">
            <w:pPr>
              <w:spacing w:line="480" w:lineRule="auto"/>
              <w:ind w:firstLine="0"/>
              <w:rPr>
                <w:b w:val="1"/>
              </w:rPr>
            </w:pPr>
            <w:r w:rsidDel="00000000" w:rsidR="00000000" w:rsidRPr="00000000">
              <w:rPr>
                <w:b w:val="1"/>
                <w:rtl w:val="0"/>
              </w:rPr>
              <w:t xml:space="preserve">Criteria</w:t>
            </w:r>
          </w:p>
        </w:tc>
        <w:tc>
          <w:tcPr/>
          <w:p w:rsidR="00000000" w:rsidDel="00000000" w:rsidP="00000000" w:rsidRDefault="00000000" w:rsidRPr="00000000" w14:paraId="000000C6">
            <w:pPr>
              <w:spacing w:line="480" w:lineRule="auto"/>
              <w:ind w:firstLine="0"/>
              <w:rPr>
                <w:b w:val="1"/>
              </w:rPr>
            </w:pPr>
            <w:r w:rsidDel="00000000" w:rsidR="00000000" w:rsidRPr="00000000">
              <w:rPr>
                <w:b w:val="1"/>
                <w:rtl w:val="0"/>
              </w:rPr>
              <w:t xml:space="preserve">SPSS</w:t>
            </w:r>
          </w:p>
        </w:tc>
        <w:tc>
          <w:tcPr/>
          <w:p w:rsidR="00000000" w:rsidDel="00000000" w:rsidP="00000000" w:rsidRDefault="00000000" w:rsidRPr="00000000" w14:paraId="000000C7">
            <w:pPr>
              <w:spacing w:line="480" w:lineRule="auto"/>
              <w:ind w:firstLine="0"/>
              <w:rPr>
                <w:b w:val="1"/>
              </w:rPr>
            </w:pPr>
            <w:r w:rsidDel="00000000" w:rsidR="00000000" w:rsidRPr="00000000">
              <w:rPr>
                <w:b w:val="1"/>
                <w:rtl w:val="0"/>
              </w:rPr>
              <w:t xml:space="preserve">Excel</w:t>
            </w:r>
          </w:p>
        </w:tc>
      </w:tr>
      <w:tr>
        <w:trPr>
          <w:cantSplit w:val="0"/>
          <w:tblHeader w:val="0"/>
        </w:trPr>
        <w:tc>
          <w:tcPr/>
          <w:p w:rsidR="00000000" w:rsidDel="00000000" w:rsidP="00000000" w:rsidRDefault="00000000" w:rsidRPr="00000000" w14:paraId="000000C8">
            <w:pPr>
              <w:spacing w:line="480" w:lineRule="auto"/>
              <w:ind w:firstLine="0"/>
              <w:rPr/>
            </w:pPr>
            <w:r w:rsidDel="00000000" w:rsidR="00000000" w:rsidRPr="00000000">
              <w:rPr>
                <w:rtl w:val="0"/>
              </w:rPr>
              <w:t xml:space="preserve">Ease of Use</w:t>
            </w:r>
          </w:p>
        </w:tc>
        <w:tc>
          <w:tcPr/>
          <w:p w:rsidR="00000000" w:rsidDel="00000000" w:rsidP="00000000" w:rsidRDefault="00000000" w:rsidRPr="00000000" w14:paraId="000000C9">
            <w:pPr>
              <w:spacing w:line="480" w:lineRule="auto"/>
              <w:ind w:firstLine="0"/>
              <w:rPr/>
            </w:pPr>
            <w:r w:rsidDel="00000000" w:rsidR="00000000" w:rsidRPr="00000000">
              <w:rPr>
                <w:rtl w:val="0"/>
              </w:rPr>
              <w:t xml:space="preserve">The user-friendly interface of SPSS is designed to make complex analyses easier for non-programmers. This makes it an ideal tool for teachers and other individuals who are not programming. However, the interface can be very challenging for people who are new to statistical concepts.</w:t>
            </w:r>
          </w:p>
        </w:tc>
        <w:tc>
          <w:tcPr/>
          <w:p w:rsidR="00000000" w:rsidDel="00000000" w:rsidP="00000000" w:rsidRDefault="00000000" w:rsidRPr="00000000" w14:paraId="000000CA">
            <w:pPr>
              <w:spacing w:after="240" w:before="240" w:line="480" w:lineRule="auto"/>
              <w:ind w:firstLine="0"/>
              <w:rPr/>
            </w:pPr>
            <w:r w:rsidDel="00000000" w:rsidR="00000000" w:rsidRPr="00000000">
              <w:rPr>
                <w:rtl w:val="0"/>
              </w:rPr>
              <w:t xml:space="preserve">With Excel, most people can easily create simple reports and graphs. For instance, a school administrator can easily create a budget report by using pivot tables and formulas. However, its simplicity can be limited by the need for additional plugins or steps in advanced statistical studies. For instance, conducting a cluster analysis can be very time-consuming and involve manual calculations.</w:t>
            </w:r>
          </w:p>
          <w:p w:rsidR="00000000" w:rsidDel="00000000" w:rsidP="00000000" w:rsidRDefault="00000000" w:rsidRPr="00000000" w14:paraId="000000CB">
            <w:pPr>
              <w:spacing w:after="240" w:before="240" w:line="480" w:lineRule="auto"/>
              <w:ind w:firstLine="0"/>
              <w:rPr/>
            </w:pPr>
            <w:r w:rsidDel="00000000" w:rsidR="00000000" w:rsidRPr="00000000">
              <w:rPr>
                <w:rtl w:val="0"/>
              </w:rPr>
              <w:t xml:space="preserve">Statistical functions such as pivot tables, averages, standard deviations, and medians are commonly utilized in Excel to quickly calculate test scores, among other things. However, it can be very time consuming and challenging to perform complex analyses due to the need for manual intervention. For instance, performing ANOVA on multiple groups of people in Excel can be very tedious and prone to errors.</w:t>
            </w:r>
          </w:p>
        </w:tc>
      </w:tr>
      <w:tr>
        <w:trPr>
          <w:cantSplit w:val="0"/>
          <w:tblHeader w:val="0"/>
        </w:trPr>
        <w:tc>
          <w:tcPr/>
          <w:p w:rsidR="00000000" w:rsidDel="00000000" w:rsidP="00000000" w:rsidRDefault="00000000" w:rsidRPr="00000000" w14:paraId="000000CC">
            <w:pPr>
              <w:spacing w:line="480" w:lineRule="auto"/>
              <w:ind w:firstLine="0"/>
              <w:rPr/>
            </w:pPr>
            <w:r w:rsidDel="00000000" w:rsidR="00000000" w:rsidRPr="00000000">
              <w:rPr>
                <w:rtl w:val="0"/>
              </w:rPr>
              <w:t xml:space="preserve">Statistical Power</w:t>
            </w:r>
          </w:p>
        </w:tc>
        <w:tc>
          <w:tcPr/>
          <w:p w:rsidR="00000000" w:rsidDel="00000000" w:rsidP="00000000" w:rsidRDefault="00000000" w:rsidRPr="00000000" w14:paraId="000000CD">
            <w:pPr>
              <w:spacing w:line="480" w:lineRule="auto"/>
              <w:ind w:firstLine="0"/>
              <w:rPr/>
            </w:pPr>
            <w:r w:rsidDel="00000000" w:rsidR="00000000" w:rsidRPr="00000000">
              <w:rPr>
                <w:rtl w:val="0"/>
              </w:rPr>
              <w:t xml:space="preserve">Among the most popular statistical tools is SPSS, which offers numerous techniques such as K-Mean clustering and regression. Researchers can utilize this software to analyze factors to determine the underlying causes of student behavior. However this comes with a steep learning curve due to the complexity of the process. Non-statisticians may find it challenging to understand how to use these tools.</w:t>
            </w:r>
          </w:p>
        </w:tc>
        <w:tc>
          <w:tcPr/>
          <w:p w:rsidR="00000000" w:rsidDel="00000000" w:rsidP="00000000" w:rsidRDefault="00000000" w:rsidRPr="00000000" w14:paraId="000000CE">
            <w:pPr>
              <w:spacing w:after="240" w:before="240" w:line="480" w:lineRule="auto"/>
              <w:ind w:firstLine="0"/>
              <w:rPr/>
            </w:pPr>
            <w:r w:rsidDel="00000000" w:rsidR="00000000" w:rsidRPr="00000000">
              <w:rPr>
                <w:rtl w:val="0"/>
              </w:rPr>
              <w:t xml:space="preserve">With Excel, most people can easily create simple reports and graphs. For instance, a school administrator can easily create a budget report by using pivot tables and formulas. However, its simplicity can be limited by the need for additional plugins or steps in advanced statistical studies. For instance, conducting a cluster analysis can be very time-consuming and involve manual calculations.</w:t>
            </w:r>
          </w:p>
          <w:p w:rsidR="00000000" w:rsidDel="00000000" w:rsidP="00000000" w:rsidRDefault="00000000" w:rsidRPr="00000000" w14:paraId="000000CF">
            <w:pPr>
              <w:spacing w:after="240" w:before="240" w:line="480" w:lineRule="auto"/>
              <w:ind w:firstLine="0"/>
              <w:rPr/>
            </w:pPr>
            <w:r w:rsidDel="00000000" w:rsidR="00000000" w:rsidRPr="00000000">
              <w:rPr>
                <w:rtl w:val="0"/>
              </w:rPr>
              <w:t xml:space="preserve">Statistical functions such as pivot tables, averages, standard deviations, and medians are commonly utilized in Excel to quickly calculate test scores, among other things. However, it can be very time consuming and challenging to perform complex analyses due to the need for manual intervention. For instance, performing ANOVA on multiple groups of people in Excel can be very tedious and prone to errors.</w:t>
            </w:r>
          </w:p>
        </w:tc>
      </w:tr>
      <w:tr>
        <w:trPr>
          <w:cantSplit w:val="0"/>
          <w:tblHeader w:val="0"/>
        </w:trPr>
        <w:tc>
          <w:tcPr/>
          <w:p w:rsidR="00000000" w:rsidDel="00000000" w:rsidP="00000000" w:rsidRDefault="00000000" w:rsidRPr="00000000" w14:paraId="000000D0">
            <w:pPr>
              <w:spacing w:line="480" w:lineRule="auto"/>
              <w:ind w:firstLine="0"/>
              <w:rPr/>
            </w:pPr>
            <w:r w:rsidDel="00000000" w:rsidR="00000000" w:rsidRPr="00000000">
              <w:rPr>
                <w:rtl w:val="0"/>
              </w:rPr>
              <w:t xml:space="preserve">Visualization</w:t>
            </w:r>
          </w:p>
        </w:tc>
        <w:tc>
          <w:tcPr/>
          <w:p w:rsidR="00000000" w:rsidDel="00000000" w:rsidP="00000000" w:rsidRDefault="00000000" w:rsidRPr="00000000" w14:paraId="000000D1">
            <w:pPr>
              <w:spacing w:line="480" w:lineRule="auto"/>
              <w:ind w:firstLine="0"/>
              <w:rPr/>
            </w:pPr>
            <w:r w:rsidDel="00000000" w:rsidR="00000000" w:rsidRPr="00000000">
              <w:rPr>
                <w:rtl w:val="0"/>
              </w:rPr>
              <w:t xml:space="preserve">The ability to create standardized and clear graphs and statistical charts is a key component of the analysis process in SPSS. Data analysts can quickly create histograms or boxplots to visualize the distribution of student test scores in the software. However, it lacks the flexibility to customize the visual presentation.</w:t>
            </w:r>
          </w:p>
        </w:tc>
        <w:tc>
          <w:tcPr/>
          <w:p w:rsidR="00000000" w:rsidDel="00000000" w:rsidP="00000000" w:rsidRDefault="00000000" w:rsidRPr="00000000" w14:paraId="000000D2">
            <w:pPr>
              <w:spacing w:line="480" w:lineRule="auto"/>
              <w:ind w:firstLine="0"/>
              <w:rPr/>
            </w:pPr>
            <w:r w:rsidDel="00000000" w:rsidR="00000000" w:rsidRPr="00000000">
              <w:rPr>
                <w:rtl w:val="0"/>
              </w:rPr>
              <w:t xml:space="preserve">With Excel, users can create custom graphs and charts that are ideal for analyzing and reporting various data. For instance, a school principal can create a comprehensive dashboard that includes data on student grades, attendance, and behavior. However, making complex statistical charts such as survival curves can be very time-consuming and challenging.</w:t>
            </w:r>
          </w:p>
        </w:tc>
      </w:tr>
      <w:tr>
        <w:trPr>
          <w:cantSplit w:val="0"/>
          <w:tblHeader w:val="0"/>
        </w:trPr>
        <w:tc>
          <w:tcPr/>
          <w:p w:rsidR="00000000" w:rsidDel="00000000" w:rsidP="00000000" w:rsidRDefault="00000000" w:rsidRPr="00000000" w14:paraId="000000D3">
            <w:pPr>
              <w:spacing w:line="480" w:lineRule="auto"/>
              <w:ind w:firstLine="0"/>
              <w:rPr/>
            </w:pPr>
            <w:r w:rsidDel="00000000" w:rsidR="00000000" w:rsidRPr="00000000">
              <w:rPr>
                <w:rtl w:val="0"/>
              </w:rPr>
              <w:t xml:space="preserve">Cost</w:t>
            </w:r>
          </w:p>
        </w:tc>
        <w:tc>
          <w:tcPr/>
          <w:p w:rsidR="00000000" w:rsidDel="00000000" w:rsidP="00000000" w:rsidRDefault="00000000" w:rsidRPr="00000000" w14:paraId="000000D4">
            <w:pPr>
              <w:spacing w:line="480" w:lineRule="auto"/>
              <w:ind w:firstLine="0"/>
              <w:rPr/>
            </w:pPr>
            <w:r w:rsidDel="00000000" w:rsidR="00000000" w:rsidRPr="00000000">
              <w:rPr>
                <w:rtl w:val="0"/>
              </w:rPr>
              <w:t xml:space="preserve">SPSS is a powerful tool that justifies its cost for institutions needing advanced statistical capabilities. For instance, a university might invest in SPSS licenses to support complex research projects. However, SPSS typically requires a paid license, which can be expensive for smaller institutions or individual users, potentially making it less accessible.</w:t>
            </w:r>
          </w:p>
        </w:tc>
        <w:tc>
          <w:tcPr/>
          <w:p w:rsidR="00000000" w:rsidDel="00000000" w:rsidP="00000000" w:rsidRDefault="00000000" w:rsidRPr="00000000" w14:paraId="000000D5">
            <w:pPr>
              <w:spacing w:line="480" w:lineRule="auto"/>
              <w:ind w:firstLine="0"/>
              <w:rPr/>
            </w:pPr>
            <w:r w:rsidDel="00000000" w:rsidR="00000000" w:rsidRPr="00000000">
              <w:rPr>
                <w:rtl w:val="0"/>
              </w:rPr>
              <w:t xml:space="preserve">Excel is typically bundled with Microsoft Office, making it more accessible and cost-effective for most users. A public school district can easily integrate Excel into its existing software suite without significant additional costs. While affordable, Excel lacks the specialized tools available in SPSS, and users might need to purchase additional statistical add-ons to perform advanced analyses that SPSS handles natively.</w:t>
            </w:r>
          </w:p>
        </w:tc>
      </w:tr>
    </w:tbl>
    <w:p w:rsidR="00000000" w:rsidDel="00000000" w:rsidP="00000000" w:rsidRDefault="00000000" w:rsidRPr="00000000" w14:paraId="000000D6">
      <w:pPr>
        <w:ind w:firstLine="0"/>
        <w:rPr/>
      </w:pPr>
      <w:r w:rsidDel="00000000" w:rsidR="00000000" w:rsidRPr="00000000">
        <w:rPr>
          <w:rtl w:val="0"/>
        </w:rPr>
      </w:r>
    </w:p>
    <w:p w:rsidR="00000000" w:rsidDel="00000000" w:rsidP="00000000" w:rsidRDefault="00000000" w:rsidRPr="00000000" w14:paraId="000000D7">
      <w:pPr>
        <w:ind w:firstLine="0"/>
        <w:rPr/>
      </w:pPr>
      <w:r w:rsidDel="00000000" w:rsidR="00000000" w:rsidRPr="00000000">
        <w:rPr>
          <w:rtl w:val="0"/>
        </w:rPr>
      </w:r>
    </w:p>
    <w:p w:rsidR="00000000" w:rsidDel="00000000" w:rsidP="00000000" w:rsidRDefault="00000000" w:rsidRPr="00000000" w14:paraId="000000D8">
      <w:pPr>
        <w:rPr/>
      </w:pPr>
      <w:r w:rsidDel="00000000" w:rsidR="00000000" w:rsidRPr="00000000">
        <w:br w:type="page"/>
      </w:r>
      <w:r w:rsidDel="00000000" w:rsidR="00000000" w:rsidRPr="00000000">
        <w:rPr>
          <w:rtl w:val="0"/>
        </w:rPr>
      </w:r>
    </w:p>
    <w:p w:rsidR="00000000" w:rsidDel="00000000" w:rsidP="00000000" w:rsidRDefault="00000000" w:rsidRPr="00000000" w14:paraId="000000D9">
      <w:pPr>
        <w:ind w:firstLine="0"/>
        <w:jc w:val="center"/>
        <w:rPr>
          <w:b w:val="1"/>
          <w:sz w:val="36"/>
          <w:szCs w:val="36"/>
        </w:rPr>
      </w:pPr>
      <w:r w:rsidDel="00000000" w:rsidR="00000000" w:rsidRPr="00000000">
        <w:rPr>
          <w:b w:val="1"/>
          <w:sz w:val="36"/>
          <w:szCs w:val="36"/>
          <w:rtl w:val="0"/>
        </w:rPr>
        <w:t xml:space="preserve">References</w:t>
      </w:r>
    </w:p>
    <w:p w:rsidR="00000000" w:rsidDel="00000000" w:rsidP="00000000" w:rsidRDefault="00000000" w:rsidRPr="00000000" w14:paraId="000000DA">
      <w:pPr>
        <w:ind w:left="720" w:hanging="720"/>
        <w:rPr/>
      </w:pPr>
      <w:r w:rsidDel="00000000" w:rsidR="00000000" w:rsidRPr="00000000">
        <w:rPr>
          <w:rtl w:val="0"/>
        </w:rPr>
        <w:t xml:space="preserve">Distanont, A. (2020). The role of innovation in creating a competitive advantage. </w:t>
      </w:r>
      <w:r w:rsidDel="00000000" w:rsidR="00000000" w:rsidRPr="00000000">
        <w:rPr>
          <w:i w:val="1"/>
          <w:rtl w:val="0"/>
        </w:rPr>
        <w:t xml:space="preserve">Kasetsart Journal of Social Sciences</w:t>
      </w:r>
      <w:r w:rsidDel="00000000" w:rsidR="00000000" w:rsidRPr="00000000">
        <w:rPr>
          <w:rtl w:val="0"/>
        </w:rPr>
        <w:t xml:space="preserve">, </w:t>
      </w:r>
      <w:r w:rsidDel="00000000" w:rsidR="00000000" w:rsidRPr="00000000">
        <w:rPr>
          <w:i w:val="1"/>
          <w:rtl w:val="0"/>
        </w:rPr>
        <w:t xml:space="preserve">41</w:t>
      </w:r>
      <w:r w:rsidDel="00000000" w:rsidR="00000000" w:rsidRPr="00000000">
        <w:rPr>
          <w:rtl w:val="0"/>
        </w:rPr>
        <w:t xml:space="preserve">(1), 15-21. </w:t>
      </w:r>
    </w:p>
    <w:p w:rsidR="00000000" w:rsidDel="00000000" w:rsidP="00000000" w:rsidRDefault="00000000" w:rsidRPr="00000000" w14:paraId="000000DB">
      <w:pPr>
        <w:ind w:left="720" w:hanging="720"/>
        <w:rPr/>
      </w:pPr>
      <w:r w:rsidDel="00000000" w:rsidR="00000000" w:rsidRPr="00000000">
        <w:rPr>
          <w:rtl w:val="0"/>
        </w:rPr>
        <w:t xml:space="preserve">Duvendack, M., &amp; Mader, P. (2020). Impact of financial inclusion in low‐and middle‐income countries: A systematic review of reviews. </w:t>
      </w:r>
      <w:r w:rsidDel="00000000" w:rsidR="00000000" w:rsidRPr="00000000">
        <w:rPr>
          <w:i w:val="1"/>
          <w:rtl w:val="0"/>
        </w:rPr>
        <w:t xml:space="preserve">Journal of Economic Surveys</w:t>
      </w:r>
      <w:r w:rsidDel="00000000" w:rsidR="00000000" w:rsidRPr="00000000">
        <w:rPr>
          <w:rtl w:val="0"/>
        </w:rPr>
        <w:t xml:space="preserve">, </w:t>
      </w:r>
      <w:r w:rsidDel="00000000" w:rsidR="00000000" w:rsidRPr="00000000">
        <w:rPr>
          <w:i w:val="1"/>
          <w:rtl w:val="0"/>
        </w:rPr>
        <w:t xml:space="preserve">34</w:t>
      </w:r>
      <w:r w:rsidDel="00000000" w:rsidR="00000000" w:rsidRPr="00000000">
        <w:rPr>
          <w:rtl w:val="0"/>
        </w:rPr>
        <w:t xml:space="preserve">(3), 594-629. </w:t>
      </w:r>
    </w:p>
    <w:p w:rsidR="00000000" w:rsidDel="00000000" w:rsidP="00000000" w:rsidRDefault="00000000" w:rsidRPr="00000000" w14:paraId="000000DC">
      <w:pPr>
        <w:ind w:left="720" w:hanging="720"/>
        <w:rPr/>
      </w:pPr>
      <w:r w:rsidDel="00000000" w:rsidR="00000000" w:rsidRPr="00000000">
        <w:rPr>
          <w:rtl w:val="0"/>
        </w:rPr>
        <w:t xml:space="preserve">Shu, X., &amp; Ye, Y. (2023). Knowledge Discovery: Methods from data mining and machine learning. </w:t>
      </w:r>
      <w:r w:rsidDel="00000000" w:rsidR="00000000" w:rsidRPr="00000000">
        <w:rPr>
          <w:i w:val="1"/>
          <w:rtl w:val="0"/>
        </w:rPr>
        <w:t xml:space="preserve">Social Science Research</w:t>
      </w:r>
      <w:r w:rsidDel="00000000" w:rsidR="00000000" w:rsidRPr="00000000">
        <w:rPr>
          <w:rtl w:val="0"/>
        </w:rPr>
        <w:t xml:space="preserve">, </w:t>
      </w:r>
      <w:r w:rsidDel="00000000" w:rsidR="00000000" w:rsidRPr="00000000">
        <w:rPr>
          <w:i w:val="1"/>
          <w:rtl w:val="0"/>
        </w:rPr>
        <w:t xml:space="preserve">110</w:t>
      </w:r>
      <w:r w:rsidDel="00000000" w:rsidR="00000000" w:rsidRPr="00000000">
        <w:rPr>
          <w:rtl w:val="0"/>
        </w:rPr>
        <w:t xml:space="preserve">, 102817. </w:t>
      </w:r>
    </w:p>
    <w:p w:rsidR="00000000" w:rsidDel="00000000" w:rsidP="00000000" w:rsidRDefault="00000000" w:rsidRPr="00000000" w14:paraId="000000DD">
      <w:pPr>
        <w:ind w:left="720" w:hanging="720"/>
        <w:rPr/>
      </w:pPr>
      <w:r w:rsidDel="00000000" w:rsidR="00000000" w:rsidRPr="00000000">
        <w:rPr>
          <w:rtl w:val="0"/>
        </w:rPr>
        <w:t xml:space="preserve">Park, S. (2020). </w:t>
      </w:r>
      <w:r w:rsidDel="00000000" w:rsidR="00000000" w:rsidRPr="00000000">
        <w:rPr>
          <w:i w:val="1"/>
          <w:rtl w:val="0"/>
        </w:rPr>
        <w:t xml:space="preserve">Marketing management</w:t>
      </w:r>
      <w:r w:rsidDel="00000000" w:rsidR="00000000" w:rsidRPr="00000000">
        <w:rPr>
          <w:rtl w:val="0"/>
        </w:rPr>
        <w:t xml:space="preserve"> (Vol. 3). Seohee Academy.</w:t>
      </w:r>
    </w:p>
    <w:p w:rsidR="00000000" w:rsidDel="00000000" w:rsidP="00000000" w:rsidRDefault="00000000" w:rsidRPr="00000000" w14:paraId="000000DE">
      <w:pPr>
        <w:ind w:left="720" w:hanging="720"/>
        <w:rPr/>
      </w:pPr>
      <w:r w:rsidDel="00000000" w:rsidR="00000000" w:rsidRPr="00000000">
        <w:rPr>
          <w:rtl w:val="0"/>
        </w:rPr>
        <w:t xml:space="preserve">Mobydeen, W. A. O. (2021). The impact of digital marketing practices on the organizational performance in the mobile phone companies in Jordan. </w:t>
      </w:r>
      <w:r w:rsidDel="00000000" w:rsidR="00000000" w:rsidRPr="00000000">
        <w:rPr>
          <w:i w:val="1"/>
          <w:rtl w:val="0"/>
        </w:rPr>
        <w:t xml:space="preserve">Master's Thesis) Near East University Institute of Graduate Studies</w:t>
      </w:r>
      <w:r w:rsidDel="00000000" w:rsidR="00000000" w:rsidRPr="00000000">
        <w:rPr>
          <w:rtl w:val="0"/>
        </w:rPr>
        <w:t xml:space="preserve">.</w:t>
      </w:r>
    </w:p>
    <w:p w:rsidR="00000000" w:rsidDel="00000000" w:rsidP="00000000" w:rsidRDefault="00000000" w:rsidRPr="00000000" w14:paraId="000000DF">
      <w:pPr>
        <w:ind w:left="720" w:hanging="720"/>
        <w:rPr/>
      </w:pPr>
      <w:r w:rsidDel="00000000" w:rsidR="00000000" w:rsidRPr="00000000">
        <w:rPr>
          <w:rtl w:val="0"/>
        </w:rPr>
        <w:t xml:space="preserve">Zhao, Y., Wang, L., Tang, H., &amp; Zhang, Y. (2020). Electronic word-of-mouth and consumer purchase intentions in social e-commerce. </w:t>
      </w:r>
      <w:r w:rsidDel="00000000" w:rsidR="00000000" w:rsidRPr="00000000">
        <w:rPr>
          <w:i w:val="1"/>
          <w:rtl w:val="0"/>
        </w:rPr>
        <w:t xml:space="preserve">Electronic Commerce Research and Applications</w:t>
      </w:r>
      <w:r w:rsidDel="00000000" w:rsidR="00000000" w:rsidRPr="00000000">
        <w:rPr>
          <w:rtl w:val="0"/>
        </w:rPr>
        <w:t xml:space="preserve">, </w:t>
      </w:r>
      <w:r w:rsidDel="00000000" w:rsidR="00000000" w:rsidRPr="00000000">
        <w:rPr>
          <w:i w:val="1"/>
          <w:rtl w:val="0"/>
        </w:rPr>
        <w:t xml:space="preserve">41</w:t>
      </w:r>
      <w:r w:rsidDel="00000000" w:rsidR="00000000" w:rsidRPr="00000000">
        <w:rPr>
          <w:rtl w:val="0"/>
        </w:rPr>
        <w:t xml:space="preserve">, 100980.</w:t>
      </w:r>
    </w:p>
    <w:sectPr>
      <w:headerReference r:id="rId12" w:type="default"/>
      <w:footerReference r:id="rId1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2">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72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E3">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0">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ab/>
    </w:r>
  </w:p>
  <w:p w:rsidR="00000000" w:rsidDel="00000000" w:rsidP="00000000" w:rsidRDefault="00000000" w:rsidRPr="00000000" w14:paraId="000000E1">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US"/>
      </w:rPr>
    </w:rPrDefault>
    <w:pPrDefault>
      <w:pPr>
        <w:spacing w:line="480" w:lineRule="auto"/>
        <w:ind w:firstLine="72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3635FE"/>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3065E5"/>
    <w:pPr>
      <w:spacing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GridTable4-Accent51" w:customStyle="1">
    <w:name w:val="Grid Table 4 - Accent 51"/>
    <w:basedOn w:val="TableNormal"/>
    <w:uiPriority w:val="49"/>
    <w:rsid w:val="00D35F1B"/>
    <w:pPr>
      <w:spacing w:line="240" w:lineRule="auto"/>
    </w:pPr>
    <w:tblPr>
      <w:tblStyleRowBandSize w:val="1"/>
      <w:tblStyleColBandSize w:val="1"/>
      <w:tblBorders>
        <w:top w:color="9cc2e5" w:space="0" w:sz="4" w:themeColor="accent5" w:themeTint="000099" w:val="single"/>
        <w:left w:color="9cc2e5" w:space="0" w:sz="4" w:themeColor="accent5" w:themeTint="000099" w:val="single"/>
        <w:bottom w:color="9cc2e5" w:space="0" w:sz="4" w:themeColor="accent5" w:themeTint="000099" w:val="single"/>
        <w:right w:color="9cc2e5" w:space="0" w:sz="4" w:themeColor="accent5" w:themeTint="000099" w:val="single"/>
        <w:insideH w:color="9cc2e5" w:space="0" w:sz="4" w:themeColor="accent5" w:themeTint="000099" w:val="single"/>
        <w:insideV w:color="9cc2e5" w:space="0" w:sz="4" w:themeColor="accent5" w:themeTint="000099" w:val="single"/>
      </w:tblBorders>
    </w:tblPr>
    <w:tblStylePr w:type="firstRow">
      <w:rPr>
        <w:b w:val="1"/>
        <w:bCs w:val="1"/>
        <w:color w:val="ffffff" w:themeColor="background1"/>
      </w:rPr>
      <w:tblPr/>
      <w:tcPr>
        <w:tcBorders>
          <w:top w:color="5b9bd5" w:space="0" w:sz="4" w:themeColor="accent5" w:val="single"/>
          <w:left w:color="5b9bd5" w:space="0" w:sz="4" w:themeColor="accent5" w:val="single"/>
          <w:bottom w:color="5b9bd5" w:space="0" w:sz="4" w:themeColor="accent5" w:val="single"/>
          <w:right w:color="5b9bd5" w:space="0" w:sz="4" w:themeColor="accent5" w:val="single"/>
          <w:insideH w:space="0" w:sz="0" w:val="nil"/>
          <w:insideV w:space="0" w:sz="0" w:val="nil"/>
        </w:tcBorders>
        <w:shd w:color="auto" w:fill="5b9bd5" w:themeFill="accent5" w:val="clear"/>
      </w:tcPr>
    </w:tblStylePr>
    <w:tblStylePr w:type="lastRow">
      <w:rPr>
        <w:b w:val="1"/>
        <w:bCs w:val="1"/>
      </w:rPr>
      <w:tblPr/>
      <w:tcPr>
        <w:tcBorders>
          <w:top w:color="5b9bd5" w:space="0" w:sz="4" w:themeColor="accent5" w:val="double"/>
        </w:tcBorders>
      </w:tcPr>
    </w:tblStylePr>
    <w:tblStylePr w:type="firstCol">
      <w:rPr>
        <w:b w:val="1"/>
        <w:bCs w:val="1"/>
      </w:rPr>
    </w:tblStylePr>
    <w:tblStylePr w:type="lastCol">
      <w:rPr>
        <w:b w:val="1"/>
        <w:bCs w:val="1"/>
      </w:rPr>
    </w:tblStylePr>
    <w:tblStylePr w:type="band1Vert">
      <w:tblPr/>
      <w:tcPr>
        <w:shd w:color="auto" w:fill="deeaf6" w:themeFill="accent5" w:themeFillTint="000033" w:val="clear"/>
      </w:tcPr>
    </w:tblStylePr>
    <w:tblStylePr w:type="band1Horz">
      <w:tblPr/>
      <w:tcPr>
        <w:shd w:color="auto" w:fill="deeaf6" w:themeFill="accent5" w:themeFillTint="000033" w:val="clear"/>
      </w:tcPr>
    </w:tblStylePr>
  </w:style>
  <w:style w:type="table" w:styleId="GridTable4-Accent11" w:customStyle="1">
    <w:name w:val="Grid Table 4 - Accent 11"/>
    <w:basedOn w:val="TableNormal"/>
    <w:uiPriority w:val="49"/>
    <w:rsid w:val="00D35F1B"/>
    <w:pPr>
      <w:spacing w:line="240" w:lineRule="auto"/>
    </w:pPr>
    <w:tblPr>
      <w:tblStyleRowBandSize w:val="1"/>
      <w:tblStyleColBandSize w:val="1"/>
      <w:tblBorders>
        <w:top w:color="8eaadb" w:space="0" w:sz="4" w:themeColor="accent1" w:themeTint="000099" w:val="single"/>
        <w:left w:color="8eaadb" w:space="0" w:sz="4" w:themeColor="accent1" w:themeTint="000099" w:val="single"/>
        <w:bottom w:color="8eaadb" w:space="0" w:sz="4" w:themeColor="accent1" w:themeTint="000099" w:val="single"/>
        <w:right w:color="8eaadb" w:space="0" w:sz="4" w:themeColor="accent1" w:themeTint="000099" w:val="single"/>
        <w:insideH w:color="8eaadb" w:space="0" w:sz="4" w:themeColor="accent1" w:themeTint="000099" w:val="single"/>
        <w:insideV w:color="8eaadb" w:space="0" w:sz="4" w:themeColor="accent1" w:themeTint="000099" w:val="single"/>
      </w:tblBorders>
    </w:tblPr>
    <w:tblStylePr w:type="firstRow">
      <w:rPr>
        <w:b w:val="1"/>
        <w:bCs w:val="1"/>
        <w:color w:val="ffffff" w:themeColor="background1"/>
      </w:rPr>
      <w:tblPr/>
      <w:tcPr>
        <w:tcBorders>
          <w:top w:color="4472c4" w:space="0" w:sz="4" w:themeColor="accent1" w:val="single"/>
          <w:left w:color="4472c4" w:space="0" w:sz="4" w:themeColor="accent1" w:val="single"/>
          <w:bottom w:color="4472c4" w:space="0" w:sz="4" w:themeColor="accent1" w:val="single"/>
          <w:right w:color="4472c4" w:space="0" w:sz="4" w:themeColor="accent1" w:val="single"/>
          <w:insideH w:space="0" w:sz="0" w:val="nil"/>
          <w:insideV w:space="0" w:sz="0" w:val="nil"/>
        </w:tcBorders>
        <w:shd w:color="auto" w:fill="4472c4" w:themeFill="accent1" w:val="clear"/>
      </w:tcPr>
    </w:tblStylePr>
    <w:tblStylePr w:type="lastRow">
      <w:rPr>
        <w:b w:val="1"/>
        <w:bCs w:val="1"/>
      </w:rPr>
      <w:tblPr/>
      <w:tcPr>
        <w:tcBorders>
          <w:top w:color="4472c4" w:space="0" w:sz="4" w:themeColor="accent1" w:val="double"/>
        </w:tcBorders>
      </w:tcPr>
    </w:tblStylePr>
    <w:tblStylePr w:type="firstCol">
      <w:rPr>
        <w:b w:val="1"/>
        <w:bCs w:val="1"/>
      </w:rPr>
    </w:tblStylePr>
    <w:tblStylePr w:type="lastCol">
      <w:rPr>
        <w:b w:val="1"/>
        <w:bCs w:val="1"/>
      </w:rPr>
    </w:tblStylePr>
    <w:tblStylePr w:type="band1Vert">
      <w:tblPr/>
      <w:tcPr>
        <w:shd w:color="auto" w:fill="d9e2f3" w:themeFill="accent1" w:themeFillTint="000033" w:val="clear"/>
      </w:tcPr>
    </w:tblStylePr>
    <w:tblStylePr w:type="band1Horz">
      <w:tblPr/>
      <w:tcPr>
        <w:shd w:color="auto" w:fill="d9e2f3" w:themeFill="accent1" w:themeFillTint="000033" w:val="clear"/>
      </w:tcPr>
    </w:tblStylePr>
  </w:style>
  <w:style w:type="table" w:styleId="GridTable41" w:customStyle="1">
    <w:name w:val="Grid Table 41"/>
    <w:basedOn w:val="TableNormal"/>
    <w:uiPriority w:val="49"/>
    <w:rsid w:val="00D35F1B"/>
    <w:pPr>
      <w:spacing w:line="240" w:lineRule="auto"/>
    </w:pPr>
    <w:tblPr>
      <w:tblStyleRowBandSize w:val="1"/>
      <w:tblStyleColBandSize w:val="1"/>
      <w:tblBorders>
        <w:top w:color="666666" w:space="0" w:sz="4" w:themeColor="text1" w:themeTint="000099" w:val="single"/>
        <w:left w:color="666666" w:space="0" w:sz="4" w:themeColor="text1" w:themeTint="000099" w:val="single"/>
        <w:bottom w:color="666666" w:space="0" w:sz="4" w:themeColor="text1" w:themeTint="000099" w:val="single"/>
        <w:right w:color="666666" w:space="0" w:sz="4" w:themeColor="text1" w:themeTint="000099" w:val="single"/>
        <w:insideH w:color="666666" w:space="0" w:sz="4" w:themeColor="text1" w:themeTint="000099" w:val="single"/>
        <w:insideV w:color="666666" w:space="0" w:sz="4" w:themeColor="text1" w:themeTint="000099" w:val="single"/>
      </w:tblBorders>
    </w:tblPr>
    <w:tblStylePr w:type="firstRow">
      <w:rPr>
        <w:b w:val="1"/>
        <w:bCs w:val="1"/>
        <w:color w:val="ffffff" w:themeColor="background1"/>
      </w:rPr>
      <w:tblPr/>
      <w:tcPr>
        <w:tcBorders>
          <w:top w:color="000000" w:space="0" w:sz="4" w:themeColor="text1" w:val="single"/>
          <w:left w:color="000000" w:space="0" w:sz="4" w:themeColor="text1" w:val="single"/>
          <w:bottom w:color="000000" w:space="0" w:sz="4" w:themeColor="text1" w:val="single"/>
          <w:right w:color="000000" w:space="0" w:sz="4" w:themeColor="text1" w:val="single"/>
          <w:insideH w:space="0" w:sz="0" w:val="nil"/>
          <w:insideV w:space="0" w:sz="0" w:val="nil"/>
        </w:tcBorders>
        <w:shd w:color="auto" w:fill="000000" w:themeFill="text1" w:val="clear"/>
      </w:tcPr>
    </w:tblStylePr>
    <w:tblStylePr w:type="lastRow">
      <w:rPr>
        <w:b w:val="1"/>
        <w:bCs w:val="1"/>
      </w:rPr>
      <w:tblPr/>
      <w:tcPr>
        <w:tcBorders>
          <w:top w:color="000000" w:space="0" w:sz="4" w:themeColor="text1" w:val="double"/>
        </w:tcBorders>
      </w:tcPr>
    </w:tblStylePr>
    <w:tblStylePr w:type="firstCol">
      <w:rPr>
        <w:b w:val="1"/>
        <w:bCs w:val="1"/>
      </w:rPr>
    </w:tblStylePr>
    <w:tblStylePr w:type="lastCol">
      <w:rPr>
        <w:b w:val="1"/>
        <w:bCs w:val="1"/>
      </w:rPr>
    </w:tblStylePr>
    <w:tblStylePr w:type="band1Vert">
      <w:tblPr/>
      <w:tcPr>
        <w:shd w:color="auto" w:fill="cccccc" w:themeFill="text1" w:themeFillTint="000033" w:val="clear"/>
      </w:tcPr>
    </w:tblStylePr>
    <w:tblStylePr w:type="band1Horz">
      <w:tblPr/>
      <w:tcPr>
        <w:shd w:color="auto" w:fill="cccccc" w:themeFill="text1" w:themeFillTint="000033" w:val="clear"/>
      </w:tcPr>
    </w:tblStylePr>
  </w:style>
  <w:style w:type="table" w:styleId="GridTable5Dark-Accent51" w:customStyle="1">
    <w:name w:val="Grid Table 5 Dark - Accent 51"/>
    <w:basedOn w:val="TableNormal"/>
    <w:uiPriority w:val="50"/>
    <w:rsid w:val="006D2EDD"/>
    <w:pPr>
      <w:spacing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eeaf6" w:themeFill="accent5"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5b9bd5" w:themeFill="accent5"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5b9bd5" w:themeFill="accent5" w:val="clear"/>
      </w:tcPr>
    </w:tblStylePr>
    <w:tblStylePr w:type="band1Vert">
      <w:tblPr/>
      <w:tcPr>
        <w:shd w:color="auto" w:fill="bdd6ee" w:themeFill="accent5" w:themeFillTint="000066" w:val="clear"/>
      </w:tcPr>
    </w:tblStylePr>
    <w:tblStylePr w:type="band1Horz">
      <w:tblPr/>
      <w:tcPr>
        <w:shd w:color="auto" w:fill="bdd6ee" w:themeFill="accent5" w:themeFillTint="000066" w:val="clear"/>
      </w:tcPr>
    </w:tblStylePr>
  </w:style>
  <w:style w:type="character" w:styleId="Hyperlink">
    <w:name w:val="Hyperlink"/>
    <w:basedOn w:val="DefaultParagraphFont"/>
    <w:uiPriority w:val="99"/>
    <w:unhideWhenUsed w:val="1"/>
    <w:rsid w:val="00A16A97"/>
    <w:rPr>
      <w:color w:val="0563c1" w:themeColor="hyperlink"/>
      <w:u w:val="single"/>
    </w:rPr>
  </w:style>
  <w:style w:type="character" w:styleId="UnresolvedMention1" w:customStyle="1">
    <w:name w:val="Unresolved Mention1"/>
    <w:basedOn w:val="DefaultParagraphFont"/>
    <w:uiPriority w:val="99"/>
    <w:semiHidden w:val="1"/>
    <w:unhideWhenUsed w:val="1"/>
    <w:rsid w:val="00A16A97"/>
    <w:rPr>
      <w:color w:val="605e5c"/>
      <w:shd w:color="auto" w:fill="e1dfdd" w:val="clear"/>
    </w:rPr>
  </w:style>
  <w:style w:type="paragraph" w:styleId="Header">
    <w:name w:val="header"/>
    <w:basedOn w:val="Normal"/>
    <w:link w:val="HeaderChar"/>
    <w:uiPriority w:val="99"/>
    <w:unhideWhenUsed w:val="1"/>
    <w:rsid w:val="00A16A97"/>
    <w:pPr>
      <w:tabs>
        <w:tab w:val="center" w:pos="4680"/>
        <w:tab w:val="right" w:pos="9360"/>
      </w:tabs>
      <w:spacing w:line="240" w:lineRule="auto"/>
    </w:pPr>
  </w:style>
  <w:style w:type="character" w:styleId="HeaderChar" w:customStyle="1">
    <w:name w:val="Header Char"/>
    <w:basedOn w:val="DefaultParagraphFont"/>
    <w:link w:val="Header"/>
    <w:uiPriority w:val="99"/>
    <w:rsid w:val="00A16A97"/>
  </w:style>
  <w:style w:type="paragraph" w:styleId="Footer">
    <w:name w:val="footer"/>
    <w:basedOn w:val="Normal"/>
    <w:link w:val="FooterChar"/>
    <w:uiPriority w:val="99"/>
    <w:unhideWhenUsed w:val="1"/>
    <w:rsid w:val="00A16A97"/>
    <w:pPr>
      <w:tabs>
        <w:tab w:val="center" w:pos="4680"/>
        <w:tab w:val="right" w:pos="9360"/>
      </w:tabs>
      <w:spacing w:line="240" w:lineRule="auto"/>
    </w:pPr>
  </w:style>
  <w:style w:type="character" w:styleId="FooterChar" w:customStyle="1">
    <w:name w:val="Footer Char"/>
    <w:basedOn w:val="DefaultParagraphFont"/>
    <w:link w:val="Footer"/>
    <w:uiPriority w:val="99"/>
    <w:rsid w:val="00A16A97"/>
  </w:style>
  <w:style w:type="paragraph" w:styleId="BalloonText">
    <w:name w:val="Balloon Text"/>
    <w:basedOn w:val="Normal"/>
    <w:link w:val="BalloonTextChar"/>
    <w:uiPriority w:val="99"/>
    <w:semiHidden w:val="1"/>
    <w:unhideWhenUsed w:val="1"/>
    <w:rsid w:val="00EA0AEB"/>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EA0AEB"/>
    <w:rPr>
      <w:rFonts w:ascii="Tahoma" w:cs="Tahoma" w:hAnsi="Tahoma"/>
      <w:sz w:val="16"/>
      <w:szCs w:val="1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deebf6" w:val="clear"/>
      </w:tcPr>
    </w:tblStylePr>
    <w:tblStylePr w:type="band1Vert">
      <w:tcPr>
        <w:shd w:fill="deebf6" w:val="clear"/>
      </w:tcPr>
    </w:tblStylePr>
    <w:tblStylePr w:type="firstCol">
      <w:rPr>
        <w:b w:val="1"/>
      </w:rPr>
    </w:tblStylePr>
    <w:tblStylePr w:type="firstRow">
      <w:rPr>
        <w:b w:val="1"/>
        <w:color w:val="ffffff"/>
      </w:rPr>
      <w:tcPr>
        <w:tcBorders>
          <w:top w:color="5b9bd5" w:space="0" w:sz="4" w:val="single"/>
          <w:left w:color="5b9bd5" w:space="0" w:sz="4" w:val="single"/>
          <w:bottom w:color="5b9bd5" w:space="0" w:sz="4" w:val="single"/>
          <w:right w:color="5b9bd5" w:space="0" w:sz="4" w:val="single"/>
          <w:insideH w:color="000000" w:space="0" w:sz="0" w:val="nil"/>
          <w:insideV w:color="000000" w:space="0" w:sz="0" w:val="nil"/>
        </w:tcBorders>
        <w:shd w:fill="5b9bd5" w:val="clear"/>
      </w:tcPr>
    </w:tblStylePr>
    <w:tblStylePr w:type="lastCol">
      <w:rPr>
        <w:b w:val="1"/>
      </w:rPr>
    </w:tblStylePr>
    <w:tblStylePr w:type="lastRow">
      <w:rPr>
        <w:b w:val="1"/>
      </w:rPr>
      <w:tcPr>
        <w:tcBorders>
          <w:top w:color="5b9bd5" w:space="0" w:sz="4" w:val="single"/>
        </w:tcBorders>
      </w:tcPr>
    </w:tblStylePr>
  </w:style>
  <w:style w:type="table" w:styleId="Table2">
    <w:basedOn w:val="TableNormal"/>
    <w:pPr>
      <w:spacing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deebf6" w:val="clear"/>
      </w:tcPr>
    </w:tblStylePr>
    <w:tblStylePr w:type="band1Vert">
      <w:tcPr>
        <w:shd w:fill="deebf6" w:val="clear"/>
      </w:tcPr>
    </w:tblStylePr>
    <w:tblStylePr w:type="firstCol">
      <w:rPr>
        <w:b w:val="1"/>
      </w:rPr>
    </w:tblStylePr>
    <w:tblStylePr w:type="firstRow">
      <w:rPr>
        <w:b w:val="1"/>
        <w:color w:val="ffffff"/>
      </w:rPr>
      <w:tcPr>
        <w:tcBorders>
          <w:top w:color="5b9bd5" w:space="0" w:sz="4" w:val="single"/>
          <w:left w:color="5b9bd5" w:space="0" w:sz="4" w:val="single"/>
          <w:bottom w:color="5b9bd5" w:space="0" w:sz="4" w:val="single"/>
          <w:right w:color="5b9bd5" w:space="0" w:sz="4" w:val="single"/>
          <w:insideH w:color="000000" w:space="0" w:sz="0" w:val="nil"/>
          <w:insideV w:color="000000" w:space="0" w:sz="0" w:val="nil"/>
        </w:tcBorders>
        <w:shd w:fill="5b9bd5" w:val="clear"/>
      </w:tcPr>
    </w:tblStylePr>
    <w:tblStylePr w:type="lastCol">
      <w:rPr>
        <w:b w:val="1"/>
      </w:rPr>
    </w:tblStylePr>
    <w:tblStylePr w:type="lastRow">
      <w:rPr>
        <w:b w:val="1"/>
      </w:rPr>
      <w:tcPr>
        <w:tcBorders>
          <w:top w:color="5b9bd5" w:space="0" w:sz="4" w:val="single"/>
        </w:tcBorders>
      </w:tcPr>
    </w:tblStylePr>
  </w:style>
  <w:style w:type="table" w:styleId="Table3">
    <w:basedOn w:val="TableNormal"/>
    <w:pPr>
      <w:spacing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bdd7ee" w:val="clear"/>
      </w:tcPr>
    </w:tblStylePr>
    <w:tblStylePr w:type="band1Vert">
      <w:tcPr>
        <w:shd w:fill="bdd7ee"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5b9bd5"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5b9bd5"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5b9bd5"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5b9bd5" w:val="clear"/>
      </w:tcPr>
    </w:tblStylePr>
  </w:style>
  <w:style w:type="table" w:styleId="Table4">
    <w:basedOn w:val="TableNormal"/>
    <w:pPr>
      <w:spacing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deebf6" w:val="clear"/>
      </w:tcPr>
    </w:tblStylePr>
    <w:tblStylePr w:type="band1Vert">
      <w:tcPr>
        <w:shd w:fill="deebf6" w:val="clear"/>
      </w:tcPr>
    </w:tblStylePr>
    <w:tblStylePr w:type="firstCol">
      <w:rPr>
        <w:b w:val="1"/>
      </w:rPr>
    </w:tblStylePr>
    <w:tblStylePr w:type="firstRow">
      <w:rPr>
        <w:b w:val="1"/>
        <w:color w:val="ffffff"/>
      </w:rPr>
      <w:tcPr>
        <w:tcBorders>
          <w:top w:color="5b9bd5" w:space="0" w:sz="4" w:val="single"/>
          <w:left w:color="5b9bd5" w:space="0" w:sz="4" w:val="single"/>
          <w:bottom w:color="5b9bd5" w:space="0" w:sz="4" w:val="single"/>
          <w:right w:color="5b9bd5" w:space="0" w:sz="4" w:val="single"/>
          <w:insideH w:color="000000" w:space="0" w:sz="0" w:val="nil"/>
          <w:insideV w:color="000000" w:space="0" w:sz="0" w:val="nil"/>
        </w:tcBorders>
        <w:shd w:fill="5b9bd5" w:val="clear"/>
      </w:tcPr>
    </w:tblStylePr>
    <w:tblStylePr w:type="lastCol">
      <w:rPr>
        <w:b w:val="1"/>
      </w:rPr>
    </w:tblStylePr>
    <w:tblStylePr w:type="lastRow">
      <w:rPr>
        <w:b w:val="1"/>
      </w:rPr>
      <w:tcPr>
        <w:tcBorders>
          <w:top w:color="5b9bd5" w:space="0" w:sz="4" w:val="single"/>
        </w:tcBorders>
      </w:tcPr>
    </w:tblStylePr>
  </w:style>
  <w:style w:type="table" w:styleId="Table5">
    <w:basedOn w:val="TableNormal"/>
    <w:pPr>
      <w:spacing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deebf6" w:val="clear"/>
      </w:tcPr>
    </w:tblStylePr>
    <w:tblStylePr w:type="band1Vert">
      <w:tcPr>
        <w:shd w:fill="deebf6" w:val="clear"/>
      </w:tcPr>
    </w:tblStylePr>
    <w:tblStylePr w:type="firstCol">
      <w:rPr>
        <w:b w:val="1"/>
      </w:rPr>
    </w:tblStylePr>
    <w:tblStylePr w:type="firstRow">
      <w:rPr>
        <w:b w:val="1"/>
        <w:color w:val="ffffff"/>
      </w:rPr>
      <w:tcPr>
        <w:tcBorders>
          <w:top w:color="5b9bd5" w:space="0" w:sz="4" w:val="single"/>
          <w:left w:color="5b9bd5" w:space="0" w:sz="4" w:val="single"/>
          <w:bottom w:color="5b9bd5" w:space="0" w:sz="4" w:val="single"/>
          <w:right w:color="5b9bd5" w:space="0" w:sz="4" w:val="single"/>
          <w:insideH w:color="000000" w:space="0" w:sz="0" w:val="nil"/>
          <w:insideV w:color="000000" w:space="0" w:sz="0" w:val="nil"/>
        </w:tcBorders>
        <w:shd w:fill="5b9bd5" w:val="clear"/>
      </w:tcPr>
    </w:tblStylePr>
    <w:tblStylePr w:type="lastCol">
      <w:rPr>
        <w:b w:val="1"/>
      </w:rPr>
    </w:tblStylePr>
    <w:tblStylePr w:type="lastRow">
      <w:rPr>
        <w:b w:val="1"/>
      </w:rPr>
      <w:tcPr>
        <w:tcBorders>
          <w:top w:color="5b9bd5" w:space="0" w:sz="4" w:val="single"/>
        </w:tcBorders>
      </w:tcPr>
    </w:tblStylePr>
  </w:style>
  <w:style w:type="table" w:styleId="Table6">
    <w:basedOn w:val="TableNormal"/>
    <w:pPr>
      <w:spacing w:line="240" w:lineRule="auto"/>
    </w:pPr>
    <w:tblPr>
      <w:tblStyleRowBandSize w:val="1"/>
      <w:tblStyleColBandSize w:val="1"/>
      <w:tblCellMar>
        <w:top w:w="0.0" w:type="dxa"/>
        <w:left w:w="115.0" w:type="dxa"/>
        <w:bottom w:w="0.0" w:type="dxa"/>
        <w:right w:w="115.0" w:type="dxa"/>
      </w:tblCellMar>
    </w:tblPr>
    <w:tcPr>
      <w:shd w:fill="deebf6" w:val="clear"/>
    </w:tc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deebf6" w:val="clear"/>
      </w:tcPr>
    </w:tblStylePr>
    <w:tblStylePr w:type="band1Vert">
      <w:tcPr>
        <w:shd w:fill="deebf6" w:val="clear"/>
      </w:tcPr>
    </w:tblStylePr>
    <w:tblStylePr w:type="firstCol">
      <w:rPr>
        <w:b w:val="1"/>
      </w:rPr>
    </w:tblStylePr>
    <w:tblStylePr w:type="firstRow">
      <w:rPr>
        <w:b w:val="1"/>
        <w:color w:val="ffffff"/>
      </w:rPr>
      <w:tcPr>
        <w:tcBorders>
          <w:top w:color="5b9bd5" w:space="0" w:sz="4" w:val="single"/>
          <w:left w:color="5b9bd5" w:space="0" w:sz="4" w:val="single"/>
          <w:bottom w:color="5b9bd5" w:space="0" w:sz="4" w:val="single"/>
          <w:right w:color="5b9bd5" w:space="0" w:sz="4" w:val="single"/>
          <w:insideH w:color="000000" w:space="0" w:sz="0" w:val="nil"/>
          <w:insideV w:color="000000" w:space="0" w:sz="0" w:val="nil"/>
        </w:tcBorders>
        <w:shd w:fill="5b9bd5" w:val="clear"/>
      </w:tcPr>
    </w:tblStylePr>
    <w:tblStylePr w:type="lastCol">
      <w:rPr>
        <w:b w:val="1"/>
      </w:rPr>
    </w:tblStylePr>
    <w:tblStylePr w:type="lastRow">
      <w:rPr>
        <w:b w:val="1"/>
      </w:rPr>
      <w:tcPr>
        <w:tcBorders>
          <w:top w:color="5b9bd5" w:space="0" w:sz="4" w:val="single"/>
        </w:tcBorders>
      </w:tcPr>
    </w:tblStylePr>
  </w:style>
  <w:style w:type="table" w:styleId="Table2">
    <w:basedOn w:val="TableNormal"/>
    <w:pPr>
      <w:spacing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deebf6" w:val="clear"/>
      </w:tcPr>
    </w:tblStylePr>
    <w:tblStylePr w:type="band1Vert">
      <w:tcPr>
        <w:shd w:fill="deebf6" w:val="clear"/>
      </w:tcPr>
    </w:tblStylePr>
    <w:tblStylePr w:type="firstCol">
      <w:rPr>
        <w:b w:val="1"/>
      </w:rPr>
    </w:tblStylePr>
    <w:tblStylePr w:type="firstRow">
      <w:rPr>
        <w:b w:val="1"/>
        <w:color w:val="ffffff"/>
      </w:rPr>
      <w:tcPr>
        <w:tcBorders>
          <w:top w:color="5b9bd5" w:space="0" w:sz="4" w:val="single"/>
          <w:left w:color="5b9bd5" w:space="0" w:sz="4" w:val="single"/>
          <w:bottom w:color="5b9bd5" w:space="0" w:sz="4" w:val="single"/>
          <w:right w:color="5b9bd5" w:space="0" w:sz="4" w:val="single"/>
          <w:insideH w:color="000000" w:space="0" w:sz="0" w:val="nil"/>
          <w:insideV w:color="000000" w:space="0" w:sz="0" w:val="nil"/>
        </w:tcBorders>
        <w:shd w:fill="5b9bd5" w:val="clear"/>
      </w:tcPr>
    </w:tblStylePr>
    <w:tblStylePr w:type="lastCol">
      <w:rPr>
        <w:b w:val="1"/>
      </w:rPr>
    </w:tblStylePr>
    <w:tblStylePr w:type="lastRow">
      <w:rPr>
        <w:b w:val="1"/>
      </w:rPr>
      <w:tcPr>
        <w:tcBorders>
          <w:top w:color="5b9bd5" w:space="0" w:sz="4" w:val="single"/>
        </w:tcBorders>
      </w:tcPr>
    </w:tblStylePr>
  </w:style>
  <w:style w:type="table" w:styleId="Table3">
    <w:basedOn w:val="TableNormal"/>
    <w:pPr>
      <w:spacing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bdd7ee" w:val="clear"/>
      </w:tcPr>
    </w:tblStylePr>
    <w:tblStylePr w:type="band1Vert">
      <w:tcPr>
        <w:shd w:fill="bdd7ee"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5b9bd5"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5b9bd5"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5b9bd5"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5b9bd5" w:val="clear"/>
      </w:tcPr>
    </w:tblStylePr>
  </w:style>
  <w:style w:type="table" w:styleId="Table4">
    <w:basedOn w:val="TableNormal"/>
    <w:pPr>
      <w:spacing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deebf6" w:val="clear"/>
      </w:tcPr>
    </w:tblStylePr>
    <w:tblStylePr w:type="band1Vert">
      <w:tcPr>
        <w:shd w:fill="deebf6" w:val="clear"/>
      </w:tcPr>
    </w:tblStylePr>
    <w:tblStylePr w:type="firstCol">
      <w:rPr>
        <w:b w:val="1"/>
      </w:rPr>
    </w:tblStylePr>
    <w:tblStylePr w:type="firstRow">
      <w:rPr>
        <w:b w:val="1"/>
        <w:color w:val="ffffff"/>
      </w:rPr>
      <w:tcPr>
        <w:tcBorders>
          <w:top w:color="5b9bd5" w:space="0" w:sz="4" w:val="single"/>
          <w:left w:color="5b9bd5" w:space="0" w:sz="4" w:val="single"/>
          <w:bottom w:color="5b9bd5" w:space="0" w:sz="4" w:val="single"/>
          <w:right w:color="5b9bd5" w:space="0" w:sz="4" w:val="single"/>
          <w:insideH w:color="000000" w:space="0" w:sz="0" w:val="nil"/>
          <w:insideV w:color="000000" w:space="0" w:sz="0" w:val="nil"/>
        </w:tcBorders>
        <w:shd w:fill="5b9bd5" w:val="clear"/>
      </w:tcPr>
    </w:tblStylePr>
    <w:tblStylePr w:type="lastCol">
      <w:rPr>
        <w:b w:val="1"/>
      </w:rPr>
    </w:tblStylePr>
    <w:tblStylePr w:type="lastRow">
      <w:rPr>
        <w:b w:val="1"/>
      </w:rPr>
      <w:tcPr>
        <w:tcBorders>
          <w:top w:color="5b9bd5" w:space="0" w:sz="4" w:val="single"/>
        </w:tcBorders>
      </w:tcPr>
    </w:tblStylePr>
  </w:style>
  <w:style w:type="table" w:styleId="Table5">
    <w:basedOn w:val="TableNormal"/>
    <w:pPr>
      <w:spacing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deebf6" w:val="clear"/>
      </w:tcPr>
    </w:tblStylePr>
    <w:tblStylePr w:type="band1Vert">
      <w:tcPr>
        <w:shd w:fill="deebf6" w:val="clear"/>
      </w:tcPr>
    </w:tblStylePr>
    <w:tblStylePr w:type="firstCol">
      <w:rPr>
        <w:b w:val="1"/>
      </w:rPr>
    </w:tblStylePr>
    <w:tblStylePr w:type="firstRow">
      <w:rPr>
        <w:b w:val="1"/>
        <w:color w:val="ffffff"/>
      </w:rPr>
      <w:tcPr>
        <w:tcBorders>
          <w:top w:color="5b9bd5" w:space="0" w:sz="4" w:val="single"/>
          <w:left w:color="5b9bd5" w:space="0" w:sz="4" w:val="single"/>
          <w:bottom w:color="5b9bd5" w:space="0" w:sz="4" w:val="single"/>
          <w:right w:color="5b9bd5" w:space="0" w:sz="4" w:val="single"/>
          <w:insideH w:color="000000" w:space="0" w:sz="0" w:val="nil"/>
          <w:insideV w:color="000000" w:space="0" w:sz="0" w:val="nil"/>
        </w:tcBorders>
        <w:shd w:fill="5b9bd5" w:val="clear"/>
      </w:tcPr>
    </w:tblStylePr>
    <w:tblStylePr w:type="lastCol">
      <w:rPr>
        <w:b w:val="1"/>
      </w:rPr>
    </w:tblStylePr>
    <w:tblStylePr w:type="lastRow">
      <w:rPr>
        <w:b w:val="1"/>
      </w:rPr>
      <w:tcPr>
        <w:tcBorders>
          <w:top w:color="5b9bd5" w:space="0" w:sz="4" w:val="single"/>
        </w:tcBorders>
      </w:tcPr>
    </w:tblStylePr>
  </w:style>
  <w:style w:type="table" w:styleId="Table6">
    <w:basedOn w:val="TableNormal"/>
    <w:pPr>
      <w:spacing w:line="240" w:lineRule="auto"/>
    </w:pPr>
    <w:tblPr>
      <w:tblStyleRowBandSize w:val="1"/>
      <w:tblStyleColBandSize w:val="1"/>
      <w:tblCellMar>
        <w:top w:w="0.0" w:type="dxa"/>
        <w:left w:w="115.0" w:type="dxa"/>
        <w:bottom w:w="0.0" w:type="dxa"/>
        <w:right w:w="115.0" w:type="dxa"/>
      </w:tblCellMar>
    </w:tblPr>
    <w:tcPr>
      <w:shd w:fill="deebf6" w:val="clear"/>
    </w:tc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image" Target="media/image4.png"/><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kZMs4NoK915jYHDF7r8TrqBXfw==">CgMxLjA4AHIhMTBjX184OGNaQjlWai1IVjllcnRhcjVlSnVpbjdWU2x5</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2024-08-16T21:05:00Z</dcterms:created>
  <dc:creator>ПОТРЕБИТЕЛ</dc:creator>
</cp:coreProperties>
</file>