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C84C1BE" wp14:paraId="2C078E63" wp14:textId="65F083E3">
      <w:pPr>
        <w:pStyle w:val="Normal"/>
      </w:pPr>
      <w:r w:rsidR="50054328">
        <w:drawing>
          <wp:inline xmlns:wp14="http://schemas.microsoft.com/office/word/2010/wordprocessingDrawing" wp14:editId="077BEF1A" wp14:anchorId="41F692C7">
            <wp:extent cx="2409825" cy="685800"/>
            <wp:effectExtent l="0" t="0" r="0" b="0"/>
            <wp:docPr id="1692401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2401537" name="Picture 1692401537"/>
                    <pic:cNvPicPr/>
                  </pic:nvPicPr>
                  <pic:blipFill>
                    <a:blip xmlns:r="http://schemas.openxmlformats.org/officeDocument/2006/relationships" r:embed="rId1719763617">
                      <a:extLst>
                        <a:ext uri="{28A0092B-C50C-407E-A947-70E740481C1C}">
                          <a14:useLocalDpi xmlns:a14="http://schemas.microsoft.com/office/drawing/2010/main"/>
                        </a:ext>
                      </a:extLst>
                    </a:blip>
                    <a:stretch>
                      <a:fillRect/>
                    </a:stretch>
                  </pic:blipFill>
                  <pic:spPr>
                    <a:xfrm>
                      <a:off x="0" y="0"/>
                      <a:ext cx="2409825" cy="685800"/>
                    </a:xfrm>
                    <a:prstGeom prst="rect">
                      <a:avLst/>
                    </a:prstGeom>
                  </pic:spPr>
                </pic:pic>
              </a:graphicData>
            </a:graphic>
          </wp:inline>
        </w:drawing>
      </w:r>
    </w:p>
    <w:p w:rsidR="5C84C1BE" w:rsidP="5C84C1BE" w:rsidRDefault="5C84C1BE" w14:paraId="73D049EE" w14:textId="3C0A0638">
      <w:pPr>
        <w:pStyle w:val="Normal"/>
      </w:pPr>
    </w:p>
    <w:p w:rsidR="5C84C1BE" w:rsidP="5C84C1BE" w:rsidRDefault="5C84C1BE" w14:paraId="309F3660" w14:textId="7887289C">
      <w:pPr>
        <w:pStyle w:val="Normal"/>
      </w:pPr>
    </w:p>
    <w:p w:rsidR="5C84C1BE" w:rsidP="5C84C1BE" w:rsidRDefault="5C84C1BE" w14:paraId="7E22616D" w14:textId="1A1A73BF">
      <w:pPr>
        <w:pStyle w:val="Normal"/>
      </w:pPr>
    </w:p>
    <w:p w:rsidR="64C74DCC" w:rsidP="5C84C1BE" w:rsidRDefault="64C74DCC" w14:paraId="208B5E54" w14:textId="6E947563">
      <w:pPr>
        <w:pStyle w:val="Normal"/>
      </w:pPr>
      <w:r w:rsidRPr="5C84C1BE" w:rsidR="64C74DCC">
        <w:rPr>
          <w:b w:val="1"/>
          <w:bCs w:val="1"/>
        </w:rPr>
        <w:t>Title:</w:t>
      </w:r>
      <w:r w:rsidR="64C74DCC">
        <w:rPr/>
        <w:t xml:space="preserve"> </w:t>
      </w:r>
      <w:r w:rsidRPr="5C84C1BE" w:rsidR="64C74DCC">
        <w:rPr>
          <w:rFonts w:ascii="Arial" w:hAnsi="Arial" w:eastAsia="Arial" w:cs="Arial"/>
          <w:noProof w:val="0"/>
          <w:sz w:val="24"/>
          <w:szCs w:val="24"/>
          <w:lang w:val="en-GB"/>
        </w:rPr>
        <w:t>Health, Wellbeing and Sustainable Development: Evaluating National and Local Initiatives in the Context of SDG 3 and SDG 10</w:t>
      </w:r>
    </w:p>
    <w:p w:rsidR="5C84C1BE" w:rsidP="5C84C1BE" w:rsidRDefault="5C84C1BE" w14:paraId="54F13A12" w14:textId="31F777A9">
      <w:pPr>
        <w:pStyle w:val="Normal"/>
      </w:pPr>
    </w:p>
    <w:p w:rsidR="4835F535" w:rsidP="5C84C1BE" w:rsidRDefault="4835F535" w14:paraId="4B1642FB" w14:textId="2A6F0B71">
      <w:pPr>
        <w:pStyle w:val="Normal"/>
        <w:rPr>
          <w:rFonts w:ascii="Arial" w:hAnsi="Arial" w:eastAsia="Arial" w:cs="Arial"/>
        </w:rPr>
      </w:pPr>
      <w:r w:rsidRPr="5C84C1BE" w:rsidR="4835F535">
        <w:rPr>
          <w:rFonts w:ascii="Arial" w:hAnsi="Arial" w:eastAsia="Arial" w:cs="Arial"/>
          <w:b w:val="1"/>
          <w:bCs w:val="1"/>
        </w:rPr>
        <w:t>Module:</w:t>
      </w:r>
      <w:r w:rsidRPr="5C84C1BE" w:rsidR="4835F535">
        <w:rPr>
          <w:rFonts w:ascii="Arial" w:hAnsi="Arial" w:eastAsia="Arial" w:cs="Arial"/>
        </w:rPr>
        <w:t xml:space="preserve"> Health,</w:t>
      </w:r>
      <w:r w:rsidRPr="5C84C1BE" w:rsidR="1FF30869">
        <w:rPr>
          <w:rFonts w:ascii="Arial" w:hAnsi="Arial" w:eastAsia="Arial" w:cs="Arial"/>
        </w:rPr>
        <w:t xml:space="preserve"> </w:t>
      </w:r>
      <w:r w:rsidRPr="5C84C1BE" w:rsidR="4835F535">
        <w:rPr>
          <w:rFonts w:ascii="Arial" w:hAnsi="Arial" w:eastAsia="Arial" w:cs="Arial"/>
        </w:rPr>
        <w:t xml:space="preserve">Wellbeing and </w:t>
      </w:r>
      <w:r w:rsidRPr="5C84C1BE" w:rsidR="137A6E02">
        <w:rPr>
          <w:rFonts w:ascii="Arial" w:hAnsi="Arial" w:eastAsia="Arial" w:cs="Arial"/>
        </w:rPr>
        <w:t>Sustainable Development</w:t>
      </w:r>
      <w:r w:rsidRPr="5C84C1BE" w:rsidR="5B7163B5">
        <w:rPr>
          <w:rFonts w:ascii="Arial" w:hAnsi="Arial" w:eastAsia="Arial" w:cs="Arial"/>
        </w:rPr>
        <w:t xml:space="preserve"> BMHP6030_LON</w:t>
      </w:r>
    </w:p>
    <w:p w:rsidR="5C84C1BE" w:rsidP="5C84C1BE" w:rsidRDefault="5C84C1BE" w14:paraId="2272715B" w14:textId="21F26710">
      <w:pPr>
        <w:pStyle w:val="Normal"/>
        <w:rPr>
          <w:rFonts w:ascii="Arial" w:hAnsi="Arial" w:eastAsia="Arial" w:cs="Arial"/>
        </w:rPr>
      </w:pPr>
    </w:p>
    <w:p w:rsidR="1B70590F" w:rsidP="5C84C1BE" w:rsidRDefault="1B70590F" w14:paraId="284D2EAA" w14:textId="1D9CC3AB">
      <w:pPr>
        <w:pStyle w:val="Normal"/>
        <w:rPr>
          <w:rFonts w:ascii="Arial" w:hAnsi="Arial" w:eastAsia="Arial" w:cs="Arial"/>
        </w:rPr>
      </w:pPr>
      <w:r w:rsidRPr="5C84C1BE" w:rsidR="1B70590F">
        <w:rPr>
          <w:rFonts w:ascii="Arial" w:hAnsi="Arial" w:eastAsia="Arial" w:cs="Arial"/>
          <w:b w:val="1"/>
          <w:bCs w:val="1"/>
        </w:rPr>
        <w:t>Student Name:</w:t>
      </w:r>
      <w:r w:rsidRPr="5C84C1BE" w:rsidR="1B70590F">
        <w:rPr>
          <w:rFonts w:ascii="Arial" w:hAnsi="Arial" w:eastAsia="Arial" w:cs="Arial"/>
        </w:rPr>
        <w:t xml:space="preserve"> Celina Krawczyk</w:t>
      </w:r>
    </w:p>
    <w:p w:rsidR="5C84C1BE" w:rsidP="5C84C1BE" w:rsidRDefault="5C84C1BE" w14:paraId="238A171A" w14:textId="39C8E88E">
      <w:pPr>
        <w:pStyle w:val="Normal"/>
        <w:rPr>
          <w:rFonts w:ascii="Arial" w:hAnsi="Arial" w:eastAsia="Arial" w:cs="Arial"/>
        </w:rPr>
      </w:pPr>
    </w:p>
    <w:p w:rsidR="1B70590F" w:rsidP="5C84C1BE" w:rsidRDefault="1B70590F" w14:paraId="6AA228CF" w14:textId="1689F0FF">
      <w:pPr>
        <w:pStyle w:val="Normal"/>
        <w:rPr>
          <w:rFonts w:ascii="Arial" w:hAnsi="Arial" w:eastAsia="Arial" w:cs="Arial"/>
        </w:rPr>
      </w:pPr>
      <w:r w:rsidRPr="5C84C1BE" w:rsidR="1B70590F">
        <w:rPr>
          <w:rFonts w:ascii="Arial" w:hAnsi="Arial" w:eastAsia="Arial" w:cs="Arial"/>
          <w:b w:val="1"/>
          <w:bCs w:val="1"/>
        </w:rPr>
        <w:t>Student Number:</w:t>
      </w:r>
      <w:r w:rsidRPr="5C84C1BE" w:rsidR="1B70590F">
        <w:rPr>
          <w:rFonts w:ascii="Arial" w:hAnsi="Arial" w:eastAsia="Arial" w:cs="Arial"/>
        </w:rPr>
        <w:t xml:space="preserve"> 2317548</w:t>
      </w:r>
    </w:p>
    <w:p w:rsidR="5C84C1BE" w:rsidP="5C84C1BE" w:rsidRDefault="5C84C1BE" w14:paraId="47901B99" w14:textId="60BF0494">
      <w:pPr>
        <w:pStyle w:val="Normal"/>
        <w:rPr>
          <w:rFonts w:ascii="Arial" w:hAnsi="Arial" w:eastAsia="Arial" w:cs="Arial"/>
        </w:rPr>
      </w:pPr>
    </w:p>
    <w:p w:rsidR="312CBD61" w:rsidP="5C84C1BE" w:rsidRDefault="312CBD61" w14:paraId="393E1BB9" w14:textId="5D24C046">
      <w:pPr>
        <w:pStyle w:val="Normal"/>
        <w:rPr>
          <w:rFonts w:ascii="Arial" w:hAnsi="Arial" w:eastAsia="Arial" w:cs="Arial"/>
        </w:rPr>
      </w:pPr>
      <w:r w:rsidRPr="5C84C1BE" w:rsidR="312CBD61">
        <w:rPr>
          <w:rFonts w:ascii="Arial" w:hAnsi="Arial" w:eastAsia="Arial" w:cs="Arial"/>
          <w:b w:val="1"/>
          <w:bCs w:val="1"/>
        </w:rPr>
        <w:t>Lecturer Name:</w:t>
      </w:r>
      <w:r w:rsidRPr="5C84C1BE" w:rsidR="312CBD61">
        <w:rPr>
          <w:rFonts w:ascii="Arial" w:hAnsi="Arial" w:eastAsia="Arial" w:cs="Arial"/>
        </w:rPr>
        <w:t xml:space="preserve"> Dr </w:t>
      </w:r>
      <w:r w:rsidRPr="5C84C1BE" w:rsidR="312CBD61">
        <w:rPr>
          <w:rFonts w:ascii="Arial" w:hAnsi="Arial" w:eastAsia="Arial" w:cs="Arial"/>
        </w:rPr>
        <w:t>Itse</w:t>
      </w:r>
      <w:r w:rsidRPr="5C84C1BE" w:rsidR="312CBD61">
        <w:rPr>
          <w:rFonts w:ascii="Arial" w:hAnsi="Arial" w:eastAsia="Arial" w:cs="Arial"/>
        </w:rPr>
        <w:t xml:space="preserve"> Olaoye</w:t>
      </w:r>
    </w:p>
    <w:p w:rsidR="5C84C1BE" w:rsidP="5C84C1BE" w:rsidRDefault="5C84C1BE" w14:paraId="3AEB59B0" w14:textId="762ECDC8">
      <w:pPr>
        <w:pStyle w:val="Normal"/>
        <w:rPr>
          <w:rFonts w:ascii="Arial" w:hAnsi="Arial" w:eastAsia="Arial" w:cs="Arial"/>
        </w:rPr>
      </w:pPr>
    </w:p>
    <w:p w:rsidR="5C84C1BE" w:rsidP="5C84C1BE" w:rsidRDefault="5C84C1BE" w14:paraId="64830A6A" w14:textId="08897C46">
      <w:pPr>
        <w:pStyle w:val="Normal"/>
        <w:rPr>
          <w:rFonts w:ascii="Arial" w:hAnsi="Arial" w:eastAsia="Arial" w:cs="Arial"/>
        </w:rPr>
      </w:pPr>
    </w:p>
    <w:p w:rsidR="5C84C1BE" w:rsidP="5C84C1BE" w:rsidRDefault="5C84C1BE" w14:paraId="2FC622CE" w14:textId="7D8E4DB2">
      <w:pPr>
        <w:pStyle w:val="Normal"/>
        <w:rPr>
          <w:rFonts w:ascii="Arial" w:hAnsi="Arial" w:eastAsia="Arial" w:cs="Arial"/>
        </w:rPr>
      </w:pPr>
    </w:p>
    <w:p w:rsidR="11AAE008" w:rsidP="5C84C1BE" w:rsidRDefault="11AAE008" w14:paraId="61A1A1ED" w14:textId="29060704">
      <w:pPr>
        <w:pStyle w:val="Normal"/>
        <w:rPr>
          <w:rFonts w:ascii="Arial" w:hAnsi="Arial" w:eastAsia="Arial" w:cs="Arial"/>
          <w:noProof w:val="0"/>
          <w:sz w:val="24"/>
          <w:szCs w:val="24"/>
          <w:lang w:val="en-GB"/>
        </w:rPr>
      </w:pPr>
      <w:r w:rsidRPr="5C84C1BE" w:rsidR="11AAE00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IE"/>
        </w:rPr>
        <w:t>I</w:t>
      </w:r>
      <w:r w:rsidRPr="5C84C1BE" w:rsidR="11AAE0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IE"/>
        </w:rPr>
        <w:t xml:space="preserve">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5C84C1BE" w:rsidP="5C84C1BE" w:rsidRDefault="5C84C1BE" w14:paraId="54D24A9A" w14:textId="228B8CF7">
      <w:pPr>
        <w:pStyle w:val="Normal"/>
        <w:rPr>
          <w:rFonts w:ascii="Arial" w:hAnsi="Arial" w:eastAsia="Arial" w:cs="Arial"/>
        </w:rPr>
      </w:pPr>
    </w:p>
    <w:p w:rsidR="5C84C1BE" w:rsidP="5C84C1BE" w:rsidRDefault="5C84C1BE" w14:paraId="1D392002" w14:textId="31A57B22">
      <w:pPr>
        <w:pStyle w:val="Normal"/>
        <w:rPr>
          <w:rFonts w:ascii="Arial" w:hAnsi="Arial" w:eastAsia="Arial" w:cs="Arial"/>
        </w:rPr>
      </w:pPr>
    </w:p>
    <w:p w:rsidR="5C84C1BE" w:rsidP="5C84C1BE" w:rsidRDefault="5C84C1BE" w14:paraId="62248457" w14:textId="31D0F696">
      <w:pPr>
        <w:pStyle w:val="Normal"/>
        <w:rPr>
          <w:rFonts w:ascii="Arial" w:hAnsi="Arial" w:eastAsia="Arial" w:cs="Arial"/>
        </w:rPr>
      </w:pPr>
    </w:p>
    <w:p w:rsidR="5C84C1BE" w:rsidP="5C84C1BE" w:rsidRDefault="5C84C1BE" w14:paraId="1B4247AA" w14:textId="15B9779B">
      <w:pPr>
        <w:pStyle w:val="Normal"/>
        <w:rPr>
          <w:rFonts w:ascii="Arial" w:hAnsi="Arial" w:eastAsia="Arial" w:cs="Arial"/>
        </w:rPr>
      </w:pPr>
    </w:p>
    <w:p w:rsidR="5C84C1BE" w:rsidP="5C84C1BE" w:rsidRDefault="5C84C1BE" w14:paraId="08405BA8" w14:textId="63573A22">
      <w:pPr>
        <w:pStyle w:val="Normal"/>
        <w:rPr>
          <w:rFonts w:ascii="Arial" w:hAnsi="Arial" w:eastAsia="Arial" w:cs="Arial"/>
        </w:rPr>
      </w:pPr>
    </w:p>
    <w:p w:rsidR="68FBD947" w:rsidP="5C84C1BE" w:rsidRDefault="68FBD947" w14:paraId="77DDD959" w14:textId="2D8D0226">
      <w:pPr>
        <w:pStyle w:val="Normal"/>
      </w:pPr>
      <w:r w:rsidRPr="5C84C1BE" w:rsidR="68FBD947">
        <w:rPr>
          <w:rFonts w:ascii="Arial" w:hAnsi="Arial" w:eastAsia="Arial" w:cs="Arial"/>
          <w:b w:val="1"/>
          <w:bCs w:val="1"/>
        </w:rPr>
        <w:t xml:space="preserve">Table of </w:t>
      </w:r>
      <w:r w:rsidRPr="5C84C1BE" w:rsidR="68FBD947">
        <w:rPr>
          <w:rFonts w:ascii="Arial" w:hAnsi="Arial" w:eastAsia="Arial" w:cs="Arial"/>
          <w:b w:val="1"/>
          <w:bCs w:val="1"/>
        </w:rPr>
        <w:t>contents</w:t>
      </w:r>
      <w:r w:rsidRPr="5C84C1BE" w:rsidR="68FBD947">
        <w:rPr>
          <w:rFonts w:ascii="Arial" w:hAnsi="Arial" w:eastAsia="Arial" w:cs="Arial"/>
          <w:b w:val="1"/>
          <w:bCs w:val="1"/>
        </w:rPr>
        <w:t>:</w:t>
      </w:r>
    </w:p>
    <w:p w:rsidR="6F880524" w:rsidP="5C84C1BE" w:rsidRDefault="6F880524" w14:paraId="42C05BDD" w14:textId="0BA772C8">
      <w:pPr>
        <w:pStyle w:val="Normal"/>
      </w:pPr>
      <w:r w:rsidRPr="5C84C1BE" w:rsidR="6F880524">
        <w:rPr>
          <w:rFonts w:ascii="Arial" w:hAnsi="Arial" w:eastAsia="Arial" w:cs="Arial"/>
          <w:b w:val="1"/>
          <w:bCs w:val="1"/>
        </w:rPr>
        <w:t>1.Introduction....................................................................................................3</w:t>
      </w:r>
    </w:p>
    <w:p w:rsidR="6F880524" w:rsidP="5C84C1BE" w:rsidRDefault="6F880524" w14:paraId="6008FAD5" w14:textId="3E8272AE">
      <w:pPr>
        <w:pStyle w:val="Normal"/>
      </w:pPr>
      <w:r w:rsidRPr="5C84C1BE" w:rsidR="6F880524">
        <w:rPr>
          <w:rFonts w:ascii="Arial" w:hAnsi="Arial" w:eastAsia="Arial" w:cs="Arial"/>
          <w:b w:val="1"/>
          <w:bCs w:val="1"/>
        </w:rPr>
        <w:t>2.</w:t>
      </w:r>
      <w:r w:rsidRPr="5C84C1BE" w:rsidR="6F880524">
        <w:rPr>
          <w:rFonts w:ascii="Arial" w:hAnsi="Arial" w:eastAsia="Arial" w:cs="Arial"/>
          <w:b w:val="1"/>
          <w:bCs w:val="1"/>
          <w:sz w:val="22"/>
          <w:szCs w:val="22"/>
        </w:rPr>
        <w:t xml:space="preserve"> Sustainable Development (SDG) Goal 3: Good Health and Well-being</w:t>
      </w:r>
      <w:r w:rsidRPr="5C84C1BE" w:rsidR="783747C0">
        <w:rPr>
          <w:rFonts w:ascii="Arial" w:hAnsi="Arial" w:eastAsia="Arial" w:cs="Arial"/>
          <w:b w:val="1"/>
          <w:bCs w:val="1"/>
          <w:sz w:val="22"/>
          <w:szCs w:val="22"/>
        </w:rPr>
        <w:t>...........3-4</w:t>
      </w:r>
    </w:p>
    <w:p w:rsidR="6F880524" w:rsidP="5C84C1BE" w:rsidRDefault="6F880524" w14:paraId="486C25A2" w14:textId="7D3E289A">
      <w:pPr>
        <w:pStyle w:val="Normal"/>
        <w:spacing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3. Sustainable Development Goal 10: Reduced Inequalities</w:t>
      </w:r>
      <w:r w:rsidRPr="5C84C1BE" w:rsidR="6B00FD3F">
        <w:rPr>
          <w:rFonts w:ascii="Arial" w:hAnsi="Arial" w:eastAsia="Arial" w:cs="Arial"/>
          <w:b w:val="1"/>
          <w:bCs w:val="1"/>
          <w:noProof w:val="0"/>
          <w:sz w:val="22"/>
          <w:szCs w:val="22"/>
          <w:lang w:val="en-GB"/>
        </w:rPr>
        <w:t>................................4-6</w:t>
      </w:r>
    </w:p>
    <w:p w:rsidR="6F880524" w:rsidP="5C84C1BE" w:rsidRDefault="6F880524" w14:paraId="68BF8BBF" w14:textId="02B36065">
      <w:pPr>
        <w:pStyle w:val="Normal"/>
        <w:spacing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4.National Wellbeing and Sustainable Development Initiatives</w:t>
      </w:r>
      <w:r w:rsidRPr="5C84C1BE" w:rsidR="36625EDD">
        <w:rPr>
          <w:rFonts w:ascii="Arial" w:hAnsi="Arial" w:eastAsia="Arial" w:cs="Arial"/>
          <w:b w:val="1"/>
          <w:bCs w:val="1"/>
          <w:noProof w:val="0"/>
          <w:sz w:val="22"/>
          <w:szCs w:val="22"/>
          <w:lang w:val="en-GB"/>
        </w:rPr>
        <w:t>..............................6</w:t>
      </w:r>
    </w:p>
    <w:p w:rsidR="6F880524" w:rsidP="5C84C1BE" w:rsidRDefault="6F880524" w14:paraId="66225EDA" w14:textId="6F075A63">
      <w:pPr>
        <w:pStyle w:val="Normal"/>
        <w:spacing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4.1 Core20PLUS5</w:t>
      </w:r>
      <w:r w:rsidRPr="5C84C1BE" w:rsidR="2AC2AD48">
        <w:rPr>
          <w:rFonts w:ascii="Arial" w:hAnsi="Arial" w:eastAsia="Arial" w:cs="Arial"/>
          <w:b w:val="1"/>
          <w:bCs w:val="1"/>
          <w:noProof w:val="0"/>
          <w:sz w:val="22"/>
          <w:szCs w:val="22"/>
          <w:lang w:val="en-GB"/>
        </w:rPr>
        <w:t>......................................................................................................6-7</w:t>
      </w:r>
    </w:p>
    <w:p w:rsidR="6F880524" w:rsidP="5C84C1BE" w:rsidRDefault="6F880524" w14:paraId="7126ED4E" w14:textId="022E4021">
      <w:pPr>
        <w:pStyle w:val="Normal"/>
        <w:spacing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4.2 The Greener NHS Programme</w:t>
      </w:r>
      <w:r w:rsidRPr="5C84C1BE" w:rsidR="7661D90A">
        <w:rPr>
          <w:rFonts w:ascii="Arial" w:hAnsi="Arial" w:eastAsia="Arial" w:cs="Arial"/>
          <w:b w:val="1"/>
          <w:bCs w:val="1"/>
          <w:noProof w:val="0"/>
          <w:sz w:val="22"/>
          <w:szCs w:val="22"/>
          <w:lang w:val="en-GB"/>
        </w:rPr>
        <w:t>..............................................................................7</w:t>
      </w:r>
    </w:p>
    <w:p w:rsidR="6F880524" w:rsidP="5C84C1BE" w:rsidRDefault="6F880524" w14:paraId="091E48D6" w14:textId="7541D5CC">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5. Local Wellbeing and Sustainable Development Initiatives</w:t>
      </w:r>
      <w:r w:rsidRPr="5C84C1BE" w:rsidR="6064FEDC">
        <w:rPr>
          <w:rFonts w:ascii="Arial" w:hAnsi="Arial" w:eastAsia="Arial" w:cs="Arial"/>
          <w:b w:val="1"/>
          <w:bCs w:val="1"/>
          <w:noProof w:val="0"/>
          <w:sz w:val="22"/>
          <w:szCs w:val="22"/>
          <w:lang w:val="en-GB"/>
        </w:rPr>
        <w:t>..................................8</w:t>
      </w:r>
    </w:p>
    <w:p w:rsidR="6F880524" w:rsidP="5C84C1BE" w:rsidRDefault="6F880524" w14:paraId="197EC6C5" w14:textId="61494A14">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5.1 Harlow Health and Wellbeing Strategy 2023-2028</w:t>
      </w:r>
      <w:r w:rsidRPr="5C84C1BE" w:rsidR="23A2715D">
        <w:rPr>
          <w:rFonts w:ascii="Arial" w:hAnsi="Arial" w:eastAsia="Arial" w:cs="Arial"/>
          <w:b w:val="1"/>
          <w:bCs w:val="1"/>
          <w:noProof w:val="0"/>
          <w:sz w:val="22"/>
          <w:szCs w:val="22"/>
          <w:lang w:val="en-GB"/>
        </w:rPr>
        <w:t>..............................................8</w:t>
      </w:r>
    </w:p>
    <w:p w:rsidR="6F880524" w:rsidP="5C84C1BE" w:rsidRDefault="6F880524" w14:paraId="3242B757" w14:textId="67077145">
      <w:pPr>
        <w:pStyle w:val="Normal"/>
        <w:spacing w:line="360" w:lineRule="auto"/>
        <w:jc w:val="both"/>
        <w:rPr>
          <w:rFonts w:ascii="Arial" w:hAnsi="Arial" w:eastAsia="Arial" w:cs="Arial"/>
          <w:b w:val="1"/>
          <w:bCs w:val="1"/>
          <w:noProof w:val="0"/>
          <w:sz w:val="22"/>
          <w:szCs w:val="22"/>
          <w:lang w:val="en-GB"/>
        </w:rPr>
      </w:pPr>
      <w:r w:rsidRPr="5C84C1BE" w:rsidR="6F880524">
        <w:rPr>
          <w:rFonts w:ascii="Arial" w:hAnsi="Arial" w:eastAsia="Arial" w:cs="Arial"/>
          <w:b w:val="1"/>
          <w:bCs w:val="1"/>
          <w:noProof w:val="0"/>
          <w:sz w:val="22"/>
          <w:szCs w:val="22"/>
          <w:lang w:val="en-GB"/>
        </w:rPr>
        <w:t>5.2 East Herts Air Quality Action Plan 2024-2029</w:t>
      </w:r>
      <w:r w:rsidRPr="5C84C1BE" w:rsidR="1523B6C9">
        <w:rPr>
          <w:rFonts w:ascii="Arial" w:hAnsi="Arial" w:eastAsia="Arial" w:cs="Arial"/>
          <w:b w:val="1"/>
          <w:bCs w:val="1"/>
          <w:noProof w:val="0"/>
          <w:sz w:val="22"/>
          <w:szCs w:val="22"/>
          <w:lang w:val="en-GB"/>
        </w:rPr>
        <w:t>..................................................8-9</w:t>
      </w:r>
    </w:p>
    <w:p w:rsidR="68382908" w:rsidP="5C84C1BE" w:rsidRDefault="68382908" w14:paraId="2D9F584E" w14:textId="2AB9F493">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r w:rsidRPr="5C84C1BE" w:rsidR="68382908">
        <w:rPr>
          <w:rFonts w:ascii="Arial" w:hAnsi="Arial" w:eastAsia="Arial" w:cs="Arial"/>
          <w:b w:val="1"/>
          <w:bCs w:val="1"/>
          <w:noProof w:val="0"/>
          <w:sz w:val="22"/>
          <w:szCs w:val="22"/>
          <w:lang w:val="en-GB"/>
        </w:rPr>
        <w:t>Conclusion</w:t>
      </w:r>
      <w:r w:rsidRPr="5C84C1BE" w:rsidR="7A8C5856">
        <w:rPr>
          <w:rFonts w:ascii="Arial" w:hAnsi="Arial" w:eastAsia="Arial" w:cs="Arial"/>
          <w:b w:val="1"/>
          <w:bCs w:val="1"/>
          <w:noProof w:val="0"/>
          <w:sz w:val="22"/>
          <w:szCs w:val="22"/>
          <w:lang w:val="en-GB"/>
        </w:rPr>
        <w:t>...............................................................................................................9-10</w:t>
      </w:r>
    </w:p>
    <w:p w:rsidR="5C84C1BE" w:rsidP="5C84C1BE" w:rsidRDefault="5C84C1BE" w14:paraId="1D3881DE" w14:textId="2668F1EE">
      <w:pPr>
        <w:pStyle w:val="Normal"/>
        <w:spacing w:before="240" w:beforeAutospacing="off" w:after="240" w:afterAutospacing="off" w:line="360" w:lineRule="auto"/>
        <w:jc w:val="both"/>
        <w:rPr>
          <w:rFonts w:ascii="Arial" w:hAnsi="Arial" w:eastAsia="Arial" w:cs="Arial"/>
          <w:noProof w:val="0"/>
          <w:sz w:val="22"/>
          <w:szCs w:val="22"/>
          <w:lang w:val="en-GB"/>
        </w:rPr>
      </w:pPr>
    </w:p>
    <w:p w:rsidR="5C84C1BE" w:rsidP="5C84C1BE" w:rsidRDefault="5C84C1BE" w14:paraId="39987EAD" w14:textId="5201A417">
      <w:pPr>
        <w:pStyle w:val="Normal"/>
        <w:spacing w:line="360" w:lineRule="auto"/>
        <w:jc w:val="both"/>
        <w:rPr>
          <w:rFonts w:ascii="Arial" w:hAnsi="Arial" w:eastAsia="Arial" w:cs="Arial"/>
          <w:noProof w:val="0"/>
          <w:sz w:val="22"/>
          <w:szCs w:val="22"/>
          <w:lang w:val="en-GB"/>
        </w:rPr>
      </w:pPr>
    </w:p>
    <w:p w:rsidR="5C84C1BE" w:rsidP="5C84C1BE" w:rsidRDefault="5C84C1BE" w14:paraId="1EA5ACF4" w14:textId="16A6740B">
      <w:pPr>
        <w:pStyle w:val="Normal"/>
        <w:spacing w:line="360" w:lineRule="auto"/>
        <w:jc w:val="both"/>
        <w:rPr>
          <w:rFonts w:ascii="Arial" w:hAnsi="Arial" w:eastAsia="Arial" w:cs="Arial"/>
          <w:noProof w:val="0"/>
          <w:sz w:val="22"/>
          <w:szCs w:val="22"/>
          <w:lang w:val="en-GB"/>
        </w:rPr>
      </w:pPr>
    </w:p>
    <w:p w:rsidR="5C84C1BE" w:rsidP="5C84C1BE" w:rsidRDefault="5C84C1BE" w14:paraId="1D3C2A36" w14:textId="498DEB7D">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65177B96" w14:textId="5F4FCC68">
      <w:pPr>
        <w:pStyle w:val="Normal"/>
        <w:rPr>
          <w:rFonts w:ascii="Arial" w:hAnsi="Arial" w:eastAsia="Arial" w:cs="Arial"/>
          <w:b w:val="1"/>
          <w:bCs w:val="1"/>
          <w:sz w:val="22"/>
          <w:szCs w:val="22"/>
        </w:rPr>
      </w:pPr>
    </w:p>
    <w:p w:rsidR="5C84C1BE" w:rsidP="5C84C1BE" w:rsidRDefault="5C84C1BE" w14:paraId="552835F2" w14:textId="2FB9E261">
      <w:pPr>
        <w:pStyle w:val="Normal"/>
        <w:rPr>
          <w:rFonts w:ascii="Arial" w:hAnsi="Arial" w:eastAsia="Arial" w:cs="Arial"/>
          <w:b w:val="1"/>
          <w:bCs w:val="1"/>
          <w:sz w:val="22"/>
          <w:szCs w:val="22"/>
        </w:rPr>
      </w:pPr>
    </w:p>
    <w:p w:rsidR="5C84C1BE" w:rsidP="5C84C1BE" w:rsidRDefault="5C84C1BE" w14:paraId="006D8492" w14:textId="4E009221">
      <w:pPr>
        <w:pStyle w:val="Normal"/>
        <w:rPr>
          <w:rFonts w:ascii="Arial" w:hAnsi="Arial" w:eastAsia="Arial" w:cs="Arial"/>
          <w:b w:val="1"/>
          <w:bCs w:val="1"/>
        </w:rPr>
      </w:pPr>
    </w:p>
    <w:p w:rsidR="5C84C1BE" w:rsidP="5C84C1BE" w:rsidRDefault="5C84C1BE" w14:paraId="00A79E26" w14:textId="0EC1EE39">
      <w:pPr>
        <w:pStyle w:val="Normal"/>
        <w:rPr>
          <w:rFonts w:ascii="Arial" w:hAnsi="Arial" w:eastAsia="Arial" w:cs="Arial"/>
          <w:b w:val="1"/>
          <w:bCs w:val="1"/>
        </w:rPr>
      </w:pPr>
    </w:p>
    <w:p w:rsidR="5C84C1BE" w:rsidP="5C84C1BE" w:rsidRDefault="5C84C1BE" w14:paraId="0998BCD5" w14:textId="082BF2ED">
      <w:pPr>
        <w:pStyle w:val="Normal"/>
        <w:rPr>
          <w:rFonts w:ascii="Arial" w:hAnsi="Arial" w:eastAsia="Arial" w:cs="Arial"/>
          <w:b w:val="1"/>
          <w:bCs w:val="1"/>
        </w:rPr>
      </w:pPr>
    </w:p>
    <w:p w:rsidR="5C84C1BE" w:rsidP="5C84C1BE" w:rsidRDefault="5C84C1BE" w14:paraId="33706D50" w14:textId="694EDE76">
      <w:pPr>
        <w:pStyle w:val="Normal"/>
        <w:rPr>
          <w:rFonts w:ascii="Arial" w:hAnsi="Arial" w:eastAsia="Arial" w:cs="Arial"/>
          <w:b w:val="1"/>
          <w:bCs w:val="1"/>
        </w:rPr>
      </w:pPr>
    </w:p>
    <w:p w:rsidR="5C84C1BE" w:rsidP="5C84C1BE" w:rsidRDefault="5C84C1BE" w14:paraId="6CA0F874" w14:textId="53D12317">
      <w:pPr>
        <w:pStyle w:val="Normal"/>
        <w:rPr>
          <w:rFonts w:ascii="Arial" w:hAnsi="Arial" w:eastAsia="Arial" w:cs="Arial"/>
          <w:b w:val="1"/>
          <w:bCs w:val="1"/>
        </w:rPr>
      </w:pPr>
    </w:p>
    <w:p w:rsidR="5C84C1BE" w:rsidP="5C84C1BE" w:rsidRDefault="5C84C1BE" w14:paraId="576DDEA7" w14:textId="1111E14D">
      <w:pPr>
        <w:pStyle w:val="Normal"/>
        <w:rPr>
          <w:rFonts w:ascii="Arial" w:hAnsi="Arial" w:eastAsia="Arial" w:cs="Arial"/>
          <w:b w:val="1"/>
          <w:bCs w:val="1"/>
        </w:rPr>
      </w:pPr>
    </w:p>
    <w:p w:rsidR="5C84C1BE" w:rsidP="5C84C1BE" w:rsidRDefault="5C84C1BE" w14:paraId="50E4B563" w14:textId="039F26CD">
      <w:pPr>
        <w:pStyle w:val="Normal"/>
        <w:rPr>
          <w:rFonts w:ascii="Arial" w:hAnsi="Arial" w:eastAsia="Arial" w:cs="Arial"/>
          <w:b w:val="1"/>
          <w:bCs w:val="1"/>
        </w:rPr>
      </w:pPr>
    </w:p>
    <w:p w:rsidR="1409D3F0" w:rsidP="5C84C1BE" w:rsidRDefault="1409D3F0" w14:paraId="44560860" w14:textId="790E8C6D">
      <w:pPr>
        <w:pStyle w:val="Normal"/>
        <w:rPr>
          <w:rFonts w:ascii="Arial" w:hAnsi="Arial" w:eastAsia="Arial" w:cs="Arial"/>
          <w:b w:val="1"/>
          <w:bCs w:val="1"/>
          <w:sz w:val="22"/>
          <w:szCs w:val="22"/>
        </w:rPr>
      </w:pPr>
      <w:r w:rsidRPr="5C84C1BE" w:rsidR="1409D3F0">
        <w:rPr>
          <w:rFonts w:ascii="Arial" w:hAnsi="Arial" w:eastAsia="Arial" w:cs="Arial"/>
          <w:b w:val="1"/>
          <w:bCs w:val="1"/>
          <w:sz w:val="22"/>
          <w:szCs w:val="22"/>
        </w:rPr>
        <w:t>1.</w:t>
      </w:r>
      <w:r w:rsidRPr="5C84C1BE" w:rsidR="51662D2B">
        <w:rPr>
          <w:rFonts w:ascii="Arial" w:hAnsi="Arial" w:eastAsia="Arial" w:cs="Arial"/>
          <w:b w:val="1"/>
          <w:bCs w:val="1"/>
          <w:sz w:val="22"/>
          <w:szCs w:val="22"/>
        </w:rPr>
        <w:t>Introduction</w:t>
      </w:r>
    </w:p>
    <w:p w:rsidR="3B92724C" w:rsidP="5C84C1BE" w:rsidRDefault="3B92724C" w14:paraId="2BB4A11A" w14:textId="72606CD5">
      <w:pPr>
        <w:pStyle w:val="Normal"/>
        <w:spacing w:line="360" w:lineRule="auto"/>
        <w:jc w:val="both"/>
        <w:rPr>
          <w:rFonts w:ascii="Arial" w:hAnsi="Arial" w:eastAsia="Arial" w:cs="Arial"/>
          <w:noProof w:val="0"/>
          <w:sz w:val="22"/>
          <w:szCs w:val="22"/>
          <w:lang w:val="en-GB"/>
        </w:rPr>
      </w:pPr>
      <w:r w:rsidRPr="5C84C1BE" w:rsidR="3B92724C">
        <w:rPr>
          <w:rFonts w:ascii="Arial" w:hAnsi="Arial" w:eastAsia="Arial" w:cs="Arial"/>
          <w:noProof w:val="0"/>
          <w:sz w:val="22"/>
          <w:szCs w:val="22"/>
          <w:lang w:val="en-GB"/>
        </w:rPr>
        <w:t xml:space="preserve">The </w:t>
      </w:r>
      <w:r w:rsidRPr="5C84C1BE" w:rsidR="3B92724C">
        <w:rPr>
          <w:rFonts w:ascii="Arial" w:hAnsi="Arial" w:eastAsia="Arial" w:cs="Arial"/>
          <w:b w:val="0"/>
          <w:bCs w:val="0"/>
          <w:noProof w:val="0"/>
          <w:sz w:val="22"/>
          <w:szCs w:val="22"/>
          <w:lang w:val="en-GB"/>
        </w:rPr>
        <w:t xml:space="preserve">Sustainable Development Goals (SDGs) are a global framework of 17 interconnected goals and 169 targets, adopted by the United Nations in 2015 </w:t>
      </w:r>
      <w:r w:rsidRPr="5C84C1BE" w:rsidR="1D75FDF5">
        <w:rPr>
          <w:rFonts w:ascii="Arial" w:hAnsi="Arial" w:eastAsia="Arial" w:cs="Arial"/>
          <w:b w:val="0"/>
          <w:bCs w:val="0"/>
          <w:noProof w:val="0"/>
          <w:sz w:val="22"/>
          <w:szCs w:val="22"/>
          <w:lang w:val="en-GB"/>
        </w:rPr>
        <w:t>(</w:t>
      </w:r>
      <w:r w:rsidRPr="5C84C1BE" w:rsidR="1D75FDF5">
        <w:rPr>
          <w:rFonts w:ascii="Arial" w:hAnsi="Arial" w:eastAsia="Arial" w:cs="Arial"/>
          <w:b w:val="0"/>
          <w:bCs w:val="0"/>
          <w:noProof w:val="0"/>
          <w:sz w:val="22"/>
          <w:szCs w:val="22"/>
          <w:lang w:val="en-GB"/>
        </w:rPr>
        <w:t xml:space="preserve">Raji and </w:t>
      </w:r>
      <w:r w:rsidRPr="5C84C1BE" w:rsidR="1D75FDF5">
        <w:rPr>
          <w:rFonts w:ascii="Arial" w:hAnsi="Arial" w:eastAsia="Arial" w:cs="Arial"/>
          <w:b w:val="0"/>
          <w:bCs w:val="0"/>
          <w:noProof w:val="0"/>
          <w:sz w:val="22"/>
          <w:szCs w:val="22"/>
          <w:lang w:val="en-GB"/>
        </w:rPr>
        <w:t>Demehin</w:t>
      </w:r>
      <w:r w:rsidRPr="5C84C1BE" w:rsidR="1D75FDF5">
        <w:rPr>
          <w:rFonts w:ascii="Arial" w:hAnsi="Arial" w:eastAsia="Arial" w:cs="Arial"/>
          <w:b w:val="0"/>
          <w:bCs w:val="0"/>
          <w:noProof w:val="0"/>
          <w:sz w:val="22"/>
          <w:szCs w:val="22"/>
          <w:lang w:val="en-GB"/>
        </w:rPr>
        <w:t>, 2023).</w:t>
      </w:r>
      <w:r w:rsidRPr="5C84C1BE" w:rsidR="1D75FDF5">
        <w:rPr>
          <w:rFonts w:ascii="Arial" w:hAnsi="Arial" w:eastAsia="Arial" w:cs="Arial"/>
          <w:noProof w:val="0"/>
          <w:sz w:val="22"/>
          <w:szCs w:val="22"/>
          <w:lang w:val="en-GB"/>
        </w:rPr>
        <w:t xml:space="preserve"> </w:t>
      </w:r>
      <w:r w:rsidRPr="5C84C1BE" w:rsidR="31517618">
        <w:rPr>
          <w:rFonts w:ascii="Arial" w:hAnsi="Arial" w:eastAsia="Arial" w:cs="Arial"/>
          <w:noProof w:val="0"/>
          <w:sz w:val="22"/>
          <w:szCs w:val="22"/>
          <w:lang w:val="en-GB"/>
        </w:rPr>
        <w:t xml:space="preserve">Sustainable development aims to improve quality of life for present and future generations while addressing social, </w:t>
      </w:r>
      <w:r w:rsidRPr="5C84C1BE" w:rsidR="31517618">
        <w:rPr>
          <w:rFonts w:ascii="Arial" w:hAnsi="Arial" w:eastAsia="Arial" w:cs="Arial"/>
          <w:noProof w:val="0"/>
          <w:sz w:val="22"/>
          <w:szCs w:val="22"/>
          <w:lang w:val="en-GB"/>
        </w:rPr>
        <w:t>economic</w:t>
      </w:r>
      <w:r w:rsidRPr="5C84C1BE" w:rsidR="31517618">
        <w:rPr>
          <w:rFonts w:ascii="Arial" w:hAnsi="Arial" w:eastAsia="Arial" w:cs="Arial"/>
          <w:noProof w:val="0"/>
          <w:sz w:val="22"/>
          <w:szCs w:val="22"/>
          <w:lang w:val="en-GB"/>
        </w:rPr>
        <w:t xml:space="preserve"> and environmental challenges. The United Nations Sustainable Development Goals provide a global framework for this work, with relevance for health and social care (Wang and Chen, 2024). This report examines SDG 3: Good Health and Well</w:t>
      </w:r>
      <w:r>
        <w:noBreakHyphen/>
      </w:r>
      <w:r w:rsidRPr="5C84C1BE" w:rsidR="31517618">
        <w:rPr>
          <w:rFonts w:ascii="Arial" w:hAnsi="Arial" w:eastAsia="Arial" w:cs="Arial"/>
          <w:noProof w:val="0"/>
          <w:sz w:val="22"/>
          <w:szCs w:val="22"/>
          <w:lang w:val="en-GB"/>
        </w:rPr>
        <w:t>being and SDG 10: Reduced Inequalities, exploring their contribution to population health, healthcare access and long</w:t>
      </w:r>
      <w:r>
        <w:noBreakHyphen/>
      </w:r>
      <w:r w:rsidRPr="5C84C1BE" w:rsidR="31517618">
        <w:rPr>
          <w:rFonts w:ascii="Arial" w:hAnsi="Arial" w:eastAsia="Arial" w:cs="Arial"/>
          <w:noProof w:val="0"/>
          <w:sz w:val="22"/>
          <w:szCs w:val="22"/>
          <w:lang w:val="en-GB"/>
        </w:rPr>
        <w:t xml:space="preserve">term condition management. It also reviews two national and two local wellbeing and sustainable development initiatives, assessing their impact and offering recommendations to strengthen health outcomes and reduce inequalities. </w:t>
      </w:r>
    </w:p>
    <w:p w:rsidR="5FCB1356" w:rsidP="5C84C1BE" w:rsidRDefault="5FCB1356" w14:paraId="614B2559" w14:textId="390CA0FD">
      <w:pPr>
        <w:pStyle w:val="Normal"/>
        <w:spacing w:line="360" w:lineRule="auto"/>
        <w:jc w:val="both"/>
        <w:rPr>
          <w:rFonts w:ascii="Arial" w:hAnsi="Arial" w:eastAsia="Arial" w:cs="Arial"/>
          <w:b w:val="1"/>
          <w:bCs w:val="1"/>
          <w:sz w:val="22"/>
          <w:szCs w:val="22"/>
        </w:rPr>
      </w:pPr>
      <w:r w:rsidRPr="5C84C1BE" w:rsidR="5FCB1356">
        <w:rPr>
          <w:rFonts w:ascii="Arial" w:hAnsi="Arial" w:eastAsia="Arial" w:cs="Arial"/>
          <w:b w:val="1"/>
          <w:bCs w:val="1"/>
          <w:sz w:val="22"/>
          <w:szCs w:val="22"/>
        </w:rPr>
        <w:t>2</w:t>
      </w:r>
      <w:r w:rsidRPr="5C84C1BE" w:rsidR="055951F9">
        <w:rPr>
          <w:rFonts w:ascii="Arial" w:hAnsi="Arial" w:eastAsia="Arial" w:cs="Arial"/>
          <w:b w:val="1"/>
          <w:bCs w:val="1"/>
          <w:sz w:val="22"/>
          <w:szCs w:val="22"/>
        </w:rPr>
        <w:t>. Sustainable Development (SDG) Goal 3: Good Health and Well-being</w:t>
      </w:r>
    </w:p>
    <w:p w:rsidR="5B45C9AA" w:rsidP="5C84C1BE" w:rsidRDefault="5B45C9AA" w14:paraId="41FCB8CB" w14:textId="77E1A605">
      <w:pPr>
        <w:pStyle w:val="Normal"/>
        <w:spacing w:line="360" w:lineRule="auto"/>
        <w:jc w:val="both"/>
        <w:rPr>
          <w:rFonts w:ascii="Arial" w:hAnsi="Arial" w:eastAsia="Arial" w:cs="Arial"/>
          <w:noProof w:val="0"/>
          <w:sz w:val="22"/>
          <w:szCs w:val="22"/>
          <w:lang w:val="en-GB"/>
        </w:rPr>
      </w:pPr>
      <w:r w:rsidRPr="5C84C1BE" w:rsidR="5B45C9AA">
        <w:rPr>
          <w:rFonts w:ascii="Arial" w:hAnsi="Arial" w:eastAsia="Arial" w:cs="Arial"/>
          <w:b w:val="0"/>
          <w:bCs w:val="0"/>
          <w:sz w:val="22"/>
          <w:szCs w:val="22"/>
        </w:rPr>
        <w:t xml:space="preserve">According to </w:t>
      </w:r>
      <w:r w:rsidRPr="5C84C1BE" w:rsidR="66B7FF3B">
        <w:rPr>
          <w:rFonts w:ascii="Arial" w:hAnsi="Arial" w:eastAsia="Arial" w:cs="Arial"/>
          <w:b w:val="0"/>
          <w:bCs w:val="0"/>
          <w:sz w:val="22"/>
          <w:szCs w:val="22"/>
        </w:rPr>
        <w:t>(Verguet</w:t>
      </w:r>
      <w:r w:rsidRPr="5C84C1BE" w:rsidR="66B7FF3B">
        <w:rPr>
          <w:rFonts w:ascii="Arial" w:hAnsi="Arial" w:eastAsia="Arial" w:cs="Arial"/>
          <w:sz w:val="22"/>
          <w:szCs w:val="22"/>
        </w:rPr>
        <w:t xml:space="preserve"> </w:t>
      </w:r>
      <w:r w:rsidRPr="5C84C1BE" w:rsidR="66B7FF3B">
        <w:rPr>
          <w:rFonts w:ascii="Arial" w:hAnsi="Arial" w:eastAsia="Arial" w:cs="Arial"/>
          <w:i w:val="1"/>
          <w:iCs w:val="1"/>
          <w:sz w:val="22"/>
          <w:szCs w:val="22"/>
        </w:rPr>
        <w:t>et al</w:t>
      </w:r>
      <w:r w:rsidRPr="5C84C1BE" w:rsidR="66B7FF3B">
        <w:rPr>
          <w:rFonts w:ascii="Arial" w:hAnsi="Arial" w:eastAsia="Arial" w:cs="Arial"/>
          <w:sz w:val="22"/>
          <w:szCs w:val="22"/>
        </w:rPr>
        <w:t>., 2021</w:t>
      </w:r>
      <w:r w:rsidRPr="5C84C1BE" w:rsidR="5B45C9AA">
        <w:rPr>
          <w:rFonts w:ascii="Arial" w:hAnsi="Arial" w:eastAsia="Arial" w:cs="Arial"/>
          <w:b w:val="0"/>
          <w:bCs w:val="0"/>
          <w:sz w:val="22"/>
          <w:szCs w:val="22"/>
        </w:rPr>
        <w:t xml:space="preserve">) </w:t>
      </w:r>
      <w:r w:rsidRPr="5C84C1BE" w:rsidR="7CDE4F31">
        <w:rPr>
          <w:rFonts w:ascii="Arial" w:hAnsi="Arial" w:eastAsia="Arial" w:cs="Arial"/>
          <w:noProof w:val="0"/>
          <w:sz w:val="22"/>
          <w:szCs w:val="22"/>
          <w:lang w:val="en-GB"/>
        </w:rPr>
        <w:t>SDG 3 aims to ensure healthy lives and promote well</w:t>
      </w:r>
      <w:r>
        <w:noBreakHyphen/>
      </w:r>
      <w:r w:rsidRPr="5C84C1BE" w:rsidR="7CDE4F31">
        <w:rPr>
          <w:rFonts w:ascii="Arial" w:hAnsi="Arial" w:eastAsia="Arial" w:cs="Arial"/>
          <w:noProof w:val="0"/>
          <w:sz w:val="22"/>
          <w:szCs w:val="22"/>
          <w:lang w:val="en-GB"/>
        </w:rPr>
        <w:t>being for all, focusing on reducing maternal and child mortality, tackling communicable and non</w:t>
      </w:r>
      <w:r>
        <w:noBreakHyphen/>
      </w:r>
      <w:r w:rsidRPr="5C84C1BE" w:rsidR="7CDE4F31">
        <w:rPr>
          <w:rFonts w:ascii="Arial" w:hAnsi="Arial" w:eastAsia="Arial" w:cs="Arial"/>
          <w:noProof w:val="0"/>
          <w:sz w:val="22"/>
          <w:szCs w:val="22"/>
          <w:lang w:val="en-GB"/>
        </w:rPr>
        <w:t>communicable diseases, strengthening prevention, improving access to essential medicines and vaccines, and advancing universal health coverage so people receive affordable, appropriate care without financial hardship.</w:t>
      </w:r>
    </w:p>
    <w:p w:rsidR="4EB20149" w:rsidP="5C84C1BE" w:rsidRDefault="4EB20149" w14:paraId="6E38701E" w14:textId="2AF1E1ED">
      <w:pPr>
        <w:pStyle w:val="Normal"/>
        <w:spacing w:line="360" w:lineRule="auto"/>
        <w:jc w:val="both"/>
        <w:rPr>
          <w:rFonts w:ascii="Arial" w:hAnsi="Arial" w:eastAsia="Arial" w:cs="Arial"/>
          <w:noProof w:val="0"/>
          <w:sz w:val="22"/>
          <w:szCs w:val="22"/>
          <w:lang w:val="en-GB"/>
        </w:rPr>
      </w:pPr>
      <w:r w:rsidRPr="5C84C1BE" w:rsidR="4EB20149">
        <w:rPr>
          <w:rFonts w:ascii="Arial" w:hAnsi="Arial" w:eastAsia="Arial" w:cs="Arial"/>
          <w:noProof w:val="0"/>
          <w:sz w:val="22"/>
          <w:szCs w:val="22"/>
          <w:lang w:val="en-GB"/>
        </w:rPr>
        <w:t xml:space="preserve">SDG 3 promotes </w:t>
      </w:r>
      <w:r w:rsidRPr="5C84C1BE" w:rsidR="4EB20149">
        <w:rPr>
          <w:rFonts w:ascii="Arial" w:hAnsi="Arial" w:eastAsia="Arial" w:cs="Arial"/>
          <w:noProof w:val="0"/>
          <w:sz w:val="22"/>
          <w:szCs w:val="22"/>
          <w:lang w:val="en-GB"/>
        </w:rPr>
        <w:t>equitable</w:t>
      </w:r>
      <w:r w:rsidRPr="5C84C1BE" w:rsidR="4EB20149">
        <w:rPr>
          <w:rFonts w:ascii="Arial" w:hAnsi="Arial" w:eastAsia="Arial" w:cs="Arial"/>
          <w:noProof w:val="0"/>
          <w:sz w:val="22"/>
          <w:szCs w:val="22"/>
          <w:lang w:val="en-GB"/>
        </w:rPr>
        <w:t xml:space="preserve"> access to healthcare by emphasising that essential services, </w:t>
      </w:r>
      <w:r w:rsidRPr="5C84C1BE" w:rsidR="4EB20149">
        <w:rPr>
          <w:rFonts w:ascii="Arial" w:hAnsi="Arial" w:eastAsia="Arial" w:cs="Arial"/>
          <w:noProof w:val="0"/>
          <w:sz w:val="22"/>
          <w:szCs w:val="22"/>
          <w:lang w:val="en-GB"/>
        </w:rPr>
        <w:t>medicines</w:t>
      </w:r>
      <w:r w:rsidRPr="5C84C1BE" w:rsidR="4EB20149">
        <w:rPr>
          <w:rFonts w:ascii="Arial" w:hAnsi="Arial" w:eastAsia="Arial" w:cs="Arial"/>
          <w:noProof w:val="0"/>
          <w:sz w:val="22"/>
          <w:szCs w:val="22"/>
          <w:lang w:val="en-GB"/>
        </w:rPr>
        <w:t xml:space="preserve"> and treatments should be available to everyone, regardless of socioeconomic background. According to </w:t>
      </w:r>
      <w:r w:rsidRPr="5C84C1BE" w:rsidR="523AFFDC">
        <w:rPr>
          <w:rFonts w:ascii="Arial" w:hAnsi="Arial" w:eastAsia="Arial" w:cs="Arial"/>
          <w:noProof w:val="0"/>
          <w:sz w:val="22"/>
          <w:szCs w:val="22"/>
          <w:lang w:val="en-GB"/>
        </w:rPr>
        <w:t>(</w:t>
      </w:r>
      <w:r w:rsidRPr="5C84C1BE" w:rsidR="4EB20149">
        <w:rPr>
          <w:rFonts w:ascii="Arial" w:hAnsi="Arial" w:eastAsia="Arial" w:cs="Arial"/>
          <w:noProof w:val="0"/>
          <w:sz w:val="22"/>
          <w:szCs w:val="22"/>
          <w:lang w:val="en-GB"/>
        </w:rPr>
        <w:t>Chattu</w:t>
      </w:r>
      <w:r w:rsidRPr="5C84C1BE" w:rsidR="4EB20149">
        <w:rPr>
          <w:rFonts w:ascii="Arial" w:hAnsi="Arial" w:eastAsia="Arial" w:cs="Arial"/>
          <w:noProof w:val="0"/>
          <w:sz w:val="22"/>
          <w:szCs w:val="22"/>
          <w:lang w:val="en-GB"/>
        </w:rPr>
        <w:t xml:space="preserve"> </w:t>
      </w:r>
      <w:r w:rsidRPr="5C84C1BE" w:rsidR="4EB20149">
        <w:rPr>
          <w:rFonts w:ascii="Arial" w:hAnsi="Arial" w:eastAsia="Arial" w:cs="Arial"/>
          <w:i w:val="1"/>
          <w:iCs w:val="1"/>
          <w:noProof w:val="0"/>
          <w:sz w:val="22"/>
          <w:szCs w:val="22"/>
          <w:lang w:val="en-GB"/>
        </w:rPr>
        <w:t>et al</w:t>
      </w:r>
      <w:r w:rsidRPr="5C84C1BE" w:rsidR="209E2CDE">
        <w:rPr>
          <w:rFonts w:ascii="Arial" w:hAnsi="Arial" w:eastAsia="Arial" w:cs="Arial"/>
          <w:noProof w:val="0"/>
          <w:sz w:val="22"/>
          <w:szCs w:val="22"/>
          <w:lang w:val="en-GB"/>
        </w:rPr>
        <w:t>,</w:t>
      </w:r>
      <w:r w:rsidRPr="5C84C1BE" w:rsidR="4EB20149">
        <w:rPr>
          <w:rFonts w:ascii="Arial" w:hAnsi="Arial" w:eastAsia="Arial" w:cs="Arial"/>
          <w:noProof w:val="0"/>
          <w:sz w:val="22"/>
          <w:szCs w:val="22"/>
          <w:lang w:val="en-GB"/>
        </w:rPr>
        <w:t xml:space="preserve">2021), access to essential medicines is </w:t>
      </w:r>
      <w:r w:rsidRPr="5C84C1BE" w:rsidR="4EB20149">
        <w:rPr>
          <w:rFonts w:ascii="Arial" w:hAnsi="Arial" w:eastAsia="Arial" w:cs="Arial"/>
          <w:noProof w:val="0"/>
          <w:sz w:val="22"/>
          <w:szCs w:val="22"/>
          <w:lang w:val="en-GB"/>
        </w:rPr>
        <w:t>a central component</w:t>
      </w:r>
      <w:r w:rsidRPr="5C84C1BE" w:rsidR="4EB20149">
        <w:rPr>
          <w:rFonts w:ascii="Arial" w:hAnsi="Arial" w:eastAsia="Arial" w:cs="Arial"/>
          <w:noProof w:val="0"/>
          <w:sz w:val="22"/>
          <w:szCs w:val="22"/>
          <w:lang w:val="en-GB"/>
        </w:rPr>
        <w:t xml:space="preserve"> of universal health coverage and a key factor in reducing healthcare disparities. Ensuring fair access enables individuals, particularly those in disadvantaged groups, to obtain </w:t>
      </w:r>
      <w:r w:rsidRPr="5C84C1BE" w:rsidR="4EB20149">
        <w:rPr>
          <w:rFonts w:ascii="Arial" w:hAnsi="Arial" w:eastAsia="Arial" w:cs="Arial"/>
          <w:noProof w:val="0"/>
          <w:sz w:val="22"/>
          <w:szCs w:val="22"/>
          <w:lang w:val="en-GB"/>
        </w:rPr>
        <w:t>appropriate treatment</w:t>
      </w:r>
      <w:r w:rsidRPr="5C84C1BE" w:rsidR="4EB20149">
        <w:rPr>
          <w:rFonts w:ascii="Arial" w:hAnsi="Arial" w:eastAsia="Arial" w:cs="Arial"/>
          <w:noProof w:val="0"/>
          <w:sz w:val="22"/>
          <w:szCs w:val="22"/>
          <w:lang w:val="en-GB"/>
        </w:rPr>
        <w:t>, manage health conditions effectively and ultimately improve overall health outcomes and well</w:t>
      </w:r>
      <w:r>
        <w:noBreakHyphen/>
      </w:r>
      <w:r w:rsidRPr="5C84C1BE" w:rsidR="4EB20149">
        <w:rPr>
          <w:rFonts w:ascii="Arial" w:hAnsi="Arial" w:eastAsia="Arial" w:cs="Arial"/>
          <w:noProof w:val="0"/>
          <w:sz w:val="22"/>
          <w:szCs w:val="22"/>
          <w:lang w:val="en-GB"/>
        </w:rPr>
        <w:t xml:space="preserve">being. </w:t>
      </w:r>
    </w:p>
    <w:p w:rsidR="652C9FA8" w:rsidP="5C84C1BE" w:rsidRDefault="652C9FA8" w14:paraId="34BE5DE5" w14:textId="16FE89FC">
      <w:pPr>
        <w:pStyle w:val="Normal"/>
        <w:spacing w:line="360" w:lineRule="auto"/>
        <w:jc w:val="both"/>
        <w:rPr>
          <w:rFonts w:ascii="Arial" w:hAnsi="Arial" w:eastAsia="Arial" w:cs="Arial"/>
          <w:noProof w:val="0"/>
          <w:sz w:val="22"/>
          <w:szCs w:val="22"/>
          <w:lang w:val="en-GB"/>
        </w:rPr>
      </w:pPr>
      <w:r w:rsidRPr="5C84C1BE" w:rsidR="652C9FA8">
        <w:rPr>
          <w:rFonts w:ascii="Arial" w:hAnsi="Arial" w:eastAsia="Arial" w:cs="Arial"/>
          <w:noProof w:val="0"/>
          <w:sz w:val="22"/>
          <w:szCs w:val="22"/>
          <w:lang w:val="en-GB"/>
        </w:rPr>
        <w:t>Health promotion is another key element of SDG 3, as it centres on preventing illness and supporting individuals to adopt behaviours that sustain long</w:t>
      </w:r>
      <w:r>
        <w:noBreakHyphen/>
      </w:r>
      <w:r w:rsidRPr="5C84C1BE" w:rsidR="652C9FA8">
        <w:rPr>
          <w:rFonts w:ascii="Arial" w:hAnsi="Arial" w:eastAsia="Arial" w:cs="Arial"/>
          <w:noProof w:val="0"/>
          <w:sz w:val="22"/>
          <w:szCs w:val="22"/>
          <w:lang w:val="en-GB"/>
        </w:rPr>
        <w:t>term health and well</w:t>
      </w:r>
      <w:r>
        <w:noBreakHyphen/>
      </w:r>
      <w:r w:rsidRPr="5C84C1BE" w:rsidR="652C9FA8">
        <w:rPr>
          <w:rFonts w:ascii="Arial" w:hAnsi="Arial" w:eastAsia="Arial" w:cs="Arial"/>
          <w:noProof w:val="0"/>
          <w:sz w:val="22"/>
          <w:szCs w:val="22"/>
          <w:lang w:val="en-GB"/>
        </w:rPr>
        <w:t xml:space="preserve">being. </w:t>
      </w:r>
      <w:r w:rsidRPr="5C84C1BE" w:rsidR="5BECE30D">
        <w:rPr>
          <w:rFonts w:ascii="Arial" w:hAnsi="Arial" w:eastAsia="Arial" w:cs="Arial"/>
          <w:noProof w:val="0"/>
          <w:sz w:val="22"/>
          <w:szCs w:val="22"/>
          <w:lang w:val="en-GB"/>
        </w:rPr>
        <w:t>(</w:t>
      </w:r>
      <w:r w:rsidRPr="5C84C1BE" w:rsidR="652C9FA8">
        <w:rPr>
          <w:rFonts w:ascii="Arial" w:hAnsi="Arial" w:eastAsia="Arial" w:cs="Arial"/>
          <w:noProof w:val="0"/>
          <w:sz w:val="22"/>
          <w:szCs w:val="22"/>
          <w:lang w:val="en-GB"/>
        </w:rPr>
        <w:t xml:space="preserve">Macassa </w:t>
      </w:r>
      <w:r w:rsidRPr="5C84C1BE" w:rsidR="7CAEB0BF">
        <w:rPr>
          <w:rFonts w:ascii="Arial" w:hAnsi="Arial" w:eastAsia="Arial" w:cs="Arial"/>
          <w:noProof w:val="0"/>
          <w:sz w:val="22"/>
          <w:szCs w:val="22"/>
          <w:lang w:val="en-GB"/>
        </w:rPr>
        <w:t>,</w:t>
      </w:r>
      <w:r w:rsidRPr="5C84C1BE" w:rsidR="652C9FA8">
        <w:rPr>
          <w:rFonts w:ascii="Arial" w:hAnsi="Arial" w:eastAsia="Arial" w:cs="Arial"/>
          <w:noProof w:val="0"/>
          <w:sz w:val="22"/>
          <w:szCs w:val="22"/>
          <w:lang w:val="en-GB"/>
        </w:rPr>
        <w:t xml:space="preserve">2021) emphasises the value of sustainable health behaviours, particularly balanced </w:t>
      </w:r>
      <w:r w:rsidRPr="5C84C1BE" w:rsidR="652C9FA8">
        <w:rPr>
          <w:rFonts w:ascii="Arial" w:hAnsi="Arial" w:eastAsia="Arial" w:cs="Arial"/>
          <w:noProof w:val="0"/>
          <w:sz w:val="22"/>
          <w:szCs w:val="22"/>
          <w:lang w:val="en-GB"/>
        </w:rPr>
        <w:t>nutrition</w:t>
      </w:r>
      <w:r w:rsidRPr="5C84C1BE" w:rsidR="652C9FA8">
        <w:rPr>
          <w:rFonts w:ascii="Arial" w:hAnsi="Arial" w:eastAsia="Arial" w:cs="Arial"/>
          <w:noProof w:val="0"/>
          <w:sz w:val="22"/>
          <w:szCs w:val="22"/>
          <w:lang w:val="en-GB"/>
        </w:rPr>
        <w:t xml:space="preserve"> and regular physical activity, in contributing to healthy lives and well</w:t>
      </w:r>
      <w:r>
        <w:noBreakHyphen/>
      </w:r>
      <w:r w:rsidRPr="5C84C1BE" w:rsidR="652C9FA8">
        <w:rPr>
          <w:rFonts w:ascii="Arial" w:hAnsi="Arial" w:eastAsia="Arial" w:cs="Arial"/>
          <w:noProof w:val="0"/>
          <w:sz w:val="22"/>
          <w:szCs w:val="22"/>
          <w:lang w:val="en-GB"/>
        </w:rPr>
        <w:t>being throughout the life course. Encouraging these behaviours can lower the risk of preventable non</w:t>
      </w:r>
      <w:r>
        <w:noBreakHyphen/>
      </w:r>
      <w:r w:rsidRPr="5C84C1BE" w:rsidR="652C9FA8">
        <w:rPr>
          <w:rFonts w:ascii="Arial" w:hAnsi="Arial" w:eastAsia="Arial" w:cs="Arial"/>
          <w:noProof w:val="0"/>
          <w:sz w:val="22"/>
          <w:szCs w:val="22"/>
          <w:lang w:val="en-GB"/>
        </w:rPr>
        <w:t>communicable diseases and enhance overall population health. This shows that achieving SDG 3 requires not only effective healthcare provision but also preventative approaches that enable individuals and communities to make healthier choices.</w:t>
      </w:r>
    </w:p>
    <w:p w:rsidR="69EBBA68" w:rsidP="5C84C1BE" w:rsidRDefault="69EBBA68" w14:paraId="294C59A7" w14:textId="5F4C2E4C">
      <w:pPr>
        <w:pStyle w:val="Normal"/>
        <w:spacing w:line="360" w:lineRule="auto"/>
        <w:jc w:val="both"/>
        <w:rPr>
          <w:rFonts w:ascii="Arial" w:hAnsi="Arial" w:eastAsia="Arial" w:cs="Arial"/>
          <w:noProof w:val="0"/>
          <w:sz w:val="22"/>
          <w:szCs w:val="22"/>
          <w:lang w:val="en-GB"/>
        </w:rPr>
      </w:pPr>
      <w:r w:rsidRPr="5C84C1BE" w:rsidR="69EBBA68">
        <w:rPr>
          <w:rFonts w:ascii="Arial" w:hAnsi="Arial" w:eastAsia="Arial" w:cs="Arial"/>
          <w:noProof w:val="0"/>
          <w:sz w:val="22"/>
          <w:szCs w:val="22"/>
          <w:lang w:val="en-GB"/>
        </w:rPr>
        <w:t xml:space="preserve">SDG 3 also supports equitable access to healthcare by stressing the need to ensure that essential health services, medicines and treatments are available to everyone, regardless of socioeconomic background. </w:t>
      </w:r>
      <w:r w:rsidRPr="5C84C1BE" w:rsidR="07AED0B4">
        <w:rPr>
          <w:rFonts w:ascii="Arial" w:hAnsi="Arial" w:eastAsia="Arial" w:cs="Arial"/>
          <w:noProof w:val="0"/>
          <w:sz w:val="22"/>
          <w:szCs w:val="22"/>
          <w:lang w:val="en-GB"/>
        </w:rPr>
        <w:t>Based on (</w:t>
      </w:r>
      <w:r w:rsidRPr="5C84C1BE" w:rsidR="69EBBA68">
        <w:rPr>
          <w:rFonts w:ascii="Arial" w:hAnsi="Arial" w:eastAsia="Arial" w:cs="Arial"/>
          <w:noProof w:val="0"/>
          <w:sz w:val="22"/>
          <w:szCs w:val="22"/>
          <w:lang w:val="en-GB"/>
        </w:rPr>
        <w:t xml:space="preserve">Chattu </w:t>
      </w:r>
      <w:r w:rsidRPr="5C84C1BE" w:rsidR="69EBBA68">
        <w:rPr>
          <w:rFonts w:ascii="Arial" w:hAnsi="Arial" w:eastAsia="Arial" w:cs="Arial"/>
          <w:i w:val="1"/>
          <w:iCs w:val="1"/>
          <w:noProof w:val="0"/>
          <w:sz w:val="22"/>
          <w:szCs w:val="22"/>
          <w:lang w:val="en-GB"/>
        </w:rPr>
        <w:t>et al</w:t>
      </w:r>
      <w:r w:rsidRPr="5C84C1BE" w:rsidR="0C752509">
        <w:rPr>
          <w:rFonts w:ascii="Arial" w:hAnsi="Arial" w:eastAsia="Arial" w:cs="Arial"/>
          <w:noProof w:val="0"/>
          <w:sz w:val="22"/>
          <w:szCs w:val="22"/>
          <w:lang w:val="en-GB"/>
        </w:rPr>
        <w:t>,</w:t>
      </w:r>
      <w:r w:rsidRPr="5C84C1BE" w:rsidR="69EBBA68">
        <w:rPr>
          <w:rFonts w:ascii="Arial" w:hAnsi="Arial" w:eastAsia="Arial" w:cs="Arial"/>
          <w:noProof w:val="0"/>
          <w:sz w:val="22"/>
          <w:szCs w:val="22"/>
          <w:lang w:val="en-GB"/>
        </w:rPr>
        <w:t>2021) access to essential medicines is a key element in achieving universal health coverage and reducing disparities in healthcare provision. Ensuring fair access to medicines and healthcare can therefore improve health outcomes and well</w:t>
      </w:r>
      <w:r>
        <w:noBreakHyphen/>
      </w:r>
      <w:r w:rsidRPr="5C84C1BE" w:rsidR="69EBBA68">
        <w:rPr>
          <w:rFonts w:ascii="Arial" w:hAnsi="Arial" w:eastAsia="Arial" w:cs="Arial"/>
          <w:noProof w:val="0"/>
          <w:sz w:val="22"/>
          <w:szCs w:val="22"/>
          <w:lang w:val="en-GB"/>
        </w:rPr>
        <w:t xml:space="preserve">being by enabling individuals, particularly those in disadvantaged groups, to obtain </w:t>
      </w:r>
      <w:r w:rsidRPr="5C84C1BE" w:rsidR="69EBBA68">
        <w:rPr>
          <w:rFonts w:ascii="Arial" w:hAnsi="Arial" w:eastAsia="Arial" w:cs="Arial"/>
          <w:noProof w:val="0"/>
          <w:sz w:val="22"/>
          <w:szCs w:val="22"/>
          <w:lang w:val="en-GB"/>
        </w:rPr>
        <w:t>appropriate treatment</w:t>
      </w:r>
      <w:r w:rsidRPr="5C84C1BE" w:rsidR="69EBBA68">
        <w:rPr>
          <w:rFonts w:ascii="Arial" w:hAnsi="Arial" w:eastAsia="Arial" w:cs="Arial"/>
          <w:noProof w:val="0"/>
          <w:sz w:val="22"/>
          <w:szCs w:val="22"/>
          <w:lang w:val="en-GB"/>
        </w:rPr>
        <w:t xml:space="preserve"> and manage health conditions effectively.</w:t>
      </w:r>
    </w:p>
    <w:p w:rsidR="73DE0E5A" w:rsidP="5C84C1BE" w:rsidRDefault="73DE0E5A" w14:paraId="1E0A66C0" w14:textId="2E007005">
      <w:pPr>
        <w:pStyle w:val="Normal"/>
        <w:spacing w:line="360" w:lineRule="auto"/>
        <w:jc w:val="both"/>
        <w:rPr>
          <w:rFonts w:ascii="Arial" w:hAnsi="Arial" w:eastAsia="Arial" w:cs="Arial"/>
          <w:noProof w:val="0"/>
          <w:sz w:val="22"/>
          <w:szCs w:val="22"/>
          <w:lang w:val="en-GB"/>
        </w:rPr>
      </w:pPr>
      <w:r w:rsidRPr="5C84C1BE" w:rsidR="73DE0E5A">
        <w:rPr>
          <w:rFonts w:ascii="Arial" w:hAnsi="Arial" w:eastAsia="Arial" w:cs="Arial"/>
          <w:noProof w:val="0"/>
          <w:sz w:val="22"/>
          <w:szCs w:val="22"/>
          <w:lang w:val="en-GB"/>
        </w:rPr>
        <w:t>SDG 3 has a substantial influence on citizens by promoting approaches that enhance both health outcomes and broader social well</w:t>
      </w:r>
      <w:r>
        <w:noBreakHyphen/>
      </w:r>
      <w:r w:rsidRPr="5C84C1BE" w:rsidR="73DE0E5A">
        <w:rPr>
          <w:rFonts w:ascii="Arial" w:hAnsi="Arial" w:eastAsia="Arial" w:cs="Arial"/>
          <w:noProof w:val="0"/>
          <w:sz w:val="22"/>
          <w:szCs w:val="22"/>
          <w:lang w:val="en-GB"/>
        </w:rPr>
        <w:t xml:space="preserve">being. </w:t>
      </w:r>
      <w:r w:rsidRPr="5C84C1BE" w:rsidR="2AEA1751">
        <w:rPr>
          <w:rFonts w:ascii="Arial" w:hAnsi="Arial" w:eastAsia="Arial" w:cs="Arial"/>
          <w:noProof w:val="0"/>
          <w:sz w:val="22"/>
          <w:szCs w:val="22"/>
          <w:lang w:val="en-GB"/>
        </w:rPr>
        <w:t>(</w:t>
      </w:r>
      <w:r w:rsidRPr="5C84C1BE" w:rsidR="1A1A160E">
        <w:rPr>
          <w:rFonts w:ascii="Arial" w:hAnsi="Arial" w:eastAsia="Arial" w:cs="Arial"/>
          <w:noProof w:val="0"/>
          <w:sz w:val="22"/>
          <w:szCs w:val="22"/>
          <w:lang w:val="en-GB"/>
        </w:rPr>
        <w:t xml:space="preserve">Chaudhuri, </w:t>
      </w:r>
      <w:r w:rsidRPr="5C84C1BE" w:rsidR="1A1A160E">
        <w:rPr>
          <w:rFonts w:ascii="Arial" w:hAnsi="Arial" w:eastAsia="Arial" w:cs="Arial"/>
          <w:noProof w:val="0"/>
          <w:sz w:val="22"/>
          <w:szCs w:val="22"/>
          <w:lang w:val="en-GB"/>
        </w:rPr>
        <w:t>Sharma</w:t>
      </w:r>
      <w:r w:rsidRPr="5C84C1BE" w:rsidR="1A1A160E">
        <w:rPr>
          <w:rFonts w:ascii="Arial" w:hAnsi="Arial" w:eastAsia="Arial" w:cs="Arial"/>
          <w:noProof w:val="0"/>
          <w:sz w:val="22"/>
          <w:szCs w:val="22"/>
          <w:lang w:val="en-GB"/>
        </w:rPr>
        <w:t xml:space="preserve"> and Yazan</w:t>
      </w:r>
      <w:r w:rsidRPr="5C84C1BE" w:rsidR="4DE10FD2">
        <w:rPr>
          <w:rFonts w:ascii="Arial" w:hAnsi="Arial" w:eastAsia="Arial" w:cs="Arial"/>
          <w:noProof w:val="0"/>
          <w:sz w:val="22"/>
          <w:szCs w:val="22"/>
          <w:lang w:val="en-GB"/>
        </w:rPr>
        <w:t>,</w:t>
      </w:r>
      <w:r w:rsidRPr="5C84C1BE" w:rsidR="1A1A160E">
        <w:rPr>
          <w:rFonts w:ascii="Arial" w:hAnsi="Arial" w:eastAsia="Arial" w:cs="Arial"/>
          <w:noProof w:val="0"/>
          <w:sz w:val="22"/>
          <w:szCs w:val="22"/>
          <w:lang w:val="en-GB"/>
        </w:rPr>
        <w:t xml:space="preserve">2025) emphasise the value of sustainable strategies that integrate health, social and environmental factors to build healthier and more resilient communities, alongside financial stability that supports security and enables access to health programmes. </w:t>
      </w:r>
      <w:r w:rsidRPr="5C84C1BE" w:rsidR="73DE0E5A">
        <w:rPr>
          <w:rFonts w:ascii="Arial" w:hAnsi="Arial" w:eastAsia="Arial" w:cs="Arial"/>
          <w:noProof w:val="0"/>
          <w:sz w:val="22"/>
          <w:szCs w:val="22"/>
          <w:lang w:val="en-GB"/>
        </w:rPr>
        <w:t xml:space="preserve">This perspective acknowledges that people’s health is shaped not only by access to healthcare but also by wider social and environmental conditions. </w:t>
      </w:r>
    </w:p>
    <w:p w:rsidR="3A3EB128" w:rsidP="5C84C1BE" w:rsidRDefault="3A3EB128" w14:paraId="3F44EAD4" w14:textId="2F410382">
      <w:pPr>
        <w:pStyle w:val="Normal"/>
        <w:spacing w:line="360" w:lineRule="auto"/>
        <w:jc w:val="both"/>
        <w:rPr>
          <w:rFonts w:ascii="Arial" w:hAnsi="Arial" w:eastAsia="Arial" w:cs="Arial"/>
          <w:noProof w:val="0"/>
          <w:sz w:val="22"/>
          <w:szCs w:val="22"/>
          <w:lang w:val="en-GB"/>
        </w:rPr>
      </w:pPr>
      <w:r w:rsidRPr="5C84C1BE" w:rsidR="3A3EB128">
        <w:rPr>
          <w:rFonts w:ascii="Arial" w:hAnsi="Arial" w:eastAsia="Arial" w:cs="Arial"/>
          <w:noProof w:val="0"/>
          <w:sz w:val="22"/>
          <w:szCs w:val="22"/>
          <w:lang w:val="en-GB"/>
        </w:rPr>
        <w:t xml:space="preserve">However, the adoption of the 2030 Agenda, global progress toward achieving the Sustainable Development Goals (SDGs) </w:t>
      </w:r>
      <w:r w:rsidRPr="5C84C1BE" w:rsidR="3A3EB128">
        <w:rPr>
          <w:rFonts w:ascii="Arial" w:hAnsi="Arial" w:eastAsia="Arial" w:cs="Arial"/>
          <w:noProof w:val="0"/>
          <w:sz w:val="22"/>
          <w:szCs w:val="22"/>
          <w:lang w:val="en-GB"/>
        </w:rPr>
        <w:t>remains</w:t>
      </w:r>
      <w:r w:rsidRPr="5C84C1BE" w:rsidR="3A3EB128">
        <w:rPr>
          <w:rFonts w:ascii="Arial" w:hAnsi="Arial" w:eastAsia="Arial" w:cs="Arial"/>
          <w:noProof w:val="0"/>
          <w:sz w:val="22"/>
          <w:szCs w:val="22"/>
          <w:lang w:val="en-GB"/>
        </w:rPr>
        <w:t xml:space="preserve"> insufficient, with (Jha,2024) noting that more than half of the targets require major improvement and around 30% have stalled or moved backwards. Progress is also uneven between developed and developing nations, creating substantial gaps in sustainable development outcomes. Limited financial resources, inequalities between countries, weak implementation,</w:t>
      </w:r>
      <w:r w:rsidRPr="5C84C1BE" w:rsidR="658D9C2C">
        <w:rPr>
          <w:rFonts w:ascii="Arial" w:hAnsi="Arial" w:eastAsia="Arial" w:cs="Arial"/>
          <w:noProof w:val="0"/>
          <w:sz w:val="22"/>
          <w:szCs w:val="22"/>
          <w:lang w:val="en-GB"/>
        </w:rPr>
        <w:t xml:space="preserve"> limitations as a policy </w:t>
      </w:r>
      <w:r w:rsidRPr="5C84C1BE" w:rsidR="658D9C2C">
        <w:rPr>
          <w:rFonts w:ascii="Arial" w:hAnsi="Arial" w:eastAsia="Arial" w:cs="Arial"/>
          <w:noProof w:val="0"/>
          <w:sz w:val="22"/>
          <w:szCs w:val="22"/>
          <w:lang w:val="en-GB"/>
        </w:rPr>
        <w:t xml:space="preserve">framework, </w:t>
      </w:r>
      <w:r w:rsidRPr="5C84C1BE" w:rsidR="3A3EB128">
        <w:rPr>
          <w:rFonts w:ascii="Arial" w:hAnsi="Arial" w:eastAsia="Arial" w:cs="Arial"/>
          <w:noProof w:val="0"/>
          <w:sz w:val="22"/>
          <w:szCs w:val="22"/>
          <w:lang w:val="en-GB"/>
        </w:rPr>
        <w:t>insufficient</w:t>
      </w:r>
      <w:r w:rsidRPr="5C84C1BE" w:rsidR="3A3EB128">
        <w:rPr>
          <w:rFonts w:ascii="Arial" w:hAnsi="Arial" w:eastAsia="Arial" w:cs="Arial"/>
          <w:noProof w:val="0"/>
          <w:sz w:val="22"/>
          <w:szCs w:val="22"/>
          <w:lang w:val="en-GB"/>
        </w:rPr>
        <w:t xml:space="preserve"> stakeholder collaboration and global crises such as COVID</w:t>
      </w:r>
      <w:r>
        <w:noBreakHyphen/>
      </w:r>
      <w:r w:rsidRPr="5C84C1BE" w:rsidR="3A3EB128">
        <w:rPr>
          <w:rFonts w:ascii="Arial" w:hAnsi="Arial" w:eastAsia="Arial" w:cs="Arial"/>
          <w:noProof w:val="0"/>
          <w:sz w:val="22"/>
          <w:szCs w:val="22"/>
          <w:lang w:val="en-GB"/>
        </w:rPr>
        <w:t xml:space="preserve">19, climate change, economic </w:t>
      </w:r>
      <w:r w:rsidRPr="5C84C1BE" w:rsidR="3A3EB128">
        <w:rPr>
          <w:rFonts w:ascii="Arial" w:hAnsi="Arial" w:eastAsia="Arial" w:cs="Arial"/>
          <w:noProof w:val="0"/>
          <w:sz w:val="22"/>
          <w:szCs w:val="22"/>
          <w:lang w:val="en-GB"/>
        </w:rPr>
        <w:t>pressures</w:t>
      </w:r>
      <w:r w:rsidRPr="5C84C1BE" w:rsidR="3A3EB128">
        <w:rPr>
          <w:rFonts w:ascii="Arial" w:hAnsi="Arial" w:eastAsia="Arial" w:cs="Arial"/>
          <w:noProof w:val="0"/>
          <w:sz w:val="22"/>
          <w:szCs w:val="22"/>
          <w:lang w:val="en-GB"/>
        </w:rPr>
        <w:t xml:space="preserve"> and geopolitical instability have further disrupted advancement toward the goals.</w:t>
      </w:r>
    </w:p>
    <w:p w:rsidR="5C84C1BE" w:rsidP="5C84C1BE" w:rsidRDefault="5C84C1BE" w14:paraId="262894D9" w14:textId="723F3B35">
      <w:pPr>
        <w:pStyle w:val="Normal"/>
        <w:spacing w:line="360" w:lineRule="auto"/>
        <w:jc w:val="both"/>
        <w:rPr>
          <w:rFonts w:ascii="Arial" w:hAnsi="Arial" w:eastAsia="Arial" w:cs="Arial"/>
          <w:noProof w:val="0"/>
          <w:sz w:val="22"/>
          <w:szCs w:val="22"/>
          <w:lang w:val="en-GB"/>
        </w:rPr>
      </w:pPr>
    </w:p>
    <w:p w:rsidR="03C4B35A" w:rsidP="5C84C1BE" w:rsidRDefault="03C4B35A" w14:paraId="5D7896CD" w14:textId="058EB8D9">
      <w:pPr>
        <w:pStyle w:val="Normal"/>
        <w:spacing w:line="360" w:lineRule="auto"/>
        <w:jc w:val="both"/>
        <w:rPr>
          <w:rFonts w:ascii="Arial" w:hAnsi="Arial" w:eastAsia="Arial" w:cs="Arial"/>
          <w:b w:val="1"/>
          <w:bCs w:val="1"/>
          <w:noProof w:val="0"/>
          <w:sz w:val="22"/>
          <w:szCs w:val="22"/>
          <w:lang w:val="en-GB"/>
        </w:rPr>
      </w:pPr>
      <w:r w:rsidRPr="5C84C1BE" w:rsidR="03C4B35A">
        <w:rPr>
          <w:rFonts w:ascii="Arial" w:hAnsi="Arial" w:eastAsia="Arial" w:cs="Arial"/>
          <w:b w:val="1"/>
          <w:bCs w:val="1"/>
          <w:noProof w:val="0"/>
          <w:sz w:val="22"/>
          <w:szCs w:val="22"/>
          <w:lang w:val="en-GB"/>
        </w:rPr>
        <w:t>3. Sustainable Development Goal 10: Reduced Inequalities</w:t>
      </w:r>
    </w:p>
    <w:p w:rsidR="25523889" w:rsidP="5C84C1BE" w:rsidRDefault="25523889" w14:paraId="5F6410A9" w14:textId="21286F2C">
      <w:pPr>
        <w:pStyle w:val="Normal"/>
        <w:spacing w:line="360" w:lineRule="auto"/>
        <w:jc w:val="both"/>
        <w:rPr>
          <w:rFonts w:ascii="Arial" w:hAnsi="Arial" w:eastAsia="Arial" w:cs="Arial"/>
          <w:noProof w:val="0"/>
          <w:sz w:val="22"/>
          <w:szCs w:val="22"/>
          <w:lang w:val="en-GB"/>
        </w:rPr>
      </w:pPr>
      <w:r w:rsidRPr="5C84C1BE" w:rsidR="25523889">
        <w:rPr>
          <w:rFonts w:ascii="Arial" w:hAnsi="Arial" w:eastAsia="Arial" w:cs="Arial"/>
          <w:noProof w:val="0"/>
          <w:sz w:val="22"/>
          <w:szCs w:val="22"/>
          <w:lang w:val="en-GB"/>
        </w:rPr>
        <w:t xml:space="preserve">High inequality harms society by reducing social cohesion, limiting opportunity, weakening trust and restricting economic participation. It stems from factors such as age, sex, disability, ethnicity and socioeconomic background, leading to differences in income, health and education. SDG 10 seeks to reduce these inequalities through inclusion, fair opportunities and safer mobility. </w:t>
      </w:r>
      <w:r w:rsidRPr="5C84C1BE" w:rsidR="48119855">
        <w:rPr>
          <w:rFonts w:ascii="Arial" w:hAnsi="Arial" w:eastAsia="Arial" w:cs="Arial"/>
          <w:noProof w:val="0"/>
          <w:sz w:val="22"/>
          <w:szCs w:val="22"/>
          <w:lang w:val="en-GB"/>
        </w:rPr>
        <w:t>(Eurostat, 2026)</w:t>
      </w:r>
    </w:p>
    <w:p w:rsidR="30B2B697" w:rsidP="5C84C1BE" w:rsidRDefault="30B2B697" w14:paraId="639DDF21" w14:textId="29B69633">
      <w:pPr>
        <w:pStyle w:val="Normal"/>
        <w:spacing w:line="360" w:lineRule="auto"/>
        <w:jc w:val="both"/>
        <w:rPr>
          <w:rFonts w:ascii="Arial" w:hAnsi="Arial" w:eastAsia="Arial" w:cs="Arial"/>
          <w:noProof w:val="0"/>
          <w:sz w:val="22"/>
          <w:szCs w:val="22"/>
          <w:lang w:val="en-GB"/>
        </w:rPr>
      </w:pPr>
      <w:r w:rsidRPr="5C84C1BE" w:rsidR="30B2B697">
        <w:rPr>
          <w:rFonts w:ascii="Arial" w:hAnsi="Arial" w:eastAsia="Arial" w:cs="Arial"/>
          <w:noProof w:val="0"/>
          <w:sz w:val="22"/>
          <w:szCs w:val="22"/>
          <w:lang w:val="en-GB"/>
        </w:rPr>
        <w:t>Sustainable Development Goal 10 (SDG 10) seeks to reduce inequality</w:t>
      </w:r>
      <w:r w:rsidRPr="5C84C1BE" w:rsidR="69E56CB2">
        <w:rPr>
          <w:rFonts w:ascii="Arial" w:hAnsi="Arial" w:eastAsia="Arial" w:cs="Arial"/>
          <w:noProof w:val="0"/>
          <w:sz w:val="22"/>
          <w:szCs w:val="22"/>
          <w:lang w:val="en-GB"/>
        </w:rPr>
        <w:t xml:space="preserve"> </w:t>
      </w:r>
      <w:r w:rsidRPr="5C84C1BE" w:rsidR="30B2B697">
        <w:rPr>
          <w:rFonts w:ascii="Arial" w:hAnsi="Arial" w:eastAsia="Arial" w:cs="Arial"/>
          <w:noProof w:val="0"/>
          <w:sz w:val="22"/>
          <w:szCs w:val="22"/>
          <w:lang w:val="en-GB"/>
        </w:rPr>
        <w:t xml:space="preserve">by promoting social, </w:t>
      </w:r>
      <w:r w:rsidRPr="5C84C1BE" w:rsidR="30B2B697">
        <w:rPr>
          <w:rFonts w:ascii="Arial" w:hAnsi="Arial" w:eastAsia="Arial" w:cs="Arial"/>
          <w:noProof w:val="0"/>
          <w:sz w:val="22"/>
          <w:szCs w:val="22"/>
          <w:lang w:val="en-GB"/>
        </w:rPr>
        <w:t>economic</w:t>
      </w:r>
      <w:r w:rsidRPr="5C84C1BE" w:rsidR="30B2B697">
        <w:rPr>
          <w:rFonts w:ascii="Arial" w:hAnsi="Arial" w:eastAsia="Arial" w:cs="Arial"/>
          <w:noProof w:val="0"/>
          <w:sz w:val="22"/>
          <w:szCs w:val="22"/>
          <w:lang w:val="en-GB"/>
        </w:rPr>
        <w:t xml:space="preserve"> and political inclusion for all people, regardless of age, sex, disability, race, ethnicity, origin, </w:t>
      </w:r>
      <w:r w:rsidRPr="5C84C1BE" w:rsidR="30B2B697">
        <w:rPr>
          <w:rFonts w:ascii="Arial" w:hAnsi="Arial" w:eastAsia="Arial" w:cs="Arial"/>
          <w:noProof w:val="0"/>
          <w:sz w:val="22"/>
          <w:szCs w:val="22"/>
          <w:lang w:val="en-GB"/>
        </w:rPr>
        <w:t>religion</w:t>
      </w:r>
      <w:r w:rsidRPr="5C84C1BE" w:rsidR="30B2B697">
        <w:rPr>
          <w:rFonts w:ascii="Arial" w:hAnsi="Arial" w:eastAsia="Arial" w:cs="Arial"/>
          <w:noProof w:val="0"/>
          <w:sz w:val="22"/>
          <w:szCs w:val="22"/>
          <w:lang w:val="en-GB"/>
        </w:rPr>
        <w:t xml:space="preserve"> </w:t>
      </w:r>
      <w:r w:rsidRPr="5C84C1BE" w:rsidR="19A6A59D">
        <w:rPr>
          <w:rFonts w:ascii="Arial" w:hAnsi="Arial" w:eastAsia="Arial" w:cs="Arial"/>
          <w:noProof w:val="0"/>
          <w:sz w:val="22"/>
          <w:szCs w:val="22"/>
          <w:lang w:val="en-GB"/>
        </w:rPr>
        <w:t>and economic</w:t>
      </w:r>
      <w:r w:rsidRPr="5C84C1BE" w:rsidR="30B2B697">
        <w:rPr>
          <w:rFonts w:ascii="Arial" w:hAnsi="Arial" w:eastAsia="Arial" w:cs="Arial"/>
          <w:noProof w:val="0"/>
          <w:sz w:val="22"/>
          <w:szCs w:val="22"/>
          <w:lang w:val="en-GB"/>
        </w:rPr>
        <w:t xml:space="preserve"> status. A central principle of SDG 10 is ensuring that the benefits of social and economic development are shared more fairly across </w:t>
      </w:r>
      <w:r w:rsidRPr="5C84C1BE" w:rsidR="30B2B697">
        <w:rPr>
          <w:rFonts w:ascii="Arial" w:hAnsi="Arial" w:eastAsia="Arial" w:cs="Arial"/>
          <w:noProof w:val="0"/>
          <w:sz w:val="22"/>
          <w:szCs w:val="22"/>
          <w:lang w:val="en-GB"/>
        </w:rPr>
        <w:t>different groups</w:t>
      </w:r>
      <w:r w:rsidRPr="5C84C1BE" w:rsidR="30B2B697">
        <w:rPr>
          <w:rFonts w:ascii="Arial" w:hAnsi="Arial" w:eastAsia="Arial" w:cs="Arial"/>
          <w:noProof w:val="0"/>
          <w:sz w:val="22"/>
          <w:szCs w:val="22"/>
          <w:lang w:val="en-GB"/>
        </w:rPr>
        <w:t xml:space="preserve">. The goal therefore focuses on narrowing inequalities in income and opportunities, strengthening social inclusion and addressing discrimination that may prevent individuals from fully </w:t>
      </w:r>
      <w:r w:rsidRPr="5C84C1BE" w:rsidR="30B2B697">
        <w:rPr>
          <w:rFonts w:ascii="Arial" w:hAnsi="Arial" w:eastAsia="Arial" w:cs="Arial"/>
          <w:noProof w:val="0"/>
          <w:sz w:val="22"/>
          <w:szCs w:val="22"/>
          <w:lang w:val="en-GB"/>
        </w:rPr>
        <w:t>participating</w:t>
      </w:r>
      <w:r w:rsidRPr="5C84C1BE" w:rsidR="30B2B697">
        <w:rPr>
          <w:rFonts w:ascii="Arial" w:hAnsi="Arial" w:eastAsia="Arial" w:cs="Arial"/>
          <w:noProof w:val="0"/>
          <w:sz w:val="22"/>
          <w:szCs w:val="22"/>
          <w:lang w:val="en-GB"/>
        </w:rPr>
        <w:t xml:space="preserve"> in society (Lorenzo, 2024).</w:t>
      </w:r>
    </w:p>
    <w:p w:rsidR="34260682" w:rsidP="5C84C1BE" w:rsidRDefault="34260682" w14:paraId="5CE87CFB" w14:textId="1571F232">
      <w:pPr>
        <w:pStyle w:val="Normal"/>
        <w:spacing w:line="360" w:lineRule="auto"/>
        <w:jc w:val="both"/>
        <w:rPr>
          <w:rFonts w:ascii="Arial" w:hAnsi="Arial" w:eastAsia="Arial" w:cs="Arial"/>
          <w:noProof w:val="0"/>
          <w:sz w:val="22"/>
          <w:szCs w:val="22"/>
          <w:lang w:val="en-GB"/>
        </w:rPr>
      </w:pPr>
      <w:r w:rsidRPr="5C84C1BE" w:rsidR="34260682">
        <w:rPr>
          <w:rFonts w:ascii="Arial" w:hAnsi="Arial" w:eastAsia="Arial" w:cs="Arial"/>
          <w:noProof w:val="0"/>
          <w:sz w:val="22"/>
          <w:szCs w:val="22"/>
          <w:lang w:val="en-GB"/>
        </w:rPr>
        <w:t xml:space="preserve">SDG 10 aims to reduce inequalities by 2030 by increasing income growth among the poorest 40% and promoting social, </w:t>
      </w:r>
      <w:r w:rsidRPr="5C84C1BE" w:rsidR="34260682">
        <w:rPr>
          <w:rFonts w:ascii="Arial" w:hAnsi="Arial" w:eastAsia="Arial" w:cs="Arial"/>
          <w:noProof w:val="0"/>
          <w:sz w:val="22"/>
          <w:szCs w:val="22"/>
          <w:lang w:val="en-GB"/>
        </w:rPr>
        <w:t>economic</w:t>
      </w:r>
      <w:r w:rsidRPr="5C84C1BE" w:rsidR="34260682">
        <w:rPr>
          <w:rFonts w:ascii="Arial" w:hAnsi="Arial" w:eastAsia="Arial" w:cs="Arial"/>
          <w:noProof w:val="0"/>
          <w:sz w:val="22"/>
          <w:szCs w:val="22"/>
          <w:lang w:val="en-GB"/>
        </w:rPr>
        <w:t xml:space="preserve"> and political inclusion for all, regardless of background. It also </w:t>
      </w:r>
      <w:r w:rsidRPr="5C84C1BE" w:rsidR="34260682">
        <w:rPr>
          <w:rFonts w:ascii="Arial" w:hAnsi="Arial" w:eastAsia="Arial" w:cs="Arial"/>
          <w:noProof w:val="0"/>
          <w:sz w:val="22"/>
          <w:szCs w:val="22"/>
          <w:lang w:val="en-GB"/>
        </w:rPr>
        <w:t>seeks</w:t>
      </w:r>
      <w:r w:rsidRPr="5C84C1BE" w:rsidR="34260682">
        <w:rPr>
          <w:rFonts w:ascii="Arial" w:hAnsi="Arial" w:eastAsia="Arial" w:cs="Arial"/>
          <w:noProof w:val="0"/>
          <w:sz w:val="22"/>
          <w:szCs w:val="22"/>
          <w:lang w:val="en-GB"/>
        </w:rPr>
        <w:t xml:space="preserve"> to advance equal opportunities by addressing discriminatory laws and supporting social protection and fair wages. Additionally, SDG 10 focuses on reducing global disparities by strengthening financial regulation and improving the participation of developing countries in international economic decision</w:t>
      </w:r>
      <w:r>
        <w:noBreakHyphen/>
      </w:r>
      <w:r w:rsidRPr="5C84C1BE" w:rsidR="34260682">
        <w:rPr>
          <w:rFonts w:ascii="Arial" w:hAnsi="Arial" w:eastAsia="Arial" w:cs="Arial"/>
          <w:noProof w:val="0"/>
          <w:sz w:val="22"/>
          <w:szCs w:val="22"/>
          <w:lang w:val="en-GB"/>
        </w:rPr>
        <w:t>making</w:t>
      </w:r>
      <w:r w:rsidRPr="5C84C1BE" w:rsidR="20BCABA5">
        <w:rPr>
          <w:rFonts w:ascii="Arial" w:hAnsi="Arial" w:eastAsia="Arial" w:cs="Arial"/>
          <w:noProof w:val="0"/>
          <w:sz w:val="22"/>
          <w:szCs w:val="22"/>
          <w:lang w:val="en-GB"/>
        </w:rPr>
        <w:t xml:space="preserve"> </w:t>
      </w:r>
      <w:r w:rsidRPr="5C84C1BE" w:rsidR="2E6E5F59">
        <w:rPr>
          <w:rFonts w:ascii="Arial" w:hAnsi="Arial" w:eastAsia="Arial" w:cs="Arial"/>
          <w:noProof w:val="0"/>
          <w:sz w:val="22"/>
          <w:szCs w:val="22"/>
          <w:lang w:val="en-GB"/>
        </w:rPr>
        <w:t>(United Nations,</w:t>
      </w:r>
      <w:r w:rsidRPr="5C84C1BE" w:rsidR="2200A229">
        <w:rPr>
          <w:rFonts w:ascii="Arial" w:hAnsi="Arial" w:eastAsia="Arial" w:cs="Arial"/>
          <w:noProof w:val="0"/>
          <w:sz w:val="22"/>
          <w:szCs w:val="22"/>
          <w:lang w:val="en-GB"/>
        </w:rPr>
        <w:t xml:space="preserve"> </w:t>
      </w:r>
      <w:r w:rsidRPr="5C84C1BE" w:rsidR="1D8AFBC3">
        <w:rPr>
          <w:rFonts w:ascii="Arial" w:hAnsi="Arial" w:eastAsia="Arial" w:cs="Arial"/>
          <w:i w:val="1"/>
          <w:iCs w:val="1"/>
          <w:noProof w:val="0"/>
          <w:sz w:val="22"/>
          <w:szCs w:val="22"/>
          <w:lang w:val="en-GB"/>
        </w:rPr>
        <w:t>n.d</w:t>
      </w:r>
      <w:r w:rsidRPr="5C84C1BE" w:rsidR="1D8AFBC3">
        <w:rPr>
          <w:rFonts w:ascii="Arial" w:hAnsi="Arial" w:eastAsia="Arial" w:cs="Arial"/>
          <w:noProof w:val="0"/>
          <w:sz w:val="22"/>
          <w:szCs w:val="22"/>
          <w:lang w:val="en-GB"/>
        </w:rPr>
        <w:t>)</w:t>
      </w:r>
      <w:r w:rsidRPr="5C84C1BE" w:rsidR="3D40919B">
        <w:rPr>
          <w:rFonts w:ascii="Arial" w:hAnsi="Arial" w:eastAsia="Arial" w:cs="Arial"/>
          <w:noProof w:val="0"/>
          <w:sz w:val="22"/>
          <w:szCs w:val="22"/>
          <w:lang w:val="en-GB"/>
        </w:rPr>
        <w:t>.</w:t>
      </w:r>
    </w:p>
    <w:p w:rsidR="442D1269" w:rsidP="5C84C1BE" w:rsidRDefault="442D1269" w14:paraId="69F66020" w14:textId="3E86D206">
      <w:pPr>
        <w:pStyle w:val="Normal"/>
        <w:spacing w:line="360" w:lineRule="auto"/>
        <w:jc w:val="both"/>
        <w:rPr>
          <w:rFonts w:ascii="Arial" w:hAnsi="Arial" w:eastAsia="Arial" w:cs="Arial"/>
          <w:noProof w:val="0"/>
          <w:sz w:val="22"/>
          <w:szCs w:val="22"/>
          <w:lang w:val="en-GB"/>
        </w:rPr>
      </w:pPr>
      <w:r w:rsidRPr="5C84C1BE" w:rsidR="442D1269">
        <w:rPr>
          <w:rFonts w:ascii="Arial" w:hAnsi="Arial" w:eastAsia="Arial" w:cs="Arial"/>
          <w:noProof w:val="0"/>
          <w:sz w:val="22"/>
          <w:szCs w:val="22"/>
          <w:lang w:val="en-GB"/>
        </w:rPr>
        <w:t xml:space="preserve">SDG 10 </w:t>
      </w:r>
      <w:r w:rsidRPr="5C84C1BE" w:rsidR="771AD946">
        <w:rPr>
          <w:rFonts w:ascii="Arial" w:hAnsi="Arial" w:eastAsia="Arial" w:cs="Arial"/>
          <w:noProof w:val="0"/>
          <w:sz w:val="22"/>
          <w:szCs w:val="22"/>
          <w:lang w:val="en-GB"/>
        </w:rPr>
        <w:t>improve</w:t>
      </w:r>
      <w:r w:rsidRPr="5C84C1BE" w:rsidR="442D1269">
        <w:rPr>
          <w:rFonts w:ascii="Arial" w:hAnsi="Arial" w:eastAsia="Arial" w:cs="Arial"/>
          <w:noProof w:val="0"/>
          <w:sz w:val="22"/>
          <w:szCs w:val="22"/>
          <w:lang w:val="en-GB"/>
        </w:rPr>
        <w:t xml:space="preserve"> citizens’ health and wellbeing by addressing social and economic inequalities that lead to unequal access to healthcare, education, employment and other essential resources. (Pandey </w:t>
      </w:r>
      <w:r w:rsidRPr="5C84C1BE" w:rsidR="442D1269">
        <w:rPr>
          <w:rFonts w:ascii="Arial" w:hAnsi="Arial" w:eastAsia="Arial" w:cs="Arial"/>
          <w:i w:val="1"/>
          <w:iCs w:val="1"/>
          <w:noProof w:val="0"/>
          <w:sz w:val="22"/>
          <w:szCs w:val="22"/>
          <w:lang w:val="en-GB"/>
        </w:rPr>
        <w:t>et al,</w:t>
      </w:r>
      <w:r w:rsidRPr="5C84C1BE" w:rsidR="442D1269">
        <w:rPr>
          <w:rFonts w:ascii="Arial" w:hAnsi="Arial" w:eastAsia="Arial" w:cs="Arial"/>
          <w:noProof w:val="0"/>
          <w:sz w:val="22"/>
          <w:szCs w:val="22"/>
          <w:lang w:val="en-GB"/>
        </w:rPr>
        <w:t xml:space="preserve">2020) emphasise the importance of reducing inequalities and strengthening social inclusion, as disadvantaged groups often face greater barriers to opportunities and services that shape their health and overall quality of life. Therefore, achieving SDG 10 can support improved wellbeing by promoting equal opportunities, reducing social </w:t>
      </w:r>
      <w:r w:rsidRPr="5C84C1BE" w:rsidR="442D1269">
        <w:rPr>
          <w:rFonts w:ascii="Arial" w:hAnsi="Arial" w:eastAsia="Arial" w:cs="Arial"/>
          <w:noProof w:val="0"/>
          <w:sz w:val="22"/>
          <w:szCs w:val="22"/>
          <w:lang w:val="en-GB"/>
        </w:rPr>
        <w:t>exclusion</w:t>
      </w:r>
      <w:r w:rsidRPr="5C84C1BE" w:rsidR="442D1269">
        <w:rPr>
          <w:rFonts w:ascii="Arial" w:hAnsi="Arial" w:eastAsia="Arial" w:cs="Arial"/>
          <w:noProof w:val="0"/>
          <w:sz w:val="22"/>
          <w:szCs w:val="22"/>
          <w:lang w:val="en-GB"/>
        </w:rPr>
        <w:t xml:space="preserve"> and ensuring fairer access to resources and services across different population groups.</w:t>
      </w:r>
    </w:p>
    <w:p w:rsidR="33597B18" w:rsidP="5C84C1BE" w:rsidRDefault="33597B18" w14:paraId="5728DD28" w14:textId="41A19B6E">
      <w:pPr>
        <w:pStyle w:val="Normal"/>
        <w:spacing w:line="360" w:lineRule="auto"/>
        <w:jc w:val="both"/>
        <w:rPr>
          <w:rFonts w:ascii="Arial" w:hAnsi="Arial" w:eastAsia="Arial" w:cs="Arial"/>
          <w:noProof w:val="0"/>
          <w:sz w:val="22"/>
          <w:szCs w:val="22"/>
          <w:lang w:val="en-GB"/>
        </w:rPr>
      </w:pPr>
      <w:r w:rsidRPr="5C84C1BE" w:rsidR="33597B18">
        <w:rPr>
          <w:rFonts w:ascii="Arial" w:hAnsi="Arial" w:eastAsia="Arial" w:cs="Arial"/>
          <w:noProof w:val="0"/>
          <w:sz w:val="22"/>
          <w:szCs w:val="22"/>
          <w:lang w:val="en-GB"/>
        </w:rPr>
        <w:t xml:space="preserve">SDG 10 has an impact on citizens on multiple levels, shaping both social and economic conditions. Progress toward this goal has already been seen in the reduction of moderate poverty in disadvantaged regions of developing countries. Income equality has also improved, both between nations and within individual countries. Additionally, digital technologies have the potential to lower transaction costs for transferring financial resources, which </w:t>
      </w:r>
      <w:r w:rsidRPr="5C84C1BE" w:rsidR="33597B18">
        <w:rPr>
          <w:rFonts w:ascii="Arial" w:hAnsi="Arial" w:eastAsia="Arial" w:cs="Arial"/>
          <w:noProof w:val="0"/>
          <w:sz w:val="22"/>
          <w:szCs w:val="22"/>
          <w:lang w:val="en-GB"/>
        </w:rPr>
        <w:t>remains</w:t>
      </w:r>
      <w:r w:rsidRPr="5C84C1BE" w:rsidR="33597B18">
        <w:rPr>
          <w:rFonts w:ascii="Arial" w:hAnsi="Arial" w:eastAsia="Arial" w:cs="Arial"/>
          <w:noProof w:val="0"/>
          <w:sz w:val="22"/>
          <w:szCs w:val="22"/>
          <w:lang w:val="en-GB"/>
        </w:rPr>
        <w:t xml:space="preserve"> an important challenge in efforts to reduce global inequalities</w:t>
      </w:r>
      <w:r w:rsidRPr="5C84C1BE" w:rsidR="58D4FB15">
        <w:rPr>
          <w:rFonts w:ascii="Arial" w:hAnsi="Arial" w:eastAsia="Arial" w:cs="Arial"/>
          <w:noProof w:val="0"/>
          <w:sz w:val="22"/>
          <w:szCs w:val="22"/>
          <w:lang w:val="en-GB"/>
        </w:rPr>
        <w:t xml:space="preserve"> (</w:t>
      </w:r>
      <w:r w:rsidRPr="5C84C1BE" w:rsidR="58D4FB15">
        <w:rPr>
          <w:rFonts w:ascii="Arial" w:hAnsi="Arial" w:eastAsia="Arial" w:cs="Arial"/>
          <w:noProof w:val="0"/>
          <w:sz w:val="22"/>
          <w:szCs w:val="22"/>
          <w:lang w:val="en-GB"/>
        </w:rPr>
        <w:t>Syngellakis</w:t>
      </w:r>
      <w:r w:rsidRPr="5C84C1BE" w:rsidR="58D4FB15">
        <w:rPr>
          <w:rFonts w:ascii="Arial" w:hAnsi="Arial" w:eastAsia="Arial" w:cs="Arial"/>
          <w:noProof w:val="0"/>
          <w:sz w:val="22"/>
          <w:szCs w:val="22"/>
          <w:lang w:val="en-GB"/>
        </w:rPr>
        <w:t xml:space="preserve"> and Hernández, 2020</w:t>
      </w:r>
      <w:r w:rsidRPr="5C84C1BE" w:rsidR="55E9ACA8">
        <w:rPr>
          <w:rFonts w:ascii="Arial" w:hAnsi="Arial" w:eastAsia="Arial" w:cs="Arial"/>
          <w:noProof w:val="0"/>
          <w:sz w:val="22"/>
          <w:szCs w:val="22"/>
          <w:lang w:val="en-GB"/>
        </w:rPr>
        <w:t>). In</w:t>
      </w:r>
      <w:r w:rsidRPr="5C84C1BE" w:rsidR="7BA92B1B">
        <w:rPr>
          <w:rFonts w:ascii="Arial" w:hAnsi="Arial" w:eastAsia="Arial" w:cs="Arial"/>
          <w:noProof w:val="0"/>
          <w:sz w:val="22"/>
          <w:szCs w:val="22"/>
          <w:lang w:val="en-GB"/>
        </w:rPr>
        <w:t xml:space="preserve"> this context an equally important aspect is the legal dimension, </w:t>
      </w:r>
      <w:r w:rsidRPr="5C84C1BE" w:rsidR="09533BD7">
        <w:rPr>
          <w:rFonts w:ascii="Arial" w:hAnsi="Arial" w:eastAsia="Arial" w:cs="Arial"/>
          <w:noProof w:val="0"/>
          <w:sz w:val="22"/>
          <w:szCs w:val="22"/>
          <w:lang w:val="en-GB"/>
        </w:rPr>
        <w:t>which</w:t>
      </w:r>
      <w:r w:rsidRPr="5C84C1BE" w:rsidR="3450527B">
        <w:rPr>
          <w:rFonts w:ascii="Arial" w:hAnsi="Arial" w:eastAsia="Arial" w:cs="Arial"/>
          <w:noProof w:val="0"/>
          <w:sz w:val="22"/>
          <w:szCs w:val="22"/>
          <w:lang w:val="en-GB"/>
        </w:rPr>
        <w:t xml:space="preserve"> </w:t>
      </w:r>
      <w:r w:rsidRPr="5C84C1BE" w:rsidR="09533BD7">
        <w:rPr>
          <w:rFonts w:ascii="Arial" w:hAnsi="Arial" w:eastAsia="Arial" w:cs="Arial"/>
          <w:noProof w:val="0"/>
          <w:sz w:val="22"/>
          <w:szCs w:val="22"/>
          <w:lang w:val="en-GB"/>
        </w:rPr>
        <w:t>(</w:t>
      </w:r>
      <w:r w:rsidRPr="5C84C1BE" w:rsidR="6A45DB3E">
        <w:rPr>
          <w:rFonts w:ascii="Arial" w:hAnsi="Arial" w:eastAsia="Arial" w:cs="Arial"/>
          <w:b w:val="0"/>
          <w:bCs w:val="0"/>
          <w:noProof w:val="0"/>
          <w:sz w:val="22"/>
          <w:szCs w:val="22"/>
          <w:lang w:val="en-GB"/>
        </w:rPr>
        <w:t xml:space="preserve">Shamsuddin Bolatito and Nabukeera,2023) </w:t>
      </w:r>
      <w:r w:rsidRPr="5C84C1BE" w:rsidR="7BA92B1B">
        <w:rPr>
          <w:rFonts w:ascii="Arial" w:hAnsi="Arial" w:eastAsia="Arial" w:cs="Arial"/>
          <w:noProof w:val="0"/>
          <w:sz w:val="22"/>
          <w:szCs w:val="22"/>
          <w:lang w:val="en-GB"/>
        </w:rPr>
        <w:t xml:space="preserve">article describe as essential for </w:t>
      </w:r>
      <w:r w:rsidRPr="5C84C1BE" w:rsidR="7BA92B1B">
        <w:rPr>
          <w:rFonts w:ascii="Arial" w:hAnsi="Arial" w:eastAsia="Arial" w:cs="Arial"/>
          <w:noProof w:val="0"/>
          <w:sz w:val="22"/>
          <w:szCs w:val="22"/>
          <w:lang w:val="en-GB"/>
        </w:rPr>
        <w:t>eliminating</w:t>
      </w:r>
      <w:r w:rsidRPr="5C84C1BE" w:rsidR="7BA92B1B">
        <w:rPr>
          <w:rFonts w:ascii="Arial" w:hAnsi="Arial" w:eastAsia="Arial" w:cs="Arial"/>
          <w:noProof w:val="0"/>
          <w:sz w:val="22"/>
          <w:szCs w:val="22"/>
          <w:lang w:val="en-GB"/>
        </w:rPr>
        <w:t xml:space="preserve"> discriminatory laws, policies and practices while promoting legislation and actions that advance equality. They also highlight the importance of adopting fair tax, </w:t>
      </w:r>
      <w:r w:rsidRPr="5C84C1BE" w:rsidR="7BA92B1B">
        <w:rPr>
          <w:rFonts w:ascii="Arial" w:hAnsi="Arial" w:eastAsia="Arial" w:cs="Arial"/>
          <w:noProof w:val="0"/>
          <w:sz w:val="22"/>
          <w:szCs w:val="22"/>
          <w:lang w:val="en-GB"/>
        </w:rPr>
        <w:t>wage</w:t>
      </w:r>
      <w:r w:rsidRPr="5C84C1BE" w:rsidR="7BA92B1B">
        <w:rPr>
          <w:rFonts w:ascii="Arial" w:hAnsi="Arial" w:eastAsia="Arial" w:cs="Arial"/>
          <w:noProof w:val="0"/>
          <w:sz w:val="22"/>
          <w:szCs w:val="22"/>
          <w:lang w:val="en-GB"/>
        </w:rPr>
        <w:t xml:space="preserve"> and social protection policies, improving the regulation and monitoring of global financial systems and strengthening the implementation of these regulations to support greater equity</w:t>
      </w:r>
      <w:r w:rsidRPr="5C84C1BE" w:rsidR="17F25DD8">
        <w:rPr>
          <w:rFonts w:ascii="Arial" w:hAnsi="Arial" w:eastAsia="Arial" w:cs="Arial"/>
          <w:noProof w:val="0"/>
          <w:sz w:val="22"/>
          <w:szCs w:val="22"/>
          <w:lang w:val="en-GB"/>
        </w:rPr>
        <w:t xml:space="preserve"> for population. </w:t>
      </w:r>
    </w:p>
    <w:p w:rsidR="0F98A2E8" w:rsidP="5C84C1BE" w:rsidRDefault="0F98A2E8" w14:paraId="1DBF6F70" w14:textId="79453E24">
      <w:pPr>
        <w:spacing w:before="240" w:beforeAutospacing="off" w:after="240" w:afterAutospacing="off" w:line="360" w:lineRule="auto"/>
        <w:jc w:val="both"/>
        <w:rPr>
          <w:rFonts w:ascii="Arial" w:hAnsi="Arial" w:eastAsia="Arial" w:cs="Arial"/>
          <w:noProof w:val="0"/>
          <w:sz w:val="22"/>
          <w:szCs w:val="22"/>
          <w:lang w:val="en-GB"/>
        </w:rPr>
      </w:pPr>
      <w:r w:rsidRPr="5C84C1BE" w:rsidR="0F98A2E8">
        <w:rPr>
          <w:rFonts w:ascii="Arial" w:hAnsi="Arial" w:eastAsia="Arial" w:cs="Arial"/>
          <w:b w:val="0"/>
          <w:bCs w:val="0"/>
          <w:noProof w:val="0"/>
          <w:sz w:val="22"/>
          <w:szCs w:val="22"/>
          <w:lang w:val="en-GB"/>
        </w:rPr>
        <w:t xml:space="preserve">A key limitation of SDG 10 is that its targets and indicators do not sufficiently address extreme income and wealth inequality. </w:t>
      </w:r>
      <w:r w:rsidRPr="5C84C1BE" w:rsidR="12D50CDF">
        <w:rPr>
          <w:rFonts w:ascii="Arial" w:hAnsi="Arial" w:eastAsia="Arial" w:cs="Arial"/>
          <w:b w:val="0"/>
          <w:bCs w:val="0"/>
          <w:noProof w:val="0"/>
          <w:sz w:val="22"/>
          <w:szCs w:val="22"/>
          <w:lang w:val="en-GB"/>
        </w:rPr>
        <w:t>(</w:t>
      </w:r>
      <w:r w:rsidRPr="5C84C1BE" w:rsidR="0F98A2E8">
        <w:rPr>
          <w:rFonts w:ascii="Arial" w:hAnsi="Arial" w:eastAsia="Arial" w:cs="Arial"/>
          <w:b w:val="0"/>
          <w:bCs w:val="0"/>
          <w:noProof w:val="0"/>
          <w:sz w:val="22"/>
          <w:szCs w:val="22"/>
          <w:lang w:val="en-GB"/>
        </w:rPr>
        <w:t>Fukuda</w:t>
      </w:r>
      <w:r>
        <w:noBreakHyphen/>
      </w:r>
      <w:r w:rsidRPr="5C84C1BE" w:rsidR="0F98A2E8">
        <w:rPr>
          <w:rFonts w:ascii="Arial" w:hAnsi="Arial" w:eastAsia="Arial" w:cs="Arial"/>
          <w:b w:val="0"/>
          <w:bCs w:val="0"/>
          <w:noProof w:val="0"/>
          <w:sz w:val="22"/>
          <w:szCs w:val="22"/>
          <w:lang w:val="en-GB"/>
        </w:rPr>
        <w:t xml:space="preserve">Parr </w:t>
      </w:r>
      <w:r w:rsidRPr="5C84C1BE" w:rsidR="57769197">
        <w:rPr>
          <w:rFonts w:ascii="Arial" w:hAnsi="Arial" w:eastAsia="Arial" w:cs="Arial"/>
          <w:b w:val="0"/>
          <w:bCs w:val="0"/>
          <w:noProof w:val="0"/>
          <w:sz w:val="22"/>
          <w:szCs w:val="22"/>
          <w:lang w:val="en-GB"/>
        </w:rPr>
        <w:t>,</w:t>
      </w:r>
      <w:r w:rsidRPr="5C84C1BE" w:rsidR="0F98A2E8">
        <w:rPr>
          <w:rFonts w:ascii="Arial" w:hAnsi="Arial" w:eastAsia="Arial" w:cs="Arial"/>
          <w:b w:val="0"/>
          <w:bCs w:val="0"/>
          <w:noProof w:val="0"/>
          <w:sz w:val="22"/>
          <w:szCs w:val="22"/>
          <w:lang w:val="en-GB"/>
        </w:rPr>
        <w:t xml:space="preserve">2019) argues that the framework focuses more on social inclusion and expanding opportunities for disadvantaged groups than on the concentration of income and wealth among the richest. As a result, SDG 10 </w:t>
      </w:r>
      <w:r w:rsidRPr="5C84C1BE" w:rsidR="0F98A2E8">
        <w:rPr>
          <w:rFonts w:ascii="Arial" w:hAnsi="Arial" w:eastAsia="Arial" w:cs="Arial"/>
          <w:b w:val="0"/>
          <w:bCs w:val="0"/>
          <w:noProof w:val="0"/>
          <w:sz w:val="22"/>
          <w:szCs w:val="22"/>
          <w:lang w:val="en-GB"/>
        </w:rPr>
        <w:t>remains</w:t>
      </w:r>
      <w:r w:rsidRPr="5C84C1BE" w:rsidR="0F98A2E8">
        <w:rPr>
          <w:rFonts w:ascii="Arial" w:hAnsi="Arial" w:eastAsia="Arial" w:cs="Arial"/>
          <w:b w:val="0"/>
          <w:bCs w:val="0"/>
          <w:noProof w:val="0"/>
          <w:sz w:val="22"/>
          <w:szCs w:val="22"/>
          <w:lang w:val="en-GB"/>
        </w:rPr>
        <w:t xml:space="preserve"> an important commitment, but its indicators may not fully capture the scale or distribution of inequality within populations. </w:t>
      </w:r>
      <w:r w:rsidRPr="5C84C1BE" w:rsidR="6EDD42E4">
        <w:rPr>
          <w:rFonts w:ascii="Arial" w:hAnsi="Arial" w:eastAsia="Arial" w:cs="Arial"/>
          <w:noProof w:val="0"/>
          <w:sz w:val="22"/>
          <w:szCs w:val="22"/>
          <w:lang w:val="en-GB"/>
        </w:rPr>
        <w:t>Therefore, SDG 10 should reinforce its targets and indicators by explicitly measuring extreme concentrations of wealth and income, ensuring that policies address inequality across the entire population, including the highest</w:t>
      </w:r>
      <w:r>
        <w:noBreakHyphen/>
      </w:r>
      <w:r w:rsidRPr="5C84C1BE" w:rsidR="6EDD42E4">
        <w:rPr>
          <w:rFonts w:ascii="Arial" w:hAnsi="Arial" w:eastAsia="Arial" w:cs="Arial"/>
          <w:noProof w:val="0"/>
          <w:sz w:val="22"/>
          <w:szCs w:val="22"/>
          <w:lang w:val="en-GB"/>
        </w:rPr>
        <w:t>income groups.</w:t>
      </w:r>
    </w:p>
    <w:p w:rsidR="5CB339E7" w:rsidP="5C84C1BE" w:rsidRDefault="5CB339E7" w14:paraId="36A6AE73" w14:textId="68980E2C">
      <w:pPr>
        <w:pStyle w:val="Normal"/>
        <w:spacing w:line="360" w:lineRule="auto"/>
        <w:jc w:val="both"/>
        <w:rPr>
          <w:rFonts w:ascii="Arial" w:hAnsi="Arial" w:eastAsia="Arial" w:cs="Arial"/>
          <w:b w:val="1"/>
          <w:bCs w:val="1"/>
          <w:noProof w:val="0"/>
          <w:sz w:val="22"/>
          <w:szCs w:val="22"/>
          <w:lang w:val="en-GB"/>
        </w:rPr>
      </w:pPr>
      <w:r w:rsidRPr="5C84C1BE" w:rsidR="5CB339E7">
        <w:rPr>
          <w:rFonts w:ascii="Arial" w:hAnsi="Arial" w:eastAsia="Arial" w:cs="Arial"/>
          <w:b w:val="1"/>
          <w:bCs w:val="1"/>
          <w:noProof w:val="0"/>
          <w:sz w:val="22"/>
          <w:szCs w:val="22"/>
          <w:lang w:val="en-GB"/>
        </w:rPr>
        <w:t>4.National Wellbeing and Sustainable Development Initiatives</w:t>
      </w:r>
    </w:p>
    <w:p w:rsidR="1B4322A6" w:rsidP="5C84C1BE" w:rsidRDefault="1B4322A6" w14:paraId="225DD48A" w14:textId="2E7E6BD2">
      <w:pPr>
        <w:pStyle w:val="Normal"/>
        <w:spacing w:line="360" w:lineRule="auto"/>
        <w:jc w:val="both"/>
        <w:rPr>
          <w:rFonts w:ascii="Arial" w:hAnsi="Arial" w:eastAsia="Arial" w:cs="Arial"/>
          <w:noProof w:val="0"/>
          <w:sz w:val="22"/>
          <w:szCs w:val="22"/>
          <w:lang w:val="en-GB"/>
        </w:rPr>
      </w:pPr>
      <w:r w:rsidRPr="5C84C1BE" w:rsidR="1B4322A6">
        <w:rPr>
          <w:rFonts w:ascii="Arial" w:hAnsi="Arial" w:eastAsia="Arial" w:cs="Arial"/>
          <w:noProof w:val="0"/>
          <w:sz w:val="22"/>
          <w:szCs w:val="22"/>
          <w:lang w:val="en-GB"/>
        </w:rPr>
        <w:t>4.1 Core20PLUS5</w:t>
      </w:r>
    </w:p>
    <w:p w:rsidR="0BD60828" w:rsidP="5C84C1BE" w:rsidRDefault="0BD60828" w14:paraId="0EBB6D9F" w14:textId="29F13FA7">
      <w:pPr>
        <w:pStyle w:val="Normal"/>
        <w:spacing w:line="360" w:lineRule="auto"/>
        <w:jc w:val="both"/>
        <w:rPr>
          <w:rFonts w:ascii="Arial" w:hAnsi="Arial" w:eastAsia="Arial" w:cs="Arial"/>
          <w:noProof w:val="0"/>
          <w:sz w:val="22"/>
          <w:szCs w:val="22"/>
          <w:lang w:val="en-GB"/>
        </w:rPr>
      </w:pPr>
      <w:r w:rsidRPr="5C84C1BE" w:rsidR="0BD60828">
        <w:rPr>
          <w:rFonts w:ascii="Arial" w:hAnsi="Arial" w:eastAsia="Arial" w:cs="Arial"/>
          <w:noProof w:val="0"/>
          <w:sz w:val="22"/>
          <w:szCs w:val="22"/>
          <w:lang w:val="en-GB"/>
        </w:rPr>
        <w:t xml:space="preserve">The Core20PLUS5 Framework aims to tackle healthcare inequalities among older adults by </w:t>
      </w:r>
      <w:r w:rsidRPr="5C84C1BE" w:rsidR="0BD60828">
        <w:rPr>
          <w:rFonts w:ascii="Arial" w:hAnsi="Arial" w:eastAsia="Arial" w:cs="Arial"/>
          <w:noProof w:val="0"/>
          <w:sz w:val="22"/>
          <w:szCs w:val="22"/>
          <w:lang w:val="en-GB"/>
        </w:rPr>
        <w:t>identifying</w:t>
      </w:r>
      <w:r w:rsidRPr="5C84C1BE" w:rsidR="0BD60828">
        <w:rPr>
          <w:rFonts w:ascii="Arial" w:hAnsi="Arial" w:eastAsia="Arial" w:cs="Arial"/>
          <w:noProof w:val="0"/>
          <w:sz w:val="22"/>
          <w:szCs w:val="22"/>
          <w:lang w:val="en-GB"/>
        </w:rPr>
        <w:t xml:space="preserve"> those who face poorer access to services, lower</w:t>
      </w:r>
      <w:r>
        <w:noBreakHyphen/>
      </w:r>
      <w:r w:rsidRPr="5C84C1BE" w:rsidR="0BD60828">
        <w:rPr>
          <w:rFonts w:ascii="Arial" w:hAnsi="Arial" w:eastAsia="Arial" w:cs="Arial"/>
          <w:noProof w:val="0"/>
          <w:sz w:val="22"/>
          <w:szCs w:val="22"/>
          <w:lang w:val="en-GB"/>
        </w:rPr>
        <w:t xml:space="preserve">quality healthcare </w:t>
      </w:r>
      <w:r w:rsidRPr="5C84C1BE" w:rsidR="0BD60828">
        <w:rPr>
          <w:rFonts w:ascii="Arial" w:hAnsi="Arial" w:eastAsia="Arial" w:cs="Arial"/>
          <w:noProof w:val="0"/>
          <w:sz w:val="22"/>
          <w:szCs w:val="22"/>
          <w:lang w:val="en-GB"/>
        </w:rPr>
        <w:t>experiences</w:t>
      </w:r>
      <w:r w:rsidRPr="5C84C1BE" w:rsidR="0BD60828">
        <w:rPr>
          <w:rFonts w:ascii="Arial" w:hAnsi="Arial" w:eastAsia="Arial" w:cs="Arial"/>
          <w:noProof w:val="0"/>
          <w:sz w:val="22"/>
          <w:szCs w:val="22"/>
          <w:lang w:val="en-GB"/>
        </w:rPr>
        <w:t xml:space="preserve"> and worse health outcomes. It concentrates on the most deprived 20% of the population, locally defined groups experiencing </w:t>
      </w:r>
      <w:r w:rsidRPr="5C84C1BE" w:rsidR="0BD60828">
        <w:rPr>
          <w:rFonts w:ascii="Arial" w:hAnsi="Arial" w:eastAsia="Arial" w:cs="Arial"/>
          <w:noProof w:val="0"/>
          <w:sz w:val="22"/>
          <w:szCs w:val="22"/>
          <w:lang w:val="en-GB"/>
        </w:rPr>
        <w:t>additional</w:t>
      </w:r>
      <w:r w:rsidRPr="5C84C1BE" w:rsidR="0BD60828">
        <w:rPr>
          <w:rFonts w:ascii="Arial" w:hAnsi="Arial" w:eastAsia="Arial" w:cs="Arial"/>
          <w:noProof w:val="0"/>
          <w:sz w:val="22"/>
          <w:szCs w:val="22"/>
          <w:lang w:val="en-GB"/>
        </w:rPr>
        <w:t xml:space="preserve"> disadvantage, and five priority clinical areas: frailty, dementia, falls, multiple long</w:t>
      </w:r>
      <w:r>
        <w:noBreakHyphen/>
      </w:r>
      <w:r w:rsidRPr="5C84C1BE" w:rsidR="0BD60828">
        <w:rPr>
          <w:rFonts w:ascii="Arial" w:hAnsi="Arial" w:eastAsia="Arial" w:cs="Arial"/>
          <w:noProof w:val="0"/>
          <w:sz w:val="22"/>
          <w:szCs w:val="22"/>
          <w:lang w:val="en-GB"/>
        </w:rPr>
        <w:t>term conditions with polypharmacy, and end</w:t>
      </w:r>
      <w:r>
        <w:noBreakHyphen/>
      </w:r>
      <w:r w:rsidRPr="5C84C1BE" w:rsidR="0BD60828">
        <w:rPr>
          <w:rFonts w:ascii="Arial" w:hAnsi="Arial" w:eastAsia="Arial" w:cs="Arial"/>
          <w:noProof w:val="0"/>
          <w:sz w:val="22"/>
          <w:szCs w:val="22"/>
          <w:lang w:val="en-GB"/>
        </w:rPr>
        <w:t>of</w:t>
      </w:r>
      <w:r>
        <w:noBreakHyphen/>
      </w:r>
      <w:r w:rsidRPr="5C84C1BE" w:rsidR="0BD60828">
        <w:rPr>
          <w:rFonts w:ascii="Arial" w:hAnsi="Arial" w:eastAsia="Arial" w:cs="Arial"/>
          <w:noProof w:val="0"/>
          <w:sz w:val="22"/>
          <w:szCs w:val="22"/>
          <w:lang w:val="en-GB"/>
        </w:rPr>
        <w:t xml:space="preserve">life care. By focusing on these population groups and clinical needs, Core20PLUS5 supports more </w:t>
      </w:r>
      <w:r w:rsidRPr="5C84C1BE" w:rsidR="0BD60828">
        <w:rPr>
          <w:rFonts w:ascii="Arial" w:hAnsi="Arial" w:eastAsia="Arial" w:cs="Arial"/>
          <w:noProof w:val="0"/>
          <w:sz w:val="22"/>
          <w:szCs w:val="22"/>
          <w:lang w:val="en-GB"/>
        </w:rPr>
        <w:t>equitable</w:t>
      </w:r>
      <w:r w:rsidRPr="5C84C1BE" w:rsidR="0BD60828">
        <w:rPr>
          <w:rFonts w:ascii="Arial" w:hAnsi="Arial" w:eastAsia="Arial" w:cs="Arial"/>
          <w:noProof w:val="0"/>
          <w:sz w:val="22"/>
          <w:szCs w:val="22"/>
          <w:lang w:val="en-GB"/>
        </w:rPr>
        <w:t xml:space="preserve">, </w:t>
      </w:r>
      <w:r w:rsidRPr="5C84C1BE" w:rsidR="0BD60828">
        <w:rPr>
          <w:rFonts w:ascii="Arial" w:hAnsi="Arial" w:eastAsia="Arial" w:cs="Arial"/>
          <w:noProof w:val="0"/>
          <w:sz w:val="22"/>
          <w:szCs w:val="22"/>
          <w:lang w:val="en-GB"/>
        </w:rPr>
        <w:t>personalised</w:t>
      </w:r>
      <w:r w:rsidRPr="5C84C1BE" w:rsidR="0BD60828">
        <w:rPr>
          <w:rFonts w:ascii="Arial" w:hAnsi="Arial" w:eastAsia="Arial" w:cs="Arial"/>
          <w:noProof w:val="0"/>
          <w:sz w:val="22"/>
          <w:szCs w:val="22"/>
          <w:lang w:val="en-GB"/>
        </w:rPr>
        <w:t xml:space="preserve"> and preventative healthcare for older people, helping to improve outcomes and reduce avoidable disparities (British Geriatrics Society, 2025).</w:t>
      </w:r>
    </w:p>
    <w:p w:rsidR="5A22456B" w:rsidP="5C84C1BE" w:rsidRDefault="5A22456B" w14:paraId="52816CCE" w14:textId="16A5ACBC">
      <w:pPr>
        <w:pStyle w:val="Normal"/>
        <w:spacing w:line="360" w:lineRule="auto"/>
        <w:jc w:val="both"/>
        <w:rPr>
          <w:rFonts w:ascii="Arial" w:hAnsi="Arial" w:eastAsia="Arial" w:cs="Arial"/>
          <w:noProof w:val="0"/>
          <w:sz w:val="22"/>
          <w:szCs w:val="22"/>
          <w:lang w:val="en-GB"/>
        </w:rPr>
      </w:pPr>
      <w:r w:rsidRPr="5C84C1BE" w:rsidR="5A22456B">
        <w:rPr>
          <w:rFonts w:ascii="Arial" w:hAnsi="Arial" w:eastAsia="Arial" w:cs="Arial"/>
          <w:noProof w:val="0"/>
          <w:sz w:val="22"/>
          <w:szCs w:val="22"/>
          <w:lang w:val="en-GB"/>
        </w:rPr>
        <w:t xml:space="preserve">Core20PLUS5 can be viewed as an effective framework for tackling healthcare inequalities because it offers the NHS a clear method for </w:t>
      </w:r>
      <w:r w:rsidRPr="5C84C1BE" w:rsidR="5A22456B">
        <w:rPr>
          <w:rFonts w:ascii="Arial" w:hAnsi="Arial" w:eastAsia="Arial" w:cs="Arial"/>
          <w:noProof w:val="0"/>
          <w:sz w:val="22"/>
          <w:szCs w:val="22"/>
          <w:lang w:val="en-GB"/>
        </w:rPr>
        <w:t>identifying</w:t>
      </w:r>
      <w:r w:rsidRPr="5C84C1BE" w:rsidR="5A22456B">
        <w:rPr>
          <w:rFonts w:ascii="Arial" w:hAnsi="Arial" w:eastAsia="Arial" w:cs="Arial"/>
          <w:noProof w:val="0"/>
          <w:sz w:val="22"/>
          <w:szCs w:val="22"/>
          <w:lang w:val="en-GB"/>
        </w:rPr>
        <w:t xml:space="preserve"> and prioritising groups facing greater disadvantage. The framework focuses on the most deprived 20% of the population, locally defined “PLUS” groups and five clinical priority areas: maternity, severe mental illness, chronic respiratory disease, early cancer diagnosis and hypertension and lipid management (NHS, 202</w:t>
      </w:r>
      <w:r w:rsidRPr="5C84C1BE" w:rsidR="7C2E5174">
        <w:rPr>
          <w:rFonts w:ascii="Arial" w:hAnsi="Arial" w:eastAsia="Arial" w:cs="Arial"/>
          <w:noProof w:val="0"/>
          <w:sz w:val="22"/>
          <w:szCs w:val="22"/>
          <w:lang w:val="en-GB"/>
        </w:rPr>
        <w:t>1</w:t>
      </w:r>
      <w:r w:rsidRPr="5C84C1BE" w:rsidR="5A22456B">
        <w:rPr>
          <w:rFonts w:ascii="Arial" w:hAnsi="Arial" w:eastAsia="Arial" w:cs="Arial"/>
          <w:noProof w:val="0"/>
          <w:sz w:val="22"/>
          <w:szCs w:val="22"/>
          <w:lang w:val="en-GB"/>
        </w:rPr>
        <w:t>). This targeted approach is a strength, as it enables NHS organisations to direct resources toward populations where inequalities are most pronounced rather than applying uniform interventions across all groups.</w:t>
      </w:r>
    </w:p>
    <w:p w:rsidR="72E966DD" w:rsidP="5C84C1BE" w:rsidRDefault="72E966DD" w14:paraId="05D4610F" w14:textId="468A4117">
      <w:pPr>
        <w:pStyle w:val="Normal"/>
        <w:spacing w:line="360" w:lineRule="auto"/>
        <w:jc w:val="both"/>
        <w:rPr>
          <w:rFonts w:ascii="Arial" w:hAnsi="Arial" w:eastAsia="Arial" w:cs="Arial"/>
          <w:noProof w:val="0"/>
          <w:sz w:val="22"/>
          <w:szCs w:val="22"/>
          <w:lang w:val="en-GB"/>
        </w:rPr>
      </w:pPr>
      <w:r w:rsidRPr="5C84C1BE" w:rsidR="72E966DD">
        <w:rPr>
          <w:rFonts w:ascii="Arial" w:hAnsi="Arial" w:eastAsia="Arial" w:cs="Arial"/>
          <w:noProof w:val="0"/>
          <w:sz w:val="22"/>
          <w:szCs w:val="22"/>
          <w:lang w:val="en-GB"/>
        </w:rPr>
        <w:t>On the other hand, there are certain doubts. According to</w:t>
      </w:r>
      <w:r w:rsidRPr="5C84C1BE" w:rsidR="4B70FD66">
        <w:rPr>
          <w:rFonts w:ascii="Arial" w:hAnsi="Arial" w:eastAsia="Arial" w:cs="Arial"/>
          <w:noProof w:val="0"/>
          <w:sz w:val="22"/>
          <w:szCs w:val="22"/>
          <w:lang w:val="en-GB"/>
        </w:rPr>
        <w:t xml:space="preserve"> the research by (</w:t>
      </w:r>
      <w:r w:rsidRPr="5C84C1BE" w:rsidR="4B70FD66">
        <w:rPr>
          <w:rFonts w:ascii="Arial" w:hAnsi="Arial" w:eastAsia="Arial" w:cs="Arial"/>
          <w:noProof w:val="0"/>
          <w:sz w:val="22"/>
          <w:szCs w:val="22"/>
          <w:lang w:val="en-GB"/>
        </w:rPr>
        <w:t>Elliott,</w:t>
      </w:r>
      <w:r w:rsidRPr="5C84C1BE" w:rsidR="4B70FD66">
        <w:rPr>
          <w:rFonts w:ascii="Arial" w:hAnsi="Arial" w:eastAsia="Arial" w:cs="Arial"/>
          <w:i w:val="1"/>
          <w:iCs w:val="1"/>
          <w:noProof w:val="0"/>
          <w:sz w:val="22"/>
          <w:szCs w:val="22"/>
          <w:lang w:val="en-GB"/>
        </w:rPr>
        <w:t>et al,</w:t>
      </w:r>
      <w:r w:rsidRPr="5C84C1BE" w:rsidR="4B70FD66">
        <w:rPr>
          <w:rFonts w:ascii="Arial" w:hAnsi="Arial" w:eastAsia="Arial" w:cs="Arial"/>
          <w:noProof w:val="0"/>
          <w:sz w:val="22"/>
          <w:szCs w:val="22"/>
          <w:lang w:val="en-GB"/>
        </w:rPr>
        <w:t>2025)</w:t>
      </w:r>
      <w:r w:rsidRPr="5C84C1BE" w:rsidR="72E966DD">
        <w:rPr>
          <w:rFonts w:ascii="Arial" w:hAnsi="Arial" w:eastAsia="Arial" w:cs="Arial"/>
          <w:noProof w:val="0"/>
          <w:sz w:val="22"/>
          <w:szCs w:val="22"/>
          <w:lang w:val="en-GB"/>
        </w:rPr>
        <w:t xml:space="preserve"> Core20PLUS5 and the associated inequality dashboards were useful mechanisms, yet they did not create sufficiently strong accountability across the system. For this reason, Core20PLUS5 should be supported with protected funding, publicly available outcome dashboards and mandatory reporting of access, patient </w:t>
      </w:r>
      <w:r w:rsidRPr="5C84C1BE" w:rsidR="72E966DD">
        <w:rPr>
          <w:rFonts w:ascii="Arial" w:hAnsi="Arial" w:eastAsia="Arial" w:cs="Arial"/>
          <w:noProof w:val="0"/>
          <w:sz w:val="22"/>
          <w:szCs w:val="22"/>
          <w:lang w:val="en-GB"/>
        </w:rPr>
        <w:t>experience</w:t>
      </w:r>
      <w:r w:rsidRPr="5C84C1BE" w:rsidR="72E966DD">
        <w:rPr>
          <w:rFonts w:ascii="Arial" w:hAnsi="Arial" w:eastAsia="Arial" w:cs="Arial"/>
          <w:noProof w:val="0"/>
          <w:sz w:val="22"/>
          <w:szCs w:val="22"/>
          <w:lang w:val="en-GB"/>
        </w:rPr>
        <w:t xml:space="preserve"> and health outcomes for each population group. It is also important that community representatives are formally involved in both planning and evaluation processes. In addition, NHS organisations need to work closely with councils, schools, </w:t>
      </w:r>
      <w:r w:rsidRPr="5C84C1BE" w:rsidR="72E966DD">
        <w:rPr>
          <w:rFonts w:ascii="Arial" w:hAnsi="Arial" w:eastAsia="Arial" w:cs="Arial"/>
          <w:noProof w:val="0"/>
          <w:sz w:val="22"/>
          <w:szCs w:val="22"/>
          <w:lang w:val="en-GB"/>
        </w:rPr>
        <w:t>employers</w:t>
      </w:r>
      <w:r w:rsidRPr="5C84C1BE" w:rsidR="72E966DD">
        <w:rPr>
          <w:rFonts w:ascii="Arial" w:hAnsi="Arial" w:eastAsia="Arial" w:cs="Arial"/>
          <w:noProof w:val="0"/>
          <w:sz w:val="22"/>
          <w:szCs w:val="22"/>
          <w:lang w:val="en-GB"/>
        </w:rPr>
        <w:t xml:space="preserve"> and housing providers, as the health sector alone cannot eliminate the wider social determinants that contribute to poor health.</w:t>
      </w:r>
    </w:p>
    <w:p w:rsidR="3DC4D638" w:rsidP="5C84C1BE" w:rsidRDefault="3DC4D638" w14:paraId="19CC27F5" w14:textId="6BF21ABA">
      <w:pPr>
        <w:pStyle w:val="Normal"/>
        <w:spacing w:line="360" w:lineRule="auto"/>
        <w:jc w:val="both"/>
        <w:rPr>
          <w:rFonts w:ascii="Arial" w:hAnsi="Arial" w:eastAsia="Arial" w:cs="Arial"/>
          <w:noProof w:val="0"/>
          <w:sz w:val="22"/>
          <w:szCs w:val="22"/>
          <w:lang w:val="en-GB"/>
        </w:rPr>
      </w:pPr>
      <w:r w:rsidRPr="5C84C1BE" w:rsidR="3DC4D638">
        <w:rPr>
          <w:rFonts w:ascii="Arial" w:hAnsi="Arial" w:eastAsia="Arial" w:cs="Arial"/>
          <w:noProof w:val="0"/>
          <w:sz w:val="22"/>
          <w:szCs w:val="22"/>
          <w:lang w:val="en-GB"/>
        </w:rPr>
        <w:t>4.2 The Greener NHS Programme</w:t>
      </w:r>
    </w:p>
    <w:p w:rsidR="53072E3E" w:rsidP="5C84C1BE" w:rsidRDefault="53072E3E" w14:paraId="399CC730" w14:textId="55B5E1F3">
      <w:pPr>
        <w:pStyle w:val="Normal"/>
        <w:spacing w:line="360" w:lineRule="auto"/>
        <w:jc w:val="both"/>
        <w:rPr>
          <w:rFonts w:ascii="Arial" w:hAnsi="Arial" w:eastAsia="Arial" w:cs="Arial"/>
          <w:noProof w:val="0"/>
          <w:sz w:val="22"/>
          <w:szCs w:val="22"/>
          <w:lang w:val="en-GB"/>
        </w:rPr>
      </w:pPr>
      <w:r w:rsidRPr="5C84C1BE" w:rsidR="53072E3E">
        <w:rPr>
          <w:rFonts w:ascii="Arial" w:hAnsi="Arial" w:eastAsia="Arial" w:cs="Arial"/>
          <w:noProof w:val="0"/>
          <w:sz w:val="22"/>
          <w:szCs w:val="22"/>
          <w:lang w:val="en-GB"/>
        </w:rPr>
        <w:t>The Greener NHS Programme supports the NHS in reducing its environmental impact by working toward net</w:t>
      </w:r>
      <w:r>
        <w:noBreakHyphen/>
      </w:r>
      <w:r w:rsidRPr="5C84C1BE" w:rsidR="53072E3E">
        <w:rPr>
          <w:rFonts w:ascii="Arial" w:hAnsi="Arial" w:eastAsia="Arial" w:cs="Arial"/>
          <w:noProof w:val="0"/>
          <w:sz w:val="22"/>
          <w:szCs w:val="22"/>
          <w:lang w:val="en-GB"/>
        </w:rPr>
        <w:t>zero emissions, with direct emissions targeted for 2040 and influenced emissions for 2045. It encourages more sustainable clinical practice, reduced resource use and redesigned care, while promoting a triple</w:t>
      </w:r>
      <w:r>
        <w:noBreakHyphen/>
      </w:r>
      <w:r w:rsidRPr="5C84C1BE" w:rsidR="53072E3E">
        <w:rPr>
          <w:rFonts w:ascii="Arial" w:hAnsi="Arial" w:eastAsia="Arial" w:cs="Arial"/>
          <w:noProof w:val="0"/>
          <w:sz w:val="22"/>
          <w:szCs w:val="22"/>
          <w:lang w:val="en-GB"/>
        </w:rPr>
        <w:t>bottom</w:t>
      </w:r>
      <w:r>
        <w:noBreakHyphen/>
      </w:r>
      <w:r w:rsidRPr="5C84C1BE" w:rsidR="53072E3E">
        <w:rPr>
          <w:rFonts w:ascii="Arial" w:hAnsi="Arial" w:eastAsia="Arial" w:cs="Arial"/>
          <w:noProof w:val="0"/>
          <w:sz w:val="22"/>
          <w:szCs w:val="22"/>
          <w:lang w:val="en-GB"/>
        </w:rPr>
        <w:t>line balance of environmental, social and economic outcomes.</w:t>
      </w:r>
      <w:r w:rsidRPr="5C84C1BE" w:rsidR="7E64C31A">
        <w:rPr>
          <w:rFonts w:ascii="Arial" w:hAnsi="Arial" w:eastAsia="Arial" w:cs="Arial"/>
          <w:noProof w:val="0"/>
          <w:sz w:val="22"/>
          <w:szCs w:val="22"/>
          <w:lang w:val="en-GB"/>
        </w:rPr>
        <w:t xml:space="preserve"> (Donelly,2024).</w:t>
      </w:r>
    </w:p>
    <w:p w:rsidR="2DFBCF42" w:rsidP="5C84C1BE" w:rsidRDefault="2DFBCF42" w14:paraId="4A124EA0" w14:textId="3F3025AA">
      <w:pPr>
        <w:spacing w:before="240" w:beforeAutospacing="off" w:after="240" w:afterAutospacing="off" w:line="360" w:lineRule="auto"/>
        <w:jc w:val="both"/>
        <w:rPr>
          <w:rFonts w:ascii="Arial" w:hAnsi="Arial" w:eastAsia="Arial" w:cs="Arial"/>
          <w:noProof w:val="0"/>
          <w:sz w:val="22"/>
          <w:szCs w:val="22"/>
          <w:lang w:val="en-GB"/>
        </w:rPr>
      </w:pPr>
      <w:r w:rsidRPr="5C84C1BE" w:rsidR="2DFBCF42">
        <w:rPr>
          <w:rFonts w:ascii="Arial" w:hAnsi="Arial" w:eastAsia="Arial" w:cs="Arial"/>
          <w:noProof w:val="0"/>
          <w:sz w:val="22"/>
          <w:szCs w:val="22"/>
          <w:lang w:val="en-GB"/>
        </w:rPr>
        <w:t>The Greener NHS Programme has achieved measurable progress toward its net</w:t>
      </w:r>
      <w:r>
        <w:noBreakHyphen/>
      </w:r>
      <w:r w:rsidRPr="5C84C1BE" w:rsidR="2DFBCF42">
        <w:rPr>
          <w:rFonts w:ascii="Arial" w:hAnsi="Arial" w:eastAsia="Arial" w:cs="Arial"/>
          <w:noProof w:val="0"/>
          <w:sz w:val="22"/>
          <w:szCs w:val="22"/>
          <w:lang w:val="en-GB"/>
        </w:rPr>
        <w:t>zero goals, with NHS England reporting a 14% reduction in NHS Carbon Footprint emissions in the five years following the publication of the net</w:t>
      </w:r>
      <w:r>
        <w:noBreakHyphen/>
      </w:r>
      <w:r w:rsidRPr="5C84C1BE" w:rsidR="2DFBCF42">
        <w:rPr>
          <w:rFonts w:ascii="Arial" w:hAnsi="Arial" w:eastAsia="Arial" w:cs="Arial"/>
          <w:noProof w:val="0"/>
          <w:sz w:val="22"/>
          <w:szCs w:val="22"/>
          <w:lang w:val="en-GB"/>
        </w:rPr>
        <w:t xml:space="preserve">zero strategy, and more than a 68% reduction since 1990. Nevertheless, progress has been uneven, as areas such as transport, supply chains and wider indirect emissions </w:t>
      </w:r>
      <w:r w:rsidRPr="5C84C1BE" w:rsidR="2DFBCF42">
        <w:rPr>
          <w:rFonts w:ascii="Arial" w:hAnsi="Arial" w:eastAsia="Arial" w:cs="Arial"/>
          <w:noProof w:val="0"/>
          <w:sz w:val="22"/>
          <w:szCs w:val="22"/>
          <w:lang w:val="en-GB"/>
        </w:rPr>
        <w:t>remain</w:t>
      </w:r>
      <w:r w:rsidRPr="5C84C1BE" w:rsidR="2DFBCF42">
        <w:rPr>
          <w:rFonts w:ascii="Arial" w:hAnsi="Arial" w:eastAsia="Arial" w:cs="Arial"/>
          <w:noProof w:val="0"/>
          <w:sz w:val="22"/>
          <w:szCs w:val="22"/>
          <w:lang w:val="en-GB"/>
        </w:rPr>
        <w:t xml:space="preserve"> far more challenging to decarbonise, leaving the NHS with significant obstacles to meeting its long</w:t>
      </w:r>
      <w:r>
        <w:noBreakHyphen/>
      </w:r>
      <w:r w:rsidRPr="5C84C1BE" w:rsidR="2DFBCF42">
        <w:rPr>
          <w:rFonts w:ascii="Arial" w:hAnsi="Arial" w:eastAsia="Arial" w:cs="Arial"/>
          <w:noProof w:val="0"/>
          <w:sz w:val="22"/>
          <w:szCs w:val="22"/>
          <w:lang w:val="en-GB"/>
        </w:rPr>
        <w:t xml:space="preserve">term commitments. Overall, the programme can be viewed as partially effective, having delivered notable reductions in directly controlled emissions and generated environmental as well as potential financial benefits, yet further sustained action is still </w:t>
      </w:r>
      <w:r w:rsidRPr="5C84C1BE" w:rsidR="2DFBCF42">
        <w:rPr>
          <w:rFonts w:ascii="Arial" w:hAnsi="Arial" w:eastAsia="Arial" w:cs="Arial"/>
          <w:noProof w:val="0"/>
          <w:sz w:val="22"/>
          <w:szCs w:val="22"/>
          <w:lang w:val="en-GB"/>
        </w:rPr>
        <w:t>required</w:t>
      </w:r>
      <w:r w:rsidRPr="5C84C1BE" w:rsidR="2DFBCF42">
        <w:rPr>
          <w:rFonts w:ascii="Arial" w:hAnsi="Arial" w:eastAsia="Arial" w:cs="Arial"/>
          <w:noProof w:val="0"/>
          <w:sz w:val="22"/>
          <w:szCs w:val="22"/>
          <w:lang w:val="en-GB"/>
        </w:rPr>
        <w:t xml:space="preserve"> to reduce indirect emissions and strengthen climate resilience </w:t>
      </w:r>
      <w:r w:rsidRPr="5C84C1BE" w:rsidR="091C112B">
        <w:rPr>
          <w:rFonts w:ascii="Arial" w:hAnsi="Arial" w:eastAsia="Arial" w:cs="Arial"/>
          <w:noProof w:val="0"/>
          <w:sz w:val="22"/>
          <w:szCs w:val="22"/>
          <w:lang w:val="en-GB"/>
        </w:rPr>
        <w:t>(NHS,</w:t>
      </w:r>
      <w:r w:rsidRPr="5C84C1BE" w:rsidR="4B9AE4CE">
        <w:rPr>
          <w:rFonts w:ascii="Arial" w:hAnsi="Arial" w:eastAsia="Arial" w:cs="Arial"/>
          <w:noProof w:val="0"/>
          <w:sz w:val="22"/>
          <w:szCs w:val="22"/>
          <w:lang w:val="en-GB"/>
        </w:rPr>
        <w:t>2026).</w:t>
      </w:r>
    </w:p>
    <w:p w:rsidR="4FC3C41B" w:rsidP="5C84C1BE" w:rsidRDefault="4FC3C41B" w14:paraId="165A0434" w14:textId="6B898522">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4FC3C41B">
        <w:rPr>
          <w:rFonts w:ascii="Arial" w:hAnsi="Arial" w:eastAsia="Arial" w:cs="Arial"/>
          <w:noProof w:val="0"/>
          <w:sz w:val="22"/>
          <w:szCs w:val="22"/>
          <w:lang w:val="en-GB"/>
        </w:rPr>
        <w:t>According to (</w:t>
      </w:r>
      <w:r w:rsidRPr="5C84C1BE" w:rsidR="4FC3C41B">
        <w:rPr>
          <w:rFonts w:ascii="Arial" w:hAnsi="Arial" w:eastAsia="Arial" w:cs="Arial"/>
          <w:noProof w:val="0"/>
          <w:sz w:val="22"/>
          <w:szCs w:val="22"/>
          <w:lang w:val="en-GB"/>
        </w:rPr>
        <w:t>Simpson</w:t>
      </w:r>
      <w:r w:rsidRPr="5C84C1BE" w:rsidR="4FC3C41B">
        <w:rPr>
          <w:rFonts w:ascii="Arial" w:hAnsi="Arial" w:eastAsia="Arial" w:cs="Arial"/>
          <w:noProof w:val="0"/>
          <w:sz w:val="22"/>
          <w:szCs w:val="22"/>
          <w:lang w:val="en-GB"/>
        </w:rPr>
        <w:t xml:space="preserve"> ,2026) </w:t>
      </w:r>
      <w:r w:rsidRPr="5C84C1BE" w:rsidR="46F7BB04">
        <w:rPr>
          <w:rFonts w:ascii="Arial" w:hAnsi="Arial" w:eastAsia="Arial" w:cs="Arial"/>
          <w:noProof w:val="0"/>
          <w:sz w:val="22"/>
          <w:szCs w:val="22"/>
          <w:lang w:val="en-GB"/>
        </w:rPr>
        <w:t>Improving the quality and granularity of NHS</w:t>
      </w:r>
      <w:r>
        <w:noBreakHyphen/>
      </w:r>
      <w:r w:rsidRPr="5C84C1BE" w:rsidR="46F7BB04">
        <w:rPr>
          <w:rFonts w:ascii="Arial" w:hAnsi="Arial" w:eastAsia="Arial" w:cs="Arial"/>
          <w:noProof w:val="0"/>
          <w:sz w:val="22"/>
          <w:szCs w:val="22"/>
          <w:lang w:val="en-GB"/>
        </w:rPr>
        <w:t>specific carbon data is essential, as more detailed organisation</w:t>
      </w:r>
      <w:r>
        <w:noBreakHyphen/>
      </w:r>
      <w:r w:rsidRPr="5C84C1BE" w:rsidR="46F7BB04">
        <w:rPr>
          <w:rFonts w:ascii="Arial" w:hAnsi="Arial" w:eastAsia="Arial" w:cs="Arial"/>
          <w:noProof w:val="0"/>
          <w:sz w:val="22"/>
          <w:szCs w:val="22"/>
          <w:lang w:val="en-GB"/>
        </w:rPr>
        <w:t xml:space="preserve">level information would help </w:t>
      </w:r>
      <w:r w:rsidRPr="5C84C1BE" w:rsidR="46F7BB04">
        <w:rPr>
          <w:rFonts w:ascii="Arial" w:hAnsi="Arial" w:eastAsia="Arial" w:cs="Arial"/>
          <w:noProof w:val="0"/>
          <w:sz w:val="22"/>
          <w:szCs w:val="22"/>
          <w:lang w:val="en-GB"/>
        </w:rPr>
        <w:t>identify</w:t>
      </w:r>
      <w:r w:rsidRPr="5C84C1BE" w:rsidR="46F7BB04">
        <w:rPr>
          <w:rFonts w:ascii="Arial" w:hAnsi="Arial" w:eastAsia="Arial" w:cs="Arial"/>
          <w:noProof w:val="0"/>
          <w:sz w:val="22"/>
          <w:szCs w:val="22"/>
          <w:lang w:val="en-GB"/>
        </w:rPr>
        <w:t xml:space="preserve"> emission hotspots and link them directly to targeted mitigation actions. Greater priority should also be given to reducing supply</w:t>
      </w:r>
      <w:r>
        <w:noBreakHyphen/>
      </w:r>
      <w:r w:rsidRPr="5C84C1BE" w:rsidR="46F7BB04">
        <w:rPr>
          <w:rFonts w:ascii="Arial" w:hAnsi="Arial" w:eastAsia="Arial" w:cs="Arial"/>
          <w:noProof w:val="0"/>
          <w:sz w:val="22"/>
          <w:szCs w:val="22"/>
          <w:lang w:val="en-GB"/>
        </w:rPr>
        <w:t>chain emissions, which remain the largest contributor to the NHS’s overall carbon footprint despite reductions in directly controlled emissions. In addition, continued refinement of carbon</w:t>
      </w:r>
      <w:r>
        <w:noBreakHyphen/>
      </w:r>
      <w:r w:rsidRPr="5C84C1BE" w:rsidR="46F7BB04">
        <w:rPr>
          <w:rFonts w:ascii="Arial" w:hAnsi="Arial" w:eastAsia="Arial" w:cs="Arial"/>
          <w:noProof w:val="0"/>
          <w:sz w:val="22"/>
          <w:szCs w:val="22"/>
          <w:lang w:val="en-GB"/>
        </w:rPr>
        <w:t>accounting methods and the use of organisation</w:t>
      </w:r>
      <w:r>
        <w:noBreakHyphen/>
      </w:r>
      <w:r w:rsidRPr="5C84C1BE" w:rsidR="46F7BB04">
        <w:rPr>
          <w:rFonts w:ascii="Arial" w:hAnsi="Arial" w:eastAsia="Arial" w:cs="Arial"/>
          <w:noProof w:val="0"/>
          <w:sz w:val="22"/>
          <w:szCs w:val="22"/>
          <w:lang w:val="en-GB"/>
        </w:rPr>
        <w:t>level data to guide local interventions will strengthen progress toward net</w:t>
      </w:r>
      <w:r>
        <w:noBreakHyphen/>
      </w:r>
      <w:r w:rsidRPr="5C84C1BE" w:rsidR="46F7BB04">
        <w:rPr>
          <w:rFonts w:ascii="Arial" w:hAnsi="Arial" w:eastAsia="Arial" w:cs="Arial"/>
          <w:noProof w:val="0"/>
          <w:sz w:val="22"/>
          <w:szCs w:val="22"/>
          <w:lang w:val="en-GB"/>
        </w:rPr>
        <w:t>zero goals and support more effective decarbonisation across the health system.</w:t>
      </w:r>
    </w:p>
    <w:p w:rsidR="5C84C1BE" w:rsidP="5C84C1BE" w:rsidRDefault="5C84C1BE" w14:paraId="4E6A0D3B" w14:textId="3360FC22">
      <w:pPr>
        <w:pStyle w:val="Normal"/>
        <w:spacing w:before="240" w:beforeAutospacing="off" w:after="240" w:afterAutospacing="off" w:line="360" w:lineRule="auto"/>
        <w:jc w:val="both"/>
        <w:rPr>
          <w:rFonts w:ascii="Arial" w:hAnsi="Arial" w:eastAsia="Arial" w:cs="Arial"/>
          <w:noProof w:val="0"/>
          <w:sz w:val="22"/>
          <w:szCs w:val="22"/>
          <w:lang w:val="en-GB"/>
        </w:rPr>
      </w:pPr>
    </w:p>
    <w:p w:rsidR="5C84C1BE" w:rsidP="5C84C1BE" w:rsidRDefault="5C84C1BE" w14:paraId="3585944D" w14:textId="16337C38">
      <w:pPr>
        <w:pStyle w:val="Normal"/>
        <w:spacing w:before="240" w:beforeAutospacing="off" w:after="240" w:afterAutospacing="off" w:line="360" w:lineRule="auto"/>
        <w:jc w:val="both"/>
        <w:rPr>
          <w:rFonts w:ascii="Arial" w:hAnsi="Arial" w:eastAsia="Arial" w:cs="Arial"/>
          <w:noProof w:val="0"/>
          <w:sz w:val="22"/>
          <w:szCs w:val="22"/>
          <w:lang w:val="en-GB"/>
        </w:rPr>
      </w:pPr>
    </w:p>
    <w:p w:rsidR="2FC643CE" w:rsidP="5C84C1BE" w:rsidRDefault="2FC643CE" w14:paraId="369ACF92" w14:textId="4116CBCC">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2FC643CE">
        <w:rPr>
          <w:rFonts w:ascii="Arial" w:hAnsi="Arial" w:eastAsia="Arial" w:cs="Arial"/>
          <w:noProof w:val="0"/>
          <w:sz w:val="22"/>
          <w:szCs w:val="22"/>
          <w:lang w:val="en-GB"/>
        </w:rPr>
        <w:t>5. Local Wellbeing and Sustainable Development Initiatives</w:t>
      </w:r>
    </w:p>
    <w:p w:rsidR="486AB341" w:rsidP="5C84C1BE" w:rsidRDefault="486AB341" w14:paraId="55D0B80C" w14:textId="135B365B">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486AB341">
        <w:rPr>
          <w:rFonts w:ascii="Arial" w:hAnsi="Arial" w:eastAsia="Arial" w:cs="Arial"/>
          <w:noProof w:val="0"/>
          <w:sz w:val="22"/>
          <w:szCs w:val="22"/>
          <w:lang w:val="en-GB"/>
        </w:rPr>
        <w:t>Local wellbeing and sustainable development initiatives are community</w:t>
      </w:r>
      <w:r>
        <w:noBreakHyphen/>
      </w:r>
      <w:r w:rsidRPr="5C84C1BE" w:rsidR="486AB341">
        <w:rPr>
          <w:rFonts w:ascii="Arial" w:hAnsi="Arial" w:eastAsia="Arial" w:cs="Arial"/>
          <w:noProof w:val="0"/>
          <w:sz w:val="22"/>
          <w:szCs w:val="22"/>
          <w:lang w:val="en-GB"/>
        </w:rPr>
        <w:t>led, partnership</w:t>
      </w:r>
      <w:r>
        <w:noBreakHyphen/>
      </w:r>
      <w:r w:rsidRPr="5C84C1BE" w:rsidR="486AB341">
        <w:rPr>
          <w:rFonts w:ascii="Arial" w:hAnsi="Arial" w:eastAsia="Arial" w:cs="Arial"/>
          <w:noProof w:val="0"/>
          <w:sz w:val="22"/>
          <w:szCs w:val="22"/>
          <w:lang w:val="en-GB"/>
        </w:rPr>
        <w:t xml:space="preserve">driven efforts that aim to enhance health, quality of life and social wellbeing while safeguarding environmental resources and meeting the needs of future generations (Lee </w:t>
      </w:r>
      <w:r w:rsidRPr="5C84C1BE" w:rsidR="486AB341">
        <w:rPr>
          <w:rFonts w:ascii="Arial" w:hAnsi="Arial" w:eastAsia="Arial" w:cs="Arial"/>
          <w:i w:val="1"/>
          <w:iCs w:val="1"/>
          <w:noProof w:val="0"/>
          <w:sz w:val="22"/>
          <w:szCs w:val="22"/>
          <w:lang w:val="en-GB"/>
        </w:rPr>
        <w:t>et al.</w:t>
      </w:r>
      <w:r w:rsidRPr="5C84C1BE" w:rsidR="486AB341">
        <w:rPr>
          <w:rFonts w:ascii="Arial" w:hAnsi="Arial" w:eastAsia="Arial" w:cs="Arial"/>
          <w:noProof w:val="0"/>
          <w:sz w:val="22"/>
          <w:szCs w:val="22"/>
          <w:lang w:val="en-GB"/>
        </w:rPr>
        <w:t>, 2025).</w:t>
      </w:r>
    </w:p>
    <w:p w:rsidR="37BD1810" w:rsidP="5C84C1BE" w:rsidRDefault="37BD1810" w14:paraId="592CC716" w14:textId="420CDEB5">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37BD1810">
        <w:rPr>
          <w:rFonts w:ascii="Arial" w:hAnsi="Arial" w:eastAsia="Arial" w:cs="Arial"/>
          <w:noProof w:val="0"/>
          <w:sz w:val="22"/>
          <w:szCs w:val="22"/>
          <w:lang w:val="en-GB"/>
        </w:rPr>
        <w:t>5.1 Harlow Health and Wellbeing Strategy 2023</w:t>
      </w:r>
      <w:r w:rsidRPr="5C84C1BE" w:rsidR="1A215AC5">
        <w:rPr>
          <w:rFonts w:ascii="Arial" w:hAnsi="Arial" w:eastAsia="Arial" w:cs="Arial"/>
          <w:noProof w:val="0"/>
          <w:sz w:val="22"/>
          <w:szCs w:val="22"/>
          <w:lang w:val="en-GB"/>
        </w:rPr>
        <w:t>-</w:t>
      </w:r>
      <w:r w:rsidRPr="5C84C1BE" w:rsidR="37BD1810">
        <w:rPr>
          <w:rFonts w:ascii="Arial" w:hAnsi="Arial" w:eastAsia="Arial" w:cs="Arial"/>
          <w:noProof w:val="0"/>
          <w:sz w:val="22"/>
          <w:szCs w:val="22"/>
          <w:lang w:val="en-GB"/>
        </w:rPr>
        <w:t>2028</w:t>
      </w:r>
    </w:p>
    <w:p w:rsidR="7BE743CA" w:rsidP="5C84C1BE" w:rsidRDefault="7BE743CA" w14:paraId="5EFC4893" w14:textId="38F4854F">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7BE743CA">
        <w:rPr>
          <w:rFonts w:ascii="Arial" w:hAnsi="Arial" w:eastAsia="Arial" w:cs="Arial"/>
          <w:noProof w:val="0"/>
          <w:sz w:val="22"/>
          <w:szCs w:val="22"/>
          <w:lang w:val="en-GB"/>
        </w:rPr>
        <w:t>The Harlow Health and Wellbeing Strategy 2023-2028 is a place</w:t>
      </w:r>
      <w:r>
        <w:noBreakHyphen/>
      </w:r>
      <w:r w:rsidRPr="5C84C1BE" w:rsidR="7BE743CA">
        <w:rPr>
          <w:rFonts w:ascii="Arial" w:hAnsi="Arial" w:eastAsia="Arial" w:cs="Arial"/>
          <w:noProof w:val="0"/>
          <w:sz w:val="22"/>
          <w:szCs w:val="22"/>
          <w:lang w:val="en-GB"/>
        </w:rPr>
        <w:t xml:space="preserve">based initiative that addresses five priorities wider determinants and health inequalities, physical activity and healthy weight, mental health and suicide prevention, </w:t>
      </w:r>
      <w:r w:rsidRPr="5C84C1BE" w:rsidR="7BE743CA">
        <w:rPr>
          <w:rFonts w:ascii="Arial" w:hAnsi="Arial" w:eastAsia="Arial" w:cs="Arial"/>
          <w:noProof w:val="0"/>
          <w:sz w:val="22"/>
          <w:szCs w:val="22"/>
          <w:lang w:val="en-GB"/>
        </w:rPr>
        <w:t>alcohol</w:t>
      </w:r>
      <w:r w:rsidRPr="5C84C1BE" w:rsidR="7BE743CA">
        <w:rPr>
          <w:rFonts w:ascii="Arial" w:hAnsi="Arial" w:eastAsia="Arial" w:cs="Arial"/>
          <w:noProof w:val="0"/>
          <w:sz w:val="22"/>
          <w:szCs w:val="22"/>
          <w:lang w:val="en-GB"/>
        </w:rPr>
        <w:t xml:space="preserve"> and substance misuse, and long</w:t>
      </w:r>
      <w:r>
        <w:noBreakHyphen/>
      </w:r>
      <w:r w:rsidRPr="5C84C1BE" w:rsidR="7BE743CA">
        <w:rPr>
          <w:rFonts w:ascii="Arial" w:hAnsi="Arial" w:eastAsia="Arial" w:cs="Arial"/>
          <w:noProof w:val="0"/>
          <w:sz w:val="22"/>
          <w:szCs w:val="22"/>
          <w:lang w:val="en-GB"/>
        </w:rPr>
        <w:t>term independence</w:t>
      </w:r>
      <w:r w:rsidRPr="5C84C1BE" w:rsidR="06748777">
        <w:rPr>
          <w:rFonts w:ascii="Arial" w:hAnsi="Arial" w:eastAsia="Arial" w:cs="Arial"/>
          <w:noProof w:val="0"/>
          <w:sz w:val="22"/>
          <w:szCs w:val="22"/>
          <w:lang w:val="en-GB"/>
        </w:rPr>
        <w:t>-</w:t>
      </w:r>
      <w:r w:rsidRPr="5C84C1BE" w:rsidR="7BE743CA">
        <w:rPr>
          <w:rFonts w:ascii="Arial" w:hAnsi="Arial" w:eastAsia="Arial" w:cs="Arial"/>
          <w:noProof w:val="0"/>
          <w:sz w:val="22"/>
          <w:szCs w:val="22"/>
          <w:lang w:val="en-GB"/>
        </w:rPr>
        <w:t xml:space="preserve">reflecting the link between SDG 3 and SDG 10 by recognising that health is shaped by financial security, social support, housing, </w:t>
      </w:r>
      <w:r w:rsidRPr="5C84C1BE" w:rsidR="7BE743CA">
        <w:rPr>
          <w:rFonts w:ascii="Arial" w:hAnsi="Arial" w:eastAsia="Arial" w:cs="Arial"/>
          <w:noProof w:val="0"/>
          <w:sz w:val="22"/>
          <w:szCs w:val="22"/>
          <w:lang w:val="en-GB"/>
        </w:rPr>
        <w:t>education</w:t>
      </w:r>
      <w:r w:rsidRPr="5C84C1BE" w:rsidR="7BE743CA">
        <w:rPr>
          <w:rFonts w:ascii="Arial" w:hAnsi="Arial" w:eastAsia="Arial" w:cs="Arial"/>
          <w:noProof w:val="0"/>
          <w:sz w:val="22"/>
          <w:szCs w:val="22"/>
          <w:lang w:val="en-GB"/>
        </w:rPr>
        <w:t xml:space="preserve"> and access to services.</w:t>
      </w:r>
    </w:p>
    <w:p w:rsidR="410DE9D1" w:rsidP="5C84C1BE" w:rsidRDefault="410DE9D1" w14:paraId="6BB57A41" w14:textId="29D78E96">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410DE9D1">
        <w:rPr>
          <w:rFonts w:ascii="Arial" w:hAnsi="Arial" w:eastAsia="Arial" w:cs="Arial"/>
          <w:noProof w:val="0"/>
          <w:sz w:val="22"/>
          <w:szCs w:val="22"/>
          <w:lang w:val="en-GB"/>
        </w:rPr>
        <w:t>Partnership working represents a significant strength, as the Harlow Community Hub brings together council services, voluntary organisations, advice providers and mental</w:t>
      </w:r>
      <w:r>
        <w:noBreakHyphen/>
      </w:r>
      <w:r w:rsidRPr="5C84C1BE" w:rsidR="410DE9D1">
        <w:rPr>
          <w:rFonts w:ascii="Arial" w:hAnsi="Arial" w:eastAsia="Arial" w:cs="Arial"/>
          <w:noProof w:val="0"/>
          <w:sz w:val="22"/>
          <w:szCs w:val="22"/>
          <w:lang w:val="en-GB"/>
        </w:rPr>
        <w:t>health teams. During the pandemic it supported around 1,000 households and made 1,288 referrals between November 2021 and April 2022 for issues such as food and fuel poverty, housing, mental health, integration and homelessness. Its holistic referral model ensures that a person seeking help for one concern, such as poor mental health, can also receive support for related financial or housing difficulties (Harlow Council, 2023).</w:t>
      </w:r>
    </w:p>
    <w:p w:rsidR="059CCC08" w:rsidP="5C84C1BE" w:rsidRDefault="059CCC08" w14:paraId="2AEE6A93" w14:textId="13B7E549">
      <w:pPr>
        <w:pStyle w:val="Normal"/>
        <w:spacing w:line="360" w:lineRule="auto"/>
        <w:jc w:val="both"/>
        <w:rPr>
          <w:rFonts w:ascii="Arial" w:hAnsi="Arial" w:eastAsia="Arial" w:cs="Arial"/>
          <w:noProof w:val="0"/>
          <w:sz w:val="22"/>
          <w:szCs w:val="22"/>
          <w:lang w:val="en-GB"/>
        </w:rPr>
      </w:pPr>
      <w:r w:rsidRPr="5C84C1BE" w:rsidR="059CCC08">
        <w:rPr>
          <w:rFonts w:ascii="Arial" w:hAnsi="Arial" w:eastAsia="Arial" w:cs="Arial"/>
          <w:b w:val="0"/>
          <w:bCs w:val="0"/>
          <w:noProof w:val="0"/>
          <w:sz w:val="22"/>
          <w:szCs w:val="22"/>
          <w:lang w:val="en-GB"/>
        </w:rPr>
        <w:t xml:space="preserve">However, key </w:t>
      </w:r>
      <w:r w:rsidRPr="5C84C1BE" w:rsidR="059CCC08">
        <w:rPr>
          <w:rFonts w:ascii="Arial" w:hAnsi="Arial" w:eastAsia="Arial" w:cs="Arial"/>
          <w:noProof w:val="0"/>
          <w:sz w:val="22"/>
          <w:szCs w:val="22"/>
          <w:lang w:val="en-GB"/>
        </w:rPr>
        <w:t>weakness of the Harlow Health and Wellbeing Strategy 2023</w:t>
      </w:r>
      <w:r w:rsidRPr="5C84C1BE" w:rsidR="528727C0">
        <w:rPr>
          <w:rFonts w:ascii="Arial" w:hAnsi="Arial" w:eastAsia="Arial" w:cs="Arial"/>
          <w:noProof w:val="0"/>
          <w:sz w:val="22"/>
          <w:szCs w:val="22"/>
          <w:lang w:val="en-GB"/>
        </w:rPr>
        <w:t>-</w:t>
      </w:r>
      <w:r w:rsidRPr="5C84C1BE" w:rsidR="059CCC08">
        <w:rPr>
          <w:rFonts w:ascii="Arial" w:hAnsi="Arial" w:eastAsia="Arial" w:cs="Arial"/>
          <w:noProof w:val="0"/>
          <w:sz w:val="22"/>
          <w:szCs w:val="22"/>
          <w:lang w:val="en-GB"/>
        </w:rPr>
        <w:t>2028 is that its broad priorities must address complex socioeconomic inequalities that extend beyond the direct influence of local health services. Although the strategy adopts a partnership and wider</w:t>
      </w:r>
      <w:r>
        <w:noBreakHyphen/>
      </w:r>
      <w:r w:rsidRPr="5C84C1BE" w:rsidR="059CCC08">
        <w:rPr>
          <w:rFonts w:ascii="Arial" w:hAnsi="Arial" w:eastAsia="Arial" w:cs="Arial"/>
          <w:noProof w:val="0"/>
          <w:sz w:val="22"/>
          <w:szCs w:val="22"/>
          <w:lang w:val="en-GB"/>
        </w:rPr>
        <w:t>determinants approach, differences in deprivation across communities mean that universal interventions may not adequately reach those facing the greatest disadvantage. Therefore, strengthening neighbourhood</w:t>
      </w:r>
      <w:r>
        <w:noBreakHyphen/>
      </w:r>
      <w:r w:rsidRPr="5C84C1BE" w:rsidR="059CCC08">
        <w:rPr>
          <w:rFonts w:ascii="Arial" w:hAnsi="Arial" w:eastAsia="Arial" w:cs="Arial"/>
          <w:noProof w:val="0"/>
          <w:sz w:val="22"/>
          <w:szCs w:val="22"/>
          <w:lang w:val="en-GB"/>
        </w:rPr>
        <w:t xml:space="preserve">level targeting, community involvement, measurable outcome </w:t>
      </w:r>
      <w:r w:rsidRPr="5C84C1BE" w:rsidR="059CCC08">
        <w:rPr>
          <w:rFonts w:ascii="Arial" w:hAnsi="Arial" w:eastAsia="Arial" w:cs="Arial"/>
          <w:noProof w:val="0"/>
          <w:sz w:val="22"/>
          <w:szCs w:val="22"/>
          <w:lang w:val="en-GB"/>
        </w:rPr>
        <w:t>indicators</w:t>
      </w:r>
      <w:r w:rsidRPr="5C84C1BE" w:rsidR="059CCC08">
        <w:rPr>
          <w:rFonts w:ascii="Arial" w:hAnsi="Arial" w:eastAsia="Arial" w:cs="Arial"/>
          <w:noProof w:val="0"/>
          <w:sz w:val="22"/>
          <w:szCs w:val="22"/>
          <w:lang w:val="en-GB"/>
        </w:rPr>
        <w:t xml:space="preserve"> and cross</w:t>
      </w:r>
      <w:r>
        <w:noBreakHyphen/>
      </w:r>
      <w:r w:rsidRPr="5C84C1BE" w:rsidR="059CCC08">
        <w:rPr>
          <w:rFonts w:ascii="Arial" w:hAnsi="Arial" w:eastAsia="Arial" w:cs="Arial"/>
          <w:noProof w:val="0"/>
          <w:sz w:val="22"/>
          <w:szCs w:val="22"/>
          <w:lang w:val="en-GB"/>
        </w:rPr>
        <w:t>sector collaboration is essential to improve the strategy’s overall effectiveness (Harlow Council, 2023).</w:t>
      </w:r>
    </w:p>
    <w:p w:rsidR="16FB8E45" w:rsidP="5C84C1BE" w:rsidRDefault="16FB8E45" w14:paraId="0D85BFF5" w14:textId="3C0D9EF6">
      <w:pPr>
        <w:pStyle w:val="Normal"/>
        <w:spacing w:line="360" w:lineRule="auto"/>
        <w:jc w:val="both"/>
        <w:rPr>
          <w:rFonts w:ascii="Arial" w:hAnsi="Arial" w:eastAsia="Arial" w:cs="Arial"/>
          <w:noProof w:val="0"/>
          <w:sz w:val="22"/>
          <w:szCs w:val="22"/>
          <w:lang w:val="en-GB"/>
        </w:rPr>
      </w:pPr>
      <w:r w:rsidRPr="5C84C1BE" w:rsidR="16FB8E45">
        <w:rPr>
          <w:rFonts w:ascii="Arial" w:hAnsi="Arial" w:eastAsia="Arial" w:cs="Arial"/>
          <w:noProof w:val="0"/>
          <w:sz w:val="22"/>
          <w:szCs w:val="22"/>
          <w:lang w:val="en-GB"/>
        </w:rPr>
        <w:t>5.2 East Herts Air Quality Action Plan 2024</w:t>
      </w:r>
      <w:r w:rsidRPr="5C84C1BE" w:rsidR="111AD025">
        <w:rPr>
          <w:rFonts w:ascii="Arial" w:hAnsi="Arial" w:eastAsia="Arial" w:cs="Arial"/>
          <w:noProof w:val="0"/>
          <w:sz w:val="22"/>
          <w:szCs w:val="22"/>
          <w:lang w:val="en-GB"/>
        </w:rPr>
        <w:t>-</w:t>
      </w:r>
      <w:r w:rsidRPr="5C84C1BE" w:rsidR="16FB8E45">
        <w:rPr>
          <w:rFonts w:ascii="Arial" w:hAnsi="Arial" w:eastAsia="Arial" w:cs="Arial"/>
          <w:noProof w:val="0"/>
          <w:sz w:val="22"/>
          <w:szCs w:val="22"/>
          <w:lang w:val="en-GB"/>
        </w:rPr>
        <w:t>2029</w:t>
      </w:r>
    </w:p>
    <w:p w:rsidR="7DA478A0" w:rsidP="5C84C1BE" w:rsidRDefault="7DA478A0" w14:paraId="4C440A79" w14:textId="2B6E926D">
      <w:pPr>
        <w:pStyle w:val="Normal"/>
        <w:spacing w:line="360" w:lineRule="auto"/>
        <w:jc w:val="both"/>
        <w:rPr>
          <w:rFonts w:ascii="Arial" w:hAnsi="Arial" w:eastAsia="Arial" w:cs="Arial"/>
          <w:noProof w:val="0"/>
          <w:sz w:val="22"/>
          <w:szCs w:val="22"/>
          <w:lang w:val="en-GB"/>
        </w:rPr>
      </w:pPr>
      <w:r w:rsidRPr="5C84C1BE" w:rsidR="7DA478A0">
        <w:rPr>
          <w:rFonts w:ascii="Arial" w:hAnsi="Arial" w:eastAsia="Arial" w:cs="Arial"/>
          <w:noProof w:val="0"/>
          <w:sz w:val="22"/>
          <w:szCs w:val="22"/>
          <w:lang w:val="en-GB"/>
        </w:rPr>
        <w:t>The</w:t>
      </w:r>
      <w:r w:rsidRPr="5C84C1BE" w:rsidR="7DA478A0">
        <w:rPr>
          <w:rFonts w:ascii="Arial" w:hAnsi="Arial" w:eastAsia="Arial" w:cs="Arial"/>
          <w:b w:val="1"/>
          <w:bCs w:val="1"/>
          <w:noProof w:val="0"/>
          <w:sz w:val="22"/>
          <w:szCs w:val="22"/>
          <w:lang w:val="en-GB"/>
        </w:rPr>
        <w:t xml:space="preserve"> </w:t>
      </w:r>
      <w:r w:rsidRPr="5C84C1BE" w:rsidR="7DA478A0">
        <w:rPr>
          <w:rFonts w:ascii="Arial" w:hAnsi="Arial" w:eastAsia="Arial" w:cs="Arial"/>
          <w:b w:val="0"/>
          <w:bCs w:val="0"/>
          <w:noProof w:val="0"/>
          <w:sz w:val="22"/>
          <w:szCs w:val="22"/>
          <w:lang w:val="en-GB"/>
        </w:rPr>
        <w:t>East Herts Air Quality Action Plan 2024</w:t>
      </w:r>
      <w:r w:rsidRPr="5C84C1BE" w:rsidR="74CBABC3">
        <w:rPr>
          <w:rFonts w:ascii="Arial" w:hAnsi="Arial" w:eastAsia="Arial" w:cs="Arial"/>
          <w:b w:val="0"/>
          <w:bCs w:val="0"/>
          <w:noProof w:val="0"/>
          <w:sz w:val="22"/>
          <w:szCs w:val="22"/>
          <w:lang w:val="en-GB"/>
        </w:rPr>
        <w:t>-</w:t>
      </w:r>
      <w:r w:rsidRPr="5C84C1BE" w:rsidR="7DA478A0">
        <w:rPr>
          <w:rFonts w:ascii="Arial" w:hAnsi="Arial" w:eastAsia="Arial" w:cs="Arial"/>
          <w:b w:val="0"/>
          <w:bCs w:val="0"/>
          <w:noProof w:val="0"/>
          <w:sz w:val="22"/>
          <w:szCs w:val="22"/>
          <w:lang w:val="en-GB"/>
        </w:rPr>
        <w:t>2029</w:t>
      </w:r>
      <w:r w:rsidRPr="5C84C1BE" w:rsidR="7DA478A0">
        <w:rPr>
          <w:rFonts w:ascii="Arial" w:hAnsi="Arial" w:eastAsia="Arial" w:cs="Arial"/>
          <w:noProof w:val="0"/>
          <w:sz w:val="22"/>
          <w:szCs w:val="22"/>
          <w:lang w:val="en-GB"/>
        </w:rPr>
        <w:t xml:space="preserve"> aims to improve local health by reducing harmful air pollution, particularly traffic-related nitrogen dioxide in Bishop’s Stortford, </w:t>
      </w:r>
      <w:r w:rsidRPr="5C84C1BE" w:rsidR="7DA478A0">
        <w:rPr>
          <w:rFonts w:ascii="Arial" w:hAnsi="Arial" w:eastAsia="Arial" w:cs="Arial"/>
          <w:noProof w:val="0"/>
          <w:sz w:val="22"/>
          <w:szCs w:val="22"/>
          <w:lang w:val="en-GB"/>
        </w:rPr>
        <w:t>Hertford</w:t>
      </w:r>
      <w:r w:rsidRPr="5C84C1BE" w:rsidR="7DA478A0">
        <w:rPr>
          <w:rFonts w:ascii="Arial" w:hAnsi="Arial" w:eastAsia="Arial" w:cs="Arial"/>
          <w:noProof w:val="0"/>
          <w:sz w:val="22"/>
          <w:szCs w:val="22"/>
          <w:lang w:val="en-GB"/>
        </w:rPr>
        <w:t xml:space="preserve"> and Sawbridgeworth. Key actions include promoting walking and cycling, reducing vehicle emissions, introducing electric council vehicles, improving traffic </w:t>
      </w:r>
      <w:r w:rsidRPr="5C84C1BE" w:rsidR="7DA478A0">
        <w:rPr>
          <w:rFonts w:ascii="Arial" w:hAnsi="Arial" w:eastAsia="Arial" w:cs="Arial"/>
          <w:noProof w:val="0"/>
          <w:sz w:val="22"/>
          <w:szCs w:val="22"/>
          <w:lang w:val="en-GB"/>
        </w:rPr>
        <w:t>management</w:t>
      </w:r>
      <w:r w:rsidRPr="5C84C1BE" w:rsidR="7DA478A0">
        <w:rPr>
          <w:rFonts w:ascii="Arial" w:hAnsi="Arial" w:eastAsia="Arial" w:cs="Arial"/>
          <w:noProof w:val="0"/>
          <w:sz w:val="22"/>
          <w:szCs w:val="22"/>
          <w:lang w:val="en-GB"/>
        </w:rPr>
        <w:t xml:space="preserve"> and increasing community awareness of air quality </w:t>
      </w:r>
      <w:r w:rsidRPr="5C84C1BE" w:rsidR="498B3F24">
        <w:rPr>
          <w:rFonts w:ascii="Arial" w:hAnsi="Arial" w:eastAsia="Arial" w:cs="Arial"/>
          <w:noProof w:val="0"/>
          <w:sz w:val="22"/>
          <w:szCs w:val="22"/>
          <w:lang w:val="en-GB"/>
        </w:rPr>
        <w:t>(East Herts Council ,2024).</w:t>
      </w:r>
    </w:p>
    <w:p w:rsidR="0582256B" w:rsidP="5C84C1BE" w:rsidRDefault="0582256B" w14:paraId="24087C79" w14:textId="52021A49">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0582256B">
        <w:rPr>
          <w:rFonts w:ascii="Arial" w:hAnsi="Arial" w:eastAsia="Arial" w:cs="Arial"/>
          <w:b w:val="0"/>
          <w:bCs w:val="0"/>
          <w:noProof w:val="0"/>
          <w:sz w:val="22"/>
          <w:szCs w:val="22"/>
          <w:lang w:val="en-GB"/>
        </w:rPr>
        <w:t xml:space="preserve">The plan has shown some effectiveness through the introduction of measures such as smart traffic-light management, stricter taxi-emission standards, anti-idling initiatives, electric council vehicles, </w:t>
      </w:r>
      <w:r w:rsidRPr="5C84C1BE" w:rsidR="0582256B">
        <w:rPr>
          <w:rFonts w:ascii="Arial" w:hAnsi="Arial" w:eastAsia="Arial" w:cs="Arial"/>
          <w:b w:val="0"/>
          <w:bCs w:val="0"/>
          <w:noProof w:val="0"/>
          <w:sz w:val="22"/>
          <w:szCs w:val="22"/>
          <w:lang w:val="en-GB"/>
        </w:rPr>
        <w:t>Airscan</w:t>
      </w:r>
      <w:r w:rsidRPr="5C84C1BE" w:rsidR="0582256B">
        <w:rPr>
          <w:rFonts w:ascii="Arial" w:hAnsi="Arial" w:eastAsia="Arial" w:cs="Arial"/>
          <w:b w:val="0"/>
          <w:bCs w:val="0"/>
          <w:noProof w:val="0"/>
          <w:sz w:val="22"/>
          <w:szCs w:val="22"/>
          <w:lang w:val="en-GB"/>
        </w:rPr>
        <w:t xml:space="preserve"> monitoring and the Breathe Clean programme. Its effectiveness and credibility were further supported by DEFRA’s recognition of the plan as an example of good practice for other local authorities. Overall, the initiative can be considered partially effective, a</w:t>
      </w:r>
      <w:r w:rsidRPr="5C84C1BE" w:rsidR="0582256B">
        <w:rPr>
          <w:rFonts w:ascii="Arial" w:hAnsi="Arial" w:eastAsia="Arial" w:cs="Arial"/>
          <w:noProof w:val="0"/>
          <w:sz w:val="22"/>
          <w:szCs w:val="22"/>
          <w:lang w:val="en-GB"/>
        </w:rPr>
        <w:t>s it has strengthened air-quality monitoring and partnership working</w:t>
      </w:r>
      <w:r w:rsidRPr="5C84C1BE" w:rsidR="3406741D">
        <w:rPr>
          <w:rFonts w:ascii="Arial" w:hAnsi="Arial" w:eastAsia="Arial" w:cs="Arial"/>
          <w:noProof w:val="0"/>
          <w:sz w:val="22"/>
          <w:szCs w:val="22"/>
          <w:lang w:val="en-GB"/>
        </w:rPr>
        <w:t xml:space="preserve"> (East Herts Council ,2024).</w:t>
      </w:r>
      <w:r w:rsidRPr="5C84C1BE" w:rsidR="6D538283">
        <w:rPr>
          <w:rFonts w:ascii="Arial" w:hAnsi="Arial" w:eastAsia="Arial" w:cs="Arial"/>
          <w:noProof w:val="0"/>
          <w:sz w:val="22"/>
          <w:szCs w:val="22"/>
          <w:lang w:val="en-GB"/>
        </w:rPr>
        <w:t xml:space="preserve"> The initiative supports </w:t>
      </w:r>
      <w:r w:rsidRPr="5C84C1BE" w:rsidR="6D538283">
        <w:rPr>
          <w:rFonts w:ascii="Arial" w:hAnsi="Arial" w:eastAsia="Arial" w:cs="Arial"/>
          <w:b w:val="0"/>
          <w:bCs w:val="0"/>
          <w:noProof w:val="0"/>
          <w:sz w:val="22"/>
          <w:szCs w:val="22"/>
          <w:lang w:val="en-GB"/>
        </w:rPr>
        <w:t>SDG 3 by reducing exposure to air pollution and helping prevent respiratory and cardiovascular health problems. It also contributes to SDG 10 b</w:t>
      </w:r>
      <w:r w:rsidRPr="5C84C1BE" w:rsidR="6D538283">
        <w:rPr>
          <w:rFonts w:ascii="Arial" w:hAnsi="Arial" w:eastAsia="Arial" w:cs="Arial"/>
          <w:noProof w:val="0"/>
          <w:sz w:val="22"/>
          <w:szCs w:val="22"/>
          <w:lang w:val="en-GB"/>
        </w:rPr>
        <w:t xml:space="preserve">y protecting vulnerable groups, including children, older people and those with existing health conditions, who may be more affected by poor air </w:t>
      </w:r>
      <w:r w:rsidRPr="5C84C1BE" w:rsidR="473E3BC4">
        <w:rPr>
          <w:rFonts w:ascii="Arial" w:hAnsi="Arial" w:eastAsia="Arial" w:cs="Arial"/>
          <w:noProof w:val="0"/>
          <w:sz w:val="22"/>
          <w:szCs w:val="22"/>
          <w:lang w:val="en-GB"/>
        </w:rPr>
        <w:t>quality (</w:t>
      </w:r>
      <w:r w:rsidRPr="5C84C1BE" w:rsidR="5FEE00AF">
        <w:rPr>
          <w:rFonts w:ascii="Arial" w:hAnsi="Arial" w:eastAsia="Arial" w:cs="Arial"/>
          <w:noProof w:val="0"/>
          <w:sz w:val="22"/>
          <w:szCs w:val="22"/>
          <w:lang w:val="en-GB"/>
        </w:rPr>
        <w:t>East Herts District Council ,2024).</w:t>
      </w:r>
    </w:p>
    <w:p w:rsidR="4391A4C4" w:rsidP="5C84C1BE" w:rsidRDefault="4391A4C4" w14:paraId="686E1048" w14:textId="1B4E82C2">
      <w:pPr>
        <w:pStyle w:val="Normal"/>
        <w:spacing w:before="240" w:beforeAutospacing="off" w:after="240" w:afterAutospacing="off" w:line="360" w:lineRule="auto"/>
        <w:jc w:val="both"/>
        <w:rPr>
          <w:rFonts w:ascii="Arial" w:hAnsi="Arial" w:eastAsia="Arial" w:cs="Arial"/>
          <w:b w:val="0"/>
          <w:bCs w:val="0"/>
          <w:noProof w:val="0"/>
          <w:sz w:val="22"/>
          <w:szCs w:val="22"/>
          <w:lang w:val="en-GB"/>
        </w:rPr>
      </w:pPr>
      <w:r w:rsidRPr="5C84C1BE" w:rsidR="4391A4C4">
        <w:rPr>
          <w:rFonts w:ascii="Arial" w:hAnsi="Arial" w:eastAsia="Arial" w:cs="Arial"/>
          <w:noProof w:val="0"/>
          <w:sz w:val="22"/>
          <w:szCs w:val="22"/>
          <w:lang w:val="en-GB"/>
        </w:rPr>
        <w:t xml:space="preserve">The </w:t>
      </w:r>
      <w:r w:rsidRPr="5C84C1BE" w:rsidR="4391A4C4">
        <w:rPr>
          <w:rFonts w:ascii="Arial" w:hAnsi="Arial" w:eastAsia="Arial" w:cs="Arial"/>
          <w:b w:val="0"/>
          <w:bCs w:val="0"/>
          <w:noProof w:val="0"/>
          <w:sz w:val="22"/>
          <w:szCs w:val="22"/>
          <w:lang w:val="en-GB"/>
        </w:rPr>
        <w:t>most important recommendation</w:t>
      </w:r>
      <w:r w:rsidRPr="5C84C1BE" w:rsidR="1B2ACD20">
        <w:rPr>
          <w:rFonts w:ascii="Arial" w:hAnsi="Arial" w:eastAsia="Arial" w:cs="Arial"/>
          <w:b w:val="0"/>
          <w:bCs w:val="0"/>
          <w:noProof w:val="0"/>
          <w:sz w:val="22"/>
          <w:szCs w:val="22"/>
          <w:lang w:val="en-GB"/>
        </w:rPr>
        <w:t>s</w:t>
      </w:r>
      <w:r w:rsidRPr="5C84C1BE" w:rsidR="4391A4C4">
        <w:rPr>
          <w:rFonts w:ascii="Arial" w:hAnsi="Arial" w:eastAsia="Arial" w:cs="Arial"/>
          <w:b w:val="0"/>
          <w:bCs w:val="0"/>
          <w:noProof w:val="0"/>
          <w:sz w:val="22"/>
          <w:szCs w:val="22"/>
          <w:lang w:val="en-GB"/>
        </w:rPr>
        <w:t xml:space="preserve"> </w:t>
      </w:r>
      <w:r w:rsidRPr="5C84C1BE" w:rsidR="162EC229">
        <w:rPr>
          <w:rFonts w:ascii="Arial" w:hAnsi="Arial" w:eastAsia="Arial" w:cs="Arial"/>
          <w:b w:val="0"/>
          <w:bCs w:val="0"/>
          <w:noProof w:val="0"/>
          <w:sz w:val="22"/>
          <w:szCs w:val="22"/>
          <w:lang w:val="en-GB"/>
        </w:rPr>
        <w:t>are</w:t>
      </w:r>
      <w:r w:rsidRPr="5C84C1BE" w:rsidR="4391A4C4">
        <w:rPr>
          <w:rFonts w:ascii="Arial" w:hAnsi="Arial" w:eastAsia="Arial" w:cs="Arial"/>
          <w:b w:val="0"/>
          <w:bCs w:val="0"/>
          <w:noProof w:val="0"/>
          <w:sz w:val="22"/>
          <w:szCs w:val="22"/>
          <w:lang w:val="en-GB"/>
        </w:rPr>
        <w:t xml:space="preserve"> for East Herts Council to </w:t>
      </w:r>
      <w:r w:rsidRPr="5C84C1BE" w:rsidR="4391A4C4">
        <w:rPr>
          <w:rFonts w:ascii="Arial" w:hAnsi="Arial" w:eastAsia="Arial" w:cs="Arial"/>
          <w:b w:val="0"/>
          <w:bCs w:val="0"/>
          <w:noProof w:val="0"/>
          <w:sz w:val="22"/>
          <w:szCs w:val="22"/>
          <w:lang w:val="en-GB"/>
        </w:rPr>
        <w:t>establish</w:t>
      </w:r>
      <w:r w:rsidRPr="5C84C1BE" w:rsidR="4391A4C4">
        <w:rPr>
          <w:rFonts w:ascii="Arial" w:hAnsi="Arial" w:eastAsia="Arial" w:cs="Arial"/>
          <w:b w:val="0"/>
          <w:bCs w:val="0"/>
          <w:noProof w:val="0"/>
          <w:sz w:val="22"/>
          <w:szCs w:val="22"/>
          <w:lang w:val="en-GB"/>
        </w:rPr>
        <w:t xml:space="preserve"> dedicated funding and staff capacity,</w:t>
      </w:r>
      <w:r w:rsidRPr="5C84C1BE" w:rsidR="226CEF68">
        <w:rPr>
          <w:rFonts w:ascii="Arial" w:hAnsi="Arial" w:eastAsia="Arial" w:cs="Arial"/>
          <w:b w:val="0"/>
          <w:bCs w:val="0"/>
          <w:noProof w:val="0"/>
          <w:sz w:val="22"/>
          <w:szCs w:val="22"/>
          <w:lang w:val="en-GB"/>
        </w:rPr>
        <w:t xml:space="preserve"> </w:t>
      </w:r>
      <w:r w:rsidRPr="5C84C1BE" w:rsidR="4391A4C4">
        <w:rPr>
          <w:rFonts w:ascii="Arial" w:hAnsi="Arial" w:eastAsia="Arial" w:cs="Arial"/>
          <w:b w:val="0"/>
          <w:bCs w:val="0"/>
          <w:noProof w:val="0"/>
          <w:sz w:val="22"/>
          <w:szCs w:val="22"/>
          <w:lang w:val="en-GB"/>
        </w:rPr>
        <w:t xml:space="preserve">the council should create a permanent Air Quality Steering Group involving environmental health, public health, transport, planning, </w:t>
      </w:r>
      <w:r w:rsidRPr="5C84C1BE" w:rsidR="4391A4C4">
        <w:rPr>
          <w:rFonts w:ascii="Arial" w:hAnsi="Arial" w:eastAsia="Arial" w:cs="Arial"/>
          <w:b w:val="0"/>
          <w:bCs w:val="0"/>
          <w:noProof w:val="0"/>
          <w:sz w:val="22"/>
          <w:szCs w:val="22"/>
          <w:lang w:val="en-GB"/>
        </w:rPr>
        <w:t>education</w:t>
      </w:r>
      <w:r w:rsidRPr="5C84C1BE" w:rsidR="4391A4C4">
        <w:rPr>
          <w:rFonts w:ascii="Arial" w:hAnsi="Arial" w:eastAsia="Arial" w:cs="Arial"/>
          <w:b w:val="0"/>
          <w:bCs w:val="0"/>
          <w:noProof w:val="0"/>
          <w:sz w:val="22"/>
          <w:szCs w:val="22"/>
          <w:lang w:val="en-GB"/>
        </w:rPr>
        <w:t xml:space="preserve"> and</w:t>
      </w:r>
      <w:r w:rsidRPr="5C84C1BE" w:rsidR="4391A4C4">
        <w:rPr>
          <w:rFonts w:ascii="Arial" w:hAnsi="Arial" w:eastAsia="Arial" w:cs="Arial"/>
          <w:noProof w:val="0"/>
          <w:sz w:val="22"/>
          <w:szCs w:val="22"/>
          <w:lang w:val="en-GB"/>
        </w:rPr>
        <w:t xml:space="preserve"> community representatives</w:t>
      </w:r>
      <w:r w:rsidRPr="5C84C1BE" w:rsidR="26614CB3">
        <w:rPr>
          <w:rFonts w:ascii="Arial" w:hAnsi="Arial" w:eastAsia="Arial" w:cs="Arial"/>
          <w:noProof w:val="0"/>
          <w:sz w:val="22"/>
          <w:szCs w:val="22"/>
          <w:lang w:val="en-GB"/>
        </w:rPr>
        <w:t xml:space="preserve"> (</w:t>
      </w:r>
      <w:r w:rsidRPr="5C84C1BE" w:rsidR="26614CB3">
        <w:rPr>
          <w:rFonts w:ascii="Arial" w:hAnsi="Arial" w:eastAsia="Arial" w:cs="Arial"/>
          <w:noProof w:val="0"/>
          <w:sz w:val="22"/>
          <w:szCs w:val="22"/>
          <w:lang w:val="en-GB"/>
        </w:rPr>
        <w:t>East Herts District Council ,2024).</w:t>
      </w:r>
      <w:r w:rsidRPr="5C84C1BE" w:rsidR="01371FCC">
        <w:rPr>
          <w:rFonts w:ascii="Arial" w:hAnsi="Arial" w:eastAsia="Arial" w:cs="Arial"/>
          <w:noProof w:val="0"/>
          <w:sz w:val="22"/>
          <w:szCs w:val="22"/>
          <w:lang w:val="en-GB"/>
        </w:rPr>
        <w:t xml:space="preserve"> </w:t>
      </w:r>
      <w:r w:rsidRPr="5C84C1BE" w:rsidR="52FEDCAE">
        <w:rPr>
          <w:rFonts w:ascii="Arial" w:hAnsi="Arial" w:eastAsia="Arial" w:cs="Arial"/>
          <w:noProof w:val="0"/>
          <w:sz w:val="22"/>
          <w:szCs w:val="22"/>
          <w:lang w:val="en-GB"/>
        </w:rPr>
        <w:t xml:space="preserve">(Turner </w:t>
      </w:r>
      <w:r w:rsidRPr="5C84C1BE" w:rsidR="52FEDCAE">
        <w:rPr>
          <w:rFonts w:ascii="Arial" w:hAnsi="Arial" w:eastAsia="Arial" w:cs="Arial"/>
          <w:i w:val="1"/>
          <w:iCs w:val="1"/>
          <w:noProof w:val="0"/>
          <w:sz w:val="22"/>
          <w:szCs w:val="22"/>
          <w:lang w:val="en-GB"/>
        </w:rPr>
        <w:t>et al,</w:t>
      </w:r>
      <w:r w:rsidRPr="5C84C1BE" w:rsidR="52FEDCAE">
        <w:rPr>
          <w:rFonts w:ascii="Arial" w:hAnsi="Arial" w:eastAsia="Arial" w:cs="Arial"/>
          <w:noProof w:val="0"/>
          <w:sz w:val="22"/>
          <w:szCs w:val="22"/>
          <w:lang w:val="en-GB"/>
        </w:rPr>
        <w:t>2023) highlights that</w:t>
      </w:r>
      <w:r w:rsidRPr="5C84C1BE" w:rsidR="01371FCC">
        <w:rPr>
          <w:rFonts w:ascii="Arial" w:hAnsi="Arial" w:eastAsia="Arial" w:cs="Arial"/>
          <w:noProof w:val="0"/>
          <w:sz w:val="22"/>
          <w:szCs w:val="22"/>
          <w:lang w:val="en-GB"/>
        </w:rPr>
        <w:t xml:space="preserve">      </w:t>
      </w:r>
      <w:r w:rsidRPr="5C84C1BE" w:rsidR="01371FCC">
        <w:rPr>
          <w:rFonts w:ascii="Arial" w:hAnsi="Arial" w:eastAsia="Arial" w:cs="Arial"/>
          <w:b w:val="1"/>
          <w:bCs w:val="1"/>
          <w:noProof w:val="0"/>
          <w:sz w:val="22"/>
          <w:szCs w:val="22"/>
          <w:lang w:val="en-GB"/>
        </w:rPr>
        <w:t>f</w:t>
      </w:r>
      <w:r w:rsidRPr="5C84C1BE" w:rsidR="01371FCC">
        <w:rPr>
          <w:rFonts w:ascii="Arial" w:hAnsi="Arial" w:eastAsia="Arial" w:cs="Arial"/>
          <w:b w:val="0"/>
          <w:bCs w:val="0"/>
          <w:noProof w:val="0"/>
          <w:sz w:val="22"/>
          <w:szCs w:val="22"/>
          <w:lang w:val="en-GB"/>
        </w:rPr>
        <w:t>ragmented partnership working and short-term funding</w:t>
      </w:r>
      <w:r w:rsidRPr="5C84C1BE" w:rsidR="01371FCC">
        <w:rPr>
          <w:rFonts w:ascii="Arial" w:hAnsi="Arial" w:eastAsia="Arial" w:cs="Arial"/>
          <w:b w:val="0"/>
          <w:bCs w:val="0"/>
          <w:noProof w:val="0"/>
          <w:sz w:val="22"/>
          <w:szCs w:val="22"/>
          <w:lang w:val="en-GB"/>
        </w:rPr>
        <w:t xml:space="preserve"> can restrict councils’ capacity to develop and implement long-term strategies to reduce air pollution. effective local air-quality management </w:t>
      </w:r>
      <w:r w:rsidRPr="5C84C1BE" w:rsidR="01371FCC">
        <w:rPr>
          <w:rFonts w:ascii="Arial" w:hAnsi="Arial" w:eastAsia="Arial" w:cs="Arial"/>
          <w:b w:val="0"/>
          <w:bCs w:val="0"/>
          <w:noProof w:val="0"/>
          <w:sz w:val="22"/>
          <w:szCs w:val="22"/>
          <w:lang w:val="en-GB"/>
        </w:rPr>
        <w:t>requires</w:t>
      </w:r>
      <w:r w:rsidRPr="5C84C1BE" w:rsidR="01371FCC">
        <w:rPr>
          <w:rFonts w:ascii="Arial" w:hAnsi="Arial" w:eastAsia="Arial" w:cs="Arial"/>
          <w:b w:val="0"/>
          <w:bCs w:val="0"/>
          <w:noProof w:val="0"/>
          <w:sz w:val="22"/>
          <w:szCs w:val="22"/>
          <w:lang w:val="en-GB"/>
        </w:rPr>
        <w:t xml:space="preserve"> </w:t>
      </w:r>
      <w:r w:rsidRPr="5C84C1BE" w:rsidR="01371FCC">
        <w:rPr>
          <w:rFonts w:ascii="Arial" w:hAnsi="Arial" w:eastAsia="Arial" w:cs="Arial"/>
          <w:b w:val="0"/>
          <w:bCs w:val="0"/>
          <w:noProof w:val="0"/>
          <w:sz w:val="22"/>
          <w:szCs w:val="22"/>
          <w:lang w:val="en-GB"/>
        </w:rPr>
        <w:t>strong political support, dedicated steering groups, effective governance and collaboration</w:t>
      </w:r>
      <w:r w:rsidRPr="5C84C1BE" w:rsidR="01371FCC">
        <w:rPr>
          <w:rFonts w:ascii="Arial" w:hAnsi="Arial" w:eastAsia="Arial" w:cs="Arial"/>
          <w:b w:val="0"/>
          <w:bCs w:val="0"/>
          <w:noProof w:val="0"/>
          <w:sz w:val="22"/>
          <w:szCs w:val="22"/>
          <w:lang w:val="en-GB"/>
        </w:rPr>
        <w:t xml:space="preserve"> between public health, environmental </w:t>
      </w:r>
      <w:r w:rsidRPr="5C84C1BE" w:rsidR="01371FCC">
        <w:rPr>
          <w:rFonts w:ascii="Arial" w:hAnsi="Arial" w:eastAsia="Arial" w:cs="Arial"/>
          <w:b w:val="0"/>
          <w:bCs w:val="0"/>
          <w:noProof w:val="0"/>
          <w:sz w:val="22"/>
          <w:szCs w:val="22"/>
          <w:lang w:val="en-GB"/>
        </w:rPr>
        <w:t>health</w:t>
      </w:r>
      <w:r w:rsidRPr="5C84C1BE" w:rsidR="01371FCC">
        <w:rPr>
          <w:rFonts w:ascii="Arial" w:hAnsi="Arial" w:eastAsia="Arial" w:cs="Arial"/>
          <w:b w:val="0"/>
          <w:bCs w:val="0"/>
          <w:noProof w:val="0"/>
          <w:sz w:val="22"/>
          <w:szCs w:val="22"/>
          <w:lang w:val="en-GB"/>
        </w:rPr>
        <w:t xml:space="preserve"> and transport services.</w:t>
      </w:r>
    </w:p>
    <w:p w:rsidR="0DB70B41" w:rsidP="5C84C1BE" w:rsidRDefault="0DB70B41" w14:paraId="105616A4" w14:textId="294777EB">
      <w:pPr>
        <w:pStyle w:val="Heading2"/>
        <w:spacing w:before="299" w:beforeAutospacing="off" w:after="299" w:afterAutospacing="off" w:line="360" w:lineRule="auto"/>
        <w:jc w:val="both"/>
        <w:rPr>
          <w:rFonts w:ascii="Arial" w:hAnsi="Arial" w:eastAsia="Arial" w:cs="Arial"/>
          <w:b w:val="1"/>
          <w:bCs w:val="1"/>
          <w:noProof w:val="0"/>
          <w:color w:val="000000" w:themeColor="text1" w:themeTint="FF" w:themeShade="FF"/>
          <w:sz w:val="22"/>
          <w:szCs w:val="22"/>
          <w:lang w:val="en-GB"/>
        </w:rPr>
      </w:pPr>
      <w:r w:rsidRPr="5C84C1BE" w:rsidR="0DB70B41">
        <w:rPr>
          <w:rFonts w:ascii="Arial" w:hAnsi="Arial" w:eastAsia="Arial" w:cs="Arial"/>
          <w:b w:val="1"/>
          <w:bCs w:val="1"/>
          <w:noProof w:val="0"/>
          <w:color w:val="000000" w:themeColor="text1" w:themeTint="FF" w:themeShade="FF"/>
          <w:sz w:val="22"/>
          <w:szCs w:val="22"/>
          <w:lang w:val="en-GB"/>
        </w:rPr>
        <w:t>6. Conclusion</w:t>
      </w:r>
    </w:p>
    <w:p w:rsidR="0DB70B41" w:rsidP="5C84C1BE" w:rsidRDefault="0DB70B41" w14:paraId="009E3D2D" w14:textId="71B14170">
      <w:pPr>
        <w:pStyle w:val="Normal"/>
        <w:spacing w:before="240" w:beforeAutospacing="off" w:after="240" w:afterAutospacing="off" w:line="360" w:lineRule="auto"/>
        <w:jc w:val="both"/>
        <w:rPr>
          <w:rFonts w:ascii="Arial" w:hAnsi="Arial" w:eastAsia="Arial" w:cs="Arial"/>
          <w:noProof w:val="0"/>
          <w:sz w:val="22"/>
          <w:szCs w:val="22"/>
          <w:lang w:val="en-GB"/>
        </w:rPr>
      </w:pPr>
      <w:r w:rsidRPr="5C84C1BE" w:rsidR="0DB70B41">
        <w:rPr>
          <w:rFonts w:ascii="Arial" w:hAnsi="Arial" w:eastAsia="Arial" w:cs="Arial"/>
          <w:noProof w:val="0"/>
          <w:sz w:val="22"/>
          <w:szCs w:val="22"/>
          <w:lang w:val="en-GB"/>
        </w:rPr>
        <w:t xml:space="preserve">SDG 3 provides an essential global framework for preventing disease, reducing </w:t>
      </w:r>
      <w:r w:rsidRPr="5C84C1BE" w:rsidR="0DB70B41">
        <w:rPr>
          <w:rFonts w:ascii="Arial" w:hAnsi="Arial" w:eastAsia="Arial" w:cs="Arial"/>
          <w:noProof w:val="0"/>
          <w:sz w:val="22"/>
          <w:szCs w:val="22"/>
          <w:lang w:val="en-GB"/>
        </w:rPr>
        <w:t>mortality</w:t>
      </w:r>
      <w:r w:rsidRPr="5C84C1BE" w:rsidR="0DB70B41">
        <w:rPr>
          <w:rFonts w:ascii="Arial" w:hAnsi="Arial" w:eastAsia="Arial" w:cs="Arial"/>
          <w:noProof w:val="0"/>
          <w:sz w:val="22"/>
          <w:szCs w:val="22"/>
          <w:lang w:val="en-GB"/>
        </w:rPr>
        <w:t xml:space="preserve"> and expanding universal healthcare, but progress </w:t>
      </w:r>
      <w:r w:rsidRPr="5C84C1BE" w:rsidR="0DB70B41">
        <w:rPr>
          <w:rFonts w:ascii="Arial" w:hAnsi="Arial" w:eastAsia="Arial" w:cs="Arial"/>
          <w:noProof w:val="0"/>
          <w:sz w:val="22"/>
          <w:szCs w:val="22"/>
          <w:lang w:val="en-GB"/>
        </w:rPr>
        <w:t>remains</w:t>
      </w:r>
      <w:r w:rsidRPr="5C84C1BE" w:rsidR="0DB70B41">
        <w:rPr>
          <w:rFonts w:ascii="Arial" w:hAnsi="Arial" w:eastAsia="Arial" w:cs="Arial"/>
          <w:noProof w:val="0"/>
          <w:sz w:val="22"/>
          <w:szCs w:val="22"/>
          <w:lang w:val="en-GB"/>
        </w:rPr>
        <w:t xml:space="preserve"> too slow and uneven. SDG 10 explains why health gains are distributed unequally and requires action on income, </w:t>
      </w:r>
      <w:r w:rsidRPr="5C84C1BE" w:rsidR="0DB70B41">
        <w:rPr>
          <w:rFonts w:ascii="Arial" w:hAnsi="Arial" w:eastAsia="Arial" w:cs="Arial"/>
          <w:noProof w:val="0"/>
          <w:sz w:val="22"/>
          <w:szCs w:val="22"/>
          <w:lang w:val="en-GB"/>
        </w:rPr>
        <w:t>discrimination</w:t>
      </w:r>
      <w:r w:rsidRPr="5C84C1BE" w:rsidR="0DB70B41">
        <w:rPr>
          <w:rFonts w:ascii="Arial" w:hAnsi="Arial" w:eastAsia="Arial" w:cs="Arial"/>
          <w:noProof w:val="0"/>
          <w:sz w:val="22"/>
          <w:szCs w:val="22"/>
          <w:lang w:val="en-GB"/>
        </w:rPr>
        <w:t xml:space="preserve"> and wider social conditions. In England, Core20PLUS5 and the Greener NHS programme provide valuable direction, but both require stronger accountability, </w:t>
      </w:r>
      <w:r w:rsidRPr="5C84C1BE" w:rsidR="0DB70B41">
        <w:rPr>
          <w:rFonts w:ascii="Arial" w:hAnsi="Arial" w:eastAsia="Arial" w:cs="Arial"/>
          <w:noProof w:val="0"/>
          <w:sz w:val="22"/>
          <w:szCs w:val="22"/>
          <w:lang w:val="en-GB"/>
        </w:rPr>
        <w:t>equitable</w:t>
      </w:r>
      <w:r w:rsidRPr="5C84C1BE" w:rsidR="0DB70B41">
        <w:rPr>
          <w:rFonts w:ascii="Arial" w:hAnsi="Arial" w:eastAsia="Arial" w:cs="Arial"/>
          <w:noProof w:val="0"/>
          <w:sz w:val="22"/>
          <w:szCs w:val="22"/>
          <w:lang w:val="en-GB"/>
        </w:rPr>
        <w:t xml:space="preserve"> </w:t>
      </w:r>
      <w:r w:rsidRPr="5C84C1BE" w:rsidR="0DB70B41">
        <w:rPr>
          <w:rFonts w:ascii="Arial" w:hAnsi="Arial" w:eastAsia="Arial" w:cs="Arial"/>
          <w:noProof w:val="0"/>
          <w:sz w:val="22"/>
          <w:szCs w:val="22"/>
          <w:lang w:val="en-GB"/>
        </w:rPr>
        <w:t>funding</w:t>
      </w:r>
      <w:r w:rsidRPr="5C84C1BE" w:rsidR="0DB70B41">
        <w:rPr>
          <w:rFonts w:ascii="Arial" w:hAnsi="Arial" w:eastAsia="Arial" w:cs="Arial"/>
          <w:noProof w:val="0"/>
          <w:sz w:val="22"/>
          <w:szCs w:val="22"/>
          <w:lang w:val="en-GB"/>
        </w:rPr>
        <w:t xml:space="preserve"> and transparent outcome measurement. Harlow’s</w:t>
      </w:r>
      <w:r w:rsidRPr="5C84C1BE" w:rsidR="1E9DC62E">
        <w:rPr>
          <w:rFonts w:ascii="Arial" w:hAnsi="Arial" w:eastAsia="Arial" w:cs="Arial"/>
          <w:noProof w:val="0"/>
          <w:sz w:val="22"/>
          <w:szCs w:val="22"/>
          <w:lang w:val="en-GB"/>
        </w:rPr>
        <w:t xml:space="preserve"> and</w:t>
      </w:r>
      <w:r w:rsidRPr="5C84C1BE" w:rsidR="70BCD857">
        <w:rPr>
          <w:rFonts w:ascii="Arial" w:hAnsi="Arial" w:eastAsia="Arial" w:cs="Arial"/>
          <w:noProof w:val="0"/>
          <w:sz w:val="22"/>
          <w:szCs w:val="22"/>
          <w:lang w:val="en-GB"/>
        </w:rPr>
        <w:t xml:space="preserve"> </w:t>
      </w:r>
      <w:r w:rsidRPr="5C84C1BE" w:rsidR="0DB70B41">
        <w:rPr>
          <w:rFonts w:ascii="Arial" w:hAnsi="Arial" w:eastAsia="Arial" w:cs="Arial"/>
          <w:noProof w:val="0"/>
          <w:sz w:val="22"/>
          <w:szCs w:val="22"/>
          <w:lang w:val="en-GB"/>
        </w:rPr>
        <w:t>wellbeing partnership and</w:t>
      </w:r>
      <w:r w:rsidRPr="5C84C1BE" w:rsidR="1B366854">
        <w:rPr>
          <w:rFonts w:ascii="Arial" w:hAnsi="Arial" w:eastAsia="Arial" w:cs="Arial"/>
          <w:noProof w:val="0"/>
          <w:sz w:val="22"/>
          <w:szCs w:val="22"/>
          <w:lang w:val="en-GB"/>
        </w:rPr>
        <w:t xml:space="preserve"> East Herts</w:t>
      </w:r>
      <w:r w:rsidRPr="5C84C1BE" w:rsidR="0DB70B41">
        <w:rPr>
          <w:rFonts w:ascii="Arial" w:hAnsi="Arial" w:eastAsia="Arial" w:cs="Arial"/>
          <w:noProof w:val="0"/>
          <w:sz w:val="22"/>
          <w:szCs w:val="22"/>
          <w:lang w:val="en-GB"/>
        </w:rPr>
        <w:t xml:space="preserve"> air-quality work demonstrate the value of locally integrated action, although clearer evaluation and more comprehensive monitoring are needed. Sustainable improvement ultimately depends on prevention, community participation and coordinated action across healthcare, local government, economic policy and the environment.</w:t>
      </w:r>
    </w:p>
    <w:p w:rsidR="5C84C1BE" w:rsidP="5C84C1BE" w:rsidRDefault="5C84C1BE" w14:paraId="34FD6ADA" w14:textId="752CE8B3">
      <w:pPr>
        <w:pStyle w:val="Normal"/>
        <w:spacing w:before="240" w:beforeAutospacing="off" w:after="240" w:afterAutospacing="off" w:line="360" w:lineRule="auto"/>
        <w:jc w:val="both"/>
        <w:rPr>
          <w:rFonts w:ascii="Arial" w:hAnsi="Arial" w:eastAsia="Arial" w:cs="Arial"/>
          <w:b w:val="1"/>
          <w:bCs w:val="1"/>
          <w:noProof w:val="0"/>
          <w:sz w:val="22"/>
          <w:szCs w:val="22"/>
          <w:lang w:val="en-GB"/>
        </w:rPr>
      </w:pPr>
    </w:p>
    <w:p w:rsidR="5C84C1BE" w:rsidP="5C84C1BE" w:rsidRDefault="5C84C1BE" w14:paraId="20632A60" w14:textId="0BC7B5F4">
      <w:pPr>
        <w:pStyle w:val="Normal"/>
        <w:spacing w:before="240" w:beforeAutospacing="off" w:after="240" w:afterAutospacing="off" w:line="360" w:lineRule="auto"/>
        <w:jc w:val="both"/>
        <w:rPr>
          <w:rFonts w:ascii="Arial" w:hAnsi="Arial" w:eastAsia="Arial" w:cs="Arial"/>
          <w:noProof w:val="0"/>
          <w:sz w:val="22"/>
          <w:szCs w:val="22"/>
          <w:lang w:val="en-GB"/>
        </w:rPr>
      </w:pPr>
    </w:p>
    <w:p w:rsidR="5C84C1BE" w:rsidP="5C84C1BE" w:rsidRDefault="5C84C1BE" w14:paraId="3641D934" w14:textId="74A121CE">
      <w:pPr>
        <w:pStyle w:val="Normal"/>
        <w:spacing w:line="360" w:lineRule="auto"/>
        <w:jc w:val="both"/>
        <w:rPr>
          <w:rFonts w:ascii="Arial" w:hAnsi="Arial" w:eastAsia="Arial" w:cs="Arial"/>
          <w:noProof w:val="0"/>
          <w:sz w:val="22"/>
          <w:szCs w:val="22"/>
          <w:lang w:val="en-GB"/>
        </w:rPr>
      </w:pPr>
    </w:p>
    <w:p w:rsidR="5C84C1BE" w:rsidP="5C84C1BE" w:rsidRDefault="5C84C1BE" w14:paraId="6F78FF60" w14:textId="115E4773">
      <w:pPr>
        <w:pStyle w:val="Normal"/>
        <w:spacing w:line="360" w:lineRule="auto"/>
        <w:jc w:val="both"/>
        <w:rPr>
          <w:rFonts w:ascii="Arial" w:hAnsi="Arial" w:eastAsia="Arial" w:cs="Arial"/>
          <w:noProof w:val="0"/>
          <w:sz w:val="22"/>
          <w:szCs w:val="22"/>
          <w:lang w:val="en-GB"/>
        </w:rPr>
      </w:pPr>
    </w:p>
    <w:p w:rsidR="5C84C1BE" w:rsidP="5C84C1BE" w:rsidRDefault="5C84C1BE" w14:paraId="55BD7FE6" w14:textId="726B765D">
      <w:pPr>
        <w:pStyle w:val="Normal"/>
        <w:spacing w:line="360" w:lineRule="auto"/>
        <w:jc w:val="both"/>
        <w:rPr>
          <w:rFonts w:ascii="Arial" w:hAnsi="Arial" w:eastAsia="Arial" w:cs="Arial"/>
          <w:noProof w:val="0"/>
          <w:sz w:val="22"/>
          <w:szCs w:val="22"/>
          <w:lang w:val="en-GB"/>
        </w:rPr>
      </w:pPr>
    </w:p>
    <w:p w:rsidR="5C84C1BE" w:rsidP="5C84C1BE" w:rsidRDefault="5C84C1BE" w14:paraId="0036A488" w14:textId="5AC5FBFA">
      <w:pPr>
        <w:pStyle w:val="Normal"/>
        <w:spacing w:line="360" w:lineRule="auto"/>
        <w:jc w:val="both"/>
        <w:rPr>
          <w:rFonts w:ascii="Arial" w:hAnsi="Arial" w:eastAsia="Arial" w:cs="Arial"/>
          <w:noProof w:val="0"/>
          <w:sz w:val="22"/>
          <w:szCs w:val="22"/>
          <w:lang w:val="en-GB"/>
        </w:rPr>
      </w:pPr>
    </w:p>
    <w:p w:rsidR="5C84C1BE" w:rsidP="5C84C1BE" w:rsidRDefault="5C84C1BE" w14:paraId="18A55843" w14:textId="0475606E">
      <w:pPr>
        <w:pStyle w:val="Normal"/>
        <w:spacing w:line="360" w:lineRule="auto"/>
        <w:jc w:val="both"/>
        <w:rPr>
          <w:rFonts w:ascii="Arial" w:hAnsi="Arial" w:eastAsia="Arial" w:cs="Arial"/>
          <w:noProof w:val="0"/>
          <w:sz w:val="22"/>
          <w:szCs w:val="22"/>
          <w:lang w:val="en-GB"/>
        </w:rPr>
      </w:pPr>
    </w:p>
    <w:p w:rsidR="5C84C1BE" w:rsidP="5C84C1BE" w:rsidRDefault="5C84C1BE" w14:paraId="25C43C37" w14:textId="3F6FF7A1">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3B39A529" w14:textId="3CA4E3D5">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56FF3F7E" w14:textId="7A5636FE">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64874404" w14:textId="3BE84D9E">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65E69237" w14:textId="1483010C">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72300DE7" w14:textId="1DAE2682">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7E415378" w14:textId="61C1BA01">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78A1946F" w14:textId="5DE5D59C">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02459EB5" w14:textId="4A51199C">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6C69B1B7" w14:textId="34BBE074">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7581EF96" w14:textId="2DE0BC8C">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54992DC5" w14:textId="4F388EC6">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523DF1CE" w14:textId="23DA20CC">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5AE7505A" w14:textId="4DB2E768">
      <w:pPr>
        <w:pStyle w:val="Normal"/>
        <w:spacing w:line="360" w:lineRule="auto"/>
        <w:jc w:val="both"/>
        <w:rPr>
          <w:rFonts w:ascii="Arial" w:hAnsi="Arial" w:eastAsia="Arial" w:cs="Arial"/>
          <w:b w:val="1"/>
          <w:bCs w:val="1"/>
          <w:noProof w:val="0"/>
          <w:sz w:val="22"/>
          <w:szCs w:val="22"/>
          <w:lang w:val="en-GB"/>
        </w:rPr>
      </w:pPr>
    </w:p>
    <w:p w:rsidR="5C84C1BE" w:rsidP="5C84C1BE" w:rsidRDefault="5C84C1BE" w14:paraId="381C16E3" w14:textId="16892C19">
      <w:pPr>
        <w:pStyle w:val="Normal"/>
        <w:spacing w:line="360" w:lineRule="auto"/>
        <w:jc w:val="both"/>
        <w:rPr>
          <w:rFonts w:ascii="Arial" w:hAnsi="Arial" w:eastAsia="Arial" w:cs="Arial"/>
          <w:b w:val="1"/>
          <w:bCs w:val="1"/>
          <w:noProof w:val="0"/>
          <w:sz w:val="22"/>
          <w:szCs w:val="22"/>
          <w:lang w:val="en-GB"/>
        </w:rPr>
      </w:pPr>
    </w:p>
    <w:p w:rsidR="5BB52A73" w:rsidP="5C84C1BE" w:rsidRDefault="5BB52A73" w14:paraId="11C446D0" w14:textId="7A1F9B9B">
      <w:pPr>
        <w:pStyle w:val="Normal"/>
        <w:spacing w:line="360" w:lineRule="auto"/>
      </w:pPr>
      <w:r w:rsidRPr="5C84C1BE" w:rsidR="5BB52A73">
        <w:rPr>
          <w:rFonts w:ascii="Arial" w:hAnsi="Arial" w:eastAsia="Arial" w:cs="Arial"/>
          <w:b w:val="1"/>
          <w:bCs w:val="1"/>
          <w:sz w:val="22"/>
          <w:szCs w:val="22"/>
        </w:rPr>
        <w:t>References:</w:t>
      </w:r>
    </w:p>
    <w:p w:rsidR="21675FCD" w:rsidP="5C84C1BE" w:rsidRDefault="21675FCD" w14:paraId="79C1BA10" w14:textId="2C9B3060">
      <w:pPr>
        <w:pStyle w:val="Normal"/>
        <w:spacing w:line="360" w:lineRule="auto"/>
        <w:rPr>
          <w:rFonts w:ascii="Arial" w:hAnsi="Arial" w:eastAsia="Arial" w:cs="Arial"/>
          <w:b w:val="0"/>
          <w:bCs w:val="0"/>
          <w:noProof w:val="0"/>
          <w:sz w:val="22"/>
          <w:szCs w:val="22"/>
          <w:lang w:val="en-GB"/>
        </w:rPr>
      </w:pPr>
      <w:r w:rsidRPr="5C84C1BE" w:rsidR="21675FCD">
        <w:rPr>
          <w:rFonts w:ascii="Arial" w:hAnsi="Arial" w:eastAsia="Arial" w:cs="Arial"/>
          <w:b w:val="0"/>
          <w:bCs w:val="0"/>
          <w:noProof w:val="0"/>
          <w:sz w:val="22"/>
          <w:szCs w:val="22"/>
          <w:lang w:val="en-GB"/>
        </w:rPr>
        <w:t>British Geriatrics Society (2025)</w:t>
      </w:r>
      <w:r w:rsidRPr="5C84C1BE" w:rsidR="21675FCD">
        <w:rPr>
          <w:rFonts w:ascii="Arial" w:hAnsi="Arial" w:eastAsia="Arial" w:cs="Arial"/>
          <w:b w:val="0"/>
          <w:bCs w:val="0"/>
          <w:noProof w:val="0"/>
          <w:sz w:val="22"/>
          <w:szCs w:val="22"/>
          <w:lang w:val="en-GB"/>
        </w:rPr>
        <w:t xml:space="preserve"> </w:t>
      </w:r>
      <w:r w:rsidRPr="5C84C1BE" w:rsidR="21675FCD">
        <w:rPr>
          <w:rFonts w:ascii="Arial" w:hAnsi="Arial" w:eastAsia="Arial" w:cs="Arial"/>
          <w:b w:val="0"/>
          <w:bCs w:val="0"/>
          <w:i w:val="1"/>
          <w:iCs w:val="1"/>
          <w:noProof w:val="0"/>
          <w:sz w:val="22"/>
          <w:szCs w:val="22"/>
          <w:lang w:val="en-GB"/>
        </w:rPr>
        <w:t>Core20PLUS5 Framework: Reducing healthcare inequalities among older people</w:t>
      </w:r>
      <w:r w:rsidRPr="5C84C1BE" w:rsidR="21675FCD">
        <w:rPr>
          <w:rFonts w:ascii="Arial" w:hAnsi="Arial" w:eastAsia="Arial" w:cs="Arial"/>
          <w:b w:val="0"/>
          <w:bCs w:val="0"/>
          <w:noProof w:val="0"/>
          <w:sz w:val="22"/>
          <w:szCs w:val="22"/>
          <w:lang w:val="en-GB"/>
        </w:rPr>
        <w:t xml:space="preserve">. Available at: https://www. </w:t>
      </w:r>
      <w:hyperlink r:id="Rc4f7a76bc5cd4919">
        <w:r w:rsidRPr="5C84C1BE" w:rsidR="21675FCD">
          <w:rPr>
            <w:rStyle w:val="Hyperlink"/>
            <w:b w:val="0"/>
            <w:bCs w:val="0"/>
            <w:noProof w:val="0"/>
            <w:sz w:val="22"/>
            <w:szCs w:val="22"/>
            <w:lang w:val="en-GB"/>
          </w:rPr>
          <w:t>British Geriatrics Society – Core20PLUS5 Framework</w:t>
        </w:r>
      </w:hyperlink>
      <w:r w:rsidRPr="5C84C1BE" w:rsidR="21675FCD">
        <w:rPr>
          <w:rFonts w:ascii="Arial" w:hAnsi="Arial" w:eastAsia="Arial" w:cs="Arial"/>
          <w:b w:val="0"/>
          <w:bCs w:val="0"/>
          <w:noProof w:val="0"/>
          <w:sz w:val="22"/>
          <w:szCs w:val="22"/>
          <w:lang w:val="en-GB"/>
        </w:rPr>
        <w:t xml:space="preserve"> (Accessed: 11 August 2026)</w:t>
      </w:r>
    </w:p>
    <w:p w:rsidR="21675FCD" w:rsidP="5C84C1BE" w:rsidRDefault="21675FCD" w14:paraId="0925C934" w14:textId="0B164DBD">
      <w:pPr>
        <w:pStyle w:val="Normal"/>
        <w:spacing w:line="360" w:lineRule="auto"/>
        <w:rPr>
          <w:b w:val="0"/>
          <w:bCs w:val="0"/>
        </w:rPr>
      </w:pPr>
      <w:r w:rsidRPr="5C84C1BE" w:rsidR="21675FCD">
        <w:rPr>
          <w:rFonts w:ascii="Arial" w:hAnsi="Arial" w:eastAsia="Arial" w:cs="Arial"/>
          <w:b w:val="0"/>
          <w:bCs w:val="0"/>
          <w:noProof w:val="0"/>
          <w:sz w:val="22"/>
          <w:szCs w:val="22"/>
          <w:lang w:val="en-GB"/>
        </w:rPr>
        <w:t>Chattu, V.K., Singh, B., Pattanshetty, S. and Reddy, S. (2023)</w:t>
      </w:r>
      <w:r w:rsidRPr="5C84C1BE" w:rsidR="21675FCD">
        <w:rPr>
          <w:rFonts w:ascii="Arial" w:hAnsi="Arial" w:eastAsia="Arial" w:cs="Arial"/>
          <w:b w:val="0"/>
          <w:bCs w:val="0"/>
          <w:noProof w:val="0"/>
          <w:sz w:val="22"/>
          <w:szCs w:val="22"/>
          <w:lang w:val="en-GB"/>
        </w:rPr>
        <w:t xml:space="preserve"> ‘Access to medicines through global health diplomacy’, </w:t>
      </w:r>
      <w:r w:rsidRPr="5C84C1BE" w:rsidR="21675FCD">
        <w:rPr>
          <w:rFonts w:ascii="Arial" w:hAnsi="Arial" w:eastAsia="Arial" w:cs="Arial"/>
          <w:b w:val="0"/>
          <w:bCs w:val="0"/>
          <w:i w:val="1"/>
          <w:iCs w:val="1"/>
          <w:noProof w:val="0"/>
          <w:sz w:val="22"/>
          <w:szCs w:val="22"/>
          <w:lang w:val="en-GB"/>
        </w:rPr>
        <w:t>Health Promotion Perspectives</w:t>
      </w:r>
      <w:r w:rsidRPr="5C84C1BE" w:rsidR="21675FCD">
        <w:rPr>
          <w:rFonts w:ascii="Arial" w:hAnsi="Arial" w:eastAsia="Arial" w:cs="Arial"/>
          <w:b w:val="0"/>
          <w:bCs w:val="0"/>
          <w:noProof w:val="0"/>
          <w:sz w:val="22"/>
          <w:szCs w:val="22"/>
          <w:lang w:val="en-GB"/>
        </w:rPr>
        <w:t xml:space="preserve">, </w:t>
      </w:r>
      <w:r w:rsidRPr="5C84C1BE" w:rsidR="21675FCD">
        <w:rPr>
          <w:rFonts w:ascii="Arial" w:hAnsi="Arial" w:eastAsia="Arial" w:cs="Arial"/>
          <w:b w:val="0"/>
          <w:bCs w:val="0"/>
          <w:noProof w:val="0"/>
          <w:sz w:val="22"/>
          <w:szCs w:val="22"/>
          <w:lang w:val="en-GB"/>
        </w:rPr>
        <w:t>13</w:t>
      </w:r>
      <w:r w:rsidRPr="5C84C1BE" w:rsidR="21675FCD">
        <w:rPr>
          <w:rFonts w:ascii="Arial" w:hAnsi="Arial" w:eastAsia="Arial" w:cs="Arial"/>
          <w:b w:val="0"/>
          <w:bCs w:val="0"/>
          <w:noProof w:val="0"/>
          <w:sz w:val="22"/>
          <w:szCs w:val="22"/>
          <w:lang w:val="en-GB"/>
        </w:rPr>
        <w:t xml:space="preserve">(1), pp. 40–46. </w:t>
      </w:r>
      <w:hyperlink r:id="R4eb8035e1db44974">
        <w:r w:rsidRPr="5C84C1BE" w:rsidR="21675FCD">
          <w:rPr>
            <w:rStyle w:val="Hyperlink"/>
            <w:b w:val="0"/>
            <w:bCs w:val="0"/>
            <w:noProof w:val="0"/>
            <w:sz w:val="22"/>
            <w:szCs w:val="22"/>
            <w:lang w:val="en-GB"/>
          </w:rPr>
          <w:t>https://doi.org/10.34172/hpp.2023.05</w:t>
        </w:r>
      </w:hyperlink>
    </w:p>
    <w:p w:rsidR="21675FCD" w:rsidP="5C84C1BE" w:rsidRDefault="21675FCD" w14:paraId="06EAA007" w14:textId="35AD496F">
      <w:pPr>
        <w:pStyle w:val="Normal"/>
        <w:spacing w:line="360" w:lineRule="auto"/>
        <w:rPr>
          <w:b w:val="0"/>
          <w:bCs w:val="0"/>
        </w:rPr>
      </w:pPr>
      <w:r w:rsidRPr="5C84C1BE" w:rsidR="21675FCD">
        <w:rPr>
          <w:rFonts w:ascii="Arial" w:hAnsi="Arial" w:eastAsia="Arial" w:cs="Arial"/>
          <w:b w:val="0"/>
          <w:bCs w:val="0"/>
          <w:noProof w:val="0"/>
          <w:sz w:val="22"/>
          <w:szCs w:val="22"/>
          <w:lang w:val="en-GB"/>
        </w:rPr>
        <w:t>Chaudhuri, A., Sharma, M. and Yazan, D.M. (2025)</w:t>
      </w:r>
      <w:r w:rsidRPr="5C84C1BE" w:rsidR="21675FCD">
        <w:rPr>
          <w:rFonts w:ascii="Arial" w:hAnsi="Arial" w:eastAsia="Arial" w:cs="Arial"/>
          <w:b w:val="0"/>
          <w:bCs w:val="0"/>
          <w:noProof w:val="0"/>
          <w:sz w:val="22"/>
          <w:szCs w:val="22"/>
          <w:lang w:val="en-GB"/>
        </w:rPr>
        <w:t xml:space="preserve"> ‘Environmental, Social and Governance Strategies for Sustainable Development Goal 3: Enhancing Health and Social Wellbeing’, </w:t>
      </w:r>
      <w:r w:rsidRPr="5C84C1BE" w:rsidR="21675FCD">
        <w:rPr>
          <w:rFonts w:ascii="Arial" w:hAnsi="Arial" w:eastAsia="Arial" w:cs="Arial"/>
          <w:b w:val="0"/>
          <w:bCs w:val="0"/>
          <w:i w:val="1"/>
          <w:iCs w:val="1"/>
          <w:noProof w:val="0"/>
          <w:sz w:val="22"/>
          <w:szCs w:val="22"/>
          <w:lang w:val="en-GB"/>
        </w:rPr>
        <w:t>Sustainable Development</w:t>
      </w:r>
      <w:r w:rsidRPr="5C84C1BE" w:rsidR="21675FCD">
        <w:rPr>
          <w:rFonts w:ascii="Arial" w:hAnsi="Arial" w:eastAsia="Arial" w:cs="Arial"/>
          <w:b w:val="0"/>
          <w:bCs w:val="0"/>
          <w:noProof w:val="0"/>
          <w:sz w:val="22"/>
          <w:szCs w:val="22"/>
          <w:lang w:val="en-GB"/>
        </w:rPr>
        <w:t xml:space="preserve">. Advance online publication. Available at: </w:t>
      </w:r>
      <w:hyperlink r:id="R939d38f34c4b457b">
        <w:r w:rsidRPr="5C84C1BE" w:rsidR="21675FCD">
          <w:rPr>
            <w:rStyle w:val="Hyperlink"/>
            <w:b w:val="0"/>
            <w:bCs w:val="0"/>
            <w:noProof w:val="0"/>
            <w:sz w:val="22"/>
            <w:szCs w:val="22"/>
            <w:lang w:val="en-GB"/>
          </w:rPr>
          <w:t>https://doi.org/10.1002/sd.70498</w:t>
        </w:r>
      </w:hyperlink>
    </w:p>
    <w:p w:rsidR="21675FCD" w:rsidP="5C84C1BE" w:rsidRDefault="21675FCD" w14:paraId="42EEEB32" w14:textId="5856E5DB">
      <w:pPr>
        <w:pStyle w:val="Normal"/>
        <w:spacing w:line="360" w:lineRule="auto"/>
        <w:rPr>
          <w:rFonts w:ascii="Arial" w:hAnsi="Arial" w:eastAsia="Arial" w:cs="Arial"/>
          <w:b w:val="0"/>
          <w:bCs w:val="0"/>
          <w:i w:val="0"/>
          <w:iCs w:val="0"/>
          <w:caps w:val="0"/>
          <w:smallCaps w:val="0"/>
          <w:noProof w:val="0"/>
          <w:color w:val="555555"/>
          <w:sz w:val="22"/>
          <w:szCs w:val="22"/>
          <w:lang w:val="en-GB"/>
        </w:rPr>
      </w:pPr>
      <w:r w:rsidRPr="5C84C1BE" w:rsidR="21675FCD">
        <w:rPr>
          <w:rFonts w:ascii="Arial" w:hAnsi="Arial" w:eastAsia="Arial" w:cs="Arial"/>
          <w:b w:val="0"/>
          <w:bCs w:val="0"/>
          <w:i w:val="0"/>
          <w:iCs w:val="0"/>
          <w:caps w:val="0"/>
          <w:smallCaps w:val="0"/>
          <w:noProof w:val="0"/>
          <w:color w:val="555555"/>
          <w:sz w:val="22"/>
          <w:szCs w:val="22"/>
          <w:lang w:val="en-GB"/>
        </w:rPr>
        <w:t xml:space="preserve">Donnelly, L. 2024, "A greener gastroenterology service in a greener NHS", </w:t>
      </w:r>
      <w:r w:rsidRPr="5C84C1BE" w:rsidR="21675FCD">
        <w:rPr>
          <w:rFonts w:ascii="Arial" w:hAnsi="Arial" w:eastAsia="Arial" w:cs="Arial"/>
          <w:b w:val="0"/>
          <w:bCs w:val="0"/>
          <w:i w:val="1"/>
          <w:iCs w:val="1"/>
          <w:caps w:val="0"/>
          <w:smallCaps w:val="0"/>
          <w:noProof w:val="0"/>
          <w:color w:val="555555"/>
          <w:sz w:val="22"/>
          <w:szCs w:val="22"/>
          <w:lang w:val="en-GB"/>
        </w:rPr>
        <w:t>Frontline Gastroenterology</w:t>
      </w:r>
      <w:r w:rsidRPr="5C84C1BE" w:rsidR="21675FCD">
        <w:rPr>
          <w:rFonts w:ascii="Arial" w:hAnsi="Arial" w:eastAsia="Arial" w:cs="Arial"/>
          <w:b w:val="0"/>
          <w:bCs w:val="0"/>
          <w:i w:val="0"/>
          <w:iCs w:val="0"/>
          <w:caps w:val="0"/>
          <w:smallCaps w:val="0"/>
          <w:noProof w:val="0"/>
          <w:color w:val="555555"/>
          <w:sz w:val="22"/>
          <w:szCs w:val="22"/>
          <w:lang w:val="en-GB"/>
        </w:rPr>
        <w:t>.</w:t>
      </w:r>
    </w:p>
    <w:p w:rsidR="40090354" w:rsidP="5C84C1BE" w:rsidRDefault="40090354" w14:paraId="6A8D1524" w14:textId="47AED487">
      <w:pPr>
        <w:pStyle w:val="Normal"/>
        <w:spacing w:line="360" w:lineRule="auto"/>
        <w:rPr>
          <w:rFonts w:ascii="Arial" w:hAnsi="Arial" w:eastAsia="Arial" w:cs="Arial"/>
          <w:b w:val="0"/>
          <w:bCs w:val="0"/>
          <w:noProof w:val="0"/>
          <w:sz w:val="22"/>
          <w:szCs w:val="22"/>
          <w:lang w:val="en-GB"/>
        </w:rPr>
      </w:pPr>
      <w:r w:rsidRPr="5C84C1BE" w:rsidR="40090354">
        <w:rPr>
          <w:rFonts w:ascii="Arial" w:hAnsi="Arial" w:eastAsia="Arial" w:cs="Arial"/>
          <w:b w:val="0"/>
          <w:bCs w:val="0"/>
          <w:noProof w:val="0"/>
          <w:sz w:val="22"/>
          <w:szCs w:val="22"/>
          <w:lang w:val="en-GB"/>
        </w:rPr>
        <w:t>East Herts Council (2024) ‘East Herts Council’s Air Quality Action Plan receives DEFRA recognition’. Available at: https: //www.eastherts.gov.uk/latest-news/2024/east-herts-councils-air-quality-action-plan-receives-defra-recognition (Accessed: 12 August 2026).</w:t>
      </w:r>
    </w:p>
    <w:p w:rsidR="21675FCD" w:rsidP="5C84C1BE" w:rsidRDefault="21675FCD" w14:paraId="7E0D2937" w14:textId="2A4A758A">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21675FCD">
        <w:rPr>
          <w:rFonts w:ascii="Arial" w:hAnsi="Arial" w:eastAsia="Arial" w:cs="Arial"/>
          <w:b w:val="0"/>
          <w:bCs w:val="0"/>
          <w:noProof w:val="0"/>
          <w:sz w:val="22"/>
          <w:szCs w:val="22"/>
          <w:lang w:val="en-GB"/>
        </w:rPr>
        <w:t xml:space="preserve">East Herts District Council (2024a) </w:t>
      </w:r>
      <w:r w:rsidRPr="5C84C1BE" w:rsidR="21675FCD">
        <w:rPr>
          <w:rFonts w:ascii="Arial" w:hAnsi="Arial" w:eastAsia="Arial" w:cs="Arial"/>
          <w:b w:val="0"/>
          <w:bCs w:val="0"/>
          <w:i w:val="1"/>
          <w:iCs w:val="1"/>
          <w:noProof w:val="0"/>
          <w:sz w:val="22"/>
          <w:szCs w:val="22"/>
          <w:lang w:val="en-GB"/>
        </w:rPr>
        <w:t>Air Quality Action Plan for East Hertfordshire 2024–2029</w:t>
      </w:r>
      <w:r w:rsidRPr="5C84C1BE" w:rsidR="21675FCD">
        <w:rPr>
          <w:rFonts w:ascii="Arial" w:hAnsi="Arial" w:eastAsia="Arial" w:cs="Arial"/>
          <w:b w:val="0"/>
          <w:bCs w:val="0"/>
          <w:noProof w:val="0"/>
          <w:sz w:val="22"/>
          <w:szCs w:val="22"/>
          <w:lang w:val="en-GB"/>
        </w:rPr>
        <w:t>. Available at: https://www.democracy.eastherts.gov.uk/documents/s65059/Air%20Quality%20Action%20Plan%20for%20East%20Hertfordshire%20-%20AQAP%20-%2008.01.24.pdf?J=1 (Accessed: 12 August 2026).</w:t>
      </w:r>
    </w:p>
    <w:p w:rsidR="4194D6B6" w:rsidP="5C84C1BE" w:rsidRDefault="4194D6B6" w14:paraId="4D6DB4B7" w14:textId="64D4F0B5">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4194D6B6">
        <w:rPr>
          <w:rFonts w:ascii="Arial" w:hAnsi="Arial" w:eastAsia="Arial" w:cs="Arial"/>
          <w:b w:val="0"/>
          <w:bCs w:val="0"/>
          <w:noProof w:val="0"/>
          <w:sz w:val="22"/>
          <w:szCs w:val="22"/>
          <w:lang w:val="en-GB"/>
        </w:rPr>
        <w:t xml:space="preserve">East Herts District Council (2026) </w:t>
      </w:r>
      <w:r w:rsidRPr="5C84C1BE" w:rsidR="4194D6B6">
        <w:rPr>
          <w:rFonts w:ascii="Arial" w:hAnsi="Arial" w:eastAsia="Arial" w:cs="Arial"/>
          <w:b w:val="0"/>
          <w:bCs w:val="0"/>
          <w:i w:val="1"/>
          <w:iCs w:val="1"/>
          <w:noProof w:val="0"/>
          <w:sz w:val="22"/>
          <w:szCs w:val="22"/>
          <w:lang w:val="en-GB"/>
        </w:rPr>
        <w:t>LEAF Annual Report for 2025–26</w:t>
      </w:r>
      <w:r w:rsidRPr="5C84C1BE" w:rsidR="4194D6B6">
        <w:rPr>
          <w:rFonts w:ascii="Arial" w:hAnsi="Arial" w:eastAsia="Arial" w:cs="Arial"/>
          <w:b w:val="0"/>
          <w:bCs w:val="0"/>
          <w:noProof w:val="0"/>
          <w:sz w:val="22"/>
          <w:szCs w:val="22"/>
          <w:lang w:val="en-GB"/>
        </w:rPr>
        <w:t>. Available at: https//www. https://democracy.eastherts.gov.uk/documents/s73659/Annual%20Report%202025-26%20and%20LEAF%20Refresh.pdf?J=1 (Accessed: 12 August 2026).</w:t>
      </w:r>
    </w:p>
    <w:p w:rsidR="5C4BBAE2" w:rsidP="5C84C1BE" w:rsidRDefault="5C4BBAE2" w14:paraId="56B06A0A" w14:textId="29231008">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C4BBAE2">
        <w:rPr>
          <w:rFonts w:ascii="Arial" w:hAnsi="Arial" w:eastAsia="Arial" w:cs="Arial"/>
          <w:b w:val="0"/>
          <w:bCs w:val="0"/>
          <w:noProof w:val="0"/>
          <w:sz w:val="22"/>
          <w:szCs w:val="22"/>
          <w:lang w:val="en-GB"/>
        </w:rPr>
        <w:t>Elliott, H.</w:t>
      </w:r>
      <w:r w:rsidRPr="5C84C1BE" w:rsidR="5C4BBAE2">
        <w:rPr>
          <w:rFonts w:ascii="Arial" w:hAnsi="Arial" w:eastAsia="Arial" w:cs="Arial"/>
          <w:b w:val="0"/>
          <w:bCs w:val="0"/>
          <w:i w:val="1"/>
          <w:iCs w:val="1"/>
          <w:noProof w:val="0"/>
          <w:sz w:val="22"/>
          <w:szCs w:val="22"/>
          <w:lang w:val="en-GB"/>
        </w:rPr>
        <w:t>et al</w:t>
      </w:r>
      <w:r w:rsidRPr="5C84C1BE" w:rsidR="5C4BBAE2">
        <w:rPr>
          <w:rFonts w:ascii="Arial" w:hAnsi="Arial" w:eastAsia="Arial" w:cs="Arial"/>
          <w:b w:val="0"/>
          <w:bCs w:val="0"/>
          <w:noProof w:val="0"/>
          <w:sz w:val="22"/>
          <w:szCs w:val="22"/>
          <w:lang w:val="en-GB"/>
        </w:rPr>
        <w:t xml:space="preserve">. (2025) ‘From policy to action: a document content analysis reviewing the adoption of the healthcare inequalities programme in local health system plans in England’, </w:t>
      </w:r>
      <w:r w:rsidRPr="5C84C1BE" w:rsidR="5C4BBAE2">
        <w:rPr>
          <w:rFonts w:ascii="Arial" w:hAnsi="Arial" w:eastAsia="Arial" w:cs="Arial"/>
          <w:b w:val="0"/>
          <w:bCs w:val="0"/>
          <w:i w:val="1"/>
          <w:iCs w:val="1"/>
          <w:noProof w:val="0"/>
          <w:sz w:val="22"/>
          <w:szCs w:val="22"/>
          <w:lang w:val="en-GB"/>
        </w:rPr>
        <w:t>BMJ Open</w:t>
      </w:r>
      <w:r w:rsidRPr="5C84C1BE" w:rsidR="5C4BBAE2">
        <w:rPr>
          <w:rFonts w:ascii="Arial" w:hAnsi="Arial" w:eastAsia="Arial" w:cs="Arial"/>
          <w:b w:val="0"/>
          <w:bCs w:val="0"/>
          <w:noProof w:val="0"/>
          <w:sz w:val="22"/>
          <w:szCs w:val="22"/>
          <w:lang w:val="en-GB"/>
        </w:rPr>
        <w:t>, 15(10). Available at: https:// doi:10.1136/bmjopen-2025-102163.</w:t>
      </w:r>
    </w:p>
    <w:p w:rsidR="5F7E449D" w:rsidP="5C84C1BE" w:rsidRDefault="5F7E449D" w14:paraId="69054179" w14:textId="3535825C">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F7E449D">
        <w:rPr>
          <w:rFonts w:ascii="Arial" w:hAnsi="Arial" w:eastAsia="Arial" w:cs="Arial"/>
          <w:b w:val="0"/>
          <w:bCs w:val="0"/>
          <w:noProof w:val="0"/>
          <w:sz w:val="22"/>
          <w:szCs w:val="22"/>
          <w:lang w:val="en-GB"/>
        </w:rPr>
        <w:t>Eurostat (2026)</w:t>
      </w:r>
      <w:r w:rsidRPr="5C84C1BE" w:rsidR="5F7E449D">
        <w:rPr>
          <w:rFonts w:ascii="Arial" w:hAnsi="Arial" w:eastAsia="Arial" w:cs="Arial"/>
          <w:b w:val="0"/>
          <w:bCs w:val="0"/>
          <w:noProof w:val="0"/>
          <w:sz w:val="22"/>
          <w:szCs w:val="22"/>
          <w:lang w:val="en-GB"/>
        </w:rPr>
        <w:t xml:space="preserve"> </w:t>
      </w:r>
      <w:r w:rsidRPr="5C84C1BE" w:rsidR="5F7E449D">
        <w:rPr>
          <w:rFonts w:ascii="Arial" w:hAnsi="Arial" w:eastAsia="Arial" w:cs="Arial"/>
          <w:b w:val="0"/>
          <w:bCs w:val="0"/>
          <w:i w:val="1"/>
          <w:iCs w:val="1"/>
          <w:noProof w:val="0"/>
          <w:sz w:val="22"/>
          <w:szCs w:val="22"/>
          <w:lang w:val="en-GB"/>
        </w:rPr>
        <w:t>SDG 10 – Reduced inequalities</w:t>
      </w:r>
      <w:r w:rsidRPr="5C84C1BE" w:rsidR="5F7E449D">
        <w:rPr>
          <w:rFonts w:ascii="Arial" w:hAnsi="Arial" w:eastAsia="Arial" w:cs="Arial"/>
          <w:b w:val="0"/>
          <w:bCs w:val="0"/>
          <w:noProof w:val="0"/>
          <w:sz w:val="22"/>
          <w:szCs w:val="22"/>
          <w:lang w:val="en-GB"/>
        </w:rPr>
        <w:t xml:space="preserve">. Available at:https://www. https://ec.europa.eu/eurostat/statistics-explained/index.php?title=SDG_10_-_Reduced_inequalities&amp;utm_source=chatgpt.com </w:t>
      </w:r>
      <w:r w:rsidRPr="5C84C1BE" w:rsidR="5F7E449D">
        <w:rPr>
          <w:rFonts w:ascii="Arial" w:hAnsi="Arial" w:eastAsia="Arial" w:cs="Arial"/>
          <w:b w:val="0"/>
          <w:bCs w:val="0"/>
          <w:noProof w:val="0"/>
          <w:sz w:val="22"/>
          <w:szCs w:val="22"/>
          <w:lang w:val="en-GB"/>
        </w:rPr>
        <w:t>(Accessed: 10 August 2026).</w:t>
      </w:r>
    </w:p>
    <w:p w:rsidR="5F7E449D" w:rsidP="5C84C1BE" w:rsidRDefault="5F7E449D" w14:paraId="25ED1156" w14:textId="280B162D">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F7E449D">
        <w:rPr>
          <w:rFonts w:ascii="Arial" w:hAnsi="Arial" w:eastAsia="Arial" w:cs="Arial"/>
          <w:b w:val="0"/>
          <w:bCs w:val="0"/>
          <w:noProof w:val="0"/>
          <w:sz w:val="22"/>
          <w:szCs w:val="22"/>
          <w:lang w:val="en-GB"/>
        </w:rPr>
        <w:t>Fukuda-Parr, S. (2019)</w:t>
      </w:r>
      <w:r w:rsidRPr="5C84C1BE" w:rsidR="5F7E449D">
        <w:rPr>
          <w:rFonts w:ascii="Arial" w:hAnsi="Arial" w:eastAsia="Arial" w:cs="Arial"/>
          <w:b w:val="0"/>
          <w:bCs w:val="0"/>
          <w:noProof w:val="0"/>
          <w:sz w:val="22"/>
          <w:szCs w:val="22"/>
          <w:lang w:val="en-GB"/>
        </w:rPr>
        <w:t xml:space="preserve"> ‘Keeping out extreme inequality from the SDG agenda – the politics of indicators’, </w:t>
      </w:r>
      <w:r w:rsidRPr="5C84C1BE" w:rsidR="5F7E449D">
        <w:rPr>
          <w:rFonts w:ascii="Arial" w:hAnsi="Arial" w:eastAsia="Arial" w:cs="Arial"/>
          <w:b w:val="0"/>
          <w:bCs w:val="0"/>
          <w:i w:val="1"/>
          <w:iCs w:val="1"/>
          <w:noProof w:val="0"/>
          <w:sz w:val="22"/>
          <w:szCs w:val="22"/>
          <w:lang w:val="en-GB"/>
        </w:rPr>
        <w:t>Global Policy</w:t>
      </w:r>
      <w:r w:rsidRPr="5C84C1BE" w:rsidR="5F7E449D">
        <w:rPr>
          <w:rFonts w:ascii="Arial" w:hAnsi="Arial" w:eastAsia="Arial" w:cs="Arial"/>
          <w:b w:val="0"/>
          <w:bCs w:val="0"/>
          <w:noProof w:val="0"/>
          <w:sz w:val="22"/>
          <w:szCs w:val="22"/>
          <w:lang w:val="en-GB"/>
        </w:rPr>
        <w:t xml:space="preserve">, </w:t>
      </w:r>
      <w:r w:rsidRPr="5C84C1BE" w:rsidR="5F7E449D">
        <w:rPr>
          <w:rFonts w:ascii="Arial" w:hAnsi="Arial" w:eastAsia="Arial" w:cs="Arial"/>
          <w:b w:val="0"/>
          <w:bCs w:val="0"/>
          <w:noProof w:val="0"/>
          <w:sz w:val="22"/>
          <w:szCs w:val="22"/>
          <w:lang w:val="en-GB"/>
        </w:rPr>
        <w:t>10</w:t>
      </w:r>
      <w:r w:rsidRPr="5C84C1BE" w:rsidR="5F7E449D">
        <w:rPr>
          <w:rFonts w:ascii="Arial" w:hAnsi="Arial" w:eastAsia="Arial" w:cs="Arial"/>
          <w:b w:val="0"/>
          <w:bCs w:val="0"/>
          <w:noProof w:val="0"/>
          <w:sz w:val="22"/>
          <w:szCs w:val="22"/>
          <w:lang w:val="en-GB"/>
        </w:rPr>
        <w:t xml:space="preserve">, pp. 61–69. Available at: </w:t>
      </w:r>
      <w:hyperlink r:id="Rf9a741f9b2b24ae4">
        <w:r w:rsidRPr="5C84C1BE" w:rsidR="5F7E449D">
          <w:rPr>
            <w:rStyle w:val="Hyperlink"/>
            <w:b w:val="0"/>
            <w:bCs w:val="0"/>
            <w:noProof w:val="0"/>
            <w:sz w:val="22"/>
            <w:szCs w:val="22"/>
            <w:lang w:val="en-GB"/>
          </w:rPr>
          <w:t>https://doi.org/10.1111/1758-5899.12602</w:t>
        </w:r>
      </w:hyperlink>
      <w:r w:rsidRPr="5C84C1BE" w:rsidR="5F7E449D">
        <w:rPr>
          <w:rFonts w:ascii="Arial" w:hAnsi="Arial" w:eastAsia="Arial" w:cs="Arial"/>
          <w:b w:val="0"/>
          <w:bCs w:val="0"/>
          <w:noProof w:val="0"/>
          <w:sz w:val="22"/>
          <w:szCs w:val="22"/>
          <w:lang w:val="en-GB"/>
        </w:rPr>
        <w:t>.</w:t>
      </w:r>
    </w:p>
    <w:p w:rsidR="5F7E449D" w:rsidP="5C84C1BE" w:rsidRDefault="5F7E449D" w14:paraId="71EC65EA" w14:textId="5DEC76A4">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F7E449D">
        <w:rPr>
          <w:rFonts w:ascii="Arial" w:hAnsi="Arial" w:eastAsia="Arial" w:cs="Arial"/>
          <w:b w:val="0"/>
          <w:bCs w:val="0"/>
          <w:noProof w:val="0"/>
          <w:sz w:val="22"/>
          <w:szCs w:val="22"/>
          <w:lang w:val="en-GB"/>
        </w:rPr>
        <w:t xml:space="preserve">Harlow Council (2023) </w:t>
      </w:r>
      <w:r w:rsidRPr="5C84C1BE" w:rsidR="5F7E449D">
        <w:rPr>
          <w:rFonts w:ascii="Arial" w:hAnsi="Arial" w:eastAsia="Arial" w:cs="Arial"/>
          <w:b w:val="0"/>
          <w:bCs w:val="0"/>
          <w:i w:val="1"/>
          <w:iCs w:val="1"/>
          <w:noProof w:val="0"/>
          <w:sz w:val="22"/>
          <w:szCs w:val="22"/>
          <w:lang w:val="en-GB"/>
        </w:rPr>
        <w:t>Harlow Health and Wellbeing Strategy 2023–2028</w:t>
      </w:r>
      <w:r w:rsidRPr="5C84C1BE" w:rsidR="5F7E449D">
        <w:rPr>
          <w:rFonts w:ascii="Arial" w:hAnsi="Arial" w:eastAsia="Arial" w:cs="Arial"/>
          <w:b w:val="0"/>
          <w:bCs w:val="0"/>
          <w:noProof w:val="0"/>
          <w:sz w:val="22"/>
          <w:szCs w:val="22"/>
          <w:lang w:val="en-GB"/>
        </w:rPr>
        <w:t xml:space="preserve">. Available at: https:// </w:t>
      </w:r>
      <w:hyperlink r:id="Rfec5688e794a4e2a">
        <w:r w:rsidRPr="5C84C1BE" w:rsidR="5F7E449D">
          <w:rPr>
            <w:rStyle w:val="Hyperlink"/>
            <w:b w:val="0"/>
            <w:bCs w:val="0"/>
            <w:noProof w:val="0"/>
            <w:sz w:val="22"/>
            <w:szCs w:val="22"/>
            <w:lang w:val="en-GB"/>
          </w:rPr>
          <w:t>https://www.harlow.gov.uk/sites/default/files/documents/Harlow%20health%20and%20wellbeing%20strategy%202023%20to%202028.pdf</w:t>
        </w:r>
      </w:hyperlink>
      <w:r w:rsidRPr="5C84C1BE" w:rsidR="5F7E449D">
        <w:rPr>
          <w:rFonts w:ascii="Arial" w:hAnsi="Arial" w:eastAsia="Arial" w:cs="Arial"/>
          <w:b w:val="0"/>
          <w:bCs w:val="0"/>
          <w:noProof w:val="0"/>
          <w:sz w:val="22"/>
          <w:szCs w:val="22"/>
          <w:lang w:val="en-GB"/>
        </w:rPr>
        <w:t xml:space="preserve">. </w:t>
      </w:r>
      <w:r w:rsidRPr="5C84C1BE" w:rsidR="5F7E449D">
        <w:rPr>
          <w:rFonts w:ascii="Arial" w:hAnsi="Arial" w:eastAsia="Arial" w:cs="Arial"/>
          <w:b w:val="0"/>
          <w:bCs w:val="0"/>
          <w:noProof w:val="0"/>
          <w:sz w:val="22"/>
          <w:szCs w:val="22"/>
          <w:lang w:val="en-GB"/>
        </w:rPr>
        <w:t>(Accessed: 12 August 2026).</w:t>
      </w:r>
    </w:p>
    <w:p w:rsidR="5F7E449D" w:rsidP="5C84C1BE" w:rsidRDefault="5F7E449D" w14:paraId="746D7C7D" w14:textId="3767CE70">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F7E449D">
        <w:rPr>
          <w:rFonts w:ascii="Arial" w:hAnsi="Arial" w:eastAsia="Arial" w:cs="Arial"/>
          <w:b w:val="0"/>
          <w:bCs w:val="0"/>
          <w:noProof w:val="0"/>
          <w:sz w:val="22"/>
          <w:szCs w:val="22"/>
          <w:lang w:val="en-GB"/>
        </w:rPr>
        <w:t>Jha, A.K. (2024)</w:t>
      </w:r>
      <w:r w:rsidRPr="5C84C1BE" w:rsidR="5F7E449D">
        <w:rPr>
          <w:rFonts w:ascii="Arial" w:hAnsi="Arial" w:eastAsia="Arial" w:cs="Arial"/>
          <w:b w:val="0"/>
          <w:bCs w:val="0"/>
          <w:noProof w:val="0"/>
          <w:sz w:val="22"/>
          <w:szCs w:val="22"/>
          <w:lang w:val="en-GB"/>
        </w:rPr>
        <w:t xml:space="preserve"> ‘Sustainable Development Goals (SDGs): Global Issues and Achievements’,</w:t>
      </w:r>
    </w:p>
    <w:p w:rsidR="5F7E449D" w:rsidP="5C84C1BE" w:rsidRDefault="5F7E449D" w14:paraId="6D6B7600" w14:textId="7CF8607A">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F7E449D">
        <w:rPr>
          <w:rFonts w:ascii="Arial" w:hAnsi="Arial" w:eastAsia="Arial" w:cs="Arial"/>
          <w:b w:val="0"/>
          <w:bCs w:val="0"/>
          <w:noProof w:val="0"/>
          <w:sz w:val="22"/>
          <w:szCs w:val="22"/>
          <w:lang w:val="en-GB"/>
        </w:rPr>
        <w:t>Lee, S., Madigasekera-Elliot, L., Bayliss, B. and Morgan, M. (2025)</w:t>
      </w:r>
      <w:r w:rsidRPr="5C84C1BE" w:rsidR="5F7E449D">
        <w:rPr>
          <w:rFonts w:ascii="Arial" w:hAnsi="Arial" w:eastAsia="Arial" w:cs="Arial"/>
          <w:b w:val="0"/>
          <w:bCs w:val="0"/>
          <w:noProof w:val="0"/>
          <w:sz w:val="22"/>
          <w:szCs w:val="22"/>
          <w:lang w:val="en-GB"/>
        </w:rPr>
        <w:t xml:space="preserve"> ‘Systems approaches for local authorities to enable healthy environments: a case study from East Sussex County Council, England, UK’, </w:t>
      </w:r>
      <w:r w:rsidRPr="5C84C1BE" w:rsidR="5F7E449D">
        <w:rPr>
          <w:rFonts w:ascii="Arial" w:hAnsi="Arial" w:eastAsia="Arial" w:cs="Arial"/>
          <w:b w:val="0"/>
          <w:bCs w:val="0"/>
          <w:i w:val="1"/>
          <w:iCs w:val="1"/>
          <w:noProof w:val="0"/>
          <w:sz w:val="22"/>
          <w:szCs w:val="22"/>
          <w:lang w:val="en-GB"/>
        </w:rPr>
        <w:t>Cities &amp; Health</w:t>
      </w:r>
      <w:r w:rsidRPr="5C84C1BE" w:rsidR="5F7E449D">
        <w:rPr>
          <w:rFonts w:ascii="Arial" w:hAnsi="Arial" w:eastAsia="Arial" w:cs="Arial"/>
          <w:b w:val="0"/>
          <w:bCs w:val="0"/>
          <w:noProof w:val="0"/>
          <w:sz w:val="22"/>
          <w:szCs w:val="22"/>
          <w:lang w:val="en-GB"/>
        </w:rPr>
        <w:t>, 9(4), pp. 575–587. Available at: https:// doi:10.1080/23748834.2025.2538002.</w:t>
      </w:r>
    </w:p>
    <w:p w:rsidR="5F7E449D" w:rsidP="5C84C1BE" w:rsidRDefault="5F7E449D" w14:paraId="7B8F87CA" w14:textId="1AF3BFDF">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F7E449D">
        <w:rPr>
          <w:rFonts w:ascii="Arial" w:hAnsi="Arial" w:eastAsia="Arial" w:cs="Arial"/>
          <w:b w:val="0"/>
          <w:bCs w:val="0"/>
          <w:noProof w:val="0"/>
          <w:sz w:val="22"/>
          <w:szCs w:val="22"/>
          <w:lang w:val="en-GB"/>
        </w:rPr>
        <w:t>Lorenzo, J.A.P. (2023)</w:t>
      </w:r>
      <w:r w:rsidRPr="5C84C1BE" w:rsidR="5F7E449D">
        <w:rPr>
          <w:rFonts w:ascii="Arial" w:hAnsi="Arial" w:eastAsia="Arial" w:cs="Arial"/>
          <w:b w:val="0"/>
          <w:bCs w:val="0"/>
          <w:noProof w:val="0"/>
          <w:sz w:val="22"/>
          <w:szCs w:val="22"/>
          <w:lang w:val="en-GB"/>
        </w:rPr>
        <w:t xml:space="preserve"> ‘SDG 10 – Reduce Inequality Within and Among Countries’, in Bantekas, I. and Seatzu, F. (eds.) </w:t>
      </w:r>
      <w:r w:rsidRPr="5C84C1BE" w:rsidR="5F7E449D">
        <w:rPr>
          <w:rFonts w:ascii="Arial" w:hAnsi="Arial" w:eastAsia="Arial" w:cs="Arial"/>
          <w:b w:val="0"/>
          <w:bCs w:val="0"/>
          <w:i w:val="1"/>
          <w:iCs w:val="1"/>
          <w:noProof w:val="0"/>
          <w:sz w:val="22"/>
          <w:szCs w:val="22"/>
          <w:lang w:val="en-GB"/>
        </w:rPr>
        <w:t>The UN Sustainable Development Goals: A Commentary</w:t>
      </w:r>
      <w:r w:rsidRPr="5C84C1BE" w:rsidR="5F7E449D">
        <w:rPr>
          <w:rFonts w:ascii="Arial" w:hAnsi="Arial" w:eastAsia="Arial" w:cs="Arial"/>
          <w:b w:val="0"/>
          <w:bCs w:val="0"/>
          <w:noProof w:val="0"/>
          <w:sz w:val="22"/>
          <w:szCs w:val="22"/>
          <w:lang w:val="en-GB"/>
        </w:rPr>
        <w:t>. Oxford: Oxford University Press, pp. 1–79.</w:t>
      </w:r>
    </w:p>
    <w:p w:rsidR="13F3EFDD" w:rsidP="5C84C1BE" w:rsidRDefault="13F3EFDD" w14:paraId="112B24BF" w14:textId="7B5FC26C">
      <w:pPr>
        <w:pStyle w:val="Normal"/>
        <w:spacing w:before="240" w:beforeAutospacing="off" w:after="240" w:afterAutospacing="off" w:line="360" w:lineRule="auto"/>
        <w:rPr>
          <w:b w:val="0"/>
          <w:bCs w:val="0"/>
        </w:rPr>
      </w:pPr>
      <w:r w:rsidRPr="5C84C1BE" w:rsidR="13F3EFDD">
        <w:rPr>
          <w:rFonts w:ascii="Arial" w:hAnsi="Arial" w:eastAsia="Arial" w:cs="Arial"/>
          <w:b w:val="0"/>
          <w:bCs w:val="0"/>
          <w:noProof w:val="0"/>
          <w:sz w:val="22"/>
          <w:szCs w:val="22"/>
          <w:lang w:val="en-GB"/>
        </w:rPr>
        <w:t>Macassa, G. (2021)</w:t>
      </w:r>
      <w:r w:rsidRPr="5C84C1BE" w:rsidR="13F3EFDD">
        <w:rPr>
          <w:rFonts w:ascii="Arial" w:hAnsi="Arial" w:eastAsia="Arial" w:cs="Arial"/>
          <w:b w:val="0"/>
          <w:bCs w:val="0"/>
          <w:noProof w:val="0"/>
          <w:sz w:val="22"/>
          <w:szCs w:val="22"/>
          <w:lang w:val="en-GB"/>
        </w:rPr>
        <w:t xml:space="preserve"> ‘Can sustainable health behaviour contribute to ensure healthy lives and wellbeing for all at all ages (SDG 3)? A viewpoint’, </w:t>
      </w:r>
      <w:r w:rsidRPr="5C84C1BE" w:rsidR="13F3EFDD">
        <w:rPr>
          <w:rFonts w:ascii="Arial" w:hAnsi="Arial" w:eastAsia="Arial" w:cs="Arial"/>
          <w:b w:val="0"/>
          <w:bCs w:val="0"/>
          <w:i w:val="1"/>
          <w:iCs w:val="1"/>
          <w:noProof w:val="0"/>
          <w:sz w:val="22"/>
          <w:szCs w:val="22"/>
          <w:lang w:val="en-GB"/>
        </w:rPr>
        <w:t>Journal of Public Health Research</w:t>
      </w:r>
      <w:r w:rsidRPr="5C84C1BE" w:rsidR="13F3EFDD">
        <w:rPr>
          <w:rFonts w:ascii="Arial" w:hAnsi="Arial" w:eastAsia="Arial" w:cs="Arial"/>
          <w:b w:val="0"/>
          <w:bCs w:val="0"/>
          <w:noProof w:val="0"/>
          <w:sz w:val="22"/>
          <w:szCs w:val="22"/>
          <w:lang w:val="en-GB"/>
        </w:rPr>
        <w:t xml:space="preserve">, </w:t>
      </w:r>
      <w:r w:rsidRPr="5C84C1BE" w:rsidR="13F3EFDD">
        <w:rPr>
          <w:rFonts w:ascii="Arial" w:hAnsi="Arial" w:eastAsia="Arial" w:cs="Arial"/>
          <w:b w:val="0"/>
          <w:bCs w:val="0"/>
          <w:noProof w:val="0"/>
          <w:sz w:val="22"/>
          <w:szCs w:val="22"/>
          <w:lang w:val="en-GB"/>
        </w:rPr>
        <w:t>10</w:t>
      </w:r>
      <w:r w:rsidRPr="5C84C1BE" w:rsidR="13F3EFDD">
        <w:rPr>
          <w:rFonts w:ascii="Arial" w:hAnsi="Arial" w:eastAsia="Arial" w:cs="Arial"/>
          <w:b w:val="0"/>
          <w:bCs w:val="0"/>
          <w:noProof w:val="0"/>
          <w:sz w:val="22"/>
          <w:szCs w:val="22"/>
          <w:lang w:val="en-GB"/>
        </w:rPr>
        <w:t xml:space="preserve">(3), 2051. Available at: </w:t>
      </w:r>
      <w:hyperlink r:id="Ra1c1226a269c451b">
        <w:r w:rsidRPr="5C84C1BE" w:rsidR="13F3EFDD">
          <w:rPr>
            <w:rStyle w:val="Hyperlink"/>
            <w:b w:val="0"/>
            <w:bCs w:val="0"/>
            <w:noProof w:val="0"/>
            <w:sz w:val="22"/>
            <w:szCs w:val="22"/>
            <w:lang w:val="en-GB"/>
          </w:rPr>
          <w:t>https://doi.org/10.4081/jphr.2021.2051</w:t>
        </w:r>
      </w:hyperlink>
    </w:p>
    <w:p w:rsidR="29D973A4" w:rsidP="5C84C1BE" w:rsidRDefault="29D973A4" w14:paraId="29F55045" w14:textId="26484067">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29D973A4">
        <w:rPr>
          <w:rFonts w:ascii="Arial" w:hAnsi="Arial" w:eastAsia="Arial" w:cs="Arial"/>
          <w:b w:val="0"/>
          <w:bCs w:val="0"/>
          <w:noProof w:val="0"/>
          <w:sz w:val="22"/>
          <w:szCs w:val="22"/>
          <w:lang w:val="en-GB"/>
        </w:rPr>
        <w:t xml:space="preserve">NHS England (2025) </w:t>
      </w:r>
      <w:r w:rsidRPr="5C84C1BE" w:rsidR="29D973A4">
        <w:rPr>
          <w:rFonts w:ascii="Arial" w:hAnsi="Arial" w:eastAsia="Arial" w:cs="Arial"/>
          <w:b w:val="0"/>
          <w:bCs w:val="0"/>
          <w:i w:val="1"/>
          <w:iCs w:val="1"/>
          <w:noProof w:val="0"/>
          <w:sz w:val="22"/>
          <w:szCs w:val="22"/>
          <w:lang w:val="en-GB"/>
        </w:rPr>
        <w:t>Five years of a greener NHS: progress and forward look.</w:t>
      </w:r>
      <w:r w:rsidRPr="5C84C1BE" w:rsidR="29D973A4">
        <w:rPr>
          <w:rFonts w:ascii="Arial" w:hAnsi="Arial" w:eastAsia="Arial" w:cs="Arial"/>
          <w:b w:val="0"/>
          <w:bCs w:val="0"/>
          <w:noProof w:val="0"/>
          <w:sz w:val="22"/>
          <w:szCs w:val="22"/>
          <w:lang w:val="en-GB"/>
        </w:rPr>
        <w:t xml:space="preserve"> Available at: </w:t>
      </w:r>
      <w:hyperlink r:id="Rff9098c7ddc14f04">
        <w:r w:rsidRPr="5C84C1BE" w:rsidR="29D973A4">
          <w:rPr>
            <w:rStyle w:val="Hyperlink"/>
            <w:b w:val="0"/>
            <w:bCs w:val="0"/>
            <w:noProof w:val="0"/>
            <w:lang w:val="en-GB"/>
          </w:rPr>
          <w:t>https://www.england.nhs.uk/long-read/five-years-greener-nhs-progress-forward-look/</w:t>
        </w:r>
      </w:hyperlink>
      <w:r w:rsidRPr="5C84C1BE" w:rsidR="29D973A4">
        <w:rPr>
          <w:rFonts w:ascii="Arial" w:hAnsi="Arial" w:eastAsia="Arial" w:cs="Arial"/>
          <w:b w:val="0"/>
          <w:bCs w:val="0"/>
          <w:noProof w:val="0"/>
          <w:sz w:val="22"/>
          <w:szCs w:val="22"/>
          <w:lang w:val="en-GB"/>
        </w:rPr>
        <w:t xml:space="preserve"> (Accessed: 12 August 2026).</w:t>
      </w:r>
    </w:p>
    <w:p w:rsidR="13F3EFDD" w:rsidP="5C84C1BE" w:rsidRDefault="13F3EFDD" w14:paraId="5AF97B75" w14:textId="3BB8DCB7">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13F3EFDD">
        <w:rPr>
          <w:rFonts w:ascii="Arial" w:hAnsi="Arial" w:eastAsia="Arial" w:cs="Arial"/>
          <w:b w:val="0"/>
          <w:bCs w:val="0"/>
          <w:noProof w:val="0"/>
          <w:sz w:val="22"/>
          <w:szCs w:val="22"/>
          <w:lang w:val="en-GB"/>
        </w:rPr>
        <w:t xml:space="preserve">NHS England (2021) </w:t>
      </w:r>
      <w:r w:rsidRPr="5C84C1BE" w:rsidR="13F3EFDD">
        <w:rPr>
          <w:rFonts w:ascii="Arial" w:hAnsi="Arial" w:eastAsia="Arial" w:cs="Arial"/>
          <w:b w:val="0"/>
          <w:bCs w:val="0"/>
          <w:i w:val="1"/>
          <w:iCs w:val="1"/>
          <w:noProof w:val="0"/>
          <w:sz w:val="22"/>
          <w:szCs w:val="22"/>
          <w:lang w:val="en-GB"/>
        </w:rPr>
        <w:t>Core20PLUS5 (adults) – an approach to reducing healthcare inequalities</w:t>
      </w:r>
      <w:r w:rsidRPr="5C84C1BE" w:rsidR="13F3EFDD">
        <w:rPr>
          <w:rFonts w:ascii="Arial" w:hAnsi="Arial" w:eastAsia="Arial" w:cs="Arial"/>
          <w:b w:val="0"/>
          <w:bCs w:val="0"/>
          <w:noProof w:val="0"/>
          <w:sz w:val="22"/>
          <w:szCs w:val="22"/>
          <w:lang w:val="en-GB"/>
        </w:rPr>
        <w:t xml:space="preserve">. Available at: </w:t>
      </w:r>
      <w:hyperlink r:id="Rbf2eac808cca4175">
        <w:r w:rsidRPr="5C84C1BE" w:rsidR="13F3EFDD">
          <w:rPr>
            <w:rStyle w:val="Hyperlink"/>
            <w:b w:val="0"/>
            <w:bCs w:val="0"/>
            <w:noProof w:val="0"/>
            <w:sz w:val="22"/>
            <w:szCs w:val="22"/>
            <w:lang w:val="en-GB"/>
          </w:rPr>
          <w:t>https://www.england.nhs.uk/about/equality/equality-hub/national-healthcare-inequalities-improvement-programme/core20plus5/</w:t>
        </w:r>
      </w:hyperlink>
      <w:r w:rsidRPr="5C84C1BE" w:rsidR="13F3EFDD">
        <w:rPr>
          <w:rFonts w:ascii="Arial" w:hAnsi="Arial" w:eastAsia="Arial" w:cs="Arial"/>
          <w:b w:val="0"/>
          <w:bCs w:val="0"/>
          <w:noProof w:val="0"/>
          <w:sz w:val="22"/>
          <w:szCs w:val="22"/>
          <w:lang w:val="en-GB"/>
        </w:rPr>
        <w:t xml:space="preserve"> (Accessed: 12 August 2026).</w:t>
      </w:r>
    </w:p>
    <w:p w:rsidR="0408E6EF" w:rsidP="5C84C1BE" w:rsidRDefault="0408E6EF" w14:paraId="3BC96225" w14:textId="48A38770">
      <w:pPr>
        <w:pStyle w:val="Normal"/>
        <w:spacing w:line="360" w:lineRule="auto"/>
        <w:rPr>
          <w:rFonts w:ascii="Arial" w:hAnsi="Arial" w:eastAsia="Arial" w:cs="Arial"/>
          <w:b w:val="0"/>
          <w:bCs w:val="0"/>
          <w:noProof w:val="0"/>
          <w:sz w:val="22"/>
          <w:szCs w:val="22"/>
          <w:lang w:val="en-GB"/>
        </w:rPr>
      </w:pPr>
      <w:r w:rsidRPr="5C84C1BE" w:rsidR="0408E6EF">
        <w:rPr>
          <w:rFonts w:ascii="Arial" w:hAnsi="Arial" w:eastAsia="Arial" w:cs="Arial"/>
          <w:b w:val="0"/>
          <w:bCs w:val="0"/>
          <w:noProof w:val="0"/>
          <w:sz w:val="22"/>
          <w:szCs w:val="22"/>
          <w:lang w:val="en-GB"/>
        </w:rPr>
        <w:t>Pandey, U.C., Kumar, C., Ayanore, M. and Shalaby, H.R. (2020)</w:t>
      </w:r>
      <w:r w:rsidRPr="5C84C1BE" w:rsidR="0408E6EF">
        <w:rPr>
          <w:rFonts w:ascii="Arial" w:hAnsi="Arial" w:eastAsia="Arial" w:cs="Arial"/>
          <w:b w:val="0"/>
          <w:bCs w:val="0"/>
          <w:noProof w:val="0"/>
          <w:sz w:val="22"/>
          <w:szCs w:val="22"/>
          <w:lang w:val="en-GB"/>
        </w:rPr>
        <w:t xml:space="preserve"> </w:t>
      </w:r>
      <w:r w:rsidRPr="5C84C1BE" w:rsidR="0408E6EF">
        <w:rPr>
          <w:rFonts w:ascii="Arial" w:hAnsi="Arial" w:eastAsia="Arial" w:cs="Arial"/>
          <w:b w:val="0"/>
          <w:bCs w:val="0"/>
          <w:i w:val="1"/>
          <w:iCs w:val="1"/>
          <w:noProof w:val="0"/>
          <w:sz w:val="22"/>
          <w:szCs w:val="22"/>
          <w:lang w:val="en-GB"/>
        </w:rPr>
        <w:t>SDG10 – Reduce Inequality Within and Among Countries</w:t>
      </w:r>
      <w:r w:rsidRPr="5C84C1BE" w:rsidR="0408E6EF">
        <w:rPr>
          <w:rFonts w:ascii="Arial" w:hAnsi="Arial" w:eastAsia="Arial" w:cs="Arial"/>
          <w:b w:val="0"/>
          <w:bCs w:val="0"/>
          <w:noProof w:val="0"/>
          <w:sz w:val="22"/>
          <w:szCs w:val="22"/>
          <w:lang w:val="en-GB"/>
        </w:rPr>
        <w:t>. Bingley: Emerald Publishing.</w:t>
      </w:r>
    </w:p>
    <w:p w:rsidR="0180DB82" w:rsidP="5C84C1BE" w:rsidRDefault="0180DB82" w14:paraId="0AB7C17A" w14:textId="6AA485CA">
      <w:pPr>
        <w:pStyle w:val="Normal"/>
        <w:spacing w:line="360" w:lineRule="auto"/>
        <w:rPr>
          <w:rFonts w:ascii="Arial" w:hAnsi="Arial" w:eastAsia="Arial" w:cs="Arial"/>
          <w:b w:val="0"/>
          <w:bCs w:val="0"/>
          <w:noProof w:val="0"/>
          <w:sz w:val="22"/>
          <w:szCs w:val="22"/>
          <w:lang w:val="en-GB"/>
        </w:rPr>
      </w:pPr>
      <w:r w:rsidRPr="5C84C1BE" w:rsidR="0180DB82">
        <w:rPr>
          <w:rFonts w:ascii="Arial" w:hAnsi="Arial" w:eastAsia="Arial" w:cs="Arial"/>
          <w:b w:val="0"/>
          <w:bCs w:val="0"/>
          <w:noProof w:val="0"/>
          <w:sz w:val="22"/>
          <w:szCs w:val="22"/>
          <w:lang w:val="en-GB"/>
        </w:rPr>
        <w:t>Shamsuddin Bolatito, A.O. and Nabukeera, M. (2023)</w:t>
      </w:r>
      <w:r w:rsidRPr="5C84C1BE" w:rsidR="0180DB82">
        <w:rPr>
          <w:rFonts w:ascii="Arial" w:hAnsi="Arial" w:eastAsia="Arial" w:cs="Arial"/>
          <w:b w:val="0"/>
          <w:bCs w:val="0"/>
          <w:noProof w:val="0"/>
          <w:sz w:val="22"/>
          <w:szCs w:val="22"/>
          <w:lang w:val="en-GB"/>
        </w:rPr>
        <w:t xml:space="preserve"> ‘The impacts of (SDGs 10) – Reduce inequality within and among countries: an exploratory discourse’, </w:t>
      </w:r>
      <w:r w:rsidRPr="5C84C1BE" w:rsidR="0180DB82">
        <w:rPr>
          <w:rFonts w:ascii="Arial" w:hAnsi="Arial" w:eastAsia="Arial" w:cs="Arial"/>
          <w:b w:val="0"/>
          <w:bCs w:val="0"/>
          <w:i w:val="1"/>
          <w:iCs w:val="1"/>
          <w:noProof w:val="0"/>
          <w:sz w:val="22"/>
          <w:szCs w:val="22"/>
          <w:lang w:val="en-GB"/>
        </w:rPr>
        <w:t>Journal of Harbin Engineering University</w:t>
      </w:r>
      <w:r w:rsidRPr="5C84C1BE" w:rsidR="0180DB82">
        <w:rPr>
          <w:rFonts w:ascii="Arial" w:hAnsi="Arial" w:eastAsia="Arial" w:cs="Arial"/>
          <w:b w:val="0"/>
          <w:bCs w:val="0"/>
          <w:noProof w:val="0"/>
          <w:sz w:val="22"/>
          <w:szCs w:val="22"/>
          <w:lang w:val="en-GB"/>
        </w:rPr>
        <w:t xml:space="preserve">, </w:t>
      </w:r>
      <w:r w:rsidRPr="5C84C1BE" w:rsidR="0180DB82">
        <w:rPr>
          <w:rFonts w:ascii="Arial" w:hAnsi="Arial" w:eastAsia="Arial" w:cs="Arial"/>
          <w:b w:val="0"/>
          <w:bCs w:val="0"/>
          <w:noProof w:val="0"/>
          <w:sz w:val="22"/>
          <w:szCs w:val="22"/>
          <w:lang w:val="en-GB"/>
        </w:rPr>
        <w:t>44</w:t>
      </w:r>
      <w:r w:rsidRPr="5C84C1BE" w:rsidR="0180DB82">
        <w:rPr>
          <w:rFonts w:ascii="Arial" w:hAnsi="Arial" w:eastAsia="Arial" w:cs="Arial"/>
          <w:b w:val="0"/>
          <w:bCs w:val="0"/>
          <w:noProof w:val="0"/>
          <w:sz w:val="22"/>
          <w:szCs w:val="22"/>
          <w:lang w:val="en-GB"/>
        </w:rPr>
        <w:t>(10), pp. 247–257</w:t>
      </w:r>
    </w:p>
    <w:p w:rsidR="58EA134D" w:rsidP="5C84C1BE" w:rsidRDefault="58EA134D" w14:paraId="4AF6DB30" w14:textId="057EB99C">
      <w:pPr>
        <w:pStyle w:val="Normal"/>
        <w:spacing w:before="240" w:beforeAutospacing="off" w:after="240" w:afterAutospacing="off" w:line="360" w:lineRule="auto"/>
        <w:rPr>
          <w:rFonts w:ascii="Arial" w:hAnsi="Arial" w:eastAsia="Arial" w:cs="Arial"/>
          <w:b w:val="0"/>
          <w:bCs w:val="0"/>
          <w:noProof w:val="0"/>
          <w:sz w:val="22"/>
          <w:szCs w:val="22"/>
          <w:lang w:val="en-GB"/>
        </w:rPr>
      </w:pPr>
      <w:r w:rsidRPr="5C84C1BE" w:rsidR="58EA134D">
        <w:rPr>
          <w:rFonts w:ascii="Arial" w:hAnsi="Arial" w:eastAsia="Arial" w:cs="Arial"/>
          <w:b w:val="0"/>
          <w:bCs w:val="0"/>
          <w:noProof w:val="0"/>
          <w:sz w:val="22"/>
          <w:szCs w:val="22"/>
          <w:lang w:val="en-GB"/>
        </w:rPr>
        <w:t>Simpson, R.</w:t>
      </w:r>
      <w:r w:rsidRPr="5C84C1BE" w:rsidR="58EA134D">
        <w:rPr>
          <w:rFonts w:ascii="Arial" w:hAnsi="Arial" w:eastAsia="Arial" w:cs="Arial"/>
          <w:b w:val="0"/>
          <w:bCs w:val="0"/>
          <w:i w:val="1"/>
          <w:iCs w:val="1"/>
          <w:noProof w:val="0"/>
          <w:sz w:val="22"/>
          <w:szCs w:val="22"/>
          <w:lang w:val="en-GB"/>
        </w:rPr>
        <w:t>et al</w:t>
      </w:r>
      <w:r w:rsidRPr="5C84C1BE" w:rsidR="58EA134D">
        <w:rPr>
          <w:rFonts w:ascii="Arial" w:hAnsi="Arial" w:eastAsia="Arial" w:cs="Arial"/>
          <w:b w:val="0"/>
          <w:bCs w:val="0"/>
          <w:noProof w:val="0"/>
          <w:sz w:val="22"/>
          <w:szCs w:val="22"/>
          <w:lang w:val="en-GB"/>
        </w:rPr>
        <w:t xml:space="preserve">. (2026) ‘Five years of Greener NHS: improved carbon footprint assessment of the National Health Service in England’, </w:t>
      </w:r>
      <w:r w:rsidRPr="5C84C1BE" w:rsidR="58EA134D">
        <w:rPr>
          <w:rFonts w:ascii="Arial" w:hAnsi="Arial" w:eastAsia="Arial" w:cs="Arial"/>
          <w:b w:val="0"/>
          <w:bCs w:val="0"/>
          <w:i w:val="1"/>
          <w:iCs w:val="1"/>
          <w:noProof w:val="0"/>
          <w:sz w:val="22"/>
          <w:szCs w:val="22"/>
          <w:lang w:val="en-GB"/>
        </w:rPr>
        <w:t>The Lancet Planetary Health</w:t>
      </w:r>
      <w:r w:rsidRPr="5C84C1BE" w:rsidR="58EA134D">
        <w:rPr>
          <w:rFonts w:ascii="Arial" w:hAnsi="Arial" w:eastAsia="Arial" w:cs="Arial"/>
          <w:b w:val="0"/>
          <w:bCs w:val="0"/>
          <w:noProof w:val="0"/>
          <w:sz w:val="22"/>
          <w:szCs w:val="22"/>
          <w:lang w:val="en-GB"/>
        </w:rPr>
        <w:t>. Available at: doi.org/ 10.1016/j.lanplh.2026.101464.</w:t>
      </w:r>
    </w:p>
    <w:p w:rsidR="58EA134D" w:rsidP="5C84C1BE" w:rsidRDefault="58EA134D" w14:paraId="52DA1BD2" w14:textId="2AC718F3">
      <w:pPr>
        <w:pStyle w:val="Normal"/>
        <w:spacing w:line="360" w:lineRule="auto"/>
        <w:rPr>
          <w:rFonts w:ascii="Arial" w:hAnsi="Arial" w:eastAsia="Arial" w:cs="Arial"/>
          <w:b w:val="0"/>
          <w:bCs w:val="0"/>
          <w:noProof w:val="0"/>
          <w:sz w:val="22"/>
          <w:szCs w:val="22"/>
          <w:lang w:val="en-GB"/>
        </w:rPr>
      </w:pPr>
      <w:r w:rsidRPr="5C84C1BE" w:rsidR="58EA134D">
        <w:rPr>
          <w:rFonts w:ascii="Arial" w:hAnsi="Arial" w:eastAsia="Arial" w:cs="Arial"/>
          <w:b w:val="0"/>
          <w:bCs w:val="0"/>
          <w:noProof w:val="0"/>
          <w:sz w:val="22"/>
          <w:szCs w:val="22"/>
          <w:lang w:val="en-GB"/>
        </w:rPr>
        <w:t xml:space="preserve">Syngellakis, S. and Hernández, S. (eds.) (2020) </w:t>
      </w:r>
      <w:r w:rsidRPr="5C84C1BE" w:rsidR="58EA134D">
        <w:rPr>
          <w:rFonts w:ascii="Arial" w:hAnsi="Arial" w:eastAsia="Arial" w:cs="Arial"/>
          <w:b w:val="0"/>
          <w:bCs w:val="0"/>
          <w:i w:val="1"/>
          <w:iCs w:val="1"/>
          <w:noProof w:val="0"/>
          <w:sz w:val="22"/>
          <w:szCs w:val="22"/>
          <w:lang w:val="en-GB"/>
        </w:rPr>
        <w:t>Sustainable Development and Planning XI</w:t>
      </w:r>
      <w:r w:rsidRPr="5C84C1BE" w:rsidR="58EA134D">
        <w:rPr>
          <w:rFonts w:ascii="Arial" w:hAnsi="Arial" w:eastAsia="Arial" w:cs="Arial"/>
          <w:b w:val="0"/>
          <w:bCs w:val="0"/>
          <w:noProof w:val="0"/>
          <w:sz w:val="22"/>
          <w:szCs w:val="22"/>
          <w:lang w:val="en-GB"/>
        </w:rPr>
        <w:t xml:space="preserve">. </w:t>
      </w:r>
      <w:r w:rsidRPr="5C84C1BE" w:rsidR="58EA134D">
        <w:rPr>
          <w:rFonts w:ascii="Arial" w:hAnsi="Arial" w:eastAsia="Arial" w:cs="Arial"/>
          <w:b w:val="0"/>
          <w:bCs w:val="0"/>
          <w:i w:val="1"/>
          <w:iCs w:val="1"/>
          <w:noProof w:val="0"/>
          <w:sz w:val="22"/>
          <w:szCs w:val="22"/>
          <w:lang w:val="en-GB"/>
        </w:rPr>
        <w:t>WIT Transactions on Ecology and the Environment</w:t>
      </w:r>
      <w:r w:rsidRPr="5C84C1BE" w:rsidR="58EA134D">
        <w:rPr>
          <w:rFonts w:ascii="Arial" w:hAnsi="Arial" w:eastAsia="Arial" w:cs="Arial"/>
          <w:b w:val="0"/>
          <w:bCs w:val="0"/>
          <w:noProof w:val="0"/>
          <w:sz w:val="22"/>
          <w:szCs w:val="22"/>
          <w:lang w:val="en-GB"/>
        </w:rPr>
        <w:t>, vol. 241. Southampton: WIT Press.p224</w:t>
      </w:r>
    </w:p>
    <w:p w:rsidR="58EA134D" w:rsidP="5C84C1BE" w:rsidRDefault="58EA134D" w14:paraId="1B499BB1" w14:textId="4A9422E5">
      <w:pPr>
        <w:pStyle w:val="Normal"/>
        <w:spacing w:line="360" w:lineRule="auto"/>
        <w:rPr>
          <w:rFonts w:ascii="Arial" w:hAnsi="Arial" w:eastAsia="Arial" w:cs="Arial"/>
          <w:b w:val="0"/>
          <w:bCs w:val="0"/>
          <w:noProof w:val="0"/>
          <w:sz w:val="22"/>
          <w:szCs w:val="22"/>
          <w:lang w:val="en-GB"/>
        </w:rPr>
      </w:pPr>
      <w:r w:rsidRPr="5C84C1BE" w:rsidR="58EA134D">
        <w:rPr>
          <w:rFonts w:ascii="Arial" w:hAnsi="Arial" w:eastAsia="Arial" w:cs="Arial"/>
          <w:b w:val="0"/>
          <w:bCs w:val="0"/>
          <w:noProof w:val="0"/>
          <w:sz w:val="22"/>
          <w:szCs w:val="22"/>
          <w:lang w:val="en-GB"/>
        </w:rPr>
        <w:t xml:space="preserve">Turner, A., Webb, A., Jago, R., Blackmore, S., de Vocht, F. and Horwood, J. (2023) ‘Integrated working in local authority decision-making about air quality: a qualitative study in Southwest England’, </w:t>
      </w:r>
      <w:r w:rsidRPr="5C84C1BE" w:rsidR="58EA134D">
        <w:rPr>
          <w:rFonts w:ascii="Arial" w:hAnsi="Arial" w:eastAsia="Arial" w:cs="Arial"/>
          <w:b w:val="0"/>
          <w:bCs w:val="0"/>
          <w:i w:val="1"/>
          <w:iCs w:val="1"/>
          <w:noProof w:val="0"/>
          <w:sz w:val="22"/>
          <w:szCs w:val="22"/>
          <w:lang w:val="en-GB"/>
        </w:rPr>
        <w:t>Journal of Public Health</w:t>
      </w:r>
      <w:r w:rsidRPr="5C84C1BE" w:rsidR="58EA134D">
        <w:rPr>
          <w:rFonts w:ascii="Arial" w:hAnsi="Arial" w:eastAsia="Arial" w:cs="Arial"/>
          <w:b w:val="0"/>
          <w:bCs w:val="0"/>
          <w:noProof w:val="0"/>
          <w:sz w:val="22"/>
          <w:szCs w:val="22"/>
          <w:lang w:val="en-GB"/>
        </w:rPr>
        <w:t xml:space="preserve">, 45(3), pp. 654–662. Available at: </w:t>
      </w:r>
      <w:hyperlink r:id="R89ac54e158d840c4">
        <w:r w:rsidRPr="5C84C1BE" w:rsidR="58EA134D">
          <w:rPr>
            <w:rStyle w:val="Hyperlink"/>
            <w:b w:val="0"/>
            <w:bCs w:val="0"/>
            <w:noProof w:val="0"/>
            <w:sz w:val="22"/>
            <w:szCs w:val="22"/>
            <w:lang w:val="en-GB"/>
          </w:rPr>
          <w:t>https://doi.org/10.1093/pubmed/fdad036</w:t>
        </w:r>
      </w:hyperlink>
      <w:r w:rsidRPr="5C84C1BE" w:rsidR="58EA134D">
        <w:rPr>
          <w:rFonts w:ascii="Arial" w:hAnsi="Arial" w:eastAsia="Arial" w:cs="Arial"/>
          <w:b w:val="0"/>
          <w:bCs w:val="0"/>
          <w:noProof w:val="0"/>
          <w:sz w:val="22"/>
          <w:szCs w:val="22"/>
          <w:lang w:val="en-GB"/>
        </w:rPr>
        <w:t>.</w:t>
      </w:r>
    </w:p>
    <w:p w:rsidR="58EA134D" w:rsidP="5C84C1BE" w:rsidRDefault="58EA134D" w14:paraId="5E5E38BF" w14:textId="4B5893A5">
      <w:pPr>
        <w:pStyle w:val="Normal"/>
        <w:spacing w:line="360" w:lineRule="auto"/>
        <w:rPr>
          <w:rFonts w:ascii="Arial" w:hAnsi="Arial" w:eastAsia="Arial" w:cs="Arial"/>
          <w:b w:val="0"/>
          <w:bCs w:val="0"/>
          <w:noProof w:val="0"/>
          <w:sz w:val="22"/>
          <w:szCs w:val="22"/>
          <w:lang w:val="en-GB"/>
        </w:rPr>
      </w:pPr>
      <w:r w:rsidRPr="5C84C1BE" w:rsidR="58EA134D">
        <w:rPr>
          <w:rFonts w:ascii="Arial" w:hAnsi="Arial" w:eastAsia="Arial" w:cs="Arial"/>
          <w:b w:val="0"/>
          <w:bCs w:val="0"/>
          <w:noProof w:val="0"/>
          <w:sz w:val="22"/>
          <w:szCs w:val="22"/>
          <w:lang w:val="en-GB"/>
        </w:rPr>
        <w:t>United Nations Development Programme [UNDP] (</w:t>
      </w:r>
      <w:r w:rsidRPr="5C84C1BE" w:rsidR="58EA134D">
        <w:rPr>
          <w:rFonts w:ascii="Arial" w:hAnsi="Arial" w:eastAsia="Arial" w:cs="Arial"/>
          <w:b w:val="0"/>
          <w:bCs w:val="0"/>
          <w:i w:val="1"/>
          <w:iCs w:val="1"/>
          <w:noProof w:val="0"/>
          <w:sz w:val="22"/>
          <w:szCs w:val="22"/>
          <w:lang w:val="en-GB"/>
        </w:rPr>
        <w:t>n.d</w:t>
      </w:r>
      <w:r w:rsidRPr="5C84C1BE" w:rsidR="58EA134D">
        <w:rPr>
          <w:rFonts w:ascii="Arial" w:hAnsi="Arial" w:eastAsia="Arial" w:cs="Arial"/>
          <w:b w:val="0"/>
          <w:bCs w:val="0"/>
          <w:noProof w:val="0"/>
          <w:sz w:val="22"/>
          <w:szCs w:val="22"/>
          <w:lang w:val="en-GB"/>
        </w:rPr>
        <w:t>.)</w:t>
      </w:r>
      <w:r w:rsidRPr="5C84C1BE" w:rsidR="58EA134D">
        <w:rPr>
          <w:rFonts w:ascii="Arial" w:hAnsi="Arial" w:eastAsia="Arial" w:cs="Arial"/>
          <w:b w:val="0"/>
          <w:bCs w:val="0"/>
          <w:noProof w:val="0"/>
          <w:sz w:val="22"/>
          <w:szCs w:val="22"/>
          <w:lang w:val="en-GB"/>
        </w:rPr>
        <w:t xml:space="preserve"> </w:t>
      </w:r>
      <w:r w:rsidRPr="5C84C1BE" w:rsidR="58EA134D">
        <w:rPr>
          <w:rFonts w:ascii="Arial" w:hAnsi="Arial" w:eastAsia="Arial" w:cs="Arial"/>
          <w:b w:val="0"/>
          <w:bCs w:val="0"/>
          <w:i w:val="1"/>
          <w:iCs w:val="1"/>
          <w:noProof w:val="0"/>
          <w:sz w:val="22"/>
          <w:szCs w:val="22"/>
          <w:lang w:val="en-GB"/>
        </w:rPr>
        <w:t>Goal 10: Reduced inequalities</w:t>
      </w:r>
      <w:r w:rsidRPr="5C84C1BE" w:rsidR="58EA134D">
        <w:rPr>
          <w:rFonts w:ascii="Arial" w:hAnsi="Arial" w:eastAsia="Arial" w:cs="Arial"/>
          <w:b w:val="0"/>
          <w:bCs w:val="0"/>
          <w:noProof w:val="0"/>
          <w:sz w:val="22"/>
          <w:szCs w:val="22"/>
          <w:lang w:val="en-GB"/>
        </w:rPr>
        <w:t>. Available at: https://www.undp.org/sustainable-development-goals</w:t>
      </w:r>
      <w:r w:rsidRPr="5C84C1BE" w:rsidR="58EA134D">
        <w:rPr>
          <w:rFonts w:ascii="Arial" w:hAnsi="Arial" w:eastAsia="Arial" w:cs="Arial"/>
          <w:b w:val="0"/>
          <w:bCs w:val="0"/>
          <w:noProof w:val="0"/>
          <w:sz w:val="22"/>
          <w:szCs w:val="22"/>
          <w:lang w:val="en-GB"/>
        </w:rPr>
        <w:t xml:space="preserve"> (Accessed: 10 August 2026).</w:t>
      </w:r>
    </w:p>
    <w:p w:rsidR="58EA134D" w:rsidP="5C84C1BE" w:rsidRDefault="58EA134D" w14:paraId="777BEA92" w14:textId="1DCB9D8B">
      <w:pPr>
        <w:pStyle w:val="Normal"/>
        <w:spacing w:line="360" w:lineRule="auto"/>
        <w:rPr>
          <w:rFonts w:ascii="Arial" w:hAnsi="Arial" w:eastAsia="Arial" w:cs="Arial"/>
          <w:b w:val="0"/>
          <w:bCs w:val="0"/>
          <w:sz w:val="22"/>
          <w:szCs w:val="22"/>
        </w:rPr>
      </w:pPr>
      <w:r w:rsidRPr="5C84C1BE" w:rsidR="58EA134D">
        <w:rPr>
          <w:rFonts w:ascii="Arial" w:hAnsi="Arial" w:eastAsia="Arial" w:cs="Arial"/>
          <w:b w:val="0"/>
          <w:bCs w:val="0"/>
          <w:sz w:val="22"/>
          <w:szCs w:val="22"/>
        </w:rPr>
        <w:t xml:space="preserve">Verguet, S. </w:t>
      </w:r>
      <w:r w:rsidRPr="5C84C1BE" w:rsidR="58EA134D">
        <w:rPr>
          <w:rFonts w:ascii="Arial" w:hAnsi="Arial" w:eastAsia="Arial" w:cs="Arial"/>
          <w:b w:val="0"/>
          <w:bCs w:val="0"/>
          <w:i w:val="1"/>
          <w:iCs w:val="1"/>
          <w:sz w:val="22"/>
          <w:szCs w:val="22"/>
        </w:rPr>
        <w:t>et al</w:t>
      </w:r>
      <w:r w:rsidRPr="5C84C1BE" w:rsidR="58EA134D">
        <w:rPr>
          <w:rFonts w:ascii="Arial" w:hAnsi="Arial" w:eastAsia="Arial" w:cs="Arial"/>
          <w:b w:val="0"/>
          <w:bCs w:val="0"/>
          <w:sz w:val="22"/>
          <w:szCs w:val="22"/>
        </w:rPr>
        <w:t>. (2021)</w:t>
      </w:r>
      <w:r w:rsidRPr="5C84C1BE" w:rsidR="58EA134D">
        <w:rPr>
          <w:rFonts w:ascii="Arial" w:hAnsi="Arial" w:eastAsia="Arial" w:cs="Arial"/>
          <w:b w:val="0"/>
          <w:bCs w:val="0"/>
          <w:sz w:val="22"/>
          <w:szCs w:val="22"/>
        </w:rPr>
        <w:t xml:space="preserve"> 'Toward universal health coverage in the post-COVID-19 era', </w:t>
      </w:r>
      <w:r w:rsidRPr="5C84C1BE" w:rsidR="58EA134D">
        <w:rPr>
          <w:rFonts w:ascii="Arial" w:hAnsi="Arial" w:eastAsia="Arial" w:cs="Arial"/>
          <w:b w:val="0"/>
          <w:bCs w:val="0"/>
          <w:i w:val="1"/>
          <w:iCs w:val="1"/>
          <w:sz w:val="22"/>
          <w:szCs w:val="22"/>
        </w:rPr>
        <w:t>Nature Medicine</w:t>
      </w:r>
      <w:r w:rsidRPr="5C84C1BE" w:rsidR="58EA134D">
        <w:rPr>
          <w:rFonts w:ascii="Arial" w:hAnsi="Arial" w:eastAsia="Arial" w:cs="Arial"/>
          <w:b w:val="0"/>
          <w:bCs w:val="0"/>
          <w:sz w:val="22"/>
          <w:szCs w:val="22"/>
        </w:rPr>
        <w:t xml:space="preserve">, </w:t>
      </w:r>
      <w:r w:rsidRPr="5C84C1BE" w:rsidR="58EA134D">
        <w:rPr>
          <w:rFonts w:ascii="Arial" w:hAnsi="Arial" w:eastAsia="Arial" w:cs="Arial"/>
          <w:b w:val="0"/>
          <w:bCs w:val="0"/>
          <w:sz w:val="22"/>
          <w:szCs w:val="22"/>
        </w:rPr>
        <w:t>27</w:t>
      </w:r>
      <w:r w:rsidRPr="5C84C1BE" w:rsidR="58EA134D">
        <w:rPr>
          <w:rFonts w:ascii="Arial" w:hAnsi="Arial" w:eastAsia="Arial" w:cs="Arial"/>
          <w:b w:val="0"/>
          <w:bCs w:val="0"/>
          <w:sz w:val="22"/>
          <w:szCs w:val="22"/>
        </w:rPr>
        <w:t xml:space="preserve">, pp. 380–387. Available at: </w:t>
      </w:r>
      <w:hyperlink r:id="R16d00181d08644f2">
        <w:r w:rsidRPr="5C84C1BE" w:rsidR="58EA134D">
          <w:rPr>
            <w:rStyle w:val="Hyperlink"/>
            <w:b w:val="0"/>
            <w:bCs w:val="0"/>
            <w:sz w:val="22"/>
            <w:szCs w:val="22"/>
          </w:rPr>
          <w:t>https://doi.org/10.1038/s41591-021-01268-y</w:t>
        </w:r>
      </w:hyperlink>
      <w:r w:rsidRPr="5C84C1BE" w:rsidR="58EA134D">
        <w:rPr>
          <w:rFonts w:ascii="Arial" w:hAnsi="Arial" w:eastAsia="Arial" w:cs="Arial"/>
          <w:b w:val="0"/>
          <w:bCs w:val="0"/>
          <w:sz w:val="22"/>
          <w:szCs w:val="22"/>
        </w:rPr>
        <w:t>.</w:t>
      </w:r>
    </w:p>
    <w:p w:rsidR="58EA134D" w:rsidP="5C84C1BE" w:rsidRDefault="58EA134D" w14:paraId="7A57BB8C" w14:textId="3059408A">
      <w:pPr>
        <w:pStyle w:val="Normal"/>
        <w:spacing w:line="360" w:lineRule="auto"/>
        <w:rPr>
          <w:b w:val="0"/>
          <w:bCs w:val="0"/>
          <w:sz w:val="22"/>
          <w:szCs w:val="22"/>
        </w:rPr>
      </w:pPr>
      <w:r w:rsidRPr="5C84C1BE" w:rsidR="58EA134D">
        <w:rPr>
          <w:rFonts w:ascii="Arial" w:hAnsi="Arial" w:eastAsia="Arial" w:cs="Arial"/>
          <w:b w:val="0"/>
          <w:bCs w:val="0"/>
          <w:sz w:val="22"/>
          <w:szCs w:val="22"/>
        </w:rPr>
        <w:t xml:space="preserve">Wang, </w:t>
      </w:r>
      <w:r w:rsidRPr="5C84C1BE" w:rsidR="58EA134D">
        <w:rPr>
          <w:rFonts w:ascii="Arial" w:hAnsi="Arial" w:eastAsia="Arial" w:cs="Arial"/>
          <w:b w:val="0"/>
          <w:bCs w:val="0"/>
          <w:sz w:val="22"/>
          <w:szCs w:val="22"/>
        </w:rPr>
        <w:t>B.</w:t>
      </w:r>
      <w:r w:rsidRPr="5C84C1BE" w:rsidR="58EA134D">
        <w:rPr>
          <w:rFonts w:ascii="Arial" w:hAnsi="Arial" w:eastAsia="Arial" w:cs="Arial"/>
          <w:b w:val="0"/>
          <w:bCs w:val="0"/>
          <w:sz w:val="22"/>
          <w:szCs w:val="22"/>
        </w:rPr>
        <w:t xml:space="preserve"> and Chen, T. (2024)</w:t>
      </w:r>
      <w:r w:rsidRPr="5C84C1BE" w:rsidR="58EA134D">
        <w:rPr>
          <w:rFonts w:ascii="Arial" w:hAnsi="Arial" w:eastAsia="Arial" w:cs="Arial"/>
          <w:b w:val="0"/>
          <w:bCs w:val="0"/>
          <w:sz w:val="22"/>
          <w:szCs w:val="22"/>
        </w:rPr>
        <w:t xml:space="preserve"> 'What do the sustainable development goals reveal, and are they sufficient for sustainable development?', </w:t>
      </w:r>
      <w:r w:rsidRPr="5C84C1BE" w:rsidR="58EA134D">
        <w:rPr>
          <w:rFonts w:ascii="Arial" w:hAnsi="Arial" w:eastAsia="Arial" w:cs="Arial"/>
          <w:b w:val="0"/>
          <w:bCs w:val="0"/>
          <w:i w:val="1"/>
          <w:iCs w:val="1"/>
          <w:sz w:val="22"/>
          <w:szCs w:val="22"/>
        </w:rPr>
        <w:t>PLoS</w:t>
      </w:r>
      <w:r w:rsidRPr="5C84C1BE" w:rsidR="58EA134D">
        <w:rPr>
          <w:rFonts w:ascii="Arial" w:hAnsi="Arial" w:eastAsia="Arial" w:cs="Arial"/>
          <w:b w:val="0"/>
          <w:bCs w:val="0"/>
          <w:i w:val="1"/>
          <w:iCs w:val="1"/>
          <w:sz w:val="22"/>
          <w:szCs w:val="22"/>
        </w:rPr>
        <w:t xml:space="preserve"> ONE</w:t>
      </w:r>
      <w:r w:rsidRPr="5C84C1BE" w:rsidR="58EA134D">
        <w:rPr>
          <w:rFonts w:ascii="Arial" w:hAnsi="Arial" w:eastAsia="Arial" w:cs="Arial"/>
          <w:b w:val="0"/>
          <w:bCs w:val="0"/>
          <w:sz w:val="22"/>
          <w:szCs w:val="22"/>
        </w:rPr>
        <w:t xml:space="preserve">, </w:t>
      </w:r>
      <w:r w:rsidRPr="5C84C1BE" w:rsidR="58EA134D">
        <w:rPr>
          <w:rFonts w:ascii="Arial" w:hAnsi="Arial" w:eastAsia="Arial" w:cs="Arial"/>
          <w:b w:val="0"/>
          <w:bCs w:val="0"/>
          <w:sz w:val="22"/>
          <w:szCs w:val="22"/>
        </w:rPr>
        <w:t>19</w:t>
      </w:r>
      <w:r w:rsidRPr="5C84C1BE" w:rsidR="58EA134D">
        <w:rPr>
          <w:rFonts w:ascii="Arial" w:hAnsi="Arial" w:eastAsia="Arial" w:cs="Arial"/>
          <w:b w:val="0"/>
          <w:bCs w:val="0"/>
          <w:sz w:val="22"/>
          <w:szCs w:val="22"/>
        </w:rPr>
        <w:t xml:space="preserve">(11). Available at: </w:t>
      </w:r>
      <w:hyperlink r:id="R72c840ddedfc424f">
        <w:r w:rsidRPr="5C84C1BE" w:rsidR="58EA134D">
          <w:rPr>
            <w:rStyle w:val="Hyperlink"/>
            <w:b w:val="0"/>
            <w:bCs w:val="0"/>
            <w:sz w:val="22"/>
            <w:szCs w:val="22"/>
          </w:rPr>
          <w:t>https://doi.org/10.1371/journal.pone.0310089</w:t>
        </w:r>
      </w:hyperlink>
    </w:p>
    <w:p w:rsidR="2A133222" w:rsidP="5C84C1BE" w:rsidRDefault="2A133222" w14:paraId="4F77E3F9" w14:textId="4E1C9C79">
      <w:pPr>
        <w:pStyle w:val="Normal"/>
        <w:spacing w:line="360" w:lineRule="auto"/>
        <w:rPr>
          <w:rFonts w:ascii="Arial" w:hAnsi="Arial" w:eastAsia="Arial" w:cs="Arial"/>
          <w:b w:val="0"/>
          <w:bCs w:val="0"/>
          <w:noProof w:val="0"/>
          <w:sz w:val="22"/>
          <w:szCs w:val="22"/>
          <w:lang w:val="en-GB"/>
        </w:rPr>
      </w:pPr>
      <w:r w:rsidRPr="5C84C1BE" w:rsidR="2A133222">
        <w:rPr>
          <w:rFonts w:ascii="Arial" w:hAnsi="Arial" w:eastAsia="Arial" w:cs="Arial"/>
          <w:b w:val="0"/>
          <w:bCs w:val="0"/>
          <w:noProof w:val="0"/>
          <w:sz w:val="22"/>
          <w:szCs w:val="22"/>
          <w:lang w:val="en-GB"/>
        </w:rPr>
        <w:t>Yelpaala</w:t>
      </w:r>
      <w:r w:rsidRPr="5C84C1BE" w:rsidR="2A133222">
        <w:rPr>
          <w:rFonts w:ascii="Arial" w:hAnsi="Arial" w:eastAsia="Arial" w:cs="Arial"/>
          <w:b w:val="0"/>
          <w:bCs w:val="0"/>
          <w:noProof w:val="0"/>
          <w:sz w:val="22"/>
          <w:szCs w:val="22"/>
          <w:lang w:val="en-GB"/>
        </w:rPr>
        <w:t>, K. and Lee, T.A. (2026)</w:t>
      </w:r>
      <w:r w:rsidRPr="5C84C1BE" w:rsidR="2A133222">
        <w:rPr>
          <w:rFonts w:ascii="Arial" w:hAnsi="Arial" w:eastAsia="Arial" w:cs="Arial"/>
          <w:b w:val="0"/>
          <w:bCs w:val="0"/>
          <w:noProof w:val="0"/>
          <w:sz w:val="22"/>
          <w:szCs w:val="22"/>
          <w:lang w:val="en-GB"/>
        </w:rPr>
        <w:t xml:space="preserve"> ‘Addressing health disparities and social determinants of health: lessons from NHS England Core20PLUS5’, </w:t>
      </w:r>
      <w:r w:rsidRPr="5C84C1BE" w:rsidR="2A133222">
        <w:rPr>
          <w:rFonts w:ascii="Arial" w:hAnsi="Arial" w:eastAsia="Arial" w:cs="Arial"/>
          <w:b w:val="0"/>
          <w:bCs w:val="0"/>
          <w:i w:val="1"/>
          <w:iCs w:val="1"/>
          <w:noProof w:val="0"/>
          <w:sz w:val="22"/>
          <w:szCs w:val="22"/>
          <w:lang w:val="en-GB"/>
        </w:rPr>
        <w:t>Research Connections</w:t>
      </w:r>
      <w:r w:rsidRPr="5C84C1BE" w:rsidR="2A133222">
        <w:rPr>
          <w:rFonts w:ascii="Arial" w:hAnsi="Arial" w:eastAsia="Arial" w:cs="Arial"/>
          <w:b w:val="0"/>
          <w:bCs w:val="0"/>
          <w:noProof w:val="0"/>
          <w:sz w:val="22"/>
          <w:szCs w:val="22"/>
          <w:lang w:val="en-GB"/>
        </w:rPr>
        <w:t xml:space="preserve">, </w:t>
      </w:r>
      <w:r w:rsidRPr="5C84C1BE" w:rsidR="2A133222">
        <w:rPr>
          <w:rFonts w:ascii="Arial" w:hAnsi="Arial" w:eastAsia="Arial" w:cs="Arial"/>
          <w:b w:val="0"/>
          <w:bCs w:val="0"/>
          <w:noProof w:val="0"/>
          <w:sz w:val="22"/>
          <w:szCs w:val="22"/>
          <w:lang w:val="en-GB"/>
        </w:rPr>
        <w:t>1</w:t>
      </w:r>
      <w:r w:rsidRPr="5C84C1BE" w:rsidR="2A133222">
        <w:rPr>
          <w:rFonts w:ascii="Arial" w:hAnsi="Arial" w:eastAsia="Arial" w:cs="Arial"/>
          <w:b w:val="0"/>
          <w:bCs w:val="0"/>
          <w:noProof w:val="0"/>
          <w:sz w:val="22"/>
          <w:szCs w:val="22"/>
          <w:lang w:val="en-GB"/>
        </w:rPr>
        <w:t xml:space="preserve">(3). </w:t>
      </w:r>
      <w:r w:rsidRPr="5C84C1BE" w:rsidR="1F236761">
        <w:rPr>
          <w:rFonts w:ascii="Arial" w:hAnsi="Arial" w:eastAsia="Arial" w:cs="Arial"/>
          <w:b w:val="0"/>
          <w:bCs w:val="0"/>
          <w:noProof w:val="0"/>
          <w:sz w:val="22"/>
          <w:szCs w:val="22"/>
          <w:lang w:val="en-GB"/>
        </w:rPr>
        <w:t xml:space="preserve">Available at: </w:t>
      </w:r>
      <w:hyperlink r:id="Rf273c45704ab4dbf">
        <w:r w:rsidRPr="5C84C1BE" w:rsidR="2A133222">
          <w:rPr>
            <w:rStyle w:val="Hyperlink"/>
            <w:b w:val="0"/>
            <w:bCs w:val="0"/>
            <w:noProof w:val="0"/>
            <w:sz w:val="22"/>
            <w:szCs w:val="22"/>
            <w:lang w:val="en-GB"/>
          </w:rPr>
          <w:t>https://doi.org/10.1093/rescon/vmag118</w:t>
        </w:r>
      </w:hyperlink>
    </w:p>
    <w:p w:rsidR="5C84C1BE" w:rsidP="5C84C1BE" w:rsidRDefault="5C84C1BE" w14:paraId="4C835823" w14:textId="7B02C58D">
      <w:pPr>
        <w:pStyle w:val="Normal"/>
        <w:spacing w:line="360" w:lineRule="auto"/>
        <w:rPr>
          <w:b w:val="0"/>
          <w:bCs w:val="0"/>
          <w:noProof w:val="0"/>
          <w:sz w:val="22"/>
          <w:szCs w:val="22"/>
          <w:lang w:val="en-GB"/>
        </w:rPr>
      </w:pPr>
    </w:p>
    <w:p w:rsidR="5C84C1BE" w:rsidP="5C84C1BE" w:rsidRDefault="5C84C1BE" w14:paraId="79A2ACCF" w14:textId="1D52C53D">
      <w:pPr>
        <w:pStyle w:val="Normal"/>
        <w:spacing w:line="360" w:lineRule="auto"/>
        <w:rPr>
          <w:b w:val="0"/>
          <w:bCs w:val="0"/>
          <w:noProof w:val="0"/>
          <w:sz w:val="22"/>
          <w:szCs w:val="22"/>
          <w:lang w:val="en-GB"/>
        </w:rPr>
      </w:pPr>
    </w:p>
    <w:p w:rsidR="38C0F074" w:rsidP="5C84C1BE" w:rsidRDefault="38C0F074" w14:paraId="60276684" w14:textId="594FF496">
      <w:pPr>
        <w:pStyle w:val="Normal"/>
        <w:spacing w:line="360" w:lineRule="auto"/>
        <w:rPr>
          <w:rFonts w:ascii="Arial" w:hAnsi="Arial" w:eastAsia="Arial" w:cs="Arial"/>
          <w:b w:val="0"/>
          <w:bCs w:val="0"/>
          <w:noProof w:val="0"/>
          <w:sz w:val="22"/>
          <w:szCs w:val="22"/>
          <w:lang w:val="en-GB"/>
        </w:rPr>
      </w:pPr>
      <w:r w:rsidRPr="5C84C1BE" w:rsidR="38C0F074">
        <w:rPr>
          <w:rFonts w:ascii="Arial" w:hAnsi="Arial" w:eastAsia="Arial" w:cs="Arial"/>
          <w:b w:val="0"/>
          <w:bCs w:val="0"/>
          <w:noProof w:val="0"/>
          <w:sz w:val="22"/>
          <w:szCs w:val="22"/>
          <w:lang w:val="en-GB"/>
        </w:rPr>
        <w:t xml:space="preserve"> </w:t>
      </w:r>
    </w:p>
    <w:p w:rsidR="5C84C1BE" w:rsidP="5C84C1BE" w:rsidRDefault="5C84C1BE" w14:paraId="61EF4327" w14:textId="5ECF7B8C">
      <w:pPr>
        <w:pStyle w:val="Normal"/>
        <w:spacing w:line="360" w:lineRule="auto"/>
        <w:rPr>
          <w:rFonts w:ascii="Arial" w:hAnsi="Arial" w:eastAsia="Arial" w:cs="Arial"/>
          <w:b w:val="0"/>
          <w:bCs w:val="0"/>
          <w:noProof w:val="0"/>
          <w:sz w:val="22"/>
          <w:szCs w:val="22"/>
          <w:lang w:val="en-GB"/>
        </w:rPr>
      </w:pPr>
    </w:p>
    <w:p w:rsidR="5C84C1BE" w:rsidP="5C84C1BE" w:rsidRDefault="5C84C1BE" w14:paraId="7712B222" w14:textId="32762D7A">
      <w:pPr>
        <w:pStyle w:val="Normal"/>
        <w:spacing w:line="360" w:lineRule="auto"/>
        <w:rPr>
          <w:rFonts w:ascii="Arial" w:hAnsi="Arial" w:eastAsia="Arial" w:cs="Arial"/>
          <w:b w:val="0"/>
          <w:bCs w:val="0"/>
          <w:noProof w:val="0"/>
          <w:sz w:val="22"/>
          <w:szCs w:val="22"/>
          <w:lang w:val="en-GB"/>
        </w:rPr>
      </w:pPr>
    </w:p>
    <w:p w:rsidR="5C84C1BE" w:rsidP="5C84C1BE" w:rsidRDefault="5C84C1BE" w14:paraId="310A06B9" w14:textId="00D0BAAB">
      <w:pPr>
        <w:spacing w:before="240" w:beforeAutospacing="off" w:after="240" w:afterAutospacing="off" w:line="360" w:lineRule="auto"/>
        <w:rPr>
          <w:rFonts w:ascii="Arial" w:hAnsi="Arial" w:eastAsia="Arial" w:cs="Arial"/>
          <w:noProof w:val="0"/>
          <w:sz w:val="22"/>
          <w:szCs w:val="22"/>
          <w:lang w:val="en-GB"/>
        </w:rPr>
      </w:pPr>
    </w:p>
    <w:p w:rsidR="5C84C1BE" w:rsidP="5C84C1BE" w:rsidRDefault="5C84C1BE" w14:paraId="6A3552BA" w14:textId="0048C3EA">
      <w:pPr>
        <w:pStyle w:val="Normal"/>
        <w:spacing w:before="240" w:beforeAutospacing="off" w:after="240" w:afterAutospacing="off" w:line="360" w:lineRule="auto"/>
        <w:rPr>
          <w:rFonts w:ascii="Arial" w:hAnsi="Arial" w:eastAsia="Arial" w:cs="Arial"/>
          <w:noProof w:val="0"/>
          <w:sz w:val="22"/>
          <w:szCs w:val="22"/>
          <w:lang w:val="en-GB"/>
        </w:rPr>
      </w:pPr>
    </w:p>
    <w:p w:rsidR="5C84C1BE" w:rsidP="5C84C1BE" w:rsidRDefault="5C84C1BE" w14:paraId="5674795F" w14:textId="24D569B5">
      <w:pPr>
        <w:pStyle w:val="Normal"/>
        <w:spacing w:before="240" w:beforeAutospacing="off" w:after="240" w:afterAutospacing="off" w:line="360" w:lineRule="auto"/>
        <w:rPr>
          <w:rFonts w:ascii="Arial" w:hAnsi="Arial" w:eastAsia="Arial" w:cs="Arial"/>
          <w:noProof w:val="0"/>
          <w:sz w:val="22"/>
          <w:szCs w:val="22"/>
          <w:lang w:val="en-GB"/>
        </w:rPr>
      </w:pPr>
    </w:p>
    <w:p w:rsidR="5C84C1BE" w:rsidP="5C84C1BE" w:rsidRDefault="5C84C1BE" w14:paraId="687A4587" w14:textId="46541F13">
      <w:pPr>
        <w:pStyle w:val="Normal"/>
        <w:spacing w:before="240" w:beforeAutospacing="off" w:after="240" w:afterAutospacing="off" w:line="360" w:lineRule="auto"/>
        <w:rPr>
          <w:rFonts w:ascii="Arial" w:hAnsi="Arial" w:eastAsia="Arial" w:cs="Arial"/>
          <w:b w:val="0"/>
          <w:bCs w:val="0"/>
          <w:i w:val="0"/>
          <w:iCs w:val="0"/>
          <w:caps w:val="0"/>
          <w:smallCaps w:val="0"/>
          <w:noProof w:val="0"/>
          <w:color w:val="555555"/>
          <w:sz w:val="22"/>
          <w:szCs w:val="22"/>
          <w:lang w:val="en-GB"/>
        </w:rPr>
      </w:pPr>
    </w:p>
    <w:p w:rsidR="5C84C1BE" w:rsidP="5C84C1BE" w:rsidRDefault="5C84C1BE" w14:paraId="3FC372FB" w14:textId="0F6F2169">
      <w:pPr>
        <w:pStyle w:val="Normal"/>
        <w:spacing w:before="240" w:beforeAutospacing="off" w:after="240" w:afterAutospacing="off" w:line="360" w:lineRule="auto"/>
        <w:rPr>
          <w:rFonts w:ascii="Arial" w:hAnsi="Arial" w:eastAsia="Arial" w:cs="Arial"/>
          <w:b w:val="0"/>
          <w:bCs w:val="0"/>
          <w:i w:val="0"/>
          <w:iCs w:val="0"/>
          <w:caps w:val="0"/>
          <w:smallCaps w:val="0"/>
          <w:noProof w:val="0"/>
          <w:color w:val="555555"/>
          <w:sz w:val="22"/>
          <w:szCs w:val="22"/>
          <w:lang w:val="en-GB"/>
        </w:rPr>
      </w:pPr>
    </w:p>
    <w:p w:rsidR="5C84C1BE" w:rsidP="5C84C1BE" w:rsidRDefault="5C84C1BE" w14:paraId="4D1067AB" w14:textId="7C738CE1">
      <w:pPr>
        <w:pStyle w:val="Normal"/>
        <w:spacing w:before="240" w:beforeAutospacing="off" w:after="240" w:afterAutospacing="off" w:line="360" w:lineRule="auto"/>
        <w:rPr>
          <w:rFonts w:ascii="Arial" w:hAnsi="Arial" w:eastAsia="Arial" w:cs="Arial"/>
          <w:noProof w:val="0"/>
          <w:sz w:val="22"/>
          <w:szCs w:val="22"/>
          <w:lang w:val="en-GB"/>
        </w:rPr>
      </w:pPr>
    </w:p>
    <w:p w:rsidR="5C84C1BE" w:rsidP="5C84C1BE" w:rsidRDefault="5C84C1BE" w14:paraId="5A5E54A9" w14:textId="01A88571">
      <w:pPr>
        <w:pStyle w:val="Normal"/>
        <w:spacing w:before="240" w:beforeAutospacing="off" w:after="240" w:afterAutospacing="off" w:line="360" w:lineRule="auto"/>
        <w:rPr>
          <w:rFonts w:ascii="Arial" w:hAnsi="Arial" w:eastAsia="Arial" w:cs="Arial"/>
          <w:noProof w:val="0"/>
          <w:sz w:val="22"/>
          <w:szCs w:val="22"/>
          <w:lang w:val="en-GB"/>
        </w:rPr>
      </w:pPr>
    </w:p>
    <w:p w:rsidR="5C84C1BE" w:rsidP="5C84C1BE" w:rsidRDefault="5C84C1BE" w14:paraId="404E4506" w14:textId="62C33B51">
      <w:pPr>
        <w:pStyle w:val="Normal"/>
        <w:spacing w:before="240" w:beforeAutospacing="off" w:after="240" w:afterAutospacing="off" w:line="360" w:lineRule="auto"/>
        <w:rPr>
          <w:rFonts w:ascii="Arial" w:hAnsi="Arial" w:eastAsia="Arial" w:cs="Arial"/>
          <w:b w:val="0"/>
          <w:bCs w:val="0"/>
          <w:noProof w:val="0"/>
          <w:sz w:val="22"/>
          <w:szCs w:val="22"/>
          <w:lang w:val="en-GB"/>
        </w:rPr>
      </w:pPr>
    </w:p>
    <w:p w:rsidR="176F9FA6" w:rsidP="5C84C1BE" w:rsidRDefault="176F9FA6" w14:paraId="3B2BF7E2" w14:textId="2BDC95E7">
      <w:pPr>
        <w:pStyle w:val="Normal"/>
        <w:spacing w:before="240" w:beforeAutospacing="off" w:after="240" w:afterAutospacing="off" w:line="360" w:lineRule="auto"/>
        <w:rPr>
          <w:rFonts w:ascii="Arial" w:hAnsi="Arial" w:eastAsia="Arial" w:cs="Arial"/>
          <w:noProof w:val="0"/>
          <w:sz w:val="22"/>
          <w:szCs w:val="22"/>
          <w:lang w:val="en-GB"/>
        </w:rPr>
      </w:pPr>
      <w:r w:rsidRPr="5C84C1BE" w:rsidR="176F9FA6">
        <w:rPr>
          <w:rFonts w:ascii="Arial" w:hAnsi="Arial" w:eastAsia="Arial" w:cs="Arial"/>
          <w:b w:val="0"/>
          <w:bCs w:val="0"/>
          <w:noProof w:val="0"/>
          <w:sz w:val="22"/>
          <w:szCs w:val="22"/>
          <w:lang w:val="en-GB"/>
        </w:rPr>
        <w:t xml:space="preserve">Raji, S.A. and </w:t>
      </w:r>
      <w:r w:rsidRPr="5C84C1BE" w:rsidR="176F9FA6">
        <w:rPr>
          <w:rFonts w:ascii="Arial" w:hAnsi="Arial" w:eastAsia="Arial" w:cs="Arial"/>
          <w:b w:val="0"/>
          <w:bCs w:val="0"/>
          <w:noProof w:val="0"/>
          <w:sz w:val="22"/>
          <w:szCs w:val="22"/>
          <w:lang w:val="en-GB"/>
        </w:rPr>
        <w:t>Demehin</w:t>
      </w:r>
      <w:r w:rsidRPr="5C84C1BE" w:rsidR="176F9FA6">
        <w:rPr>
          <w:rFonts w:ascii="Arial" w:hAnsi="Arial" w:eastAsia="Arial" w:cs="Arial"/>
          <w:b w:val="0"/>
          <w:bCs w:val="0"/>
          <w:noProof w:val="0"/>
          <w:sz w:val="22"/>
          <w:szCs w:val="22"/>
          <w:lang w:val="en-GB"/>
        </w:rPr>
        <w:t>, M.O. (2023)</w:t>
      </w:r>
      <w:r w:rsidRPr="5C84C1BE" w:rsidR="176F9FA6">
        <w:rPr>
          <w:rFonts w:ascii="Arial" w:hAnsi="Arial" w:eastAsia="Arial" w:cs="Arial"/>
          <w:noProof w:val="0"/>
          <w:sz w:val="22"/>
          <w:szCs w:val="22"/>
          <w:lang w:val="en-GB"/>
        </w:rPr>
        <w:t xml:space="preserve"> ‘Long walk to 2030: A bibliometric and systematic review of research trends on the UN Sustainable Development Goal 3’, </w:t>
      </w:r>
      <w:r w:rsidRPr="5C84C1BE" w:rsidR="176F9FA6">
        <w:rPr>
          <w:rFonts w:ascii="Arial" w:hAnsi="Arial" w:eastAsia="Arial" w:cs="Arial"/>
          <w:i w:val="1"/>
          <w:iCs w:val="1"/>
          <w:noProof w:val="0"/>
          <w:sz w:val="22"/>
          <w:szCs w:val="22"/>
          <w:lang w:val="en-GB"/>
        </w:rPr>
        <w:t>Dialogues in Health</w:t>
      </w:r>
      <w:r w:rsidRPr="5C84C1BE" w:rsidR="176F9FA6">
        <w:rPr>
          <w:rFonts w:ascii="Arial" w:hAnsi="Arial" w:eastAsia="Arial" w:cs="Arial"/>
          <w:noProof w:val="0"/>
          <w:sz w:val="22"/>
          <w:szCs w:val="22"/>
          <w:lang w:val="en-GB"/>
        </w:rPr>
        <w:t xml:space="preserve">, </w:t>
      </w:r>
      <w:r w:rsidRPr="5C84C1BE" w:rsidR="729F9891">
        <w:rPr>
          <w:rFonts w:ascii="Arial" w:hAnsi="Arial" w:eastAsia="Arial" w:cs="Arial"/>
          <w:noProof w:val="0"/>
          <w:sz w:val="22"/>
          <w:szCs w:val="22"/>
          <w:lang w:val="en-GB"/>
        </w:rPr>
        <w:t>2. Available</w:t>
      </w:r>
      <w:r w:rsidRPr="5C84C1BE" w:rsidR="176F9FA6">
        <w:rPr>
          <w:rFonts w:ascii="Arial" w:hAnsi="Arial" w:eastAsia="Arial" w:cs="Arial"/>
          <w:noProof w:val="0"/>
          <w:sz w:val="22"/>
          <w:szCs w:val="22"/>
          <w:lang w:val="en-GB"/>
        </w:rPr>
        <w:t xml:space="preserve"> at: https:// doi:</w:t>
      </w:r>
      <w:r w:rsidRPr="5C84C1BE" w:rsidR="65218698">
        <w:rPr>
          <w:rFonts w:ascii="Arial" w:hAnsi="Arial" w:eastAsia="Arial" w:cs="Arial"/>
          <w:noProof w:val="0"/>
          <w:sz w:val="22"/>
          <w:szCs w:val="22"/>
          <w:lang w:val="en-GB"/>
        </w:rPr>
        <w:t xml:space="preserve"> </w:t>
      </w:r>
      <w:r w:rsidRPr="5C84C1BE" w:rsidR="1EEA46B9">
        <w:rPr>
          <w:rFonts w:ascii="Arial" w:hAnsi="Arial" w:eastAsia="Arial" w:cs="Arial"/>
          <w:noProof w:val="0"/>
          <w:sz w:val="22"/>
          <w:szCs w:val="22"/>
          <w:lang w:val="en-GB"/>
        </w:rPr>
        <w:t>org/</w:t>
      </w:r>
      <w:r w:rsidRPr="5C84C1BE" w:rsidR="176F9FA6">
        <w:rPr>
          <w:rFonts w:ascii="Arial" w:hAnsi="Arial" w:eastAsia="Arial" w:cs="Arial"/>
          <w:noProof w:val="0"/>
          <w:sz w:val="22"/>
          <w:szCs w:val="22"/>
          <w:lang w:val="en-GB"/>
        </w:rPr>
        <w:t>10.1016/j.dialog.2023.100132.</w:t>
      </w:r>
    </w:p>
    <w:p w:rsidR="5C84C1BE" w:rsidP="5C84C1BE" w:rsidRDefault="5C84C1BE" w14:paraId="53E2E53C" w14:textId="6E36AEB5">
      <w:pPr>
        <w:pStyle w:val="Normal"/>
        <w:spacing w:before="240" w:beforeAutospacing="off" w:after="240" w:afterAutospacing="off"/>
        <w:rPr>
          <w:rFonts w:ascii="Arial" w:hAnsi="Arial" w:eastAsia="Arial" w:cs="Arial"/>
          <w:noProof w:val="0"/>
          <w:sz w:val="24"/>
          <w:szCs w:val="24"/>
          <w:lang w:val="en-GB"/>
        </w:rPr>
      </w:pPr>
    </w:p>
    <w:p w:rsidR="5C84C1BE" w:rsidP="5C84C1BE" w:rsidRDefault="5C84C1BE" w14:paraId="375F97EB" w14:textId="1D57C11A">
      <w:pPr>
        <w:pStyle w:val="Normal"/>
        <w:spacing w:before="240" w:beforeAutospacing="off" w:after="240" w:afterAutospacing="off"/>
        <w:rPr>
          <w:rFonts w:ascii="Arial" w:hAnsi="Arial" w:eastAsia="Arial" w:cs="Arial"/>
          <w:noProof w:val="0"/>
          <w:sz w:val="24"/>
          <w:szCs w:val="24"/>
          <w:lang w:val="en-GB"/>
        </w:rPr>
      </w:pPr>
    </w:p>
    <w:p w:rsidR="6B3DF5DE" w:rsidP="5C84C1BE" w:rsidRDefault="6B3DF5DE" w14:paraId="4FBA3741" w14:textId="1E934737">
      <w:pPr>
        <w:pStyle w:val="Normal"/>
        <w:spacing w:before="240" w:beforeAutospacing="off" w:after="240" w:afterAutospacing="off"/>
      </w:pPr>
      <w:r w:rsidRPr="5C84C1BE" w:rsidR="6B3DF5DE">
        <w:rPr>
          <w:rFonts w:ascii="Arial" w:hAnsi="Arial" w:eastAsia="Arial" w:cs="Arial"/>
          <w:noProof w:val="0"/>
          <w:sz w:val="22"/>
          <w:szCs w:val="22"/>
          <w:lang w:val="en-GB"/>
        </w:rPr>
        <w:t xml:space="preserve"> </w:t>
      </w:r>
    </w:p>
    <w:p w:rsidR="5C84C1BE" w:rsidP="5C84C1BE" w:rsidRDefault="5C84C1BE" w14:paraId="6999FBAB" w14:textId="20FD969A">
      <w:pPr>
        <w:pStyle w:val="Normal"/>
        <w:spacing w:before="240" w:beforeAutospacing="off" w:after="240" w:afterAutospacing="off"/>
        <w:rPr>
          <w:rFonts w:ascii="Verdana" w:hAnsi="Verdana" w:eastAsia="Verdana" w:cs="Verdana"/>
          <w:noProof w:val="0"/>
          <w:sz w:val="18"/>
          <w:szCs w:val="18"/>
          <w:lang w:val="en-GB"/>
        </w:rPr>
      </w:pPr>
    </w:p>
    <w:p w:rsidR="5C84C1BE" w:rsidP="5C84C1BE" w:rsidRDefault="5C84C1BE" w14:paraId="0F880B9A" w14:textId="41B60F98">
      <w:pPr>
        <w:pStyle w:val="Normal"/>
        <w:spacing w:before="240" w:beforeAutospacing="off" w:after="240" w:afterAutospacing="off"/>
        <w:rPr>
          <w:rFonts w:ascii="Arial" w:hAnsi="Arial" w:eastAsia="Arial" w:cs="Arial"/>
          <w:noProof w:val="0"/>
          <w:sz w:val="24"/>
          <w:szCs w:val="24"/>
          <w:lang w:val="en-GB"/>
        </w:rPr>
      </w:pPr>
    </w:p>
    <w:p w:rsidR="5C84C1BE" w:rsidP="5C84C1BE" w:rsidRDefault="5C84C1BE" w14:paraId="7EBBCB90" w14:textId="6EF77E12">
      <w:pPr>
        <w:pStyle w:val="Normal"/>
        <w:rPr>
          <w:rFonts w:ascii="Arial" w:hAnsi="Arial" w:eastAsia="Arial" w:cs="Arial"/>
          <w:noProof w:val="0"/>
          <w:sz w:val="24"/>
          <w:szCs w:val="24"/>
          <w:lang w:val="en-GB"/>
        </w:rPr>
      </w:pPr>
    </w:p>
    <w:p w:rsidR="5C84C1BE" w:rsidP="5C84C1BE" w:rsidRDefault="5C84C1BE" w14:paraId="7C2DEAA5" w14:textId="4A7AA1E7">
      <w:pPr>
        <w:pStyle w:val="Normal"/>
        <w:rPr>
          <w:rFonts w:ascii="Arial" w:hAnsi="Arial" w:eastAsia="Arial" w:cs="Arial"/>
          <w:noProof w:val="0"/>
          <w:sz w:val="24"/>
          <w:szCs w:val="24"/>
          <w:lang w:val="en-GB"/>
        </w:rPr>
      </w:pPr>
    </w:p>
    <w:p w:rsidR="5C84C1BE" w:rsidP="5C84C1BE" w:rsidRDefault="5C84C1BE" w14:paraId="0701E894" w14:textId="39E3FE39">
      <w:pPr>
        <w:pStyle w:val="Normal"/>
        <w:rPr>
          <w:rFonts w:ascii="Arial" w:hAnsi="Arial" w:eastAsia="Arial" w:cs="Arial"/>
          <w:noProof w:val="0"/>
          <w:sz w:val="24"/>
          <w:szCs w:val="24"/>
          <w:lang w:val="en-GB"/>
        </w:rPr>
      </w:pPr>
    </w:p>
    <w:p w:rsidR="5C84C1BE" w:rsidP="5C84C1BE" w:rsidRDefault="5C84C1BE" w14:paraId="71B9756D" w14:textId="351519B7">
      <w:pPr>
        <w:pStyle w:val="Normal"/>
        <w:rPr>
          <w:noProof w:val="0"/>
          <w:lang w:val="en-GB"/>
        </w:rPr>
      </w:pPr>
    </w:p>
    <w:p w:rsidR="5C84C1BE" w:rsidP="5C84C1BE" w:rsidRDefault="5C84C1BE" w14:paraId="1312CF83" w14:textId="20BCA7B9">
      <w:pPr>
        <w:pStyle w:val="Normal"/>
        <w:rPr>
          <w:rFonts w:ascii="Arial" w:hAnsi="Arial" w:eastAsia="Arial" w:cs="Arial"/>
          <w:noProof w:val="0"/>
          <w:sz w:val="24"/>
          <w:szCs w:val="24"/>
          <w:lang w:val="en-GB"/>
        </w:rPr>
      </w:pPr>
    </w:p>
    <w:p w:rsidR="5C84C1BE" w:rsidP="5C84C1BE" w:rsidRDefault="5C84C1BE" w14:paraId="12003524" w14:textId="73D72576">
      <w:pPr>
        <w:pStyle w:val="Normal"/>
        <w:rPr>
          <w:rFonts w:ascii="Arial" w:hAnsi="Arial" w:eastAsia="Arial" w:cs="Arial"/>
          <w:sz w:val="24"/>
          <w:szCs w:val="24"/>
        </w:rPr>
      </w:pPr>
    </w:p>
    <w:p w:rsidR="5C84C1BE" w:rsidP="5C84C1BE" w:rsidRDefault="5C84C1BE" w14:paraId="5FB2F625" w14:textId="46E069D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CEDE82"/>
    <w:rsid w:val="00849FB5"/>
    <w:rsid w:val="010DF764"/>
    <w:rsid w:val="01371FCC"/>
    <w:rsid w:val="015C4E2C"/>
    <w:rsid w:val="0180DB82"/>
    <w:rsid w:val="023B7289"/>
    <w:rsid w:val="023B8A91"/>
    <w:rsid w:val="026B7D06"/>
    <w:rsid w:val="031D0841"/>
    <w:rsid w:val="03C4B35A"/>
    <w:rsid w:val="03C745C0"/>
    <w:rsid w:val="0408E6EF"/>
    <w:rsid w:val="04718705"/>
    <w:rsid w:val="048E80C8"/>
    <w:rsid w:val="04A17BCA"/>
    <w:rsid w:val="04DDC3A4"/>
    <w:rsid w:val="055951F9"/>
    <w:rsid w:val="057EDCD8"/>
    <w:rsid w:val="0582256B"/>
    <w:rsid w:val="059CCC08"/>
    <w:rsid w:val="060F2144"/>
    <w:rsid w:val="06748777"/>
    <w:rsid w:val="06AB2F48"/>
    <w:rsid w:val="077A6754"/>
    <w:rsid w:val="07AED0B4"/>
    <w:rsid w:val="080502CE"/>
    <w:rsid w:val="0812975E"/>
    <w:rsid w:val="084A5FAA"/>
    <w:rsid w:val="089C275B"/>
    <w:rsid w:val="08EB8D09"/>
    <w:rsid w:val="09018A15"/>
    <w:rsid w:val="091C112B"/>
    <w:rsid w:val="09533BD7"/>
    <w:rsid w:val="09974DB2"/>
    <w:rsid w:val="09F7E013"/>
    <w:rsid w:val="0A7A6957"/>
    <w:rsid w:val="0B50CCF7"/>
    <w:rsid w:val="0BD60828"/>
    <w:rsid w:val="0BF2F13E"/>
    <w:rsid w:val="0C1F5D30"/>
    <w:rsid w:val="0C752509"/>
    <w:rsid w:val="0CB82B71"/>
    <w:rsid w:val="0CE9CF78"/>
    <w:rsid w:val="0D1738CD"/>
    <w:rsid w:val="0D70E8BB"/>
    <w:rsid w:val="0D8596F7"/>
    <w:rsid w:val="0DB70B41"/>
    <w:rsid w:val="0F16084B"/>
    <w:rsid w:val="0F98A2E8"/>
    <w:rsid w:val="0FBF7F63"/>
    <w:rsid w:val="0FC5A9E7"/>
    <w:rsid w:val="0FD63D9B"/>
    <w:rsid w:val="10DC1F6D"/>
    <w:rsid w:val="111AD025"/>
    <w:rsid w:val="1178C6B4"/>
    <w:rsid w:val="11AAE008"/>
    <w:rsid w:val="128314F5"/>
    <w:rsid w:val="12D50CDF"/>
    <w:rsid w:val="137A6E02"/>
    <w:rsid w:val="13E6B467"/>
    <w:rsid w:val="13F3EFDD"/>
    <w:rsid w:val="1409D3F0"/>
    <w:rsid w:val="1482D147"/>
    <w:rsid w:val="1523B6C9"/>
    <w:rsid w:val="153C7E61"/>
    <w:rsid w:val="162EC229"/>
    <w:rsid w:val="16571C6B"/>
    <w:rsid w:val="166033AD"/>
    <w:rsid w:val="1676854A"/>
    <w:rsid w:val="16AE8CF3"/>
    <w:rsid w:val="16FB8E45"/>
    <w:rsid w:val="17191718"/>
    <w:rsid w:val="176F5FD9"/>
    <w:rsid w:val="176F9FA6"/>
    <w:rsid w:val="17F25DD8"/>
    <w:rsid w:val="181C6601"/>
    <w:rsid w:val="186DDDA4"/>
    <w:rsid w:val="18716DCC"/>
    <w:rsid w:val="1894C245"/>
    <w:rsid w:val="18D3DC89"/>
    <w:rsid w:val="18FCAECE"/>
    <w:rsid w:val="19909791"/>
    <w:rsid w:val="19917C60"/>
    <w:rsid w:val="19A6A59D"/>
    <w:rsid w:val="19D9707E"/>
    <w:rsid w:val="1A1A160E"/>
    <w:rsid w:val="1A215AC5"/>
    <w:rsid w:val="1A24944B"/>
    <w:rsid w:val="1A722BC9"/>
    <w:rsid w:val="1B2ACD20"/>
    <w:rsid w:val="1B360429"/>
    <w:rsid w:val="1B366854"/>
    <w:rsid w:val="1B4322A6"/>
    <w:rsid w:val="1B70590F"/>
    <w:rsid w:val="1B9F67F4"/>
    <w:rsid w:val="1C7D0236"/>
    <w:rsid w:val="1CDB8EBB"/>
    <w:rsid w:val="1D75FDF5"/>
    <w:rsid w:val="1D8AE151"/>
    <w:rsid w:val="1D8AFBC3"/>
    <w:rsid w:val="1E213EA9"/>
    <w:rsid w:val="1E6E91BD"/>
    <w:rsid w:val="1E9DC62E"/>
    <w:rsid w:val="1EE2776A"/>
    <w:rsid w:val="1EEA46B9"/>
    <w:rsid w:val="1F236761"/>
    <w:rsid w:val="1F433F13"/>
    <w:rsid w:val="1F5EB1FB"/>
    <w:rsid w:val="1F98A5B8"/>
    <w:rsid w:val="1FF30869"/>
    <w:rsid w:val="20141DF0"/>
    <w:rsid w:val="2023E8C9"/>
    <w:rsid w:val="204CF585"/>
    <w:rsid w:val="2079CBAB"/>
    <w:rsid w:val="209E2CDE"/>
    <w:rsid w:val="20A6E636"/>
    <w:rsid w:val="20BCABA5"/>
    <w:rsid w:val="21675FCD"/>
    <w:rsid w:val="2199E50F"/>
    <w:rsid w:val="2200A229"/>
    <w:rsid w:val="2210A2DD"/>
    <w:rsid w:val="22563CFF"/>
    <w:rsid w:val="226CEF68"/>
    <w:rsid w:val="22AB161A"/>
    <w:rsid w:val="2354C12B"/>
    <w:rsid w:val="23979CEE"/>
    <w:rsid w:val="23A2715D"/>
    <w:rsid w:val="24489C0B"/>
    <w:rsid w:val="24CEDE82"/>
    <w:rsid w:val="251E6E39"/>
    <w:rsid w:val="25523889"/>
    <w:rsid w:val="258BD4BF"/>
    <w:rsid w:val="263B53FC"/>
    <w:rsid w:val="26614CB3"/>
    <w:rsid w:val="26865346"/>
    <w:rsid w:val="26F1FC1A"/>
    <w:rsid w:val="26F70567"/>
    <w:rsid w:val="28A6F21A"/>
    <w:rsid w:val="28B1C1FC"/>
    <w:rsid w:val="2901E1B9"/>
    <w:rsid w:val="290E8315"/>
    <w:rsid w:val="291C3F03"/>
    <w:rsid w:val="29A73E0F"/>
    <w:rsid w:val="29D973A4"/>
    <w:rsid w:val="2A133222"/>
    <w:rsid w:val="2AA44CCF"/>
    <w:rsid w:val="2AC2AD48"/>
    <w:rsid w:val="2AEA1751"/>
    <w:rsid w:val="2AEFE8C0"/>
    <w:rsid w:val="2C0E405D"/>
    <w:rsid w:val="2C7A81B0"/>
    <w:rsid w:val="2D0E6C38"/>
    <w:rsid w:val="2D165461"/>
    <w:rsid w:val="2D613DEB"/>
    <w:rsid w:val="2DFBCF42"/>
    <w:rsid w:val="2E03BB8F"/>
    <w:rsid w:val="2E23D277"/>
    <w:rsid w:val="2E6E5F59"/>
    <w:rsid w:val="2FB92F46"/>
    <w:rsid w:val="2FC643CE"/>
    <w:rsid w:val="306135BB"/>
    <w:rsid w:val="30B2B697"/>
    <w:rsid w:val="30BF6776"/>
    <w:rsid w:val="31026A6C"/>
    <w:rsid w:val="312CBD61"/>
    <w:rsid w:val="31517618"/>
    <w:rsid w:val="31E52ADD"/>
    <w:rsid w:val="3202C8D6"/>
    <w:rsid w:val="32123EE6"/>
    <w:rsid w:val="32286687"/>
    <w:rsid w:val="322B4FED"/>
    <w:rsid w:val="3254C5A7"/>
    <w:rsid w:val="327EBEF4"/>
    <w:rsid w:val="3291E7ED"/>
    <w:rsid w:val="32B06ED6"/>
    <w:rsid w:val="32BAD09F"/>
    <w:rsid w:val="32DAB4EC"/>
    <w:rsid w:val="33597B18"/>
    <w:rsid w:val="3406741D"/>
    <w:rsid w:val="34260682"/>
    <w:rsid w:val="3450527B"/>
    <w:rsid w:val="3486F193"/>
    <w:rsid w:val="3523C62B"/>
    <w:rsid w:val="35B2580F"/>
    <w:rsid w:val="364B3833"/>
    <w:rsid w:val="36625EDD"/>
    <w:rsid w:val="369A5EE5"/>
    <w:rsid w:val="36F6CF72"/>
    <w:rsid w:val="373FD18E"/>
    <w:rsid w:val="3780FC3A"/>
    <w:rsid w:val="37BD1810"/>
    <w:rsid w:val="37E3B387"/>
    <w:rsid w:val="38C0F074"/>
    <w:rsid w:val="39286FA4"/>
    <w:rsid w:val="3932C974"/>
    <w:rsid w:val="398C6E5B"/>
    <w:rsid w:val="39AFE45D"/>
    <w:rsid w:val="39B5D699"/>
    <w:rsid w:val="3A3EB128"/>
    <w:rsid w:val="3A7BBBC1"/>
    <w:rsid w:val="3AB22093"/>
    <w:rsid w:val="3B04648E"/>
    <w:rsid w:val="3B92724C"/>
    <w:rsid w:val="3BC4DE6E"/>
    <w:rsid w:val="3C5A9B8B"/>
    <w:rsid w:val="3D40919B"/>
    <w:rsid w:val="3DC4D638"/>
    <w:rsid w:val="3DD6CF67"/>
    <w:rsid w:val="3E4010B5"/>
    <w:rsid w:val="3F4997CD"/>
    <w:rsid w:val="3FA99196"/>
    <w:rsid w:val="3FE7C035"/>
    <w:rsid w:val="40090354"/>
    <w:rsid w:val="404EE899"/>
    <w:rsid w:val="410DE9D1"/>
    <w:rsid w:val="414F6513"/>
    <w:rsid w:val="416D833C"/>
    <w:rsid w:val="416E3813"/>
    <w:rsid w:val="4194D6B6"/>
    <w:rsid w:val="41A61AC2"/>
    <w:rsid w:val="426AACA1"/>
    <w:rsid w:val="4312DF2D"/>
    <w:rsid w:val="4391A4C4"/>
    <w:rsid w:val="43C87725"/>
    <w:rsid w:val="441150D8"/>
    <w:rsid w:val="442D1269"/>
    <w:rsid w:val="4465F2D4"/>
    <w:rsid w:val="44AED1CC"/>
    <w:rsid w:val="45B87EE5"/>
    <w:rsid w:val="45ED8E99"/>
    <w:rsid w:val="45FA481E"/>
    <w:rsid w:val="46D9AB33"/>
    <w:rsid w:val="46F7BB04"/>
    <w:rsid w:val="472350B9"/>
    <w:rsid w:val="473E3BC4"/>
    <w:rsid w:val="48119855"/>
    <w:rsid w:val="482CA0DC"/>
    <w:rsid w:val="4835F535"/>
    <w:rsid w:val="486AB341"/>
    <w:rsid w:val="487E2C4C"/>
    <w:rsid w:val="488BB501"/>
    <w:rsid w:val="488D74D3"/>
    <w:rsid w:val="49082596"/>
    <w:rsid w:val="49388954"/>
    <w:rsid w:val="498B3F24"/>
    <w:rsid w:val="49CDB64E"/>
    <w:rsid w:val="4A1DD698"/>
    <w:rsid w:val="4A45A6AC"/>
    <w:rsid w:val="4A8BE552"/>
    <w:rsid w:val="4A98FA87"/>
    <w:rsid w:val="4A9DE45E"/>
    <w:rsid w:val="4ADC4CEA"/>
    <w:rsid w:val="4B70FD66"/>
    <w:rsid w:val="4B73D27D"/>
    <w:rsid w:val="4B9AE4CE"/>
    <w:rsid w:val="4BF35C1C"/>
    <w:rsid w:val="4BFE0075"/>
    <w:rsid w:val="4C17CA6F"/>
    <w:rsid w:val="4C2C5586"/>
    <w:rsid w:val="4C2D7E3A"/>
    <w:rsid w:val="4C4AC076"/>
    <w:rsid w:val="4C817A87"/>
    <w:rsid w:val="4CFB5C06"/>
    <w:rsid w:val="4D66E13A"/>
    <w:rsid w:val="4DE10FD2"/>
    <w:rsid w:val="4E2CACCE"/>
    <w:rsid w:val="4EB20149"/>
    <w:rsid w:val="4EE142A2"/>
    <w:rsid w:val="4F1BD295"/>
    <w:rsid w:val="4F26E9AB"/>
    <w:rsid w:val="4F50BA90"/>
    <w:rsid w:val="4FAFD17D"/>
    <w:rsid w:val="4FC3C41B"/>
    <w:rsid w:val="4FFDBC0F"/>
    <w:rsid w:val="50054328"/>
    <w:rsid w:val="5096B287"/>
    <w:rsid w:val="51662D2B"/>
    <w:rsid w:val="5191C303"/>
    <w:rsid w:val="523AFFDC"/>
    <w:rsid w:val="524918F7"/>
    <w:rsid w:val="527DEDF7"/>
    <w:rsid w:val="528727C0"/>
    <w:rsid w:val="52FEDCAE"/>
    <w:rsid w:val="53072E3E"/>
    <w:rsid w:val="53130E1F"/>
    <w:rsid w:val="5319981A"/>
    <w:rsid w:val="5322A6ED"/>
    <w:rsid w:val="5428551F"/>
    <w:rsid w:val="5454C763"/>
    <w:rsid w:val="54A00F44"/>
    <w:rsid w:val="5535D51B"/>
    <w:rsid w:val="55A79D46"/>
    <w:rsid w:val="55BF1A32"/>
    <w:rsid w:val="55E9ACA8"/>
    <w:rsid w:val="56871FEB"/>
    <w:rsid w:val="5699BBD6"/>
    <w:rsid w:val="56AC14E3"/>
    <w:rsid w:val="56AD00F4"/>
    <w:rsid w:val="57769197"/>
    <w:rsid w:val="579EC6EC"/>
    <w:rsid w:val="57DDCCCF"/>
    <w:rsid w:val="580449F5"/>
    <w:rsid w:val="58D4FB15"/>
    <w:rsid w:val="58EA134D"/>
    <w:rsid w:val="596A2523"/>
    <w:rsid w:val="5A14B177"/>
    <w:rsid w:val="5A22456B"/>
    <w:rsid w:val="5AC009E6"/>
    <w:rsid w:val="5B45C9AA"/>
    <w:rsid w:val="5B67065C"/>
    <w:rsid w:val="5B7163B5"/>
    <w:rsid w:val="5BB52A73"/>
    <w:rsid w:val="5BECE30D"/>
    <w:rsid w:val="5C4BBAE2"/>
    <w:rsid w:val="5C84C1BE"/>
    <w:rsid w:val="5CB339E7"/>
    <w:rsid w:val="5CBA0AF4"/>
    <w:rsid w:val="5EBCE77B"/>
    <w:rsid w:val="5F06DA6E"/>
    <w:rsid w:val="5F7E449D"/>
    <w:rsid w:val="5FCB1356"/>
    <w:rsid w:val="5FEE00AF"/>
    <w:rsid w:val="5FFEF186"/>
    <w:rsid w:val="6064FEDC"/>
    <w:rsid w:val="6086F295"/>
    <w:rsid w:val="608EDBD1"/>
    <w:rsid w:val="60ACF6E0"/>
    <w:rsid w:val="613732B3"/>
    <w:rsid w:val="614DA11E"/>
    <w:rsid w:val="6185EBED"/>
    <w:rsid w:val="61B6480C"/>
    <w:rsid w:val="62B05784"/>
    <w:rsid w:val="649FFABE"/>
    <w:rsid w:val="64C74DCC"/>
    <w:rsid w:val="64D5726C"/>
    <w:rsid w:val="65218698"/>
    <w:rsid w:val="652C9FA8"/>
    <w:rsid w:val="656AEBBC"/>
    <w:rsid w:val="65893DE0"/>
    <w:rsid w:val="658D9C2C"/>
    <w:rsid w:val="661917D2"/>
    <w:rsid w:val="663FD1F3"/>
    <w:rsid w:val="665353AF"/>
    <w:rsid w:val="6677C1FA"/>
    <w:rsid w:val="66B7FF3B"/>
    <w:rsid w:val="66DF203F"/>
    <w:rsid w:val="675670D3"/>
    <w:rsid w:val="675E1212"/>
    <w:rsid w:val="68166FE0"/>
    <w:rsid w:val="68382908"/>
    <w:rsid w:val="68412994"/>
    <w:rsid w:val="68716213"/>
    <w:rsid w:val="68C8C6F8"/>
    <w:rsid w:val="68EDA402"/>
    <w:rsid w:val="68FBD947"/>
    <w:rsid w:val="69019EAE"/>
    <w:rsid w:val="697B1DA9"/>
    <w:rsid w:val="698C2E98"/>
    <w:rsid w:val="69E56CB2"/>
    <w:rsid w:val="69EBBA68"/>
    <w:rsid w:val="69F6E133"/>
    <w:rsid w:val="6A12FCE3"/>
    <w:rsid w:val="6A2EB6FE"/>
    <w:rsid w:val="6A38F42C"/>
    <w:rsid w:val="6A3AAF39"/>
    <w:rsid w:val="6A45DB3E"/>
    <w:rsid w:val="6AC1FA60"/>
    <w:rsid w:val="6B00FD3F"/>
    <w:rsid w:val="6B3DF5DE"/>
    <w:rsid w:val="6BCBECB3"/>
    <w:rsid w:val="6BE02D3A"/>
    <w:rsid w:val="6C1C5579"/>
    <w:rsid w:val="6C412C29"/>
    <w:rsid w:val="6CC524F5"/>
    <w:rsid w:val="6CE065EB"/>
    <w:rsid w:val="6D333D74"/>
    <w:rsid w:val="6D538283"/>
    <w:rsid w:val="6D7C5F64"/>
    <w:rsid w:val="6E28B5D8"/>
    <w:rsid w:val="6E8D5F9A"/>
    <w:rsid w:val="6E9C7647"/>
    <w:rsid w:val="6EDD42E4"/>
    <w:rsid w:val="6EFF6C50"/>
    <w:rsid w:val="6F46DB41"/>
    <w:rsid w:val="6F7D1D99"/>
    <w:rsid w:val="6F880524"/>
    <w:rsid w:val="6FE73322"/>
    <w:rsid w:val="70A29826"/>
    <w:rsid w:val="70BCD857"/>
    <w:rsid w:val="71ADFFC0"/>
    <w:rsid w:val="71B67FBE"/>
    <w:rsid w:val="72335040"/>
    <w:rsid w:val="729F9891"/>
    <w:rsid w:val="72E8352B"/>
    <w:rsid w:val="72E966DD"/>
    <w:rsid w:val="7397AC3F"/>
    <w:rsid w:val="73DE0E5A"/>
    <w:rsid w:val="73E0FB70"/>
    <w:rsid w:val="73E475E7"/>
    <w:rsid w:val="73ED9935"/>
    <w:rsid w:val="746CBEEF"/>
    <w:rsid w:val="749B729F"/>
    <w:rsid w:val="74CBABC3"/>
    <w:rsid w:val="75909875"/>
    <w:rsid w:val="7661D90A"/>
    <w:rsid w:val="7716C3B3"/>
    <w:rsid w:val="771AD946"/>
    <w:rsid w:val="7722E385"/>
    <w:rsid w:val="77845EF6"/>
    <w:rsid w:val="77DC2E95"/>
    <w:rsid w:val="783747C0"/>
    <w:rsid w:val="791209CD"/>
    <w:rsid w:val="7980CBE5"/>
    <w:rsid w:val="7A0491AF"/>
    <w:rsid w:val="7A8C5856"/>
    <w:rsid w:val="7B715B82"/>
    <w:rsid w:val="7B989C38"/>
    <w:rsid w:val="7B9F3018"/>
    <w:rsid w:val="7BA92B1B"/>
    <w:rsid w:val="7BD11C44"/>
    <w:rsid w:val="7BE743CA"/>
    <w:rsid w:val="7C2E5174"/>
    <w:rsid w:val="7C52266F"/>
    <w:rsid w:val="7C9E06F0"/>
    <w:rsid w:val="7CAEB0BF"/>
    <w:rsid w:val="7CDE4F31"/>
    <w:rsid w:val="7CE21738"/>
    <w:rsid w:val="7CE7A61B"/>
    <w:rsid w:val="7CEE5C89"/>
    <w:rsid w:val="7D2694F9"/>
    <w:rsid w:val="7D6F05D2"/>
    <w:rsid w:val="7D76EB48"/>
    <w:rsid w:val="7DA478A0"/>
    <w:rsid w:val="7DCA6FFC"/>
    <w:rsid w:val="7DE1BCC0"/>
    <w:rsid w:val="7E64C31A"/>
    <w:rsid w:val="7EBAA539"/>
    <w:rsid w:val="7FBC26A6"/>
    <w:rsid w:val="7FEB0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CFC69"/>
  <w15:chartTrackingRefBased/>
  <w15:docId w15:val="{7775A2F6-5C85-4864-BAAA-4001A5F6CE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84C1B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C84C1BE"/>
    <w:rPr>
      <w:color w:val="467886"/>
      <w:u w:val="single"/>
    </w:rPr>
  </w:style>
  <w:style w:type="paragraph" w:styleId="Heading2">
    <w:uiPriority w:val="9"/>
    <w:name w:val="heading 2"/>
    <w:basedOn w:val="Normal"/>
    <w:next w:val="Normal"/>
    <w:unhideWhenUsed/>
    <w:qFormat/>
    <w:rsid w:val="5C84C1B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719763617" /><Relationship Type="http://schemas.openxmlformats.org/officeDocument/2006/relationships/hyperlink" Target="https://www.bgs.org.uk/core20plus5?utm_source=chatgpt.com" TargetMode="External" Id="Rc4f7a76bc5cd4919" /><Relationship Type="http://schemas.openxmlformats.org/officeDocument/2006/relationships/hyperlink" Target="https://doi.org/10.34172/hpp.2023.05" TargetMode="External" Id="R4eb8035e1db44974" /><Relationship Type="http://schemas.openxmlformats.org/officeDocument/2006/relationships/hyperlink" Target="https://doi.org/10.1002/sd.70498" TargetMode="External" Id="R939d38f34c4b457b" /><Relationship Type="http://schemas.openxmlformats.org/officeDocument/2006/relationships/hyperlink" Target="https://doi.org/10.1111/1758-5899.12602" TargetMode="External" Id="Rf9a741f9b2b24ae4" /><Relationship Type="http://schemas.openxmlformats.org/officeDocument/2006/relationships/hyperlink" Target="https://www.harlow.gov.uk/sites/default/files/documents/Harlow%20health%20and%20wellbeing%20strategy%202023%20to%202028.pdf" TargetMode="External" Id="Rfec5688e794a4e2a" /><Relationship Type="http://schemas.openxmlformats.org/officeDocument/2006/relationships/hyperlink" Target="https://doi.org/10.4081/jphr.2021.2051" TargetMode="External" Id="Ra1c1226a269c451b" /><Relationship Type="http://schemas.openxmlformats.org/officeDocument/2006/relationships/hyperlink" Target="https://www.england.nhs.uk/long-read/five-years-greener-nhs-progress-forward-look/?utm_source=chatgpt.com" TargetMode="External" Id="Rff9098c7ddc14f04" /><Relationship Type="http://schemas.openxmlformats.org/officeDocument/2006/relationships/hyperlink" Target="https://www.england.nhs.uk/about/equality/equality-hub/national-healthcare-inequalities-improvement-programme/core20plus5/?utm_source=chatgpt.com" TargetMode="External" Id="Rbf2eac808cca4175" /><Relationship Type="http://schemas.openxmlformats.org/officeDocument/2006/relationships/hyperlink" Target="https://doi.org/10.1093/pubmed/fdad036" TargetMode="External" Id="R89ac54e158d840c4" /><Relationship Type="http://schemas.openxmlformats.org/officeDocument/2006/relationships/hyperlink" Target="https://doi.org/10.1038/s41591-021-01268-y" TargetMode="External" Id="R16d00181d08644f2" /><Relationship Type="http://schemas.openxmlformats.org/officeDocument/2006/relationships/hyperlink" Target="https://doi.org/10.1371/journal.pone.0310089" TargetMode="External" Id="R72c840ddedfc424f" /><Relationship Type="http://schemas.openxmlformats.org/officeDocument/2006/relationships/hyperlink" Target="https://doi.org/10.1093/rescon/vmag118" TargetMode="External" Id="Rf273c45704ab4db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2026-08-09T07:29:02.5575370Z</dcterms:created>
  <dcterms:modified xsi:type="dcterms:W3CDTF">2026-08-13T13:45:45.9922291Z</dcterms:modified>
  <dc:creator>Celina Krawczyk (2317548)</dc:creator>
  <lastModifiedBy>Celina Krawczyk (2317548)</lastModifiedBy>
</coreProperties>
</file>