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E0646C" w14:textId="450F1825" w:rsidR="002B231B" w:rsidRPr="00DA361E" w:rsidRDefault="00A17C66" w:rsidP="008E00B5">
      <w:pPr>
        <w:jc w:val="center"/>
        <w:rPr>
          <w:rFonts w:ascii="Arial" w:hAnsi="Arial" w:cs="Arial"/>
          <w:b/>
          <w:sz w:val="44"/>
          <w:szCs w:val="44"/>
        </w:rPr>
      </w:pPr>
      <w:r w:rsidRPr="00482195">
        <w:rPr>
          <w:rFonts w:ascii="Arial" w:hAnsi="Arial" w:cs="Arial"/>
          <w:b/>
          <w:sz w:val="48"/>
          <w:szCs w:val="48"/>
        </w:rPr>
        <w:t>Global Business Environment</w:t>
      </w:r>
    </w:p>
    <w:p w14:paraId="4699BA73" w14:textId="5B92A5A1" w:rsidR="001E746A" w:rsidRDefault="001E746A">
      <w:pPr>
        <w:rPr>
          <w:rFonts w:ascii="Arial" w:hAnsi="Arial" w:cs="Arial"/>
          <w:b/>
          <w:sz w:val="44"/>
          <w:szCs w:val="44"/>
        </w:rPr>
      </w:pPr>
      <w:r w:rsidRPr="00DA361E">
        <w:rPr>
          <w:rFonts w:ascii="Arial" w:hAnsi="Arial" w:cs="Arial"/>
          <w:b/>
          <w:sz w:val="44"/>
          <w:szCs w:val="44"/>
        </w:rPr>
        <w:t xml:space="preserve">                       </w:t>
      </w:r>
      <w:r w:rsidRPr="00664A12">
        <w:rPr>
          <w:rFonts w:ascii="Arial" w:hAnsi="Arial" w:cs="Arial"/>
          <w:b/>
          <w:sz w:val="40"/>
          <w:szCs w:val="40"/>
        </w:rPr>
        <w:t>LCBB4016</w:t>
      </w:r>
      <w:r w:rsidRPr="00664A12">
        <w:rPr>
          <w:rFonts w:ascii="Arial" w:hAnsi="Arial" w:cs="Arial"/>
          <w:b/>
          <w:sz w:val="40"/>
          <w:szCs w:val="40"/>
        </w:rPr>
        <w:t>_BIRM</w:t>
      </w:r>
    </w:p>
    <w:p w14:paraId="6CCF484B" w14:textId="77777777" w:rsidR="00482195" w:rsidRDefault="00482195">
      <w:pPr>
        <w:rPr>
          <w:rFonts w:ascii="Arial" w:hAnsi="Arial" w:cs="Arial"/>
          <w:b/>
          <w:sz w:val="44"/>
          <w:szCs w:val="44"/>
        </w:rPr>
      </w:pPr>
    </w:p>
    <w:p w14:paraId="360DB623" w14:textId="77777777" w:rsidR="00482195" w:rsidRDefault="00482195">
      <w:pPr>
        <w:rPr>
          <w:rFonts w:ascii="Arial" w:hAnsi="Arial" w:cs="Arial"/>
          <w:b/>
          <w:sz w:val="44"/>
          <w:szCs w:val="44"/>
        </w:rPr>
      </w:pPr>
    </w:p>
    <w:p w14:paraId="76BAC18B" w14:textId="77777777" w:rsidR="00482195" w:rsidRPr="00DA361E" w:rsidRDefault="00482195">
      <w:pPr>
        <w:rPr>
          <w:rFonts w:ascii="Arial" w:hAnsi="Arial" w:cs="Arial"/>
          <w:b/>
          <w:sz w:val="44"/>
          <w:szCs w:val="44"/>
        </w:rPr>
      </w:pPr>
    </w:p>
    <w:p w14:paraId="293A56E8" w14:textId="7A770E95" w:rsidR="00F76575" w:rsidRPr="00F76575" w:rsidRDefault="00F76575" w:rsidP="00F76575">
      <w:pPr>
        <w:pStyle w:val="NoSpacing"/>
        <w:jc w:val="center"/>
        <w:rPr>
          <w:rFonts w:ascii="Arial" w:hAnsi="Arial"/>
          <w:b/>
          <w:bCs/>
          <w:color w:val="000000" w:themeColor="text1"/>
          <w:sz w:val="28"/>
          <w:szCs w:val="28"/>
        </w:rPr>
      </w:pPr>
      <w:r>
        <w:rPr>
          <w:rFonts w:ascii="Arial" w:hAnsi="Arial"/>
          <w:b/>
          <w:bCs/>
          <w:color w:val="000000" w:themeColor="text1"/>
          <w:sz w:val="28"/>
          <w:szCs w:val="28"/>
        </w:rPr>
        <w:t xml:space="preserve">              </w:t>
      </w:r>
      <w:r w:rsidRPr="00482195">
        <w:rPr>
          <w:rFonts w:ascii="Arial" w:hAnsi="Arial"/>
          <w:b/>
          <w:bCs/>
          <w:color w:val="000000" w:themeColor="text1"/>
          <w:sz w:val="32"/>
          <w:szCs w:val="32"/>
        </w:rPr>
        <w:t>University of Wales Trinity Saint David (UWTSD)</w:t>
      </w:r>
    </w:p>
    <w:p w14:paraId="25CA3232" w14:textId="45DEF632" w:rsidR="00F76575" w:rsidRPr="00482195" w:rsidRDefault="00F76575" w:rsidP="00F76575">
      <w:pPr>
        <w:pStyle w:val="NoSpacing"/>
        <w:rPr>
          <w:rFonts w:ascii="Arial" w:hAnsi="Arial"/>
          <w:b/>
          <w:bCs/>
          <w:color w:val="000000" w:themeColor="text1"/>
          <w:sz w:val="32"/>
          <w:szCs w:val="32"/>
        </w:rPr>
      </w:pPr>
      <w:r>
        <w:rPr>
          <w:rFonts w:ascii="Arial" w:hAnsi="Arial"/>
          <w:b/>
          <w:bCs/>
          <w:color w:val="000000" w:themeColor="text1"/>
          <w:sz w:val="28"/>
          <w:szCs w:val="28"/>
        </w:rPr>
        <w:t xml:space="preserve">                             </w:t>
      </w:r>
      <w:r w:rsidRPr="00482195">
        <w:rPr>
          <w:rFonts w:ascii="Arial" w:hAnsi="Arial"/>
          <w:b/>
          <w:bCs/>
          <w:color w:val="000000" w:themeColor="text1"/>
          <w:sz w:val="32"/>
          <w:szCs w:val="32"/>
        </w:rPr>
        <w:t xml:space="preserve">Student name: </w:t>
      </w:r>
      <w:r w:rsidRPr="00482195">
        <w:rPr>
          <w:rFonts w:ascii="Arial" w:hAnsi="Arial"/>
          <w:b/>
          <w:bCs/>
          <w:color w:val="000000" w:themeColor="text1"/>
          <w:sz w:val="32"/>
          <w:szCs w:val="32"/>
        </w:rPr>
        <w:t>Petre-Daniel Nedelcu</w:t>
      </w:r>
    </w:p>
    <w:p w14:paraId="58F4751D" w14:textId="755C967E" w:rsidR="00F76575" w:rsidRPr="00482195" w:rsidRDefault="00F76575" w:rsidP="00F76575">
      <w:pPr>
        <w:pStyle w:val="NoSpacing"/>
        <w:jc w:val="center"/>
        <w:rPr>
          <w:rFonts w:ascii="Arial" w:hAnsi="Arial"/>
          <w:b/>
          <w:bCs/>
          <w:color w:val="000000" w:themeColor="text1"/>
          <w:sz w:val="32"/>
          <w:szCs w:val="32"/>
        </w:rPr>
      </w:pPr>
      <w:r w:rsidRPr="00482195">
        <w:rPr>
          <w:rFonts w:ascii="Arial" w:hAnsi="Arial"/>
          <w:b/>
          <w:bCs/>
          <w:color w:val="000000" w:themeColor="text1"/>
          <w:sz w:val="32"/>
          <w:szCs w:val="32"/>
        </w:rPr>
        <w:t>Student number: 232655</w:t>
      </w:r>
      <w:r w:rsidRPr="00482195">
        <w:rPr>
          <w:rFonts w:ascii="Arial" w:hAnsi="Arial"/>
          <w:b/>
          <w:bCs/>
          <w:color w:val="000000" w:themeColor="text1"/>
          <w:sz w:val="32"/>
          <w:szCs w:val="32"/>
        </w:rPr>
        <w:t>5</w:t>
      </w:r>
    </w:p>
    <w:p w14:paraId="16049280" w14:textId="4B513009" w:rsidR="00F11067" w:rsidRPr="00F11067" w:rsidRDefault="00F76575" w:rsidP="00F11067">
      <w:pPr>
        <w:rPr>
          <w:rFonts w:ascii="Arial" w:hAnsi="Arial" w:cs="Arial"/>
          <w:b/>
          <w:bCs/>
          <w:color w:val="000000" w:themeColor="text1"/>
          <w:sz w:val="28"/>
          <w:szCs w:val="28"/>
        </w:rPr>
      </w:pPr>
      <w:r>
        <w:rPr>
          <w:rFonts w:ascii="Arial" w:hAnsi="Arial" w:cs="Arial"/>
          <w:b/>
          <w:bCs/>
          <w:color w:val="000000" w:themeColor="text1"/>
          <w:sz w:val="28"/>
          <w:szCs w:val="28"/>
        </w:rPr>
        <w:t xml:space="preserve">                         </w:t>
      </w:r>
      <w:r w:rsidR="00482195">
        <w:rPr>
          <w:rFonts w:ascii="Arial" w:hAnsi="Arial" w:cs="Arial"/>
          <w:b/>
          <w:bCs/>
          <w:color w:val="000000" w:themeColor="text1"/>
          <w:sz w:val="28"/>
          <w:szCs w:val="28"/>
        </w:rPr>
        <w:t xml:space="preserve">      </w:t>
      </w:r>
      <w:r w:rsidRPr="00482195">
        <w:rPr>
          <w:rFonts w:ascii="Arial" w:hAnsi="Arial" w:cs="Arial"/>
          <w:b/>
          <w:bCs/>
          <w:color w:val="000000" w:themeColor="text1"/>
          <w:sz w:val="32"/>
          <w:szCs w:val="32"/>
        </w:rPr>
        <w:t xml:space="preserve">Lecturer name: </w:t>
      </w:r>
      <w:r w:rsidR="00F11067" w:rsidRPr="00482195">
        <w:rPr>
          <w:rFonts w:ascii="Arial" w:hAnsi="Arial" w:cs="Arial"/>
          <w:b/>
          <w:bCs/>
          <w:color w:val="000000" w:themeColor="text1"/>
          <w:sz w:val="32"/>
          <w:szCs w:val="32"/>
        </w:rPr>
        <w:t>Kareem Sani</w:t>
      </w:r>
    </w:p>
    <w:p w14:paraId="08F7E5DF" w14:textId="4874FE2F" w:rsidR="00F76575" w:rsidRPr="00F76575" w:rsidRDefault="00F76575" w:rsidP="00F76575">
      <w:pPr>
        <w:rPr>
          <w:b/>
          <w:sz w:val="36"/>
          <w:szCs w:val="28"/>
          <w:lang w:val="en-IN"/>
        </w:rPr>
      </w:pPr>
    </w:p>
    <w:p w14:paraId="41795907" w14:textId="77777777" w:rsidR="002B231B" w:rsidRDefault="005E1109">
      <w:pPr>
        <w:spacing w:after="160" w:line="259" w:lineRule="auto"/>
        <w:jc w:val="left"/>
        <w:rPr>
          <w:lang w:val="en-IN"/>
        </w:rPr>
      </w:pPr>
      <w:r>
        <w:rPr>
          <w:lang w:val="en-IN"/>
        </w:rPr>
        <w:br w:type="page"/>
      </w:r>
    </w:p>
    <w:sdt>
      <w:sdtPr>
        <w:rPr>
          <w:rFonts w:ascii="Times New Roman" w:eastAsia="Times New Roman" w:hAnsi="Times New Roman" w:cs="Times New Roman"/>
          <w:color w:val="auto"/>
          <w:sz w:val="24"/>
          <w:szCs w:val="20"/>
          <w:lang w:val="en-GB" w:eastAsia="en-GB"/>
        </w:rPr>
        <w:id w:val="1411813233"/>
        <w:docPartObj>
          <w:docPartGallery w:val="Table of Contents"/>
          <w:docPartUnique/>
        </w:docPartObj>
      </w:sdtPr>
      <w:sdtEndPr>
        <w:rPr>
          <w:rFonts w:ascii="Arial" w:hAnsi="Arial" w:cs="Arial"/>
          <w:b/>
          <w:bCs/>
          <w:noProof/>
          <w:color w:val="000000" w:themeColor="text1"/>
          <w:szCs w:val="24"/>
        </w:rPr>
      </w:sdtEndPr>
      <w:sdtContent>
        <w:p w14:paraId="67593A8E" w14:textId="77777777" w:rsidR="002B231B" w:rsidRPr="00D7302A" w:rsidRDefault="005E1109" w:rsidP="006E5F36">
          <w:pPr>
            <w:pStyle w:val="TOCHeading"/>
            <w:jc w:val="center"/>
            <w:rPr>
              <w:rFonts w:ascii="Arial" w:hAnsi="Arial" w:cs="Arial"/>
              <w:b/>
              <w:bCs/>
              <w:color w:val="000000" w:themeColor="text1"/>
              <w:sz w:val="24"/>
              <w:szCs w:val="24"/>
            </w:rPr>
          </w:pPr>
          <w:r w:rsidRPr="00D7302A">
            <w:rPr>
              <w:rFonts w:ascii="Arial" w:hAnsi="Arial" w:cs="Arial"/>
              <w:b/>
              <w:bCs/>
              <w:color w:val="000000" w:themeColor="text1"/>
              <w:sz w:val="24"/>
              <w:szCs w:val="24"/>
            </w:rPr>
            <w:t>Table of Contents</w:t>
          </w:r>
        </w:p>
        <w:p w14:paraId="6B4721D6" w14:textId="79F40EE5" w:rsidR="008B3C41" w:rsidRPr="00D7302A" w:rsidRDefault="005E1109">
          <w:pPr>
            <w:pStyle w:val="TOC1"/>
            <w:tabs>
              <w:tab w:val="right" w:leader="dot" w:pos="9016"/>
            </w:tabs>
            <w:rPr>
              <w:rFonts w:ascii="Arial" w:eastAsiaTheme="minorEastAsia" w:hAnsi="Arial" w:cs="Arial"/>
              <w:noProof/>
              <w:kern w:val="2"/>
              <w:szCs w:val="24"/>
              <w14:ligatures w14:val="standardContextual"/>
            </w:rPr>
          </w:pPr>
          <w:r w:rsidRPr="00D7302A">
            <w:rPr>
              <w:rFonts w:ascii="Arial" w:hAnsi="Arial" w:cs="Arial"/>
              <w:color w:val="000000" w:themeColor="text1"/>
              <w:szCs w:val="24"/>
            </w:rPr>
            <w:fldChar w:fldCharType="begin"/>
          </w:r>
          <w:r w:rsidRPr="00D7302A">
            <w:rPr>
              <w:rFonts w:ascii="Arial" w:hAnsi="Arial" w:cs="Arial"/>
              <w:color w:val="000000" w:themeColor="text1"/>
              <w:szCs w:val="24"/>
            </w:rPr>
            <w:instrText xml:space="preserve"> TOC \o "1-3" \h \z \u </w:instrText>
          </w:r>
          <w:r w:rsidRPr="00D7302A">
            <w:rPr>
              <w:rFonts w:ascii="Arial" w:hAnsi="Arial" w:cs="Arial"/>
              <w:color w:val="000000" w:themeColor="text1"/>
              <w:szCs w:val="24"/>
            </w:rPr>
            <w:fldChar w:fldCharType="separate"/>
          </w:r>
          <w:hyperlink w:anchor="_Toc209539682" w:history="1">
            <w:r w:rsidR="008B3C41" w:rsidRPr="00D7302A">
              <w:rPr>
                <w:rStyle w:val="Hyperlink"/>
                <w:rFonts w:ascii="Arial" w:eastAsiaTheme="majorEastAsia" w:hAnsi="Arial" w:cs="Arial"/>
                <w:noProof/>
              </w:rPr>
              <w:t>Introduction</w:t>
            </w:r>
            <w:r w:rsidR="008B3C41" w:rsidRPr="00D7302A">
              <w:rPr>
                <w:rFonts w:ascii="Arial" w:hAnsi="Arial" w:cs="Arial"/>
                <w:noProof/>
                <w:webHidden/>
              </w:rPr>
              <w:tab/>
            </w:r>
            <w:r w:rsidR="008B3C41" w:rsidRPr="00D7302A">
              <w:rPr>
                <w:rFonts w:ascii="Arial" w:hAnsi="Arial" w:cs="Arial"/>
                <w:noProof/>
                <w:webHidden/>
              </w:rPr>
              <w:fldChar w:fldCharType="begin"/>
            </w:r>
            <w:r w:rsidR="008B3C41" w:rsidRPr="00D7302A">
              <w:rPr>
                <w:rFonts w:ascii="Arial" w:hAnsi="Arial" w:cs="Arial"/>
                <w:noProof/>
                <w:webHidden/>
              </w:rPr>
              <w:instrText xml:space="preserve"> PAGEREF _Toc209539682 \h </w:instrText>
            </w:r>
            <w:r w:rsidR="008B3C41" w:rsidRPr="00D7302A">
              <w:rPr>
                <w:rFonts w:ascii="Arial" w:hAnsi="Arial" w:cs="Arial"/>
                <w:noProof/>
                <w:webHidden/>
              </w:rPr>
            </w:r>
            <w:r w:rsidR="008B3C41" w:rsidRPr="00D7302A">
              <w:rPr>
                <w:rFonts w:ascii="Arial" w:hAnsi="Arial" w:cs="Arial"/>
                <w:noProof/>
                <w:webHidden/>
              </w:rPr>
              <w:fldChar w:fldCharType="separate"/>
            </w:r>
            <w:r w:rsidR="008B3C41" w:rsidRPr="00D7302A">
              <w:rPr>
                <w:rFonts w:ascii="Arial" w:hAnsi="Arial" w:cs="Arial"/>
                <w:noProof/>
                <w:webHidden/>
              </w:rPr>
              <w:t>3</w:t>
            </w:r>
            <w:r w:rsidR="008B3C41" w:rsidRPr="00D7302A">
              <w:rPr>
                <w:rFonts w:ascii="Arial" w:hAnsi="Arial" w:cs="Arial"/>
                <w:noProof/>
                <w:webHidden/>
              </w:rPr>
              <w:fldChar w:fldCharType="end"/>
            </w:r>
          </w:hyperlink>
        </w:p>
        <w:p w14:paraId="22EA00B6" w14:textId="63E26D05" w:rsidR="008B3C41" w:rsidRPr="00D7302A" w:rsidRDefault="008B3C41">
          <w:pPr>
            <w:pStyle w:val="TOC1"/>
            <w:tabs>
              <w:tab w:val="right" w:leader="dot" w:pos="9016"/>
            </w:tabs>
            <w:rPr>
              <w:rFonts w:ascii="Arial" w:eastAsiaTheme="minorEastAsia" w:hAnsi="Arial" w:cs="Arial"/>
              <w:noProof/>
              <w:kern w:val="2"/>
              <w:szCs w:val="24"/>
              <w14:ligatures w14:val="standardContextual"/>
            </w:rPr>
          </w:pPr>
          <w:hyperlink w:anchor="_Toc209539683" w:history="1">
            <w:r w:rsidRPr="00D7302A">
              <w:rPr>
                <w:rStyle w:val="Hyperlink"/>
                <w:rFonts w:ascii="Arial" w:eastAsiaTheme="majorEastAsia" w:hAnsi="Arial" w:cs="Arial"/>
                <w:noProof/>
              </w:rPr>
              <w:t>Body</w:t>
            </w:r>
            <w:r w:rsidRPr="00D7302A">
              <w:rPr>
                <w:rFonts w:ascii="Arial" w:hAnsi="Arial" w:cs="Arial"/>
                <w:noProof/>
                <w:webHidden/>
              </w:rPr>
              <w:tab/>
            </w:r>
            <w:r w:rsidRPr="00D7302A">
              <w:rPr>
                <w:rFonts w:ascii="Arial" w:hAnsi="Arial" w:cs="Arial"/>
                <w:noProof/>
                <w:webHidden/>
              </w:rPr>
              <w:fldChar w:fldCharType="begin"/>
            </w:r>
            <w:r w:rsidRPr="00D7302A">
              <w:rPr>
                <w:rFonts w:ascii="Arial" w:hAnsi="Arial" w:cs="Arial"/>
                <w:noProof/>
                <w:webHidden/>
              </w:rPr>
              <w:instrText xml:space="preserve"> PAGEREF _Toc209539683 \h </w:instrText>
            </w:r>
            <w:r w:rsidRPr="00D7302A">
              <w:rPr>
                <w:rFonts w:ascii="Arial" w:hAnsi="Arial" w:cs="Arial"/>
                <w:noProof/>
                <w:webHidden/>
              </w:rPr>
            </w:r>
            <w:r w:rsidRPr="00D7302A">
              <w:rPr>
                <w:rFonts w:ascii="Arial" w:hAnsi="Arial" w:cs="Arial"/>
                <w:noProof/>
                <w:webHidden/>
              </w:rPr>
              <w:fldChar w:fldCharType="separate"/>
            </w:r>
            <w:r w:rsidRPr="00D7302A">
              <w:rPr>
                <w:rFonts w:ascii="Arial" w:hAnsi="Arial" w:cs="Arial"/>
                <w:noProof/>
                <w:webHidden/>
              </w:rPr>
              <w:t>3</w:t>
            </w:r>
            <w:r w:rsidRPr="00D7302A">
              <w:rPr>
                <w:rFonts w:ascii="Arial" w:hAnsi="Arial" w:cs="Arial"/>
                <w:noProof/>
                <w:webHidden/>
              </w:rPr>
              <w:fldChar w:fldCharType="end"/>
            </w:r>
          </w:hyperlink>
        </w:p>
        <w:p w14:paraId="062A043D" w14:textId="5DFEC959" w:rsidR="008B3C41" w:rsidRPr="00D7302A" w:rsidRDefault="008B3C41">
          <w:pPr>
            <w:pStyle w:val="TOC1"/>
            <w:tabs>
              <w:tab w:val="right" w:leader="dot" w:pos="9016"/>
            </w:tabs>
            <w:rPr>
              <w:rFonts w:ascii="Arial" w:eastAsiaTheme="minorEastAsia" w:hAnsi="Arial" w:cs="Arial"/>
              <w:noProof/>
              <w:kern w:val="2"/>
              <w:szCs w:val="24"/>
              <w14:ligatures w14:val="standardContextual"/>
            </w:rPr>
          </w:pPr>
          <w:hyperlink w:anchor="_Toc209539684" w:history="1">
            <w:r w:rsidRPr="00D7302A">
              <w:rPr>
                <w:rStyle w:val="Hyperlink"/>
                <w:rFonts w:ascii="Arial" w:eastAsiaTheme="majorEastAsia" w:hAnsi="Arial" w:cs="Arial"/>
                <w:noProof/>
              </w:rPr>
              <w:t>Conclusion</w:t>
            </w:r>
            <w:r w:rsidRPr="00D7302A">
              <w:rPr>
                <w:rFonts w:ascii="Arial" w:hAnsi="Arial" w:cs="Arial"/>
                <w:noProof/>
                <w:webHidden/>
              </w:rPr>
              <w:tab/>
            </w:r>
            <w:r w:rsidRPr="00D7302A">
              <w:rPr>
                <w:rFonts w:ascii="Arial" w:hAnsi="Arial" w:cs="Arial"/>
                <w:noProof/>
                <w:webHidden/>
              </w:rPr>
              <w:fldChar w:fldCharType="begin"/>
            </w:r>
            <w:r w:rsidRPr="00D7302A">
              <w:rPr>
                <w:rFonts w:ascii="Arial" w:hAnsi="Arial" w:cs="Arial"/>
                <w:noProof/>
                <w:webHidden/>
              </w:rPr>
              <w:instrText xml:space="preserve"> PAGEREF _Toc209539684 \h </w:instrText>
            </w:r>
            <w:r w:rsidRPr="00D7302A">
              <w:rPr>
                <w:rFonts w:ascii="Arial" w:hAnsi="Arial" w:cs="Arial"/>
                <w:noProof/>
                <w:webHidden/>
              </w:rPr>
            </w:r>
            <w:r w:rsidRPr="00D7302A">
              <w:rPr>
                <w:rFonts w:ascii="Arial" w:hAnsi="Arial" w:cs="Arial"/>
                <w:noProof/>
                <w:webHidden/>
              </w:rPr>
              <w:fldChar w:fldCharType="separate"/>
            </w:r>
            <w:r w:rsidRPr="00D7302A">
              <w:rPr>
                <w:rFonts w:ascii="Arial" w:hAnsi="Arial" w:cs="Arial"/>
                <w:noProof/>
                <w:webHidden/>
              </w:rPr>
              <w:t>6</w:t>
            </w:r>
            <w:r w:rsidRPr="00D7302A">
              <w:rPr>
                <w:rFonts w:ascii="Arial" w:hAnsi="Arial" w:cs="Arial"/>
                <w:noProof/>
                <w:webHidden/>
              </w:rPr>
              <w:fldChar w:fldCharType="end"/>
            </w:r>
          </w:hyperlink>
        </w:p>
        <w:p w14:paraId="14F13B87" w14:textId="382CF355" w:rsidR="008B3C41" w:rsidRPr="00D7302A" w:rsidRDefault="008B3C41">
          <w:pPr>
            <w:pStyle w:val="TOC1"/>
            <w:tabs>
              <w:tab w:val="right" w:leader="dot" w:pos="9016"/>
            </w:tabs>
            <w:rPr>
              <w:rFonts w:ascii="Arial" w:eastAsiaTheme="minorEastAsia" w:hAnsi="Arial" w:cs="Arial"/>
              <w:noProof/>
              <w:kern w:val="2"/>
              <w:szCs w:val="24"/>
              <w14:ligatures w14:val="standardContextual"/>
            </w:rPr>
          </w:pPr>
          <w:hyperlink w:anchor="_Toc209539685" w:history="1">
            <w:r w:rsidRPr="00D7302A">
              <w:rPr>
                <w:rStyle w:val="Hyperlink"/>
                <w:rFonts w:ascii="Arial" w:eastAsiaTheme="majorEastAsia" w:hAnsi="Arial" w:cs="Arial"/>
                <w:noProof/>
              </w:rPr>
              <w:t>Reference List</w:t>
            </w:r>
            <w:r w:rsidRPr="00D7302A">
              <w:rPr>
                <w:rFonts w:ascii="Arial" w:hAnsi="Arial" w:cs="Arial"/>
                <w:noProof/>
                <w:webHidden/>
              </w:rPr>
              <w:tab/>
            </w:r>
            <w:r w:rsidRPr="00D7302A">
              <w:rPr>
                <w:rFonts w:ascii="Arial" w:hAnsi="Arial" w:cs="Arial"/>
                <w:noProof/>
                <w:webHidden/>
              </w:rPr>
              <w:fldChar w:fldCharType="begin"/>
            </w:r>
            <w:r w:rsidRPr="00D7302A">
              <w:rPr>
                <w:rFonts w:ascii="Arial" w:hAnsi="Arial" w:cs="Arial"/>
                <w:noProof/>
                <w:webHidden/>
              </w:rPr>
              <w:instrText xml:space="preserve"> PAGEREF _Toc209539685 \h </w:instrText>
            </w:r>
            <w:r w:rsidRPr="00D7302A">
              <w:rPr>
                <w:rFonts w:ascii="Arial" w:hAnsi="Arial" w:cs="Arial"/>
                <w:noProof/>
                <w:webHidden/>
              </w:rPr>
            </w:r>
            <w:r w:rsidRPr="00D7302A">
              <w:rPr>
                <w:rFonts w:ascii="Arial" w:hAnsi="Arial" w:cs="Arial"/>
                <w:noProof/>
                <w:webHidden/>
              </w:rPr>
              <w:fldChar w:fldCharType="separate"/>
            </w:r>
            <w:r w:rsidRPr="00D7302A">
              <w:rPr>
                <w:rFonts w:ascii="Arial" w:hAnsi="Arial" w:cs="Arial"/>
                <w:noProof/>
                <w:webHidden/>
              </w:rPr>
              <w:t>8</w:t>
            </w:r>
            <w:r w:rsidRPr="00D7302A">
              <w:rPr>
                <w:rFonts w:ascii="Arial" w:hAnsi="Arial" w:cs="Arial"/>
                <w:noProof/>
                <w:webHidden/>
              </w:rPr>
              <w:fldChar w:fldCharType="end"/>
            </w:r>
          </w:hyperlink>
        </w:p>
        <w:p w14:paraId="6BCF3330" w14:textId="058579B2" w:rsidR="002B231B" w:rsidRPr="00D7302A" w:rsidRDefault="005E1109">
          <w:pPr>
            <w:rPr>
              <w:rFonts w:ascii="Arial" w:hAnsi="Arial" w:cs="Arial"/>
              <w:color w:val="000000" w:themeColor="text1"/>
              <w:szCs w:val="24"/>
            </w:rPr>
          </w:pPr>
          <w:r w:rsidRPr="00D7302A">
            <w:rPr>
              <w:rFonts w:ascii="Arial" w:hAnsi="Arial" w:cs="Arial"/>
              <w:b/>
              <w:bCs/>
              <w:noProof/>
              <w:color w:val="000000" w:themeColor="text1"/>
              <w:szCs w:val="24"/>
            </w:rPr>
            <w:fldChar w:fldCharType="end"/>
          </w:r>
        </w:p>
      </w:sdtContent>
    </w:sdt>
    <w:p w14:paraId="06EBBC2A" w14:textId="77777777" w:rsidR="006E5F36" w:rsidRPr="00D7302A" w:rsidRDefault="005E1109">
      <w:pPr>
        <w:spacing w:after="160" w:line="259" w:lineRule="auto"/>
        <w:jc w:val="left"/>
        <w:rPr>
          <w:rFonts w:ascii="Arial" w:hAnsi="Arial" w:cs="Arial"/>
          <w:lang w:val="en-IN"/>
        </w:rPr>
      </w:pPr>
      <w:r w:rsidRPr="00D7302A">
        <w:rPr>
          <w:rFonts w:ascii="Arial" w:hAnsi="Arial" w:cs="Arial"/>
          <w:lang w:val="en-IN"/>
        </w:rPr>
        <w:br w:type="page"/>
      </w:r>
    </w:p>
    <w:p w14:paraId="1C9E5753" w14:textId="77777777" w:rsidR="006E5F36" w:rsidRPr="00D7302A" w:rsidRDefault="005E1109" w:rsidP="00B41200">
      <w:pPr>
        <w:pStyle w:val="Heading1"/>
        <w:rPr>
          <w:rFonts w:ascii="Arial" w:hAnsi="Arial" w:cs="Arial"/>
          <w:szCs w:val="24"/>
        </w:rPr>
      </w:pPr>
      <w:bookmarkStart w:id="0" w:name="_Toc209539682"/>
      <w:r w:rsidRPr="00D7302A">
        <w:rPr>
          <w:rFonts w:ascii="Arial" w:hAnsi="Arial" w:cs="Arial"/>
          <w:szCs w:val="24"/>
        </w:rPr>
        <w:lastRenderedPageBreak/>
        <w:t>Introduction</w:t>
      </w:r>
      <w:bookmarkEnd w:id="0"/>
    </w:p>
    <w:p w14:paraId="0188CA3F" w14:textId="09E609CC" w:rsidR="00DF0869" w:rsidRPr="00D7302A" w:rsidRDefault="005E1109" w:rsidP="00DF0869">
      <w:pPr>
        <w:rPr>
          <w:rFonts w:ascii="Arial" w:hAnsi="Arial" w:cs="Arial"/>
        </w:rPr>
      </w:pPr>
      <w:r w:rsidRPr="00D7302A">
        <w:rPr>
          <w:rFonts w:ascii="Arial" w:hAnsi="Arial" w:cs="Arial"/>
        </w:rPr>
        <w:t>Globalisation refers to the merger between nations, political and social systems, and markets of the world. It connects distant places in a way that any event in one location impacts or is impacted by events in other locations across the world</w:t>
      </w:r>
      <w:r w:rsidR="00612C06" w:rsidRPr="00D7302A">
        <w:rPr>
          <w:rFonts w:ascii="Arial" w:hAnsi="Arial" w:cs="Arial"/>
        </w:rPr>
        <w:t xml:space="preserve"> (Alkharafi and Alsabah, 2025). </w:t>
      </w:r>
      <w:r w:rsidR="00844911" w:rsidRPr="00D7302A">
        <w:rPr>
          <w:rFonts w:ascii="Arial" w:hAnsi="Arial" w:cs="Arial"/>
        </w:rPr>
        <w:t>Th</w:t>
      </w:r>
      <w:r w:rsidR="00B726C2" w:rsidRPr="00D7302A">
        <w:rPr>
          <w:rFonts w:ascii="Arial" w:hAnsi="Arial" w:cs="Arial"/>
        </w:rPr>
        <w:t xml:space="preserve">e purpose of this </w:t>
      </w:r>
      <w:r w:rsidR="00844911" w:rsidRPr="00D7302A">
        <w:rPr>
          <w:rFonts w:ascii="Arial" w:hAnsi="Arial" w:cs="Arial"/>
        </w:rPr>
        <w:t xml:space="preserve">essay </w:t>
      </w:r>
      <w:r w:rsidR="00B726C2" w:rsidRPr="00D7302A">
        <w:rPr>
          <w:rFonts w:ascii="Arial" w:hAnsi="Arial" w:cs="Arial"/>
        </w:rPr>
        <w:t>is</w:t>
      </w:r>
      <w:r w:rsidR="00844911" w:rsidRPr="00D7302A">
        <w:rPr>
          <w:rFonts w:ascii="Arial" w:hAnsi="Arial" w:cs="Arial"/>
        </w:rPr>
        <w:t xml:space="preserve"> to conduct a critical evaluation of the influence of the global business environment on British Petroleum. </w:t>
      </w:r>
      <w:r w:rsidR="008A2B52" w:rsidRPr="00D7302A">
        <w:rPr>
          <w:rFonts w:ascii="Arial" w:hAnsi="Arial" w:cs="Arial"/>
        </w:rPr>
        <w:t>British Petroleum (BP) was founded by George Reynolds in 1901</w:t>
      </w:r>
      <w:r w:rsidR="00CD13A6" w:rsidRPr="00D7302A">
        <w:rPr>
          <w:rFonts w:ascii="Arial" w:hAnsi="Arial" w:cs="Arial"/>
        </w:rPr>
        <w:t xml:space="preserve"> (BP, 2025)</w:t>
      </w:r>
      <w:r w:rsidR="008A2B52" w:rsidRPr="00D7302A">
        <w:rPr>
          <w:rFonts w:ascii="Arial" w:hAnsi="Arial" w:cs="Arial"/>
        </w:rPr>
        <w:t xml:space="preserve">. </w:t>
      </w:r>
      <w:r w:rsidR="00465093" w:rsidRPr="00D7302A">
        <w:rPr>
          <w:rFonts w:ascii="Arial" w:hAnsi="Arial" w:cs="Arial"/>
        </w:rPr>
        <w:t>It is a UK-based organisation that operates in the oil and gas industry of different countries across the globe, including Asia, North America, Europe, South America, Africa, and Australasia</w:t>
      </w:r>
      <w:r w:rsidR="00AD5DAB" w:rsidRPr="00D7302A">
        <w:rPr>
          <w:rFonts w:ascii="Arial" w:hAnsi="Arial" w:cs="Arial"/>
        </w:rPr>
        <w:t xml:space="preserve"> (GlobalData, 2025). </w:t>
      </w:r>
      <w:r w:rsidR="004C060A" w:rsidRPr="00D7302A">
        <w:rPr>
          <w:rFonts w:ascii="Arial" w:hAnsi="Arial" w:cs="Arial"/>
        </w:rPr>
        <w:t>The company generated $32</w:t>
      </w:r>
      <w:r w:rsidR="00B726C2" w:rsidRPr="00D7302A">
        <w:rPr>
          <w:rFonts w:ascii="Arial" w:hAnsi="Arial" w:cs="Arial"/>
        </w:rPr>
        <w:t>,</w:t>
      </w:r>
      <w:r w:rsidR="004C060A" w:rsidRPr="00D7302A">
        <w:rPr>
          <w:rFonts w:ascii="Arial" w:hAnsi="Arial" w:cs="Arial"/>
        </w:rPr>
        <w:t>628 million from sales and other operating revenues and had approximately 100</w:t>
      </w:r>
      <w:r w:rsidR="00B726C2" w:rsidRPr="00D7302A">
        <w:rPr>
          <w:rFonts w:ascii="Arial" w:hAnsi="Arial" w:cs="Arial"/>
        </w:rPr>
        <w:t>,</w:t>
      </w:r>
      <w:r w:rsidR="004C060A" w:rsidRPr="00D7302A">
        <w:rPr>
          <w:rFonts w:ascii="Arial" w:hAnsi="Arial" w:cs="Arial"/>
        </w:rPr>
        <w:t>500 employees in the financial year 2024 (BP, 2024)</w:t>
      </w:r>
      <w:r w:rsidR="00A30794" w:rsidRPr="00D7302A">
        <w:rPr>
          <w:rFonts w:ascii="Arial" w:hAnsi="Arial" w:cs="Arial"/>
        </w:rPr>
        <w:t xml:space="preserve">. </w:t>
      </w:r>
      <w:r w:rsidR="00D95194" w:rsidRPr="00D7302A">
        <w:rPr>
          <w:rFonts w:ascii="Arial" w:hAnsi="Arial" w:cs="Arial"/>
        </w:rPr>
        <w:t>BP’s operations involve transportation, manufacturing, trading and supply of crude oil, refining, and marketing petroleum and petrochemical products</w:t>
      </w:r>
      <w:r w:rsidR="003E1E0D" w:rsidRPr="00D7302A">
        <w:rPr>
          <w:rFonts w:ascii="Arial" w:hAnsi="Arial" w:cs="Arial"/>
        </w:rPr>
        <w:t xml:space="preserve">. </w:t>
      </w:r>
    </w:p>
    <w:p w14:paraId="25EA647F" w14:textId="77777777" w:rsidR="00B726C2" w:rsidRPr="00D7302A" w:rsidRDefault="005E1109" w:rsidP="00B726C2">
      <w:pPr>
        <w:pStyle w:val="Heading1"/>
        <w:rPr>
          <w:rFonts w:ascii="Arial" w:hAnsi="Arial" w:cs="Arial"/>
        </w:rPr>
      </w:pPr>
      <w:bookmarkStart w:id="1" w:name="_Toc209539683"/>
      <w:r w:rsidRPr="00D7302A">
        <w:rPr>
          <w:rFonts w:ascii="Arial" w:hAnsi="Arial" w:cs="Arial"/>
        </w:rPr>
        <w:t>Body</w:t>
      </w:r>
      <w:bookmarkEnd w:id="1"/>
    </w:p>
    <w:p w14:paraId="5CD1604A" w14:textId="059C6C98" w:rsidR="00B726C2" w:rsidRPr="00D7302A" w:rsidRDefault="00B726C2" w:rsidP="00FB4D55">
      <w:pPr>
        <w:rPr>
          <w:rFonts w:ascii="Arial" w:hAnsi="Arial" w:cs="Arial"/>
          <w:szCs w:val="32"/>
        </w:rPr>
      </w:pPr>
      <w:r w:rsidRPr="00D7302A">
        <w:rPr>
          <w:rFonts w:ascii="Arial" w:hAnsi="Arial" w:cs="Arial"/>
        </w:rPr>
        <w:t xml:space="preserve">Taking from the </w:t>
      </w:r>
      <w:r w:rsidRPr="00D7302A">
        <w:rPr>
          <w:rFonts w:ascii="Arial" w:hAnsi="Arial" w:cs="Arial"/>
          <w:b/>
          <w:bCs/>
          <w:i/>
          <w:iCs/>
        </w:rPr>
        <w:t>PESTEL framework</w:t>
      </w:r>
      <w:r w:rsidRPr="00D7302A">
        <w:rPr>
          <w:rFonts w:ascii="Arial" w:hAnsi="Arial" w:cs="Arial"/>
        </w:rPr>
        <w:t xml:space="preserve">, which is an international environmental analysis framework, the impact of the global forces outlined by the framework have been assessed in the following discussion. First of all, focusing on the </w:t>
      </w:r>
      <w:r w:rsidRPr="00D7302A">
        <w:rPr>
          <w:rFonts w:ascii="Arial" w:hAnsi="Arial" w:cs="Arial"/>
          <w:b/>
          <w:bCs/>
          <w:i/>
          <w:iCs/>
        </w:rPr>
        <w:t>benefits</w:t>
      </w:r>
      <w:r w:rsidRPr="00D7302A">
        <w:rPr>
          <w:rFonts w:ascii="Arial" w:hAnsi="Arial" w:cs="Arial"/>
        </w:rPr>
        <w:t xml:space="preserve">, in terms of </w:t>
      </w:r>
      <w:r w:rsidRPr="00D7302A">
        <w:rPr>
          <w:rFonts w:ascii="Arial" w:hAnsi="Arial" w:cs="Arial"/>
          <w:b/>
          <w:bCs/>
          <w:i/>
          <w:iCs/>
        </w:rPr>
        <w:t>political forces</w:t>
      </w:r>
      <w:r w:rsidRPr="00D7302A">
        <w:rPr>
          <w:rFonts w:ascii="Arial" w:hAnsi="Arial" w:cs="Arial"/>
        </w:rPr>
        <w:t>, according to Difford (2025)</w:t>
      </w:r>
      <w:r w:rsidR="00FE5031" w:rsidRPr="00D7302A">
        <w:rPr>
          <w:rFonts w:ascii="Arial" w:hAnsi="Arial" w:cs="Arial"/>
        </w:rPr>
        <w:t xml:space="preserve">, </w:t>
      </w:r>
      <w:r w:rsidR="00A060B9" w:rsidRPr="00D7302A">
        <w:rPr>
          <w:rFonts w:ascii="Arial" w:hAnsi="Arial" w:cs="Arial"/>
        </w:rPr>
        <w:t xml:space="preserve">44% of the people in the UK consider the reform of the UK by the government as positive, as it will have a positive impact on the labour market of </w:t>
      </w:r>
      <w:r w:rsidR="00FA6304" w:rsidRPr="00D7302A">
        <w:rPr>
          <w:rFonts w:ascii="Arial" w:hAnsi="Arial" w:cs="Arial"/>
        </w:rPr>
        <w:t>t</w:t>
      </w:r>
      <w:r w:rsidR="00A060B9" w:rsidRPr="00D7302A">
        <w:rPr>
          <w:rFonts w:ascii="Arial" w:hAnsi="Arial" w:cs="Arial"/>
        </w:rPr>
        <w:t>he country.</w:t>
      </w:r>
      <w:r w:rsidR="00FA6304" w:rsidRPr="00D7302A">
        <w:rPr>
          <w:rFonts w:ascii="Arial" w:hAnsi="Arial" w:cs="Arial"/>
        </w:rPr>
        <w:t xml:space="preserve"> 25% of the British people agreed that this reform is a great deal in terms of immigration</w:t>
      </w:r>
      <w:r w:rsidR="000A1ED5" w:rsidRPr="00D7302A">
        <w:rPr>
          <w:rFonts w:ascii="Arial" w:hAnsi="Arial" w:cs="Arial"/>
        </w:rPr>
        <w:t xml:space="preserve"> (Difford, 2025)</w:t>
      </w:r>
      <w:r w:rsidR="00FA6304" w:rsidRPr="00D7302A">
        <w:rPr>
          <w:rFonts w:ascii="Arial" w:hAnsi="Arial" w:cs="Arial"/>
        </w:rPr>
        <w:t xml:space="preserve">. </w:t>
      </w:r>
      <w:r w:rsidR="00B93BC0" w:rsidRPr="00D7302A">
        <w:rPr>
          <w:rFonts w:ascii="Arial" w:hAnsi="Arial" w:cs="Arial"/>
        </w:rPr>
        <w:t>Therefore, the reform initiative of the UK government is creating an opportunity for BP to reduce the excess work burden on employees and workers by hiring more people.</w:t>
      </w:r>
      <w:r w:rsidRPr="00D7302A">
        <w:rPr>
          <w:rFonts w:ascii="Arial" w:hAnsi="Arial" w:cs="Arial"/>
          <w:szCs w:val="32"/>
        </w:rPr>
        <w:t xml:space="preserve"> </w:t>
      </w:r>
      <w:r w:rsidRPr="00D7302A">
        <w:rPr>
          <w:rFonts w:ascii="Arial" w:hAnsi="Arial" w:cs="Arial"/>
          <w:b/>
          <w:bCs/>
          <w:i/>
          <w:iCs/>
          <w:szCs w:val="32"/>
        </w:rPr>
        <w:t>Economically</w:t>
      </w:r>
      <w:r w:rsidRPr="00D7302A">
        <w:rPr>
          <w:rFonts w:ascii="Arial" w:hAnsi="Arial" w:cs="Arial"/>
          <w:szCs w:val="32"/>
        </w:rPr>
        <w:t xml:space="preserve">, </w:t>
      </w:r>
      <w:r w:rsidRPr="00D7302A">
        <w:rPr>
          <w:rFonts w:ascii="Arial" w:hAnsi="Arial" w:cs="Arial"/>
          <w:szCs w:val="24"/>
        </w:rPr>
        <w:t>t</w:t>
      </w:r>
      <w:r w:rsidR="00B653F8" w:rsidRPr="00D7302A">
        <w:rPr>
          <w:rFonts w:ascii="Arial" w:hAnsi="Arial" w:cs="Arial"/>
          <w:szCs w:val="24"/>
        </w:rPr>
        <w:t xml:space="preserve">he GDP growth rate of the UK has increased in the first and second quarters of 2025 in comparison to the third and fourth quarters of 2024. </w:t>
      </w:r>
      <w:r w:rsidR="00E177C4" w:rsidRPr="00D7302A">
        <w:rPr>
          <w:rFonts w:ascii="Arial" w:hAnsi="Arial" w:cs="Arial"/>
          <w:szCs w:val="24"/>
        </w:rPr>
        <w:t>In the first quarter of 2025, the GDP growth rate was 0.7% and 0.3% in the second quarter. Whereas it was 0% in the third quarter of 2024 and 0.1% in the fourth quarter of 2024</w:t>
      </w:r>
      <w:r w:rsidR="00AA0D6B" w:rsidRPr="00D7302A">
        <w:rPr>
          <w:rFonts w:ascii="Arial" w:hAnsi="Arial" w:cs="Arial"/>
          <w:szCs w:val="24"/>
        </w:rPr>
        <w:t xml:space="preserve"> (Trading Economics, 2025)</w:t>
      </w:r>
      <w:r w:rsidR="00E177C4" w:rsidRPr="00D7302A">
        <w:rPr>
          <w:rFonts w:ascii="Arial" w:hAnsi="Arial" w:cs="Arial"/>
          <w:szCs w:val="24"/>
        </w:rPr>
        <w:t>.</w:t>
      </w:r>
      <w:r w:rsidR="0088745B" w:rsidRPr="00D7302A">
        <w:rPr>
          <w:rFonts w:ascii="Arial" w:hAnsi="Arial" w:cs="Arial"/>
          <w:szCs w:val="24"/>
        </w:rPr>
        <w:t xml:space="preserve"> Therefore, the increased GDP in the UK indicates the increased purchasing power of people in the UK.</w:t>
      </w:r>
    </w:p>
    <w:p w14:paraId="442E0D23" w14:textId="4763AC9A" w:rsidR="00CE780E" w:rsidRPr="00D7302A" w:rsidRDefault="00B726C2" w:rsidP="00FB4D55">
      <w:pPr>
        <w:rPr>
          <w:rFonts w:ascii="Arial" w:hAnsi="Arial" w:cs="Arial"/>
          <w:szCs w:val="32"/>
        </w:rPr>
      </w:pPr>
      <w:r w:rsidRPr="00D7302A">
        <w:rPr>
          <w:rFonts w:ascii="Arial" w:hAnsi="Arial" w:cs="Arial"/>
          <w:szCs w:val="32"/>
        </w:rPr>
        <w:t xml:space="preserve">In the social aspect, </w:t>
      </w:r>
      <w:r w:rsidRPr="00D7302A">
        <w:rPr>
          <w:rFonts w:ascii="Arial" w:hAnsi="Arial" w:cs="Arial"/>
          <w:szCs w:val="24"/>
        </w:rPr>
        <w:t>t</w:t>
      </w:r>
      <w:r w:rsidR="003D0B5C" w:rsidRPr="00D7302A">
        <w:rPr>
          <w:rFonts w:ascii="Arial" w:hAnsi="Arial" w:cs="Arial"/>
          <w:szCs w:val="24"/>
        </w:rPr>
        <w:t xml:space="preserve">he demand for petroleum products is continuously increasing in the UK. </w:t>
      </w:r>
      <w:r w:rsidR="00E37DC5" w:rsidRPr="00D7302A">
        <w:rPr>
          <w:rFonts w:ascii="Arial" w:hAnsi="Arial" w:cs="Arial"/>
          <w:szCs w:val="24"/>
        </w:rPr>
        <w:t>According to Yahoo Finance (2025)</w:t>
      </w:r>
      <w:r w:rsidR="001B3BC8" w:rsidRPr="00D7302A">
        <w:rPr>
          <w:rFonts w:ascii="Arial" w:hAnsi="Arial" w:cs="Arial"/>
          <w:szCs w:val="24"/>
        </w:rPr>
        <w:t xml:space="preserve">, </w:t>
      </w:r>
      <w:r w:rsidR="00B42B31" w:rsidRPr="00D7302A">
        <w:rPr>
          <w:rFonts w:ascii="Arial" w:hAnsi="Arial" w:cs="Arial"/>
          <w:szCs w:val="24"/>
        </w:rPr>
        <w:t>in 2025, the oil and gas market of the UK is estimated at $323.83 billion</w:t>
      </w:r>
      <w:r w:rsidR="003A18C6" w:rsidRPr="00D7302A">
        <w:rPr>
          <w:rFonts w:ascii="Arial" w:hAnsi="Arial" w:cs="Arial"/>
          <w:szCs w:val="24"/>
        </w:rPr>
        <w:t xml:space="preserve">. The market is expected to expand with a compound annual growth rate of 1.35% and reach $346.29 billion by 2030. </w:t>
      </w:r>
      <w:r w:rsidR="00A6790A" w:rsidRPr="00D7302A">
        <w:rPr>
          <w:rFonts w:ascii="Arial" w:hAnsi="Arial" w:cs="Arial"/>
          <w:szCs w:val="24"/>
        </w:rPr>
        <w:t xml:space="preserve">Thus, the expansion </w:t>
      </w:r>
      <w:r w:rsidR="00A6790A" w:rsidRPr="00D7302A">
        <w:rPr>
          <w:rFonts w:ascii="Arial" w:hAnsi="Arial" w:cs="Arial"/>
          <w:szCs w:val="24"/>
        </w:rPr>
        <w:lastRenderedPageBreak/>
        <w:t>of the oil and gas market in the UK is creating an opportunity for BP to expand its business into this market and acquire more customers.</w:t>
      </w:r>
      <w:r w:rsidRPr="00D7302A">
        <w:rPr>
          <w:rFonts w:ascii="Arial" w:hAnsi="Arial" w:cs="Arial"/>
          <w:szCs w:val="32"/>
        </w:rPr>
        <w:t xml:space="preserve"> In the </w:t>
      </w:r>
      <w:r w:rsidRPr="00D7302A">
        <w:rPr>
          <w:rFonts w:ascii="Arial" w:hAnsi="Arial" w:cs="Arial"/>
          <w:b/>
          <w:bCs/>
          <w:i/>
          <w:iCs/>
          <w:szCs w:val="24"/>
        </w:rPr>
        <w:t xml:space="preserve">technological </w:t>
      </w:r>
      <w:r w:rsidRPr="00D7302A">
        <w:rPr>
          <w:rFonts w:ascii="Arial" w:hAnsi="Arial" w:cs="Arial"/>
          <w:szCs w:val="24"/>
        </w:rPr>
        <w:t>scene,</w:t>
      </w:r>
      <w:r w:rsidR="00330D41" w:rsidRPr="00D7302A">
        <w:rPr>
          <w:rFonts w:ascii="Arial" w:hAnsi="Arial" w:cs="Arial"/>
          <w:b/>
          <w:bCs/>
          <w:i/>
          <w:iCs/>
          <w:szCs w:val="24"/>
        </w:rPr>
        <w:t xml:space="preserve"> </w:t>
      </w:r>
      <w:r w:rsidRPr="00D7302A">
        <w:rPr>
          <w:rFonts w:ascii="Arial" w:hAnsi="Arial" w:cs="Arial"/>
          <w:szCs w:val="24"/>
        </w:rPr>
        <w:t>t</w:t>
      </w:r>
      <w:r w:rsidR="00330D41" w:rsidRPr="00D7302A">
        <w:rPr>
          <w:rFonts w:ascii="Arial" w:hAnsi="Arial" w:cs="Arial"/>
          <w:szCs w:val="24"/>
        </w:rPr>
        <w:t xml:space="preserve">he oil and gas industry of the UK is going through a swift technological advancement in order to address critical challenges related to resource optimisation, operational efficiency, and sustainability. </w:t>
      </w:r>
      <w:r w:rsidR="00A57A93" w:rsidRPr="00D7302A">
        <w:rPr>
          <w:rFonts w:ascii="Arial" w:hAnsi="Arial" w:cs="Arial"/>
          <w:szCs w:val="24"/>
        </w:rPr>
        <w:t>Organisations of this industry are leveraging Technology Foresight tools, such as downhole tools, green hydrogen synthesis, oil well surveillance, and carbon capture MOFs</w:t>
      </w:r>
      <w:r w:rsidR="0065132C" w:rsidRPr="00D7302A">
        <w:rPr>
          <w:rFonts w:ascii="Arial" w:hAnsi="Arial" w:cs="Arial"/>
          <w:szCs w:val="24"/>
        </w:rPr>
        <w:t xml:space="preserve"> (Yahoo Finance, 2025)</w:t>
      </w:r>
      <w:r w:rsidR="00A57A93" w:rsidRPr="00D7302A">
        <w:rPr>
          <w:rFonts w:ascii="Arial" w:hAnsi="Arial" w:cs="Arial"/>
          <w:szCs w:val="24"/>
        </w:rPr>
        <w:t xml:space="preserve">. </w:t>
      </w:r>
      <w:r w:rsidR="00283BC7" w:rsidRPr="00D7302A">
        <w:rPr>
          <w:rFonts w:ascii="Arial" w:hAnsi="Arial" w:cs="Arial"/>
          <w:szCs w:val="24"/>
        </w:rPr>
        <w:t>This technological advancement in the industry is beneficial for BP to streamline processes and gain a competitive advantage.</w:t>
      </w:r>
    </w:p>
    <w:p w14:paraId="589EE1EF" w14:textId="2B6F88FE" w:rsidR="001730A8" w:rsidRPr="00D7302A" w:rsidRDefault="00B726C2" w:rsidP="00FB4D55">
      <w:pPr>
        <w:rPr>
          <w:rFonts w:ascii="Arial" w:hAnsi="Arial" w:cs="Arial"/>
          <w:szCs w:val="24"/>
        </w:rPr>
      </w:pPr>
      <w:r w:rsidRPr="00D7302A">
        <w:rPr>
          <w:rFonts w:ascii="Arial" w:hAnsi="Arial" w:cs="Arial"/>
          <w:szCs w:val="24"/>
        </w:rPr>
        <w:t>In regard to</w:t>
      </w:r>
      <w:r w:rsidRPr="00D7302A">
        <w:rPr>
          <w:rFonts w:ascii="Arial" w:hAnsi="Arial" w:cs="Arial"/>
          <w:b/>
          <w:bCs/>
          <w:i/>
          <w:iCs/>
          <w:szCs w:val="24"/>
        </w:rPr>
        <w:t xml:space="preserve"> environmental</w:t>
      </w:r>
      <w:r w:rsidRPr="00D7302A">
        <w:rPr>
          <w:rFonts w:ascii="Arial" w:hAnsi="Arial" w:cs="Arial"/>
          <w:szCs w:val="24"/>
        </w:rPr>
        <w:t xml:space="preserve"> </w:t>
      </w:r>
      <w:r w:rsidRPr="00D7302A">
        <w:rPr>
          <w:rFonts w:ascii="Arial" w:hAnsi="Arial" w:cs="Arial"/>
          <w:b/>
          <w:bCs/>
          <w:i/>
          <w:iCs/>
          <w:szCs w:val="24"/>
        </w:rPr>
        <w:t>forces</w:t>
      </w:r>
      <w:r w:rsidRPr="00D7302A">
        <w:rPr>
          <w:rFonts w:ascii="Arial" w:hAnsi="Arial" w:cs="Arial"/>
          <w:szCs w:val="24"/>
        </w:rPr>
        <w:t>,</w:t>
      </w:r>
      <w:r w:rsidRPr="00D7302A">
        <w:rPr>
          <w:rFonts w:ascii="Arial" w:hAnsi="Arial" w:cs="Arial"/>
          <w:b/>
          <w:bCs/>
          <w:i/>
          <w:iCs/>
          <w:szCs w:val="24"/>
        </w:rPr>
        <w:t xml:space="preserve"> </w:t>
      </w:r>
      <w:r w:rsidRPr="00D7302A">
        <w:rPr>
          <w:rFonts w:ascii="Arial" w:hAnsi="Arial" w:cs="Arial"/>
          <w:szCs w:val="24"/>
        </w:rPr>
        <w:t>a</w:t>
      </w:r>
      <w:r w:rsidR="00C53316" w:rsidRPr="00D7302A">
        <w:rPr>
          <w:rFonts w:ascii="Arial" w:hAnsi="Arial" w:cs="Arial"/>
          <w:szCs w:val="24"/>
        </w:rPr>
        <w:t xml:space="preserve">ccording to Horton, Stacey, and Mason (2025), the government of the UK decided to give permission to oil companies to drill at two oilfields of the North Sea and introduced new guidelines for those organisations in terms of </w:t>
      </w:r>
      <w:r w:rsidR="0054474D" w:rsidRPr="00D7302A">
        <w:rPr>
          <w:rFonts w:ascii="Arial" w:hAnsi="Arial" w:cs="Arial"/>
          <w:szCs w:val="24"/>
        </w:rPr>
        <w:t xml:space="preserve">managing emissions. </w:t>
      </w:r>
      <w:r w:rsidR="00075930" w:rsidRPr="00D7302A">
        <w:rPr>
          <w:rFonts w:ascii="Arial" w:hAnsi="Arial" w:cs="Arial"/>
          <w:szCs w:val="24"/>
        </w:rPr>
        <w:t xml:space="preserve">Therefore, this decision of the government is also beneficial for BP as it will reduce its operational costs. </w:t>
      </w:r>
      <w:r w:rsidRPr="00D7302A">
        <w:rPr>
          <w:rFonts w:ascii="Arial" w:hAnsi="Arial" w:cs="Arial"/>
          <w:szCs w:val="24"/>
        </w:rPr>
        <w:t xml:space="preserve">Lastly, in terms of </w:t>
      </w:r>
      <w:r w:rsidRPr="00D7302A">
        <w:rPr>
          <w:rFonts w:ascii="Arial" w:hAnsi="Arial" w:cs="Arial"/>
          <w:b/>
          <w:bCs/>
          <w:i/>
          <w:iCs/>
          <w:szCs w:val="24"/>
        </w:rPr>
        <w:t>legal forces</w:t>
      </w:r>
      <w:r w:rsidRPr="00D7302A">
        <w:rPr>
          <w:rFonts w:ascii="Arial" w:hAnsi="Arial" w:cs="Arial"/>
          <w:szCs w:val="24"/>
        </w:rPr>
        <w:t>, a</w:t>
      </w:r>
      <w:r w:rsidR="00240CD9" w:rsidRPr="00D7302A">
        <w:rPr>
          <w:rFonts w:ascii="Arial" w:hAnsi="Arial" w:cs="Arial"/>
          <w:szCs w:val="24"/>
        </w:rPr>
        <w:t xml:space="preserve">ccording to GoCardless (2021), the </w:t>
      </w:r>
      <w:r w:rsidR="00240CD9" w:rsidRPr="00D7302A">
        <w:rPr>
          <w:rFonts w:ascii="Arial" w:hAnsi="Arial" w:cs="Arial"/>
          <w:b/>
          <w:bCs/>
          <w:i/>
          <w:iCs/>
          <w:szCs w:val="24"/>
        </w:rPr>
        <w:t xml:space="preserve">Companies Act 2006 </w:t>
      </w:r>
      <w:r w:rsidR="00240CD9" w:rsidRPr="00D7302A">
        <w:rPr>
          <w:rFonts w:ascii="Arial" w:hAnsi="Arial" w:cs="Arial"/>
          <w:szCs w:val="24"/>
        </w:rPr>
        <w:t xml:space="preserve">is the law introduced by the government of the UK that serves as the key source for company law governing the country. </w:t>
      </w:r>
      <w:r w:rsidR="00822B6B" w:rsidRPr="00D7302A">
        <w:rPr>
          <w:rFonts w:ascii="Arial" w:hAnsi="Arial" w:cs="Arial"/>
          <w:szCs w:val="24"/>
        </w:rPr>
        <w:t>This piece of legislation ensure</w:t>
      </w:r>
      <w:r w:rsidR="00932D8D" w:rsidRPr="00D7302A">
        <w:rPr>
          <w:rFonts w:ascii="Arial" w:hAnsi="Arial" w:cs="Arial"/>
          <w:szCs w:val="24"/>
        </w:rPr>
        <w:t>s</w:t>
      </w:r>
      <w:r w:rsidR="00822B6B" w:rsidRPr="00D7302A">
        <w:rPr>
          <w:rFonts w:ascii="Arial" w:hAnsi="Arial" w:cs="Arial"/>
          <w:szCs w:val="24"/>
        </w:rPr>
        <w:t xml:space="preserve"> standardised compliance with the laws and regulations by the government for companies operating in the country. </w:t>
      </w:r>
    </w:p>
    <w:p w14:paraId="74C937FB" w14:textId="092589F7" w:rsidR="00FE1BBA" w:rsidRPr="00D7302A" w:rsidRDefault="00B726C2" w:rsidP="00FB4D55">
      <w:pPr>
        <w:rPr>
          <w:rFonts w:ascii="Arial" w:hAnsi="Arial" w:cs="Arial"/>
          <w:szCs w:val="24"/>
        </w:rPr>
      </w:pPr>
      <w:r w:rsidRPr="00D7302A">
        <w:rPr>
          <w:rFonts w:ascii="Arial" w:hAnsi="Arial" w:cs="Arial"/>
          <w:szCs w:val="24"/>
        </w:rPr>
        <w:t>Moving on to the</w:t>
      </w:r>
      <w:r w:rsidRPr="00D7302A">
        <w:rPr>
          <w:rFonts w:ascii="Arial" w:hAnsi="Arial" w:cs="Arial"/>
          <w:b/>
          <w:bCs/>
          <w:i/>
          <w:iCs/>
          <w:szCs w:val="24"/>
        </w:rPr>
        <w:t xml:space="preserve"> challenges</w:t>
      </w:r>
      <w:r w:rsidRPr="00D7302A">
        <w:rPr>
          <w:rFonts w:ascii="Arial" w:hAnsi="Arial" w:cs="Arial"/>
          <w:szCs w:val="24"/>
        </w:rPr>
        <w:t xml:space="preserve">, </w:t>
      </w:r>
      <w:r w:rsidRPr="00D7302A">
        <w:rPr>
          <w:rFonts w:ascii="Arial" w:hAnsi="Arial" w:cs="Arial"/>
          <w:b/>
          <w:bCs/>
          <w:i/>
          <w:iCs/>
          <w:szCs w:val="24"/>
        </w:rPr>
        <w:t>politically</w:t>
      </w:r>
      <w:r w:rsidRPr="00D7302A">
        <w:rPr>
          <w:rFonts w:ascii="Arial" w:hAnsi="Arial" w:cs="Arial"/>
          <w:szCs w:val="24"/>
        </w:rPr>
        <w:t>,</w:t>
      </w:r>
      <w:r w:rsidR="00382363" w:rsidRPr="00D7302A">
        <w:rPr>
          <w:rFonts w:ascii="Arial" w:hAnsi="Arial" w:cs="Arial"/>
          <w:b/>
          <w:bCs/>
          <w:i/>
          <w:iCs/>
          <w:szCs w:val="24"/>
        </w:rPr>
        <w:t xml:space="preserve"> </w:t>
      </w:r>
      <w:r w:rsidRPr="00D7302A">
        <w:rPr>
          <w:rFonts w:ascii="Arial" w:hAnsi="Arial" w:cs="Arial"/>
          <w:szCs w:val="24"/>
        </w:rPr>
        <w:t>a</w:t>
      </w:r>
      <w:r w:rsidR="00D80964" w:rsidRPr="00D7302A">
        <w:rPr>
          <w:rFonts w:ascii="Arial" w:hAnsi="Arial" w:cs="Arial"/>
          <w:szCs w:val="24"/>
        </w:rPr>
        <w:t xml:space="preserve">ccording to Hofman (2024), </w:t>
      </w:r>
      <w:r w:rsidR="006A135C" w:rsidRPr="00D7302A">
        <w:rPr>
          <w:rFonts w:ascii="Arial" w:hAnsi="Arial" w:cs="Arial"/>
          <w:szCs w:val="24"/>
        </w:rPr>
        <w:t xml:space="preserve">the disruption in the Red Sea </w:t>
      </w:r>
      <w:r w:rsidRPr="00D7302A">
        <w:rPr>
          <w:rFonts w:ascii="Arial" w:hAnsi="Arial" w:cs="Arial"/>
          <w:szCs w:val="24"/>
        </w:rPr>
        <w:t>has a significant negative</w:t>
      </w:r>
      <w:r w:rsidR="00D86879" w:rsidRPr="00D7302A">
        <w:rPr>
          <w:rFonts w:ascii="Arial" w:hAnsi="Arial" w:cs="Arial"/>
          <w:szCs w:val="24"/>
        </w:rPr>
        <w:t xml:space="preserve"> impact on the global supply chain. </w:t>
      </w:r>
      <w:r w:rsidRPr="00D7302A">
        <w:rPr>
          <w:rFonts w:ascii="Arial" w:hAnsi="Arial" w:cs="Arial"/>
          <w:szCs w:val="24"/>
        </w:rPr>
        <w:t xml:space="preserve">The Red Sea disruption created several challenges for companies that transport through the Suez Canal and the Red Sea, such as capacity shortages, increased transit times, lack of certainty, and </w:t>
      </w:r>
      <w:r w:rsidR="00B81A3D" w:rsidRPr="00D7302A">
        <w:rPr>
          <w:rFonts w:ascii="Arial" w:hAnsi="Arial" w:cs="Arial"/>
          <w:szCs w:val="24"/>
        </w:rPr>
        <w:t>increased costs.</w:t>
      </w:r>
      <w:r w:rsidR="00775951" w:rsidRPr="00D7302A">
        <w:rPr>
          <w:rFonts w:ascii="Arial" w:hAnsi="Arial" w:cs="Arial"/>
          <w:szCs w:val="24"/>
        </w:rPr>
        <w:t xml:space="preserve"> Thus, this disruption also created challenges for BP as the company's supply chain was also disrupted.</w:t>
      </w:r>
      <w:r w:rsidR="00B81A3D" w:rsidRPr="00D7302A">
        <w:rPr>
          <w:rFonts w:ascii="Arial" w:hAnsi="Arial" w:cs="Arial"/>
          <w:szCs w:val="24"/>
        </w:rPr>
        <w:t xml:space="preserve"> </w:t>
      </w:r>
      <w:r w:rsidR="00775951" w:rsidRPr="00D7302A">
        <w:rPr>
          <w:rFonts w:ascii="Arial" w:hAnsi="Arial" w:cs="Arial"/>
          <w:szCs w:val="24"/>
        </w:rPr>
        <w:t>Similarly, the geopolitical tension between China and Taiwan has a negative impact on th</w:t>
      </w:r>
      <w:r w:rsidR="008E5437" w:rsidRPr="00D7302A">
        <w:rPr>
          <w:rFonts w:ascii="Arial" w:hAnsi="Arial" w:cs="Arial"/>
          <w:szCs w:val="24"/>
        </w:rPr>
        <w:t xml:space="preserve">e business operations of BP as Taiwan plays a significant role in the global supply chain. </w:t>
      </w:r>
      <w:r w:rsidR="009C5BCF" w:rsidRPr="00D7302A">
        <w:rPr>
          <w:rFonts w:ascii="Arial" w:hAnsi="Arial" w:cs="Arial"/>
          <w:szCs w:val="24"/>
        </w:rPr>
        <w:t>The China-Taiwan war and the significance of Taiwan in the world's supply chain led the UK to adjust and evaluate its policy and strategy toward Taiwan (</w:t>
      </w:r>
      <w:r w:rsidR="00201BF2" w:rsidRPr="00D7302A">
        <w:rPr>
          <w:rFonts w:ascii="Arial" w:hAnsi="Arial" w:cs="Arial"/>
          <w:szCs w:val="24"/>
        </w:rPr>
        <w:t>Chu, 2025</w:t>
      </w:r>
      <w:r w:rsidR="009C5BCF" w:rsidRPr="00D7302A">
        <w:rPr>
          <w:rFonts w:ascii="Arial" w:hAnsi="Arial" w:cs="Arial"/>
          <w:szCs w:val="24"/>
        </w:rPr>
        <w:t xml:space="preserve">). </w:t>
      </w:r>
    </w:p>
    <w:p w14:paraId="4E26D047" w14:textId="77777777" w:rsidR="008B3C41" w:rsidRPr="00D7302A" w:rsidRDefault="005E1109" w:rsidP="00FB4D55">
      <w:pPr>
        <w:rPr>
          <w:rFonts w:ascii="Arial" w:hAnsi="Arial" w:cs="Arial"/>
          <w:szCs w:val="24"/>
        </w:rPr>
      </w:pPr>
      <w:r w:rsidRPr="00D7302A">
        <w:rPr>
          <w:rFonts w:ascii="Arial" w:hAnsi="Arial" w:cs="Arial"/>
          <w:b/>
          <w:bCs/>
          <w:i/>
          <w:iCs/>
          <w:szCs w:val="24"/>
        </w:rPr>
        <w:t>Economic</w:t>
      </w:r>
      <w:r w:rsidR="00B726C2" w:rsidRPr="00D7302A">
        <w:rPr>
          <w:rFonts w:ascii="Arial" w:hAnsi="Arial" w:cs="Arial"/>
          <w:b/>
          <w:bCs/>
          <w:i/>
          <w:iCs/>
          <w:szCs w:val="24"/>
        </w:rPr>
        <w:t>ally</w:t>
      </w:r>
      <w:r w:rsidR="00B726C2" w:rsidRPr="00D7302A">
        <w:rPr>
          <w:rFonts w:ascii="Arial" w:hAnsi="Arial" w:cs="Arial"/>
          <w:szCs w:val="24"/>
        </w:rPr>
        <w:t>,</w:t>
      </w:r>
      <w:r w:rsidR="00B726C2" w:rsidRPr="00D7302A">
        <w:rPr>
          <w:rFonts w:ascii="Arial" w:hAnsi="Arial" w:cs="Arial"/>
          <w:b/>
          <w:bCs/>
          <w:i/>
          <w:iCs/>
          <w:szCs w:val="24"/>
        </w:rPr>
        <w:t xml:space="preserve"> </w:t>
      </w:r>
      <w:r w:rsidR="00B726C2" w:rsidRPr="00D7302A">
        <w:rPr>
          <w:rFonts w:ascii="Arial" w:hAnsi="Arial" w:cs="Arial"/>
          <w:szCs w:val="24"/>
        </w:rPr>
        <w:t>i</w:t>
      </w:r>
      <w:r w:rsidR="00CE7894" w:rsidRPr="00D7302A">
        <w:rPr>
          <w:rFonts w:ascii="Arial" w:hAnsi="Arial" w:cs="Arial"/>
          <w:szCs w:val="24"/>
        </w:rPr>
        <w:t xml:space="preserve">ncreased inflation rate in the UK economy created challenges for BP. </w:t>
      </w:r>
      <w:r w:rsidR="00C36574" w:rsidRPr="00D7302A">
        <w:rPr>
          <w:rFonts w:ascii="Arial" w:hAnsi="Arial" w:cs="Arial"/>
          <w:szCs w:val="24"/>
        </w:rPr>
        <w:t>The inflation rate was 3.5% in April 2025, which increased to 3.8% in August 2025</w:t>
      </w:r>
      <w:r w:rsidR="00C255E2" w:rsidRPr="00D7302A">
        <w:rPr>
          <w:rFonts w:ascii="Arial" w:hAnsi="Arial" w:cs="Arial"/>
          <w:szCs w:val="24"/>
        </w:rPr>
        <w:t xml:space="preserve"> (BBC, 2025)</w:t>
      </w:r>
      <w:r w:rsidR="00C36574" w:rsidRPr="00D7302A">
        <w:rPr>
          <w:rFonts w:ascii="Arial" w:hAnsi="Arial" w:cs="Arial"/>
          <w:szCs w:val="24"/>
        </w:rPr>
        <w:t>. The increased inflation in energy played a significant role in increasing the overall inflation rate in the country.</w:t>
      </w:r>
      <w:r w:rsidR="00CB0278" w:rsidRPr="00D7302A">
        <w:rPr>
          <w:rFonts w:ascii="Arial" w:hAnsi="Arial" w:cs="Arial"/>
          <w:szCs w:val="24"/>
        </w:rPr>
        <w:t xml:space="preserve"> Therefore, the increased inflation in the UK </w:t>
      </w:r>
      <w:r w:rsidR="00C634A9" w:rsidRPr="00D7302A">
        <w:rPr>
          <w:rFonts w:ascii="Arial" w:hAnsi="Arial" w:cs="Arial"/>
          <w:szCs w:val="24"/>
        </w:rPr>
        <w:t xml:space="preserve">decreased the purchasing power of people in the UK. </w:t>
      </w:r>
      <w:r w:rsidR="00B726C2" w:rsidRPr="00D7302A">
        <w:rPr>
          <w:rFonts w:ascii="Arial" w:hAnsi="Arial" w:cs="Arial"/>
          <w:szCs w:val="24"/>
        </w:rPr>
        <w:t xml:space="preserve">Among </w:t>
      </w:r>
      <w:r w:rsidR="00B726C2" w:rsidRPr="00D7302A">
        <w:rPr>
          <w:rFonts w:ascii="Arial" w:hAnsi="Arial" w:cs="Arial"/>
          <w:b/>
          <w:bCs/>
          <w:i/>
          <w:iCs/>
          <w:szCs w:val="24"/>
        </w:rPr>
        <w:t>social forces</w:t>
      </w:r>
      <w:r w:rsidR="00B726C2" w:rsidRPr="00D7302A">
        <w:rPr>
          <w:rFonts w:ascii="Arial" w:hAnsi="Arial" w:cs="Arial"/>
          <w:szCs w:val="24"/>
        </w:rPr>
        <w:t>,</w:t>
      </w:r>
      <w:r w:rsidR="000534C4" w:rsidRPr="00D7302A">
        <w:rPr>
          <w:rFonts w:ascii="Arial" w:hAnsi="Arial" w:cs="Arial"/>
          <w:b/>
          <w:bCs/>
          <w:i/>
          <w:iCs/>
          <w:szCs w:val="24"/>
        </w:rPr>
        <w:t xml:space="preserve"> </w:t>
      </w:r>
      <w:r w:rsidR="000534C4" w:rsidRPr="00D7302A">
        <w:rPr>
          <w:rFonts w:ascii="Arial" w:hAnsi="Arial" w:cs="Arial"/>
          <w:szCs w:val="24"/>
        </w:rPr>
        <w:t xml:space="preserve">according to the Mintel Report (2025), 72% of UK people believe that </w:t>
      </w:r>
      <w:r w:rsidR="001248FC" w:rsidRPr="00D7302A">
        <w:rPr>
          <w:rFonts w:ascii="Arial" w:hAnsi="Arial" w:cs="Arial"/>
          <w:szCs w:val="24"/>
        </w:rPr>
        <w:t xml:space="preserve">sustainability will be a </w:t>
      </w:r>
      <w:r w:rsidR="001248FC" w:rsidRPr="00D7302A">
        <w:rPr>
          <w:rFonts w:ascii="Arial" w:hAnsi="Arial" w:cs="Arial"/>
          <w:szCs w:val="24"/>
        </w:rPr>
        <w:lastRenderedPageBreak/>
        <w:t xml:space="preserve">greater priority for companies within the UK. </w:t>
      </w:r>
      <w:r w:rsidR="00FE35A9" w:rsidRPr="00D7302A">
        <w:rPr>
          <w:rFonts w:ascii="Arial" w:hAnsi="Arial" w:cs="Arial"/>
          <w:szCs w:val="24"/>
        </w:rPr>
        <w:t xml:space="preserve">Customers of the country are expecting companies to address environmental impacts. </w:t>
      </w:r>
      <w:r w:rsidR="00DB5660" w:rsidRPr="00D7302A">
        <w:rPr>
          <w:rFonts w:ascii="Arial" w:hAnsi="Arial" w:cs="Arial"/>
          <w:szCs w:val="24"/>
        </w:rPr>
        <w:t xml:space="preserve">Therefore, BP may face challenges regarding increased demand for sustainability by customers in the country, </w:t>
      </w:r>
      <w:r w:rsidR="005B6AB2" w:rsidRPr="00D7302A">
        <w:rPr>
          <w:rFonts w:ascii="Arial" w:hAnsi="Arial" w:cs="Arial"/>
          <w:szCs w:val="24"/>
        </w:rPr>
        <w:t>as the production of oil and gas and processing them to market generates heavy amount</w:t>
      </w:r>
      <w:r w:rsidR="0065132C" w:rsidRPr="00D7302A">
        <w:rPr>
          <w:rFonts w:ascii="Arial" w:hAnsi="Arial" w:cs="Arial"/>
          <w:szCs w:val="24"/>
        </w:rPr>
        <w:t>s</w:t>
      </w:r>
      <w:r w:rsidR="005B6AB2" w:rsidRPr="00D7302A">
        <w:rPr>
          <w:rFonts w:ascii="Arial" w:hAnsi="Arial" w:cs="Arial"/>
          <w:szCs w:val="24"/>
        </w:rPr>
        <w:t xml:space="preserve"> of em</w:t>
      </w:r>
      <w:r w:rsidR="00962021" w:rsidRPr="00D7302A">
        <w:rPr>
          <w:rFonts w:ascii="Arial" w:hAnsi="Arial" w:cs="Arial"/>
          <w:szCs w:val="24"/>
        </w:rPr>
        <w:t>i</w:t>
      </w:r>
      <w:r w:rsidR="005B6AB2" w:rsidRPr="00D7302A">
        <w:rPr>
          <w:rFonts w:ascii="Arial" w:hAnsi="Arial" w:cs="Arial"/>
          <w:szCs w:val="24"/>
        </w:rPr>
        <w:t>ssions.</w:t>
      </w:r>
    </w:p>
    <w:p w14:paraId="2E6027B8" w14:textId="77777777" w:rsidR="008B3C41" w:rsidRPr="00D7302A" w:rsidRDefault="008B3C41" w:rsidP="00FB4D55">
      <w:pPr>
        <w:rPr>
          <w:rFonts w:ascii="Arial" w:hAnsi="Arial" w:cs="Arial"/>
          <w:szCs w:val="24"/>
        </w:rPr>
      </w:pPr>
      <w:r w:rsidRPr="00D7302A">
        <w:rPr>
          <w:rFonts w:ascii="Arial" w:hAnsi="Arial" w:cs="Arial"/>
          <w:szCs w:val="24"/>
        </w:rPr>
        <w:t xml:space="preserve">Considering </w:t>
      </w:r>
      <w:r w:rsidRPr="00D7302A">
        <w:rPr>
          <w:rFonts w:ascii="Arial" w:hAnsi="Arial" w:cs="Arial"/>
          <w:b/>
          <w:bCs/>
          <w:i/>
          <w:iCs/>
          <w:szCs w:val="24"/>
        </w:rPr>
        <w:t>technological forces</w:t>
      </w:r>
      <w:r w:rsidRPr="00D7302A">
        <w:rPr>
          <w:rFonts w:ascii="Arial" w:hAnsi="Arial" w:cs="Arial"/>
          <w:szCs w:val="24"/>
        </w:rPr>
        <w:t>,</w:t>
      </w:r>
      <w:r w:rsidR="00962021" w:rsidRPr="00D7302A">
        <w:rPr>
          <w:rFonts w:ascii="Arial" w:hAnsi="Arial" w:cs="Arial"/>
          <w:szCs w:val="24"/>
        </w:rPr>
        <w:t xml:space="preserve"> lack of expertise in the successful use of AI in the oil and gas industry created significant challenges for the companies operating in that industry. </w:t>
      </w:r>
      <w:r w:rsidR="00DA1286" w:rsidRPr="00D7302A">
        <w:rPr>
          <w:rFonts w:ascii="Arial" w:hAnsi="Arial" w:cs="Arial"/>
          <w:szCs w:val="24"/>
        </w:rPr>
        <w:t>The executives of these companies highlighted the major challenge in deploying advanced technologies, a lack of internal support and knowledge of using those technologies adequately to streamline operation processes</w:t>
      </w:r>
      <w:r w:rsidR="002F6963" w:rsidRPr="00D7302A">
        <w:rPr>
          <w:rFonts w:ascii="Arial" w:hAnsi="Arial" w:cs="Arial"/>
          <w:szCs w:val="24"/>
        </w:rPr>
        <w:t xml:space="preserve"> (</w:t>
      </w:r>
      <w:r w:rsidR="00975F9A" w:rsidRPr="00D7302A">
        <w:rPr>
          <w:rFonts w:ascii="Arial" w:hAnsi="Arial" w:cs="Arial"/>
          <w:szCs w:val="24"/>
        </w:rPr>
        <w:t>Future Digital Twin, 2025</w:t>
      </w:r>
      <w:r w:rsidR="002F6963" w:rsidRPr="00D7302A">
        <w:rPr>
          <w:rFonts w:ascii="Arial" w:hAnsi="Arial" w:cs="Arial"/>
          <w:szCs w:val="24"/>
        </w:rPr>
        <w:t>)</w:t>
      </w:r>
      <w:r w:rsidR="00DA1286" w:rsidRPr="00D7302A">
        <w:rPr>
          <w:rFonts w:ascii="Arial" w:hAnsi="Arial" w:cs="Arial"/>
          <w:szCs w:val="24"/>
        </w:rPr>
        <w:t xml:space="preserve">. </w:t>
      </w:r>
      <w:r w:rsidR="00CC1A6C" w:rsidRPr="00D7302A">
        <w:rPr>
          <w:rFonts w:ascii="Arial" w:hAnsi="Arial" w:cs="Arial"/>
          <w:szCs w:val="24"/>
        </w:rPr>
        <w:t xml:space="preserve">Hence, BP may face the same challenge in terms of implementing AI in the business process. </w:t>
      </w:r>
    </w:p>
    <w:p w14:paraId="0B5A9633" w14:textId="7A9FCB40" w:rsidR="005F37F7" w:rsidRPr="00D7302A" w:rsidRDefault="008B3C41" w:rsidP="00FB4D55">
      <w:pPr>
        <w:rPr>
          <w:rFonts w:ascii="Arial" w:hAnsi="Arial" w:cs="Arial"/>
          <w:szCs w:val="24"/>
        </w:rPr>
      </w:pPr>
      <w:r w:rsidRPr="00D7302A">
        <w:rPr>
          <w:rFonts w:ascii="Arial" w:hAnsi="Arial" w:cs="Arial"/>
          <w:szCs w:val="24"/>
        </w:rPr>
        <w:t xml:space="preserve">Looking at </w:t>
      </w:r>
      <w:r w:rsidRPr="00D7302A">
        <w:rPr>
          <w:rFonts w:ascii="Arial" w:hAnsi="Arial" w:cs="Arial"/>
          <w:b/>
          <w:bCs/>
          <w:i/>
          <w:iCs/>
          <w:szCs w:val="24"/>
        </w:rPr>
        <w:t>environmental challenges</w:t>
      </w:r>
      <w:r w:rsidRPr="00D7302A">
        <w:rPr>
          <w:rFonts w:ascii="Arial" w:hAnsi="Arial" w:cs="Arial"/>
          <w:szCs w:val="24"/>
        </w:rPr>
        <w:t xml:space="preserve">, </w:t>
      </w:r>
      <w:r w:rsidR="00EB61C8" w:rsidRPr="00D7302A">
        <w:rPr>
          <w:rFonts w:ascii="Arial" w:hAnsi="Arial" w:cs="Arial"/>
          <w:szCs w:val="24"/>
        </w:rPr>
        <w:t>According to Williment (2025)</w:t>
      </w:r>
      <w:r w:rsidR="00F157C1" w:rsidRPr="00D7302A">
        <w:rPr>
          <w:rFonts w:ascii="Arial" w:hAnsi="Arial" w:cs="Arial"/>
          <w:szCs w:val="24"/>
        </w:rPr>
        <w:t xml:space="preserve">, the government of the UK has issued new guidance in terms of assessing full emissions, including Scope 1, 2 and 3, for oil and gas companies in the UK. Therefore, this reformed guidance of the government created significant pressure on BP to control and reduce its carbon emissions. </w:t>
      </w:r>
      <w:r w:rsidRPr="00D7302A">
        <w:rPr>
          <w:rFonts w:ascii="Arial" w:hAnsi="Arial" w:cs="Arial"/>
          <w:b/>
          <w:bCs/>
          <w:i/>
          <w:iCs/>
          <w:szCs w:val="24"/>
        </w:rPr>
        <w:t>Legally</w:t>
      </w:r>
      <w:r w:rsidRPr="00D7302A">
        <w:rPr>
          <w:rFonts w:ascii="Arial" w:hAnsi="Arial" w:cs="Arial"/>
          <w:szCs w:val="24"/>
        </w:rPr>
        <w:t>, t</w:t>
      </w:r>
      <w:r w:rsidR="00B70CE5" w:rsidRPr="00D7302A">
        <w:rPr>
          <w:rFonts w:ascii="Arial" w:hAnsi="Arial" w:cs="Arial"/>
          <w:szCs w:val="24"/>
        </w:rPr>
        <w:t xml:space="preserve">he oil and gas companies face a high amount of tax rates in terms of RFCT (Ring Fence Corporation Tax), </w:t>
      </w:r>
      <w:r w:rsidR="00E23602" w:rsidRPr="00D7302A">
        <w:rPr>
          <w:rFonts w:ascii="Arial" w:hAnsi="Arial" w:cs="Arial"/>
          <w:szCs w:val="24"/>
        </w:rPr>
        <w:t>EPL (Energy Profits Levy), and Supplementary Char</w:t>
      </w:r>
      <w:r w:rsidR="00A81A59" w:rsidRPr="00D7302A">
        <w:rPr>
          <w:rFonts w:ascii="Arial" w:hAnsi="Arial" w:cs="Arial"/>
          <w:szCs w:val="24"/>
        </w:rPr>
        <w:t xml:space="preserve">ges. </w:t>
      </w:r>
      <w:r w:rsidR="003C6D1D" w:rsidRPr="00D7302A">
        <w:rPr>
          <w:rFonts w:ascii="Arial" w:hAnsi="Arial" w:cs="Arial"/>
          <w:szCs w:val="24"/>
        </w:rPr>
        <w:t>According to NSTA (2025)</w:t>
      </w:r>
      <w:r w:rsidR="00F17F69" w:rsidRPr="00D7302A">
        <w:rPr>
          <w:rFonts w:ascii="Arial" w:hAnsi="Arial" w:cs="Arial"/>
          <w:szCs w:val="24"/>
        </w:rPr>
        <w:t>, the government of the UK levied 30% RFCT, 38% EPL, and 10% Supplementary Charge on the organisations operating in the oil and gas industry of the</w:t>
      </w:r>
      <w:r w:rsidR="003E60C4" w:rsidRPr="00D7302A">
        <w:rPr>
          <w:rFonts w:ascii="Arial" w:hAnsi="Arial" w:cs="Arial"/>
          <w:szCs w:val="24"/>
        </w:rPr>
        <w:t xml:space="preserve"> UK. </w:t>
      </w:r>
      <w:r w:rsidR="00330F1D" w:rsidRPr="00D7302A">
        <w:rPr>
          <w:rFonts w:ascii="Arial" w:hAnsi="Arial" w:cs="Arial"/>
          <w:szCs w:val="24"/>
        </w:rPr>
        <w:t xml:space="preserve">Therefore, this high tax charged by the government created a significant challenge for BP in terms of </w:t>
      </w:r>
      <w:r w:rsidR="00524E8A" w:rsidRPr="00D7302A">
        <w:rPr>
          <w:rFonts w:ascii="Arial" w:hAnsi="Arial" w:cs="Arial"/>
          <w:szCs w:val="24"/>
        </w:rPr>
        <w:t>generating profit.</w:t>
      </w:r>
    </w:p>
    <w:p w14:paraId="2D9F472F" w14:textId="77777777" w:rsidR="008B3C41" w:rsidRPr="00D7302A" w:rsidRDefault="008B3C41" w:rsidP="00FB4D55">
      <w:pPr>
        <w:rPr>
          <w:rFonts w:ascii="Arial" w:hAnsi="Arial" w:cs="Arial"/>
          <w:szCs w:val="24"/>
        </w:rPr>
      </w:pPr>
      <w:r w:rsidRPr="00D7302A">
        <w:rPr>
          <w:rFonts w:ascii="Arial" w:hAnsi="Arial" w:cs="Arial"/>
          <w:szCs w:val="24"/>
        </w:rPr>
        <w:t xml:space="preserve">Overall, these forces can be said to influence various aspect of the company’s strategy, including its </w:t>
      </w:r>
      <w:r w:rsidRPr="00D7302A">
        <w:rPr>
          <w:rFonts w:ascii="Arial" w:hAnsi="Arial" w:cs="Arial"/>
          <w:b/>
          <w:bCs/>
          <w:i/>
          <w:iCs/>
          <w:szCs w:val="24"/>
        </w:rPr>
        <w:t>market positioning</w:t>
      </w:r>
      <w:r w:rsidRPr="00D7302A">
        <w:rPr>
          <w:rFonts w:ascii="Arial" w:hAnsi="Arial" w:cs="Arial"/>
          <w:szCs w:val="24"/>
        </w:rPr>
        <w:t xml:space="preserve">, </w:t>
      </w:r>
      <w:r w:rsidRPr="00D7302A">
        <w:rPr>
          <w:rFonts w:ascii="Arial" w:hAnsi="Arial" w:cs="Arial"/>
          <w:b/>
          <w:bCs/>
          <w:i/>
          <w:iCs/>
          <w:szCs w:val="24"/>
        </w:rPr>
        <w:t>talent management</w:t>
      </w:r>
      <w:r w:rsidRPr="00D7302A">
        <w:rPr>
          <w:rFonts w:ascii="Arial" w:hAnsi="Arial" w:cs="Arial"/>
          <w:szCs w:val="24"/>
        </w:rPr>
        <w:t xml:space="preserve">, </w:t>
      </w:r>
      <w:r w:rsidRPr="00D7302A">
        <w:rPr>
          <w:rFonts w:ascii="Arial" w:hAnsi="Arial" w:cs="Arial"/>
          <w:b/>
          <w:bCs/>
          <w:i/>
          <w:iCs/>
          <w:szCs w:val="24"/>
        </w:rPr>
        <w:t>innovation</w:t>
      </w:r>
      <w:r w:rsidRPr="00D7302A">
        <w:rPr>
          <w:rFonts w:ascii="Arial" w:hAnsi="Arial" w:cs="Arial"/>
          <w:szCs w:val="24"/>
        </w:rPr>
        <w:t xml:space="preserve">, and </w:t>
      </w:r>
      <w:r w:rsidRPr="00D7302A">
        <w:rPr>
          <w:rFonts w:ascii="Arial" w:hAnsi="Arial" w:cs="Arial"/>
          <w:b/>
          <w:bCs/>
          <w:i/>
          <w:iCs/>
          <w:szCs w:val="24"/>
        </w:rPr>
        <w:t>competitiveness</w:t>
      </w:r>
      <w:r w:rsidRPr="00D7302A">
        <w:rPr>
          <w:rFonts w:ascii="Arial" w:hAnsi="Arial" w:cs="Arial"/>
          <w:szCs w:val="24"/>
        </w:rPr>
        <w:t xml:space="preserve">. In regard to </w:t>
      </w:r>
      <w:r w:rsidRPr="00D7302A">
        <w:rPr>
          <w:rFonts w:ascii="Arial" w:hAnsi="Arial" w:cs="Arial"/>
          <w:b/>
          <w:bCs/>
          <w:i/>
          <w:iCs/>
          <w:szCs w:val="24"/>
        </w:rPr>
        <w:t>market positioning</w:t>
      </w:r>
      <w:r w:rsidRPr="00D7302A">
        <w:rPr>
          <w:rFonts w:ascii="Arial" w:hAnsi="Arial" w:cs="Arial"/>
          <w:szCs w:val="24"/>
        </w:rPr>
        <w:t>, t</w:t>
      </w:r>
      <w:r w:rsidR="00126E9A" w:rsidRPr="00D7302A">
        <w:rPr>
          <w:rFonts w:ascii="Arial" w:hAnsi="Arial" w:cs="Arial"/>
          <w:szCs w:val="24"/>
        </w:rPr>
        <w:t xml:space="preserve">he </w:t>
      </w:r>
      <w:r w:rsidR="00126E9A" w:rsidRPr="00D7302A">
        <w:rPr>
          <w:rFonts w:ascii="Arial" w:hAnsi="Arial" w:cs="Arial"/>
          <w:b/>
          <w:bCs/>
          <w:i/>
          <w:iCs/>
          <w:szCs w:val="24"/>
        </w:rPr>
        <w:t>Red Sea disruption</w:t>
      </w:r>
      <w:r w:rsidR="00126E9A" w:rsidRPr="00D7302A">
        <w:rPr>
          <w:rFonts w:ascii="Arial" w:hAnsi="Arial" w:cs="Arial"/>
          <w:szCs w:val="24"/>
        </w:rPr>
        <w:t xml:space="preserve"> an</w:t>
      </w:r>
      <w:r w:rsidR="00640A2D" w:rsidRPr="00D7302A">
        <w:rPr>
          <w:rFonts w:ascii="Arial" w:hAnsi="Arial" w:cs="Arial"/>
          <w:szCs w:val="24"/>
        </w:rPr>
        <w:t xml:space="preserve">d geopolitical tension between </w:t>
      </w:r>
      <w:r w:rsidR="00640A2D" w:rsidRPr="00D7302A">
        <w:rPr>
          <w:rFonts w:ascii="Arial" w:hAnsi="Arial" w:cs="Arial"/>
          <w:b/>
          <w:bCs/>
          <w:i/>
          <w:iCs/>
          <w:szCs w:val="24"/>
        </w:rPr>
        <w:t xml:space="preserve">China and Taiwan </w:t>
      </w:r>
      <w:r w:rsidR="00640A2D" w:rsidRPr="00D7302A">
        <w:rPr>
          <w:rFonts w:ascii="Arial" w:hAnsi="Arial" w:cs="Arial"/>
          <w:szCs w:val="24"/>
        </w:rPr>
        <w:t>have a significant negative impact on the market positioning of BP. Taiwan and the Red Sea play important role</w:t>
      </w:r>
      <w:r w:rsidR="00FB6C34" w:rsidRPr="00D7302A">
        <w:rPr>
          <w:rFonts w:ascii="Arial" w:hAnsi="Arial" w:cs="Arial"/>
          <w:szCs w:val="24"/>
        </w:rPr>
        <w:t>s</w:t>
      </w:r>
      <w:r w:rsidR="00640A2D" w:rsidRPr="00D7302A">
        <w:rPr>
          <w:rFonts w:ascii="Arial" w:hAnsi="Arial" w:cs="Arial"/>
          <w:szCs w:val="24"/>
        </w:rPr>
        <w:t xml:space="preserve"> in the global supply chain (</w:t>
      </w:r>
      <w:r w:rsidR="00FB6C34" w:rsidRPr="00D7302A">
        <w:rPr>
          <w:rFonts w:ascii="Arial" w:hAnsi="Arial" w:cs="Arial"/>
          <w:szCs w:val="24"/>
        </w:rPr>
        <w:t>Hofman, 2024; Chu, 2025</w:t>
      </w:r>
      <w:r w:rsidR="00640A2D" w:rsidRPr="00D7302A">
        <w:rPr>
          <w:rFonts w:ascii="Arial" w:hAnsi="Arial" w:cs="Arial"/>
          <w:szCs w:val="24"/>
        </w:rPr>
        <w:t>).</w:t>
      </w:r>
      <w:r w:rsidR="00FB6C34" w:rsidRPr="00D7302A">
        <w:rPr>
          <w:rFonts w:ascii="Arial" w:hAnsi="Arial" w:cs="Arial"/>
          <w:szCs w:val="24"/>
        </w:rPr>
        <w:t xml:space="preserve"> The disruption in the global supply chain had a consequent negative influence on BP as these increased the costs, transit times, and operational inefficiency for the company. On the other hand, the reform in the governmen</w:t>
      </w:r>
      <w:r w:rsidR="000723F9" w:rsidRPr="00D7302A">
        <w:rPr>
          <w:rFonts w:ascii="Arial" w:hAnsi="Arial" w:cs="Arial"/>
          <w:szCs w:val="24"/>
        </w:rPr>
        <w:t xml:space="preserve">t policies has a positive impact on the labour market of the country, which created an opportunity for the company to minimise its operational costs by hiring employees and workers within the country and reducing labour costs. </w:t>
      </w:r>
    </w:p>
    <w:p w14:paraId="16890D23" w14:textId="5CF6AC22" w:rsidR="00F77FAB" w:rsidRPr="00D7302A" w:rsidRDefault="008B3C41" w:rsidP="00FB4D55">
      <w:pPr>
        <w:rPr>
          <w:rFonts w:ascii="Arial" w:hAnsi="Arial" w:cs="Arial"/>
          <w:szCs w:val="24"/>
        </w:rPr>
      </w:pPr>
      <w:r w:rsidRPr="00D7302A">
        <w:rPr>
          <w:rFonts w:ascii="Arial" w:hAnsi="Arial" w:cs="Arial"/>
          <w:szCs w:val="24"/>
        </w:rPr>
        <w:lastRenderedPageBreak/>
        <w:t xml:space="preserve">In regard to </w:t>
      </w:r>
      <w:r w:rsidRPr="00D7302A">
        <w:rPr>
          <w:rFonts w:ascii="Arial" w:hAnsi="Arial" w:cs="Arial"/>
          <w:b/>
          <w:bCs/>
          <w:i/>
          <w:iCs/>
          <w:szCs w:val="24"/>
        </w:rPr>
        <w:t>innovation</w:t>
      </w:r>
      <w:r w:rsidRPr="00D7302A">
        <w:rPr>
          <w:rFonts w:ascii="Arial" w:hAnsi="Arial" w:cs="Arial"/>
          <w:szCs w:val="24"/>
        </w:rPr>
        <w:t>, t</w:t>
      </w:r>
      <w:r w:rsidR="00634E63" w:rsidRPr="00D7302A">
        <w:rPr>
          <w:rFonts w:ascii="Arial" w:hAnsi="Arial" w:cs="Arial"/>
          <w:szCs w:val="24"/>
        </w:rPr>
        <w:t>echnological advancement in the oil and gas industry of the UK has a significant positive impact on the innovation of BP. By leveraging advanced technologies</w:t>
      </w:r>
      <w:r w:rsidR="00193B9B" w:rsidRPr="00D7302A">
        <w:rPr>
          <w:rFonts w:ascii="Arial" w:hAnsi="Arial" w:cs="Arial"/>
          <w:szCs w:val="24"/>
        </w:rPr>
        <w:t>, such as downhole tools, oil well surveillance, green hydrogen synthesis, and carbon capture MOFs, the company can find innovative ways to enhance the processes by leveraging such technologies and foster innovation within the company. However, a lack of expertise in using advanced technologies</w:t>
      </w:r>
      <w:r w:rsidR="00F24CCB" w:rsidRPr="00D7302A">
        <w:rPr>
          <w:rFonts w:ascii="Arial" w:hAnsi="Arial" w:cs="Arial"/>
          <w:szCs w:val="24"/>
        </w:rPr>
        <w:t xml:space="preserve"> like AI (Artificial Intelligence) may result in inefficient operational processes and may increase the chances of cyber attacks for BP. </w:t>
      </w:r>
    </w:p>
    <w:p w14:paraId="22C9AE6A" w14:textId="310162AB" w:rsidR="00F77FAB" w:rsidRPr="00D7302A" w:rsidRDefault="008B3C41" w:rsidP="00FB4D55">
      <w:pPr>
        <w:rPr>
          <w:rFonts w:ascii="Arial" w:hAnsi="Arial" w:cs="Arial"/>
          <w:szCs w:val="24"/>
        </w:rPr>
      </w:pPr>
      <w:r w:rsidRPr="00D7302A">
        <w:rPr>
          <w:rFonts w:ascii="Arial" w:hAnsi="Arial" w:cs="Arial"/>
          <w:szCs w:val="24"/>
        </w:rPr>
        <w:t xml:space="preserve">When it comes to </w:t>
      </w:r>
      <w:r w:rsidRPr="00D7302A">
        <w:rPr>
          <w:rFonts w:ascii="Arial" w:hAnsi="Arial" w:cs="Arial"/>
          <w:b/>
          <w:bCs/>
          <w:i/>
          <w:iCs/>
          <w:szCs w:val="24"/>
        </w:rPr>
        <w:t>talent management</w:t>
      </w:r>
      <w:r w:rsidRPr="00D7302A">
        <w:rPr>
          <w:rFonts w:ascii="Arial" w:hAnsi="Arial" w:cs="Arial"/>
          <w:szCs w:val="24"/>
        </w:rPr>
        <w:t>, t</w:t>
      </w:r>
      <w:r w:rsidR="008149B2" w:rsidRPr="00D7302A">
        <w:rPr>
          <w:rFonts w:ascii="Arial" w:hAnsi="Arial" w:cs="Arial"/>
          <w:szCs w:val="24"/>
        </w:rPr>
        <w:t xml:space="preserve">he increased inflation rate in the UK economy may result in an increased demand for pay raises, which may have a negative impact on the talent management of BP. Furthermore, the increased tax rate levied by the government on the UK on oil and gas organisations like BP reduced their profits, which reduced the ability of those companies to fulfil the demand of workers and employees regarding bonuses and extra pay to maintain their living standards. As a consequence of this, BP may not be able to retain the best talent within the organisation. </w:t>
      </w:r>
    </w:p>
    <w:p w14:paraId="2E34E2EA" w14:textId="21930C82" w:rsidR="00F77FAB" w:rsidRPr="00D7302A" w:rsidRDefault="008B3C41" w:rsidP="00FB4D55">
      <w:pPr>
        <w:rPr>
          <w:rFonts w:ascii="Arial" w:hAnsi="Arial" w:cs="Arial"/>
          <w:szCs w:val="24"/>
        </w:rPr>
      </w:pPr>
      <w:r w:rsidRPr="00D7302A">
        <w:rPr>
          <w:rFonts w:ascii="Arial" w:hAnsi="Arial" w:cs="Arial"/>
          <w:szCs w:val="24"/>
        </w:rPr>
        <w:t>Lastly, in terms of</w:t>
      </w:r>
      <w:r w:rsidRPr="00D7302A">
        <w:rPr>
          <w:rFonts w:ascii="Arial" w:hAnsi="Arial" w:cs="Arial"/>
          <w:b/>
          <w:bCs/>
          <w:i/>
          <w:iCs/>
          <w:szCs w:val="24"/>
        </w:rPr>
        <w:t xml:space="preserve"> competitiveness</w:t>
      </w:r>
      <w:r w:rsidRPr="00D7302A">
        <w:rPr>
          <w:rFonts w:ascii="Arial" w:hAnsi="Arial" w:cs="Arial"/>
          <w:szCs w:val="24"/>
        </w:rPr>
        <w:t>, the i</w:t>
      </w:r>
      <w:r w:rsidR="009A55E9" w:rsidRPr="00D7302A">
        <w:rPr>
          <w:rFonts w:ascii="Arial" w:hAnsi="Arial" w:cs="Arial"/>
          <w:szCs w:val="24"/>
        </w:rPr>
        <w:t xml:space="preserve">ncrease in GDP, technological advancement in the UK oil and gas industry, and expansion of the UK oil and gas market have a positive impact on the business of BP. Additionally, the government's decision to allow oil companies to drill in North Sea oilfields and strict adherence to laws and regulations by the government of the country also created opportunities for the company. These advantages gained from the external environment of BP increased its competitiveness in the global oil and gas market. However, disruptions in the global supply chain due to the Red Sea disruption and the China-Taiwan war, increased demand for sustainability, and a lack of expertise in using advanced technologies can hold back the company from competing efficiently in the global market. </w:t>
      </w:r>
    </w:p>
    <w:p w14:paraId="5E7DF591" w14:textId="67F8BFDF" w:rsidR="000D7E55" w:rsidRPr="00D7302A" w:rsidRDefault="008B3C41" w:rsidP="008B3C41">
      <w:pPr>
        <w:pStyle w:val="ListParagraph"/>
        <w:ind w:left="0"/>
        <w:rPr>
          <w:rFonts w:ascii="Arial" w:hAnsi="Arial" w:cs="Arial"/>
          <w:lang w:val="en-IN"/>
        </w:rPr>
      </w:pPr>
      <w:r w:rsidRPr="00D7302A">
        <w:rPr>
          <w:rFonts w:ascii="Arial" w:hAnsi="Arial" w:cs="Arial"/>
          <w:lang w:val="en-IN"/>
        </w:rPr>
        <w:t xml:space="preserve">Based on the above analysis of the positive and negative impacts of global forces, some </w:t>
      </w:r>
      <w:r w:rsidRPr="00D7302A">
        <w:rPr>
          <w:rFonts w:ascii="Arial" w:hAnsi="Arial" w:cs="Arial"/>
          <w:b/>
          <w:bCs/>
          <w:i/>
          <w:iCs/>
          <w:lang w:val="en-IN"/>
        </w:rPr>
        <w:t>recommendations</w:t>
      </w:r>
      <w:r w:rsidRPr="00D7302A">
        <w:rPr>
          <w:rFonts w:ascii="Arial" w:hAnsi="Arial" w:cs="Arial"/>
          <w:lang w:val="en-IN"/>
        </w:rPr>
        <w:t xml:space="preserve"> have been provided for BP to be able to deal with these global forces. For one, in order to tackle supply chain disruption created by the Red Sea and geopolitical tension between China and Taiwan, BP can implement a strategy like developing a contingency plan. An elementary contingency plan would outline a series of steps, from identifying the reasons for disruptions to prioritising crucial operations, shifting to alternative suppliers, and implementing an effective communication plan with stakeholders (</w:t>
      </w:r>
      <w:r w:rsidR="00D41BE9" w:rsidRPr="00D7302A">
        <w:rPr>
          <w:rFonts w:ascii="Arial" w:hAnsi="Arial" w:cs="Arial"/>
          <w:lang w:val="en-IN"/>
        </w:rPr>
        <w:t>Jenkins, 2025</w:t>
      </w:r>
      <w:r w:rsidRPr="00D7302A">
        <w:rPr>
          <w:rFonts w:ascii="Arial" w:hAnsi="Arial" w:cs="Arial"/>
          <w:lang w:val="en-IN"/>
        </w:rPr>
        <w:t xml:space="preserve">). Also, providing proper training and development opportunities to employees can be an effective strategy for BP to </w:t>
      </w:r>
      <w:r w:rsidRPr="00D7302A">
        <w:rPr>
          <w:rFonts w:ascii="Arial" w:hAnsi="Arial" w:cs="Arial"/>
          <w:lang w:val="en-IN"/>
        </w:rPr>
        <w:lastRenderedPageBreak/>
        <w:t xml:space="preserve">tackle both challenges regarding talent management and advanced technology deployment. </w:t>
      </w:r>
      <w:r w:rsidR="00EC071F" w:rsidRPr="00D7302A">
        <w:rPr>
          <w:rFonts w:ascii="Arial" w:hAnsi="Arial" w:cs="Arial"/>
          <w:lang w:val="en-IN"/>
        </w:rPr>
        <w:t xml:space="preserve">Proper training and development have the ability to increase employee motivation (IBM, 2023). </w:t>
      </w:r>
      <w:r w:rsidR="007C1DC9" w:rsidRPr="00D7302A">
        <w:rPr>
          <w:rFonts w:ascii="Arial" w:hAnsi="Arial" w:cs="Arial"/>
          <w:lang w:val="en-IN"/>
        </w:rPr>
        <w:t xml:space="preserve">Therefore, this will help the company to retain top talent within the organisation. On the other hand, providing proper training to effectively use advanced technology like AI will help the company to implement and use this technology efficiently and increase operational resilience. </w:t>
      </w:r>
    </w:p>
    <w:p w14:paraId="2142AA59" w14:textId="77777777" w:rsidR="006E5F36" w:rsidRPr="00D7302A" w:rsidRDefault="005E1109" w:rsidP="00B41200">
      <w:pPr>
        <w:pStyle w:val="Heading1"/>
        <w:rPr>
          <w:rFonts w:ascii="Arial" w:hAnsi="Arial" w:cs="Arial"/>
        </w:rPr>
      </w:pPr>
      <w:bookmarkStart w:id="2" w:name="_Toc209539684"/>
      <w:r w:rsidRPr="00D7302A">
        <w:rPr>
          <w:rFonts w:ascii="Arial" w:hAnsi="Arial" w:cs="Arial"/>
        </w:rPr>
        <w:t>Conclusion</w:t>
      </w:r>
      <w:bookmarkEnd w:id="2"/>
    </w:p>
    <w:p w14:paraId="158DD6AD" w14:textId="77777777" w:rsidR="0019351C" w:rsidRPr="00D7302A" w:rsidRDefault="005E1109" w:rsidP="0019351C">
      <w:pPr>
        <w:rPr>
          <w:rFonts w:ascii="Arial" w:hAnsi="Arial" w:cs="Arial"/>
          <w:lang w:val="en-IN"/>
        </w:rPr>
      </w:pPr>
      <w:r w:rsidRPr="00D7302A">
        <w:rPr>
          <w:rFonts w:ascii="Arial" w:hAnsi="Arial" w:cs="Arial"/>
          <w:lang w:val="en-IN"/>
        </w:rPr>
        <w:t xml:space="preserve">From the above discussion, it was found that BP has both positive and negative impacts on the global business environment. </w:t>
      </w:r>
      <w:r w:rsidR="00117D19" w:rsidRPr="00D7302A">
        <w:rPr>
          <w:rFonts w:ascii="Arial" w:hAnsi="Arial" w:cs="Arial"/>
          <w:lang w:val="en-IN"/>
        </w:rPr>
        <w:t xml:space="preserve">Reform in government policies, technological advancement in the UK oil and gas sector, increased GDP, and expansion of the oil and gas market are creating opportunities for the company. However, the disruption in the global supply chain due to the Red Sea attack and the China-Taiwan war, a lack of expertise in using advanced technologies, and an increased inflation rate have created challenges for the company. </w:t>
      </w:r>
      <w:r w:rsidR="0061767B" w:rsidRPr="00D7302A">
        <w:rPr>
          <w:rFonts w:ascii="Arial" w:hAnsi="Arial" w:cs="Arial"/>
          <w:lang w:val="en-IN"/>
        </w:rPr>
        <w:t xml:space="preserve">Furthermore, the challenges and opportunities that BP have and faces due to legal and environmental aspects are also discussed in this essay. Lastly, recommendations were provided for BP to tackle major challenges faced by the company.  </w:t>
      </w:r>
    </w:p>
    <w:p w14:paraId="7D71631E" w14:textId="77777777" w:rsidR="00FB4D55" w:rsidRPr="00D7302A" w:rsidRDefault="005E1109">
      <w:pPr>
        <w:spacing w:after="160" w:line="259" w:lineRule="auto"/>
        <w:jc w:val="left"/>
        <w:rPr>
          <w:rFonts w:ascii="Arial" w:eastAsiaTheme="majorEastAsia" w:hAnsi="Arial" w:cs="Arial"/>
          <w:b/>
          <w:szCs w:val="32"/>
          <w:lang w:val="en-IN"/>
        </w:rPr>
      </w:pPr>
      <w:r w:rsidRPr="00D7302A">
        <w:rPr>
          <w:rFonts w:ascii="Arial" w:hAnsi="Arial" w:cs="Arial"/>
        </w:rPr>
        <w:br w:type="page"/>
      </w:r>
    </w:p>
    <w:p w14:paraId="01F45F8D" w14:textId="77777777" w:rsidR="002B231B" w:rsidRPr="00D7302A" w:rsidRDefault="005E1109" w:rsidP="00B41200">
      <w:pPr>
        <w:pStyle w:val="Heading1"/>
        <w:rPr>
          <w:rFonts w:ascii="Arial" w:hAnsi="Arial" w:cs="Arial"/>
        </w:rPr>
      </w:pPr>
      <w:bookmarkStart w:id="3" w:name="_Toc209539685"/>
      <w:r w:rsidRPr="00D7302A">
        <w:rPr>
          <w:rFonts w:ascii="Arial" w:hAnsi="Arial" w:cs="Arial"/>
        </w:rPr>
        <w:lastRenderedPageBreak/>
        <w:t>Reference List</w:t>
      </w:r>
      <w:bookmarkEnd w:id="3"/>
    </w:p>
    <w:p w14:paraId="7C0B7912" w14:textId="77777777" w:rsidR="00B67B8F" w:rsidRPr="00D7302A" w:rsidRDefault="00B67B8F" w:rsidP="0091598E">
      <w:pPr>
        <w:rPr>
          <w:rFonts w:ascii="Arial" w:hAnsi="Arial" w:cs="Arial"/>
          <w:szCs w:val="24"/>
        </w:rPr>
      </w:pPr>
      <w:r w:rsidRPr="00D7302A">
        <w:rPr>
          <w:rFonts w:ascii="Arial" w:hAnsi="Arial" w:cs="Arial"/>
          <w:szCs w:val="24"/>
        </w:rPr>
        <w:t>Alkharafi, N. and Alsabah, M. (2025) ‘Globalization: An overview of its main characteristics and types, and an exploration of its impacts on individuals, firms, and nations’, </w:t>
      </w:r>
      <w:r w:rsidRPr="00D7302A">
        <w:rPr>
          <w:rFonts w:ascii="Arial" w:hAnsi="Arial" w:cs="Arial"/>
          <w:i/>
          <w:iCs/>
          <w:szCs w:val="24"/>
        </w:rPr>
        <w:t>Economies</w:t>
      </w:r>
      <w:r w:rsidRPr="00D7302A">
        <w:rPr>
          <w:rFonts w:ascii="Arial" w:hAnsi="Arial" w:cs="Arial"/>
          <w:szCs w:val="24"/>
        </w:rPr>
        <w:t>, 13(4), p.91. DOI: 10.3390/economies13040091</w:t>
      </w:r>
    </w:p>
    <w:p w14:paraId="24432D49" w14:textId="77777777" w:rsidR="00CB0E63" w:rsidRPr="00D7302A" w:rsidRDefault="00CB0E63" w:rsidP="0091598E">
      <w:pPr>
        <w:rPr>
          <w:rFonts w:ascii="Arial" w:hAnsi="Arial" w:cs="Arial"/>
          <w:szCs w:val="24"/>
        </w:rPr>
      </w:pPr>
    </w:p>
    <w:p w14:paraId="5F309A1A" w14:textId="1BAE5500" w:rsidR="00B67B8F" w:rsidRPr="00D7302A" w:rsidRDefault="00B67B8F" w:rsidP="00D87AD8">
      <w:pPr>
        <w:rPr>
          <w:rFonts w:ascii="Arial" w:hAnsi="Arial" w:cs="Arial"/>
          <w:szCs w:val="24"/>
        </w:rPr>
      </w:pPr>
      <w:r w:rsidRPr="00D7302A">
        <w:rPr>
          <w:rFonts w:ascii="Arial" w:hAnsi="Arial" w:cs="Arial"/>
          <w:szCs w:val="24"/>
        </w:rPr>
        <w:t>BBC (2025)</w:t>
      </w:r>
      <w:r w:rsidR="00EC6E7A" w:rsidRPr="00D7302A">
        <w:rPr>
          <w:rFonts w:ascii="Arial" w:hAnsi="Arial" w:cs="Arial"/>
          <w:szCs w:val="24"/>
        </w:rPr>
        <w:t xml:space="preserve">. </w:t>
      </w:r>
      <w:r w:rsidRPr="00D7302A">
        <w:rPr>
          <w:rFonts w:ascii="Arial" w:hAnsi="Arial" w:cs="Arial"/>
          <w:i/>
          <w:iCs/>
          <w:szCs w:val="24"/>
          <w:lang w:val="en-IN"/>
        </w:rPr>
        <w:t xml:space="preserve">Why is UK inflation still rising? </w:t>
      </w:r>
      <w:r w:rsidRPr="00D7302A">
        <w:rPr>
          <w:rFonts w:ascii="Arial" w:hAnsi="Arial" w:cs="Arial"/>
          <w:szCs w:val="24"/>
        </w:rPr>
        <w:t>Available at: https://www.bbc.com/news/articles/c17rgd8e9gjo (Accessed: 22 September 2025).</w:t>
      </w:r>
    </w:p>
    <w:p w14:paraId="1A5FA3E3" w14:textId="77777777" w:rsidR="00CB0E63" w:rsidRPr="00D7302A" w:rsidRDefault="00CB0E63" w:rsidP="00D87AD8">
      <w:pPr>
        <w:rPr>
          <w:rFonts w:ascii="Arial" w:hAnsi="Arial" w:cs="Arial"/>
          <w:szCs w:val="24"/>
        </w:rPr>
      </w:pPr>
    </w:p>
    <w:p w14:paraId="6694CD4E" w14:textId="2E401692" w:rsidR="00B67B8F" w:rsidRPr="00D7302A" w:rsidRDefault="00B67B8F" w:rsidP="005765F7">
      <w:pPr>
        <w:rPr>
          <w:rFonts w:ascii="Arial" w:hAnsi="Arial" w:cs="Arial"/>
          <w:szCs w:val="24"/>
        </w:rPr>
      </w:pPr>
      <w:r w:rsidRPr="00D7302A">
        <w:rPr>
          <w:rFonts w:ascii="Arial" w:hAnsi="Arial" w:cs="Arial"/>
          <w:szCs w:val="24"/>
        </w:rPr>
        <w:t>BP (2024)</w:t>
      </w:r>
      <w:r w:rsidR="00EC6E7A" w:rsidRPr="00D7302A">
        <w:rPr>
          <w:rFonts w:ascii="Arial" w:hAnsi="Arial" w:cs="Arial"/>
          <w:szCs w:val="24"/>
        </w:rPr>
        <w:t xml:space="preserve">. </w:t>
      </w:r>
      <w:r w:rsidRPr="00D7302A">
        <w:rPr>
          <w:rFonts w:ascii="Arial" w:hAnsi="Arial" w:cs="Arial"/>
          <w:i/>
          <w:iCs/>
          <w:szCs w:val="24"/>
        </w:rPr>
        <w:t>bp Annual Report and Form 20-F 2024</w:t>
      </w:r>
      <w:r w:rsidRPr="00D7302A">
        <w:rPr>
          <w:rFonts w:ascii="Arial" w:hAnsi="Arial" w:cs="Arial"/>
          <w:szCs w:val="24"/>
        </w:rPr>
        <w:t>. Available at: https://www.bp.com/content/dam/bp/business-sites/en/global/corporate/pdfs/investors/bp-annual-report-and-form-20f-2024.pdf (Accessed: 22 September 2025).</w:t>
      </w:r>
    </w:p>
    <w:p w14:paraId="59BE2E55" w14:textId="77777777" w:rsidR="00CB0E63" w:rsidRPr="00D7302A" w:rsidRDefault="00CB0E63" w:rsidP="005765F7">
      <w:pPr>
        <w:rPr>
          <w:rFonts w:ascii="Arial" w:hAnsi="Arial" w:cs="Arial"/>
          <w:i/>
          <w:iCs/>
          <w:szCs w:val="24"/>
        </w:rPr>
      </w:pPr>
    </w:p>
    <w:p w14:paraId="75951ED2" w14:textId="642BBB86" w:rsidR="00B67B8F" w:rsidRPr="00D7302A" w:rsidRDefault="00B67B8F" w:rsidP="00ED3BD2">
      <w:pPr>
        <w:rPr>
          <w:rFonts w:ascii="Arial" w:hAnsi="Arial" w:cs="Arial"/>
          <w:szCs w:val="24"/>
        </w:rPr>
      </w:pPr>
      <w:r w:rsidRPr="00D7302A">
        <w:rPr>
          <w:rFonts w:ascii="Arial" w:hAnsi="Arial" w:cs="Arial"/>
          <w:szCs w:val="24"/>
        </w:rPr>
        <w:t>BP (2025)</w:t>
      </w:r>
      <w:r w:rsidR="00EC6E7A" w:rsidRPr="00D7302A">
        <w:rPr>
          <w:rFonts w:ascii="Arial" w:hAnsi="Arial" w:cs="Arial"/>
          <w:szCs w:val="24"/>
        </w:rPr>
        <w:t xml:space="preserve">. </w:t>
      </w:r>
      <w:r w:rsidRPr="00D7302A">
        <w:rPr>
          <w:rFonts w:ascii="Arial" w:hAnsi="Arial" w:cs="Arial"/>
          <w:i/>
          <w:iCs/>
          <w:szCs w:val="24"/>
        </w:rPr>
        <w:t>Our history</w:t>
      </w:r>
      <w:r w:rsidRPr="00D7302A">
        <w:rPr>
          <w:rFonts w:ascii="Arial" w:hAnsi="Arial" w:cs="Arial"/>
          <w:szCs w:val="24"/>
        </w:rPr>
        <w:t>. Available at: https://www.bp.com/en/global/corporate/who-we-are/our-history.html (Accessed: 22 September 2025).</w:t>
      </w:r>
    </w:p>
    <w:p w14:paraId="6FDAA232" w14:textId="77777777" w:rsidR="00CB0E63" w:rsidRPr="00D7302A" w:rsidRDefault="00CB0E63" w:rsidP="00ED3BD2">
      <w:pPr>
        <w:rPr>
          <w:rFonts w:ascii="Arial" w:hAnsi="Arial" w:cs="Arial"/>
          <w:szCs w:val="24"/>
        </w:rPr>
      </w:pPr>
    </w:p>
    <w:p w14:paraId="74CC574C" w14:textId="7CC5E934" w:rsidR="00B67B8F" w:rsidRPr="00D7302A" w:rsidRDefault="00B67B8F" w:rsidP="0091598E">
      <w:pPr>
        <w:rPr>
          <w:rFonts w:ascii="Arial" w:hAnsi="Arial" w:cs="Arial"/>
          <w:szCs w:val="24"/>
        </w:rPr>
      </w:pPr>
      <w:r w:rsidRPr="00D7302A">
        <w:rPr>
          <w:rFonts w:ascii="Arial" w:hAnsi="Arial" w:cs="Arial"/>
          <w:szCs w:val="24"/>
          <w:lang w:val="en-IN"/>
        </w:rPr>
        <w:t>Chu, P. (2025)</w:t>
      </w:r>
      <w:r w:rsidR="004872E3" w:rsidRPr="00D7302A">
        <w:rPr>
          <w:rFonts w:ascii="Arial" w:hAnsi="Arial" w:cs="Arial"/>
          <w:szCs w:val="24"/>
          <w:lang w:val="en-IN"/>
        </w:rPr>
        <w:t>.</w:t>
      </w:r>
      <w:r w:rsidR="00EC6E7A" w:rsidRPr="00D7302A">
        <w:rPr>
          <w:rFonts w:ascii="Arial" w:hAnsi="Arial" w:cs="Arial"/>
          <w:szCs w:val="24"/>
          <w:lang w:val="en-IN"/>
        </w:rPr>
        <w:t xml:space="preserve"> </w:t>
      </w:r>
      <w:proofErr w:type="gramStart"/>
      <w:r w:rsidRPr="00D7302A">
        <w:rPr>
          <w:rFonts w:ascii="Arial" w:hAnsi="Arial" w:cs="Arial"/>
          <w:i/>
          <w:iCs/>
          <w:szCs w:val="24"/>
          <w:lang w:val="en-IN"/>
        </w:rPr>
        <w:t>A</w:t>
      </w:r>
      <w:proofErr w:type="gramEnd"/>
      <w:r w:rsidRPr="00D7302A">
        <w:rPr>
          <w:rFonts w:ascii="Arial" w:hAnsi="Arial" w:cs="Arial"/>
          <w:i/>
          <w:iCs/>
          <w:szCs w:val="24"/>
          <w:lang w:val="en-IN"/>
        </w:rPr>
        <w:t xml:space="preserve"> New Era for UK-Taiwan Relations: Explaining the UK’s New Interests in the Indo-Pacific and Taiwan. </w:t>
      </w:r>
      <w:r w:rsidRPr="00D7302A">
        <w:rPr>
          <w:rFonts w:ascii="Arial" w:hAnsi="Arial" w:cs="Arial"/>
          <w:szCs w:val="24"/>
        </w:rPr>
        <w:t>Available at: https://taiwaninsight.org/2025/09/08/a-new-era-for-uk-taiwan-relations-explaining-the-uks-new-interests-in-the-indo-pacific-and-taiwan/ (Accessed: 22 September 2025).</w:t>
      </w:r>
    </w:p>
    <w:p w14:paraId="12FD4882" w14:textId="77777777" w:rsidR="00CB0E63" w:rsidRPr="00D7302A" w:rsidRDefault="00CB0E63" w:rsidP="0091598E">
      <w:pPr>
        <w:rPr>
          <w:rFonts w:ascii="Arial" w:hAnsi="Arial" w:cs="Arial"/>
          <w:szCs w:val="24"/>
        </w:rPr>
      </w:pPr>
    </w:p>
    <w:p w14:paraId="5E3DE5EF" w14:textId="09FFAA49" w:rsidR="00B67B8F" w:rsidRPr="00D7302A" w:rsidRDefault="00B67B8F" w:rsidP="00366950">
      <w:pPr>
        <w:rPr>
          <w:rFonts w:ascii="Arial" w:hAnsi="Arial" w:cs="Arial"/>
          <w:szCs w:val="24"/>
        </w:rPr>
      </w:pPr>
      <w:r w:rsidRPr="00D7302A">
        <w:rPr>
          <w:rFonts w:ascii="Arial" w:hAnsi="Arial" w:cs="Arial"/>
          <w:szCs w:val="24"/>
          <w:lang w:val="en-IN"/>
        </w:rPr>
        <w:t>Difford, D. (2025)</w:t>
      </w:r>
      <w:r w:rsidR="00EC6E7A" w:rsidRPr="00D7302A">
        <w:rPr>
          <w:rFonts w:ascii="Arial" w:hAnsi="Arial" w:cs="Arial"/>
          <w:szCs w:val="24"/>
          <w:lang w:val="en-IN"/>
        </w:rPr>
        <w:t>.</w:t>
      </w:r>
      <w:r w:rsidRPr="00D7302A">
        <w:rPr>
          <w:rFonts w:ascii="Arial" w:hAnsi="Arial" w:cs="Arial"/>
          <w:szCs w:val="24"/>
          <w:lang w:val="en-IN"/>
        </w:rPr>
        <w:t xml:space="preserve"> </w:t>
      </w:r>
      <w:r w:rsidRPr="00D7302A">
        <w:rPr>
          <w:rFonts w:ascii="Arial" w:hAnsi="Arial" w:cs="Arial"/>
          <w:i/>
          <w:iCs/>
          <w:szCs w:val="24"/>
        </w:rPr>
        <w:t>How do Britons see Reform UK, ahead of their 2025 conference?</w:t>
      </w:r>
      <w:r w:rsidRPr="00D7302A">
        <w:rPr>
          <w:rFonts w:ascii="Arial" w:hAnsi="Arial" w:cs="Arial"/>
          <w:szCs w:val="24"/>
        </w:rPr>
        <w:t xml:space="preserve"> Available at: https://yougov.co.uk/politics/articles/52896-how-do-britons-see-reform-uk-ahead-of-their-2025-conference (Accessed: 22 September 2025).</w:t>
      </w:r>
    </w:p>
    <w:p w14:paraId="5B1F6FA8" w14:textId="77777777" w:rsidR="00CB0E63" w:rsidRPr="00D7302A" w:rsidRDefault="00CB0E63" w:rsidP="00366950">
      <w:pPr>
        <w:rPr>
          <w:rFonts w:ascii="Arial" w:hAnsi="Arial" w:cs="Arial"/>
          <w:i/>
          <w:iCs/>
          <w:szCs w:val="24"/>
        </w:rPr>
      </w:pPr>
    </w:p>
    <w:p w14:paraId="07AAEE40" w14:textId="0C779CFE" w:rsidR="00B67B8F" w:rsidRPr="00D7302A" w:rsidRDefault="00B67B8F" w:rsidP="00CC1A6C">
      <w:pPr>
        <w:rPr>
          <w:rFonts w:ascii="Arial" w:hAnsi="Arial" w:cs="Arial"/>
          <w:szCs w:val="24"/>
        </w:rPr>
      </w:pPr>
      <w:r w:rsidRPr="00D7302A">
        <w:rPr>
          <w:rFonts w:ascii="Arial" w:hAnsi="Arial" w:cs="Arial"/>
          <w:szCs w:val="24"/>
          <w:lang w:val="en-IN"/>
        </w:rPr>
        <w:t>Future Digital Twin (2025)</w:t>
      </w:r>
      <w:r w:rsidR="00EC6E7A" w:rsidRPr="00D7302A">
        <w:rPr>
          <w:rFonts w:ascii="Arial" w:hAnsi="Arial" w:cs="Arial"/>
          <w:szCs w:val="24"/>
          <w:lang w:val="en-IN"/>
        </w:rPr>
        <w:t xml:space="preserve">. </w:t>
      </w:r>
      <w:r w:rsidRPr="00D7302A">
        <w:rPr>
          <w:rFonts w:ascii="Arial" w:hAnsi="Arial" w:cs="Arial"/>
          <w:i/>
          <w:iCs/>
          <w:szCs w:val="24"/>
          <w:lang w:val="en-IN"/>
        </w:rPr>
        <w:t xml:space="preserve">US oil and gas firms see challenges for AI deployment. </w:t>
      </w:r>
      <w:r w:rsidRPr="00D7302A">
        <w:rPr>
          <w:rFonts w:ascii="Arial" w:hAnsi="Arial" w:cs="Arial"/>
          <w:szCs w:val="24"/>
        </w:rPr>
        <w:t>Available at: https://futuredigitaltwin.com/us-oil-and-gas-firms-see-challenges-for-ai-deployment/ (Accessed: 22 September 2025).</w:t>
      </w:r>
    </w:p>
    <w:p w14:paraId="313292C7" w14:textId="77777777" w:rsidR="00CB0E63" w:rsidRPr="00D7302A" w:rsidRDefault="00CB0E63" w:rsidP="00CC1A6C">
      <w:pPr>
        <w:rPr>
          <w:rFonts w:ascii="Arial" w:hAnsi="Arial" w:cs="Arial"/>
          <w:szCs w:val="24"/>
        </w:rPr>
      </w:pPr>
    </w:p>
    <w:p w14:paraId="4382BA5B" w14:textId="1264151C" w:rsidR="00B67B8F" w:rsidRPr="00D7302A" w:rsidRDefault="00B67B8F" w:rsidP="0091598E">
      <w:pPr>
        <w:rPr>
          <w:rFonts w:ascii="Arial" w:hAnsi="Arial" w:cs="Arial"/>
          <w:szCs w:val="24"/>
        </w:rPr>
      </w:pPr>
      <w:r w:rsidRPr="00D7302A">
        <w:rPr>
          <w:rFonts w:ascii="Arial" w:hAnsi="Arial" w:cs="Arial"/>
          <w:szCs w:val="24"/>
        </w:rPr>
        <w:t>GlobalData (2025)</w:t>
      </w:r>
      <w:r w:rsidR="00EC6E7A" w:rsidRPr="00D7302A">
        <w:rPr>
          <w:rFonts w:ascii="Arial" w:hAnsi="Arial" w:cs="Arial"/>
          <w:szCs w:val="24"/>
        </w:rPr>
        <w:t xml:space="preserve">. </w:t>
      </w:r>
      <w:r w:rsidRPr="00D7302A">
        <w:rPr>
          <w:rFonts w:ascii="Arial" w:hAnsi="Arial" w:cs="Arial"/>
          <w:i/>
          <w:iCs/>
          <w:szCs w:val="24"/>
        </w:rPr>
        <w:t>BP Plc - Company Profile</w:t>
      </w:r>
      <w:r w:rsidRPr="00D7302A">
        <w:rPr>
          <w:rFonts w:ascii="Arial" w:hAnsi="Arial" w:cs="Arial"/>
          <w:szCs w:val="24"/>
        </w:rPr>
        <w:t>. Available at: https://www.globaldata.com/company-profile/bp-plc/ (Accessed: 22 September 2025).</w:t>
      </w:r>
    </w:p>
    <w:p w14:paraId="2FA8156B" w14:textId="77777777" w:rsidR="00CB0E63" w:rsidRPr="00D7302A" w:rsidRDefault="00CB0E63" w:rsidP="0091598E">
      <w:pPr>
        <w:rPr>
          <w:rFonts w:ascii="Arial" w:hAnsi="Arial" w:cs="Arial"/>
          <w:szCs w:val="24"/>
        </w:rPr>
      </w:pPr>
    </w:p>
    <w:p w14:paraId="09341C3D" w14:textId="7B62EEBC" w:rsidR="00B67B8F" w:rsidRPr="00D7302A" w:rsidRDefault="00B67B8F" w:rsidP="00B8319D">
      <w:pPr>
        <w:rPr>
          <w:rFonts w:ascii="Arial" w:hAnsi="Arial" w:cs="Arial"/>
          <w:szCs w:val="24"/>
        </w:rPr>
      </w:pPr>
      <w:r w:rsidRPr="00D7302A">
        <w:rPr>
          <w:rFonts w:ascii="Arial" w:hAnsi="Arial" w:cs="Arial"/>
          <w:szCs w:val="24"/>
          <w:lang w:val="en-IN"/>
        </w:rPr>
        <w:lastRenderedPageBreak/>
        <w:t>GoCardless (2021)</w:t>
      </w:r>
      <w:r w:rsidR="00EC6E7A" w:rsidRPr="00D7302A">
        <w:rPr>
          <w:rFonts w:ascii="Arial" w:hAnsi="Arial" w:cs="Arial"/>
          <w:szCs w:val="24"/>
          <w:lang w:val="en-IN"/>
        </w:rPr>
        <w:t xml:space="preserve">. </w:t>
      </w:r>
      <w:r w:rsidRPr="00D7302A">
        <w:rPr>
          <w:rFonts w:ascii="Arial" w:hAnsi="Arial" w:cs="Arial"/>
          <w:i/>
          <w:iCs/>
          <w:szCs w:val="24"/>
          <w:lang w:val="en-IN"/>
        </w:rPr>
        <w:t xml:space="preserve">What Is the Companies Act 2006? </w:t>
      </w:r>
      <w:r w:rsidRPr="00D7302A">
        <w:rPr>
          <w:rFonts w:ascii="Arial" w:hAnsi="Arial" w:cs="Arial"/>
          <w:szCs w:val="24"/>
        </w:rPr>
        <w:t>Available at: https://gocardless.com/guides/posts/what-is-the-companies-act-2006/ (Accessed: 22 September 2025).</w:t>
      </w:r>
    </w:p>
    <w:p w14:paraId="2F2C0835" w14:textId="32E5E050" w:rsidR="00B67B8F" w:rsidRPr="00D7302A" w:rsidRDefault="00B67B8F" w:rsidP="0091598E">
      <w:pPr>
        <w:rPr>
          <w:rFonts w:ascii="Arial" w:hAnsi="Arial" w:cs="Arial"/>
          <w:szCs w:val="24"/>
        </w:rPr>
      </w:pPr>
      <w:r w:rsidRPr="00D7302A">
        <w:rPr>
          <w:rFonts w:ascii="Arial" w:hAnsi="Arial" w:cs="Arial"/>
          <w:szCs w:val="24"/>
        </w:rPr>
        <w:t>Horton, H., Stacey, K., and Mason, R. (2025)</w:t>
      </w:r>
      <w:r w:rsidR="00EC6E7A" w:rsidRPr="00D7302A">
        <w:rPr>
          <w:rFonts w:ascii="Arial" w:hAnsi="Arial" w:cs="Arial"/>
          <w:szCs w:val="24"/>
        </w:rPr>
        <w:t xml:space="preserve">. </w:t>
      </w:r>
      <w:r w:rsidRPr="00D7302A">
        <w:rPr>
          <w:rFonts w:ascii="Arial" w:hAnsi="Arial" w:cs="Arial"/>
          <w:i/>
          <w:iCs/>
          <w:szCs w:val="24"/>
          <w:lang w:val="en-IN"/>
        </w:rPr>
        <w:t xml:space="preserve">UK ministers reopen door to drilling at two North Sea oilfields as new guidance released. </w:t>
      </w:r>
      <w:r w:rsidRPr="00D7302A">
        <w:rPr>
          <w:rFonts w:ascii="Arial" w:hAnsi="Arial" w:cs="Arial"/>
          <w:szCs w:val="24"/>
        </w:rPr>
        <w:t>Available at: https://www.theguardian.com/environment/2025/jun/19/uk-ministers-to-restart-approval-process-for-two-north-sea-oilfields (Accessed: 22 September 2025).</w:t>
      </w:r>
    </w:p>
    <w:p w14:paraId="69EB42F6" w14:textId="77777777" w:rsidR="00CB0E63" w:rsidRPr="00D7302A" w:rsidRDefault="00CB0E63" w:rsidP="0091598E">
      <w:pPr>
        <w:rPr>
          <w:rFonts w:ascii="Arial" w:hAnsi="Arial" w:cs="Arial"/>
          <w:szCs w:val="24"/>
        </w:rPr>
      </w:pPr>
    </w:p>
    <w:p w14:paraId="4743ADFF" w14:textId="60C45F84" w:rsidR="00B67B8F" w:rsidRPr="00D7302A" w:rsidRDefault="00B67B8F" w:rsidP="00BB2831">
      <w:pPr>
        <w:rPr>
          <w:rFonts w:ascii="Arial" w:hAnsi="Arial" w:cs="Arial"/>
          <w:szCs w:val="24"/>
        </w:rPr>
      </w:pPr>
      <w:r w:rsidRPr="00D7302A">
        <w:rPr>
          <w:rFonts w:ascii="Arial" w:hAnsi="Arial" w:cs="Arial"/>
          <w:szCs w:val="24"/>
        </w:rPr>
        <w:t>IBM (2023)</w:t>
      </w:r>
      <w:r w:rsidR="00EC6E7A" w:rsidRPr="00D7302A">
        <w:rPr>
          <w:rFonts w:ascii="Arial" w:hAnsi="Arial" w:cs="Arial"/>
          <w:szCs w:val="24"/>
        </w:rPr>
        <w:t xml:space="preserve">. </w:t>
      </w:r>
      <w:r w:rsidRPr="00D7302A">
        <w:rPr>
          <w:rFonts w:ascii="Arial" w:hAnsi="Arial" w:cs="Arial"/>
          <w:i/>
          <w:iCs/>
          <w:szCs w:val="24"/>
          <w:lang w:val="en-IN"/>
        </w:rPr>
        <w:t xml:space="preserve">How to build a successful talent management strategy. </w:t>
      </w:r>
      <w:r w:rsidRPr="00D7302A">
        <w:rPr>
          <w:rFonts w:ascii="Arial" w:hAnsi="Arial" w:cs="Arial"/>
          <w:szCs w:val="24"/>
        </w:rPr>
        <w:t>Available at: https://www.ibm.com/think/insights/talent-management-strategy (Accessed: 22 September 2025).</w:t>
      </w:r>
    </w:p>
    <w:p w14:paraId="79091E85" w14:textId="77777777" w:rsidR="00CB0E63" w:rsidRPr="00D7302A" w:rsidRDefault="00CB0E63" w:rsidP="00BB2831">
      <w:pPr>
        <w:rPr>
          <w:rFonts w:ascii="Arial" w:hAnsi="Arial" w:cs="Arial"/>
          <w:szCs w:val="24"/>
        </w:rPr>
      </w:pPr>
    </w:p>
    <w:p w14:paraId="0A76FA30" w14:textId="2D39D186" w:rsidR="00B67B8F" w:rsidRPr="00D7302A" w:rsidRDefault="00B67B8F" w:rsidP="0091598E">
      <w:pPr>
        <w:rPr>
          <w:rFonts w:ascii="Arial" w:hAnsi="Arial" w:cs="Arial"/>
          <w:szCs w:val="24"/>
        </w:rPr>
      </w:pPr>
      <w:r w:rsidRPr="00D7302A">
        <w:rPr>
          <w:rFonts w:ascii="Arial" w:hAnsi="Arial" w:cs="Arial"/>
          <w:szCs w:val="24"/>
          <w:lang w:val="en-IN"/>
        </w:rPr>
        <w:t>Jenkins, A. (2025)</w:t>
      </w:r>
      <w:r w:rsidR="00EC6E7A" w:rsidRPr="00D7302A">
        <w:rPr>
          <w:rFonts w:ascii="Arial" w:hAnsi="Arial" w:cs="Arial"/>
          <w:szCs w:val="24"/>
          <w:lang w:val="en-IN"/>
        </w:rPr>
        <w:t xml:space="preserve">. </w:t>
      </w:r>
      <w:r w:rsidRPr="00D7302A">
        <w:rPr>
          <w:rFonts w:ascii="Arial" w:hAnsi="Arial" w:cs="Arial"/>
          <w:i/>
          <w:iCs/>
          <w:szCs w:val="24"/>
          <w:lang w:val="en-IN"/>
        </w:rPr>
        <w:t xml:space="preserve">5 Strategies for Managing Supply Chain Disruptions. </w:t>
      </w:r>
      <w:r w:rsidRPr="00D7302A">
        <w:rPr>
          <w:rFonts w:ascii="Arial" w:hAnsi="Arial" w:cs="Arial"/>
          <w:szCs w:val="24"/>
        </w:rPr>
        <w:t>Available at: https://www.netsuite.com/portal/resource/articles/erp/handle-supply-chain-disruptions.shtml (Accessed: 22 September 2025).</w:t>
      </w:r>
    </w:p>
    <w:p w14:paraId="7E74D2B4" w14:textId="77777777" w:rsidR="00CB0E63" w:rsidRPr="00D7302A" w:rsidRDefault="00CB0E63" w:rsidP="0091598E">
      <w:pPr>
        <w:rPr>
          <w:rFonts w:ascii="Arial" w:hAnsi="Arial" w:cs="Arial"/>
          <w:szCs w:val="24"/>
        </w:rPr>
      </w:pPr>
    </w:p>
    <w:p w14:paraId="1168C228" w14:textId="3C612F7E" w:rsidR="00B67B8F" w:rsidRPr="00D7302A" w:rsidRDefault="00B67B8F" w:rsidP="00F2572F">
      <w:pPr>
        <w:rPr>
          <w:rFonts w:ascii="Arial" w:hAnsi="Arial" w:cs="Arial"/>
          <w:szCs w:val="24"/>
        </w:rPr>
      </w:pPr>
      <w:r w:rsidRPr="00D7302A">
        <w:rPr>
          <w:rFonts w:ascii="Arial" w:hAnsi="Arial" w:cs="Arial"/>
          <w:szCs w:val="24"/>
        </w:rPr>
        <w:t>Mintel (2025)</w:t>
      </w:r>
      <w:r w:rsidR="00EC6E7A" w:rsidRPr="00D7302A">
        <w:rPr>
          <w:rFonts w:ascii="Arial" w:hAnsi="Arial" w:cs="Arial"/>
          <w:szCs w:val="24"/>
        </w:rPr>
        <w:t xml:space="preserve">. </w:t>
      </w:r>
      <w:r w:rsidRPr="00D7302A">
        <w:rPr>
          <w:rFonts w:ascii="Arial" w:hAnsi="Arial" w:cs="Arial"/>
          <w:i/>
          <w:iCs/>
          <w:szCs w:val="24"/>
          <w:lang w:val="en-IN"/>
        </w:rPr>
        <w:t xml:space="preserve">UK Everyday Sustainability Consumer Report 2025. </w:t>
      </w:r>
      <w:r w:rsidRPr="00D7302A">
        <w:rPr>
          <w:rFonts w:ascii="Arial" w:hAnsi="Arial" w:cs="Arial"/>
          <w:szCs w:val="24"/>
        </w:rPr>
        <w:t>Available at: https://store.mintel.com/report/uk-everyday-sustainability-market-report (Accessed: 22 September 2025).</w:t>
      </w:r>
    </w:p>
    <w:p w14:paraId="1CC9C255" w14:textId="77777777" w:rsidR="00CB0E63" w:rsidRPr="00D7302A" w:rsidRDefault="00CB0E63" w:rsidP="00F2572F">
      <w:pPr>
        <w:rPr>
          <w:rFonts w:ascii="Arial" w:hAnsi="Arial" w:cs="Arial"/>
          <w:szCs w:val="24"/>
        </w:rPr>
      </w:pPr>
    </w:p>
    <w:p w14:paraId="7AED2D47" w14:textId="47322D08" w:rsidR="00B67B8F" w:rsidRPr="00D7302A" w:rsidRDefault="00B67B8F" w:rsidP="00B71B69">
      <w:pPr>
        <w:rPr>
          <w:rFonts w:ascii="Arial" w:hAnsi="Arial" w:cs="Arial"/>
          <w:szCs w:val="24"/>
        </w:rPr>
      </w:pPr>
      <w:r w:rsidRPr="00D7302A">
        <w:rPr>
          <w:rFonts w:ascii="Arial" w:hAnsi="Arial" w:cs="Arial"/>
          <w:szCs w:val="24"/>
          <w:lang w:val="en-IN"/>
        </w:rPr>
        <w:t>NSTA (2025)</w:t>
      </w:r>
      <w:r w:rsidR="00EC6E7A" w:rsidRPr="00D7302A">
        <w:rPr>
          <w:rFonts w:ascii="Arial" w:hAnsi="Arial" w:cs="Arial"/>
          <w:szCs w:val="24"/>
          <w:lang w:val="en-IN"/>
        </w:rPr>
        <w:t xml:space="preserve">. </w:t>
      </w:r>
      <w:r w:rsidRPr="00D7302A">
        <w:rPr>
          <w:rFonts w:ascii="Arial" w:hAnsi="Arial" w:cs="Arial"/>
          <w:i/>
          <w:iCs/>
          <w:szCs w:val="24"/>
          <w:lang w:val="en-IN"/>
        </w:rPr>
        <w:t xml:space="preserve">Taxation. </w:t>
      </w:r>
      <w:r w:rsidRPr="00D7302A">
        <w:rPr>
          <w:rFonts w:ascii="Arial" w:hAnsi="Arial" w:cs="Arial"/>
          <w:szCs w:val="24"/>
        </w:rPr>
        <w:t>Available at: https://www.nstauthority.co.uk/regulatory-information/exploration-and-production/taxation/#:~:text=The%20tax%20regime%20which%20applies,Energy%20Profits%20Levy%20(38%25) (Accessed: 22 September 2025).</w:t>
      </w:r>
    </w:p>
    <w:p w14:paraId="090B3AAC" w14:textId="77777777" w:rsidR="00CB0E63" w:rsidRPr="00D7302A" w:rsidRDefault="00CB0E63" w:rsidP="00B71B69">
      <w:pPr>
        <w:rPr>
          <w:rFonts w:ascii="Arial" w:hAnsi="Arial" w:cs="Arial"/>
          <w:szCs w:val="24"/>
        </w:rPr>
      </w:pPr>
    </w:p>
    <w:p w14:paraId="77EEF832" w14:textId="09D91249" w:rsidR="00B67B8F" w:rsidRPr="00D7302A" w:rsidRDefault="00B67B8F" w:rsidP="0091598E">
      <w:pPr>
        <w:rPr>
          <w:rFonts w:ascii="Arial" w:hAnsi="Arial" w:cs="Arial"/>
          <w:szCs w:val="24"/>
        </w:rPr>
      </w:pPr>
      <w:r w:rsidRPr="00D7302A">
        <w:rPr>
          <w:rFonts w:ascii="Arial" w:hAnsi="Arial" w:cs="Arial"/>
          <w:szCs w:val="24"/>
        </w:rPr>
        <w:t>Trading Economics (2025)</w:t>
      </w:r>
      <w:r w:rsidR="00EC6E7A" w:rsidRPr="00D7302A">
        <w:rPr>
          <w:rFonts w:ascii="Arial" w:hAnsi="Arial" w:cs="Arial"/>
          <w:szCs w:val="24"/>
        </w:rPr>
        <w:t xml:space="preserve">. </w:t>
      </w:r>
      <w:r w:rsidRPr="00D7302A">
        <w:rPr>
          <w:rFonts w:ascii="Arial" w:hAnsi="Arial" w:cs="Arial"/>
          <w:i/>
          <w:iCs/>
          <w:szCs w:val="24"/>
          <w:lang w:val="en-IN"/>
        </w:rPr>
        <w:t xml:space="preserve">United Kingdom GDP Growth Rate. </w:t>
      </w:r>
      <w:r w:rsidRPr="00D7302A">
        <w:rPr>
          <w:rFonts w:ascii="Arial" w:hAnsi="Arial" w:cs="Arial"/>
          <w:szCs w:val="24"/>
        </w:rPr>
        <w:t>Available at: https://tradingeconomics.com/united-kingdom/gdp-growth (Accessed: 22 September 2025).</w:t>
      </w:r>
    </w:p>
    <w:p w14:paraId="55E9FA5F" w14:textId="77777777" w:rsidR="00CB0E63" w:rsidRPr="00D7302A" w:rsidRDefault="00CB0E63" w:rsidP="0091598E">
      <w:pPr>
        <w:rPr>
          <w:rFonts w:ascii="Arial" w:hAnsi="Arial" w:cs="Arial"/>
          <w:i/>
          <w:iCs/>
          <w:szCs w:val="24"/>
          <w:lang w:val="en-IN"/>
        </w:rPr>
      </w:pPr>
    </w:p>
    <w:p w14:paraId="25B49CAA" w14:textId="0AFED4AB" w:rsidR="00B67B8F" w:rsidRPr="00D7302A" w:rsidRDefault="00B67B8F" w:rsidP="00765C44">
      <w:pPr>
        <w:rPr>
          <w:rFonts w:ascii="Arial" w:hAnsi="Arial" w:cs="Arial"/>
          <w:szCs w:val="24"/>
        </w:rPr>
      </w:pPr>
      <w:r w:rsidRPr="00D7302A">
        <w:rPr>
          <w:rFonts w:ascii="Arial" w:hAnsi="Arial" w:cs="Arial"/>
          <w:szCs w:val="24"/>
          <w:lang w:val="en-IN"/>
        </w:rPr>
        <w:t>Williment, C. (2025)</w:t>
      </w:r>
      <w:r w:rsidR="00EC6E7A" w:rsidRPr="00D7302A">
        <w:rPr>
          <w:rFonts w:ascii="Arial" w:hAnsi="Arial" w:cs="Arial"/>
          <w:szCs w:val="24"/>
          <w:lang w:val="en-IN"/>
        </w:rPr>
        <w:t xml:space="preserve">. </w:t>
      </w:r>
      <w:r w:rsidRPr="00D7302A">
        <w:rPr>
          <w:rFonts w:ascii="Arial" w:hAnsi="Arial" w:cs="Arial"/>
          <w:i/>
          <w:iCs/>
          <w:szCs w:val="24"/>
          <w:lang w:val="en-IN"/>
        </w:rPr>
        <w:t xml:space="preserve">What is The UK Government’s Guidance on Oil &amp; Gas Projects? </w:t>
      </w:r>
      <w:r w:rsidRPr="00D7302A">
        <w:rPr>
          <w:rFonts w:ascii="Arial" w:hAnsi="Arial" w:cs="Arial"/>
          <w:szCs w:val="24"/>
        </w:rPr>
        <w:t>Available at: https://sustainabilitymag.com/articles/what-is-the-uk-governments-guidance-on-oil-gas-projects (Accessed: 22 September 2025).</w:t>
      </w:r>
    </w:p>
    <w:p w14:paraId="31F10118" w14:textId="77777777" w:rsidR="00CB0E63" w:rsidRPr="00D7302A" w:rsidRDefault="00CB0E63" w:rsidP="00765C44">
      <w:pPr>
        <w:rPr>
          <w:rFonts w:ascii="Arial" w:hAnsi="Arial" w:cs="Arial"/>
          <w:szCs w:val="24"/>
        </w:rPr>
      </w:pPr>
    </w:p>
    <w:p w14:paraId="1CEADB09" w14:textId="3221DEFD" w:rsidR="00B67B8F" w:rsidRPr="00D7302A" w:rsidRDefault="00B67B8F" w:rsidP="00C830EB">
      <w:pPr>
        <w:rPr>
          <w:rFonts w:ascii="Arial" w:hAnsi="Arial" w:cs="Arial"/>
          <w:szCs w:val="24"/>
        </w:rPr>
      </w:pPr>
      <w:r w:rsidRPr="00D7302A">
        <w:rPr>
          <w:rFonts w:ascii="Arial" w:hAnsi="Arial" w:cs="Arial"/>
          <w:szCs w:val="24"/>
        </w:rPr>
        <w:lastRenderedPageBreak/>
        <w:t>Yahoo Finance (2025)</w:t>
      </w:r>
      <w:r w:rsidR="00AB0028" w:rsidRPr="00D7302A">
        <w:rPr>
          <w:rFonts w:ascii="Arial" w:hAnsi="Arial" w:cs="Arial"/>
          <w:szCs w:val="24"/>
        </w:rPr>
        <w:t xml:space="preserve">. </w:t>
      </w:r>
      <w:r w:rsidRPr="00D7302A">
        <w:rPr>
          <w:rFonts w:ascii="Arial" w:hAnsi="Arial" w:cs="Arial"/>
          <w:i/>
          <w:iCs/>
          <w:szCs w:val="24"/>
          <w:lang w:val="en-IN"/>
        </w:rPr>
        <w:t xml:space="preserve">UK Oil &amp; Gas Market Analysis and Forecast (2025-2030 ... </w:t>
      </w:r>
      <w:r w:rsidRPr="00D7302A">
        <w:rPr>
          <w:rFonts w:ascii="Arial" w:hAnsi="Arial" w:cs="Arial"/>
          <w:szCs w:val="24"/>
        </w:rPr>
        <w:t>Available at:</w:t>
      </w:r>
      <w:r w:rsidR="00CC4A90" w:rsidRPr="00D7302A">
        <w:rPr>
          <w:rFonts w:ascii="Arial" w:hAnsi="Arial" w:cs="Arial"/>
          <w:szCs w:val="24"/>
        </w:rPr>
        <w:t xml:space="preserve"> </w:t>
      </w:r>
      <w:r w:rsidRPr="00D7302A">
        <w:rPr>
          <w:rFonts w:ascii="Arial" w:hAnsi="Arial" w:cs="Arial"/>
          <w:szCs w:val="24"/>
        </w:rPr>
        <w:t>https://uk.finance.yahoo.com/news/uk-oil-gas-market-analysis-113600085.html?guccounter=1&amp;guce_referrer=aHR0cHM6Ly93d3cuZ29vZ2xlLmNvbS8&amp;guce_referrer_sig=AQAAALiqFtnHEKmbqQIhedcV6jB2d1G4WaJ0L0vWa3Y38vE2obT5XviY6GTHmZggNEqnCNlL4SIKQv4lgujdm62kUrPBtv7--cZOCjfsv3zBT8_yawv39tpSbvgH_UCljoe8aT79CtJlFJ80_wL54BRC28YWn5ECTQhvwyPyjyIj8ZpV (Accessed: 22 September 2025).</w:t>
      </w:r>
    </w:p>
    <w:p w14:paraId="416390A0" w14:textId="77777777" w:rsidR="00CB0E63" w:rsidRPr="00D7302A" w:rsidRDefault="00CB0E63" w:rsidP="00C830EB">
      <w:pPr>
        <w:rPr>
          <w:rFonts w:ascii="Arial" w:hAnsi="Arial" w:cs="Arial"/>
          <w:i/>
          <w:iCs/>
          <w:szCs w:val="24"/>
          <w:lang w:val="en-IN"/>
        </w:rPr>
      </w:pPr>
    </w:p>
    <w:p w14:paraId="78E1A15D" w14:textId="459E96D2" w:rsidR="00B67B8F" w:rsidRPr="00D7302A" w:rsidRDefault="00B67B8F" w:rsidP="00B8319D">
      <w:pPr>
        <w:rPr>
          <w:rFonts w:ascii="Arial" w:hAnsi="Arial" w:cs="Arial"/>
          <w:szCs w:val="24"/>
        </w:rPr>
      </w:pPr>
      <w:r w:rsidRPr="00D7302A">
        <w:rPr>
          <w:rFonts w:ascii="Arial" w:hAnsi="Arial" w:cs="Arial"/>
          <w:szCs w:val="24"/>
        </w:rPr>
        <w:t>Yahoo Finance (2025)</w:t>
      </w:r>
      <w:r w:rsidR="00CC4A90" w:rsidRPr="00D7302A">
        <w:rPr>
          <w:rFonts w:ascii="Arial" w:hAnsi="Arial" w:cs="Arial"/>
          <w:szCs w:val="24"/>
        </w:rPr>
        <w:t xml:space="preserve">. </w:t>
      </w:r>
      <w:r w:rsidRPr="00D7302A">
        <w:rPr>
          <w:rFonts w:ascii="Arial" w:hAnsi="Arial" w:cs="Arial"/>
          <w:i/>
          <w:iCs/>
          <w:szCs w:val="24"/>
          <w:lang w:val="en-IN"/>
        </w:rPr>
        <w:t xml:space="preserve">Oil &amp; Gas Industry Future Technology Research Report 2024: Addressing Critical Challenges in Sustainability, Operational Efficiency, and Resource Optimization. </w:t>
      </w:r>
      <w:r w:rsidRPr="00D7302A">
        <w:rPr>
          <w:rFonts w:ascii="Arial" w:hAnsi="Arial" w:cs="Arial"/>
          <w:szCs w:val="24"/>
        </w:rPr>
        <w:t>Available at: https://uk.finance.yahoo.com/news/oil-gas-industry-future-technology-145700627.html (Accessed: 22 September 2025).</w:t>
      </w:r>
    </w:p>
    <w:p w14:paraId="475207A6" w14:textId="77777777" w:rsidR="00DA6FEC" w:rsidRPr="00F012BE" w:rsidRDefault="00DA6FEC" w:rsidP="00B8319D">
      <w:pPr>
        <w:rPr>
          <w:lang w:val="en-IN"/>
        </w:rPr>
      </w:pPr>
    </w:p>
    <w:sectPr w:rsidR="00DA6FEC" w:rsidRPr="00F012B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4AE5CD" w14:textId="77777777" w:rsidR="0087319A" w:rsidRDefault="0087319A" w:rsidP="009373BE">
      <w:pPr>
        <w:spacing w:line="240" w:lineRule="auto"/>
      </w:pPr>
      <w:r>
        <w:separator/>
      </w:r>
    </w:p>
  </w:endnote>
  <w:endnote w:type="continuationSeparator" w:id="0">
    <w:p w14:paraId="46B12326" w14:textId="77777777" w:rsidR="0087319A" w:rsidRDefault="0087319A" w:rsidP="009373B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2367588"/>
      <w:docPartObj>
        <w:docPartGallery w:val="Page Numbers (Bottom of Page)"/>
        <w:docPartUnique/>
      </w:docPartObj>
    </w:sdtPr>
    <w:sdtEndPr>
      <w:rPr>
        <w:noProof/>
      </w:rPr>
    </w:sdtEndPr>
    <w:sdtContent>
      <w:p w14:paraId="7631BE0D" w14:textId="70EF988F" w:rsidR="009373BE" w:rsidRDefault="009373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180322" w14:textId="77777777" w:rsidR="009373BE" w:rsidRDefault="009373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D46C86" w14:textId="77777777" w:rsidR="0087319A" w:rsidRDefault="0087319A" w:rsidP="009373BE">
      <w:pPr>
        <w:spacing w:line="240" w:lineRule="auto"/>
      </w:pPr>
      <w:r>
        <w:separator/>
      </w:r>
    </w:p>
  </w:footnote>
  <w:footnote w:type="continuationSeparator" w:id="0">
    <w:p w14:paraId="4F0A37D8" w14:textId="77777777" w:rsidR="0087319A" w:rsidRDefault="0087319A" w:rsidP="009373B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D762F0"/>
    <w:multiLevelType w:val="hybridMultilevel"/>
    <w:tmpl w:val="AFFCF6FA"/>
    <w:lvl w:ilvl="0" w:tplc="C73A6EF4">
      <w:start w:val="1"/>
      <w:numFmt w:val="bullet"/>
      <w:lvlText w:val=""/>
      <w:lvlJc w:val="left"/>
      <w:pPr>
        <w:ind w:left="1080" w:hanging="360"/>
      </w:pPr>
      <w:rPr>
        <w:rFonts w:ascii="Symbol" w:hAnsi="Symbol" w:hint="default"/>
      </w:rPr>
    </w:lvl>
    <w:lvl w:ilvl="1" w:tplc="1766E9DE" w:tentative="1">
      <w:start w:val="1"/>
      <w:numFmt w:val="bullet"/>
      <w:lvlText w:val="o"/>
      <w:lvlJc w:val="left"/>
      <w:pPr>
        <w:ind w:left="1800" w:hanging="360"/>
      </w:pPr>
      <w:rPr>
        <w:rFonts w:ascii="Courier New" w:hAnsi="Courier New" w:cs="Courier New" w:hint="default"/>
      </w:rPr>
    </w:lvl>
    <w:lvl w:ilvl="2" w:tplc="AA947D2E" w:tentative="1">
      <w:start w:val="1"/>
      <w:numFmt w:val="bullet"/>
      <w:lvlText w:val=""/>
      <w:lvlJc w:val="left"/>
      <w:pPr>
        <w:ind w:left="2520" w:hanging="360"/>
      </w:pPr>
      <w:rPr>
        <w:rFonts w:ascii="Wingdings" w:hAnsi="Wingdings" w:hint="default"/>
      </w:rPr>
    </w:lvl>
    <w:lvl w:ilvl="3" w:tplc="F3FA6FE4" w:tentative="1">
      <w:start w:val="1"/>
      <w:numFmt w:val="bullet"/>
      <w:lvlText w:val=""/>
      <w:lvlJc w:val="left"/>
      <w:pPr>
        <w:ind w:left="3240" w:hanging="360"/>
      </w:pPr>
      <w:rPr>
        <w:rFonts w:ascii="Symbol" w:hAnsi="Symbol" w:hint="default"/>
      </w:rPr>
    </w:lvl>
    <w:lvl w:ilvl="4" w:tplc="E0C0CFC6" w:tentative="1">
      <w:start w:val="1"/>
      <w:numFmt w:val="bullet"/>
      <w:lvlText w:val="o"/>
      <w:lvlJc w:val="left"/>
      <w:pPr>
        <w:ind w:left="3960" w:hanging="360"/>
      </w:pPr>
      <w:rPr>
        <w:rFonts w:ascii="Courier New" w:hAnsi="Courier New" w:cs="Courier New" w:hint="default"/>
      </w:rPr>
    </w:lvl>
    <w:lvl w:ilvl="5" w:tplc="85CC5CF6" w:tentative="1">
      <w:start w:val="1"/>
      <w:numFmt w:val="bullet"/>
      <w:lvlText w:val=""/>
      <w:lvlJc w:val="left"/>
      <w:pPr>
        <w:ind w:left="4680" w:hanging="360"/>
      </w:pPr>
      <w:rPr>
        <w:rFonts w:ascii="Wingdings" w:hAnsi="Wingdings" w:hint="default"/>
      </w:rPr>
    </w:lvl>
    <w:lvl w:ilvl="6" w:tplc="D1BA7A0A" w:tentative="1">
      <w:start w:val="1"/>
      <w:numFmt w:val="bullet"/>
      <w:lvlText w:val=""/>
      <w:lvlJc w:val="left"/>
      <w:pPr>
        <w:ind w:left="5400" w:hanging="360"/>
      </w:pPr>
      <w:rPr>
        <w:rFonts w:ascii="Symbol" w:hAnsi="Symbol" w:hint="default"/>
      </w:rPr>
    </w:lvl>
    <w:lvl w:ilvl="7" w:tplc="3B5C88EA" w:tentative="1">
      <w:start w:val="1"/>
      <w:numFmt w:val="bullet"/>
      <w:lvlText w:val="o"/>
      <w:lvlJc w:val="left"/>
      <w:pPr>
        <w:ind w:left="6120" w:hanging="360"/>
      </w:pPr>
      <w:rPr>
        <w:rFonts w:ascii="Courier New" w:hAnsi="Courier New" w:cs="Courier New" w:hint="default"/>
      </w:rPr>
    </w:lvl>
    <w:lvl w:ilvl="8" w:tplc="06BA5EE0" w:tentative="1">
      <w:start w:val="1"/>
      <w:numFmt w:val="bullet"/>
      <w:lvlText w:val=""/>
      <w:lvlJc w:val="left"/>
      <w:pPr>
        <w:ind w:left="6840" w:hanging="360"/>
      </w:pPr>
      <w:rPr>
        <w:rFonts w:ascii="Wingdings" w:hAnsi="Wingdings" w:hint="default"/>
      </w:rPr>
    </w:lvl>
  </w:abstractNum>
  <w:abstractNum w:abstractNumId="1" w15:restartNumberingAfterBreak="0">
    <w:nsid w:val="250A2552"/>
    <w:multiLevelType w:val="multilevel"/>
    <w:tmpl w:val="CF4C4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2C30F9"/>
    <w:multiLevelType w:val="hybridMultilevel"/>
    <w:tmpl w:val="E0E410D8"/>
    <w:lvl w:ilvl="0" w:tplc="9DB22CA8">
      <w:start w:val="1"/>
      <w:numFmt w:val="bullet"/>
      <w:lvlText w:val=""/>
      <w:lvlJc w:val="left"/>
      <w:pPr>
        <w:ind w:left="1080" w:hanging="360"/>
      </w:pPr>
      <w:rPr>
        <w:rFonts w:ascii="Symbol" w:hAnsi="Symbol" w:hint="default"/>
      </w:rPr>
    </w:lvl>
    <w:lvl w:ilvl="1" w:tplc="792E559A" w:tentative="1">
      <w:start w:val="1"/>
      <w:numFmt w:val="bullet"/>
      <w:lvlText w:val="o"/>
      <w:lvlJc w:val="left"/>
      <w:pPr>
        <w:ind w:left="1800" w:hanging="360"/>
      </w:pPr>
      <w:rPr>
        <w:rFonts w:ascii="Courier New" w:hAnsi="Courier New" w:cs="Courier New" w:hint="default"/>
      </w:rPr>
    </w:lvl>
    <w:lvl w:ilvl="2" w:tplc="8710F1D6" w:tentative="1">
      <w:start w:val="1"/>
      <w:numFmt w:val="bullet"/>
      <w:lvlText w:val=""/>
      <w:lvlJc w:val="left"/>
      <w:pPr>
        <w:ind w:left="2520" w:hanging="360"/>
      </w:pPr>
      <w:rPr>
        <w:rFonts w:ascii="Wingdings" w:hAnsi="Wingdings" w:hint="default"/>
      </w:rPr>
    </w:lvl>
    <w:lvl w:ilvl="3" w:tplc="4A2E5732" w:tentative="1">
      <w:start w:val="1"/>
      <w:numFmt w:val="bullet"/>
      <w:lvlText w:val=""/>
      <w:lvlJc w:val="left"/>
      <w:pPr>
        <w:ind w:left="3240" w:hanging="360"/>
      </w:pPr>
      <w:rPr>
        <w:rFonts w:ascii="Symbol" w:hAnsi="Symbol" w:hint="default"/>
      </w:rPr>
    </w:lvl>
    <w:lvl w:ilvl="4" w:tplc="9A90FFDA" w:tentative="1">
      <w:start w:val="1"/>
      <w:numFmt w:val="bullet"/>
      <w:lvlText w:val="o"/>
      <w:lvlJc w:val="left"/>
      <w:pPr>
        <w:ind w:left="3960" w:hanging="360"/>
      </w:pPr>
      <w:rPr>
        <w:rFonts w:ascii="Courier New" w:hAnsi="Courier New" w:cs="Courier New" w:hint="default"/>
      </w:rPr>
    </w:lvl>
    <w:lvl w:ilvl="5" w:tplc="FD569024" w:tentative="1">
      <w:start w:val="1"/>
      <w:numFmt w:val="bullet"/>
      <w:lvlText w:val=""/>
      <w:lvlJc w:val="left"/>
      <w:pPr>
        <w:ind w:left="4680" w:hanging="360"/>
      </w:pPr>
      <w:rPr>
        <w:rFonts w:ascii="Wingdings" w:hAnsi="Wingdings" w:hint="default"/>
      </w:rPr>
    </w:lvl>
    <w:lvl w:ilvl="6" w:tplc="34423044" w:tentative="1">
      <w:start w:val="1"/>
      <w:numFmt w:val="bullet"/>
      <w:lvlText w:val=""/>
      <w:lvlJc w:val="left"/>
      <w:pPr>
        <w:ind w:left="5400" w:hanging="360"/>
      </w:pPr>
      <w:rPr>
        <w:rFonts w:ascii="Symbol" w:hAnsi="Symbol" w:hint="default"/>
      </w:rPr>
    </w:lvl>
    <w:lvl w:ilvl="7" w:tplc="FEF81C5E" w:tentative="1">
      <w:start w:val="1"/>
      <w:numFmt w:val="bullet"/>
      <w:lvlText w:val="o"/>
      <w:lvlJc w:val="left"/>
      <w:pPr>
        <w:ind w:left="6120" w:hanging="360"/>
      </w:pPr>
      <w:rPr>
        <w:rFonts w:ascii="Courier New" w:hAnsi="Courier New" w:cs="Courier New" w:hint="default"/>
      </w:rPr>
    </w:lvl>
    <w:lvl w:ilvl="8" w:tplc="9410A954" w:tentative="1">
      <w:start w:val="1"/>
      <w:numFmt w:val="bullet"/>
      <w:lvlText w:val=""/>
      <w:lvlJc w:val="left"/>
      <w:pPr>
        <w:ind w:left="6840" w:hanging="360"/>
      </w:pPr>
      <w:rPr>
        <w:rFonts w:ascii="Wingdings" w:hAnsi="Wingdings" w:hint="default"/>
      </w:rPr>
    </w:lvl>
  </w:abstractNum>
  <w:abstractNum w:abstractNumId="3" w15:restartNumberingAfterBreak="0">
    <w:nsid w:val="295A1DCB"/>
    <w:multiLevelType w:val="hybridMultilevel"/>
    <w:tmpl w:val="3E546F76"/>
    <w:lvl w:ilvl="0" w:tplc="07443356">
      <w:start w:val="1"/>
      <w:numFmt w:val="bullet"/>
      <w:lvlText w:val=""/>
      <w:lvlJc w:val="left"/>
      <w:pPr>
        <w:ind w:left="720" w:hanging="360"/>
      </w:pPr>
      <w:rPr>
        <w:rFonts w:ascii="Symbol" w:hAnsi="Symbol" w:hint="default"/>
      </w:rPr>
    </w:lvl>
    <w:lvl w:ilvl="1" w:tplc="F93C3F9A" w:tentative="1">
      <w:start w:val="1"/>
      <w:numFmt w:val="bullet"/>
      <w:lvlText w:val="o"/>
      <w:lvlJc w:val="left"/>
      <w:pPr>
        <w:ind w:left="1440" w:hanging="360"/>
      </w:pPr>
      <w:rPr>
        <w:rFonts w:ascii="Courier New" w:hAnsi="Courier New" w:cs="Courier New" w:hint="default"/>
      </w:rPr>
    </w:lvl>
    <w:lvl w:ilvl="2" w:tplc="51548DCA" w:tentative="1">
      <w:start w:val="1"/>
      <w:numFmt w:val="bullet"/>
      <w:lvlText w:val=""/>
      <w:lvlJc w:val="left"/>
      <w:pPr>
        <w:ind w:left="2160" w:hanging="360"/>
      </w:pPr>
      <w:rPr>
        <w:rFonts w:ascii="Wingdings" w:hAnsi="Wingdings" w:hint="default"/>
      </w:rPr>
    </w:lvl>
    <w:lvl w:ilvl="3" w:tplc="237E2492" w:tentative="1">
      <w:start w:val="1"/>
      <w:numFmt w:val="bullet"/>
      <w:lvlText w:val=""/>
      <w:lvlJc w:val="left"/>
      <w:pPr>
        <w:ind w:left="2880" w:hanging="360"/>
      </w:pPr>
      <w:rPr>
        <w:rFonts w:ascii="Symbol" w:hAnsi="Symbol" w:hint="default"/>
      </w:rPr>
    </w:lvl>
    <w:lvl w:ilvl="4" w:tplc="793445B6" w:tentative="1">
      <w:start w:val="1"/>
      <w:numFmt w:val="bullet"/>
      <w:lvlText w:val="o"/>
      <w:lvlJc w:val="left"/>
      <w:pPr>
        <w:ind w:left="3600" w:hanging="360"/>
      </w:pPr>
      <w:rPr>
        <w:rFonts w:ascii="Courier New" w:hAnsi="Courier New" w:cs="Courier New" w:hint="default"/>
      </w:rPr>
    </w:lvl>
    <w:lvl w:ilvl="5" w:tplc="ADC4CA50" w:tentative="1">
      <w:start w:val="1"/>
      <w:numFmt w:val="bullet"/>
      <w:lvlText w:val=""/>
      <w:lvlJc w:val="left"/>
      <w:pPr>
        <w:ind w:left="4320" w:hanging="360"/>
      </w:pPr>
      <w:rPr>
        <w:rFonts w:ascii="Wingdings" w:hAnsi="Wingdings" w:hint="default"/>
      </w:rPr>
    </w:lvl>
    <w:lvl w:ilvl="6" w:tplc="0BCE6258" w:tentative="1">
      <w:start w:val="1"/>
      <w:numFmt w:val="bullet"/>
      <w:lvlText w:val=""/>
      <w:lvlJc w:val="left"/>
      <w:pPr>
        <w:ind w:left="5040" w:hanging="360"/>
      </w:pPr>
      <w:rPr>
        <w:rFonts w:ascii="Symbol" w:hAnsi="Symbol" w:hint="default"/>
      </w:rPr>
    </w:lvl>
    <w:lvl w:ilvl="7" w:tplc="5714F23C" w:tentative="1">
      <w:start w:val="1"/>
      <w:numFmt w:val="bullet"/>
      <w:lvlText w:val="o"/>
      <w:lvlJc w:val="left"/>
      <w:pPr>
        <w:ind w:left="5760" w:hanging="360"/>
      </w:pPr>
      <w:rPr>
        <w:rFonts w:ascii="Courier New" w:hAnsi="Courier New" w:cs="Courier New" w:hint="default"/>
      </w:rPr>
    </w:lvl>
    <w:lvl w:ilvl="8" w:tplc="8C749F4A" w:tentative="1">
      <w:start w:val="1"/>
      <w:numFmt w:val="bullet"/>
      <w:lvlText w:val=""/>
      <w:lvlJc w:val="left"/>
      <w:pPr>
        <w:ind w:left="6480" w:hanging="360"/>
      </w:pPr>
      <w:rPr>
        <w:rFonts w:ascii="Wingdings" w:hAnsi="Wingdings" w:hint="default"/>
      </w:rPr>
    </w:lvl>
  </w:abstractNum>
  <w:abstractNum w:abstractNumId="4" w15:restartNumberingAfterBreak="0">
    <w:nsid w:val="33057447"/>
    <w:multiLevelType w:val="hybridMultilevel"/>
    <w:tmpl w:val="97E01586"/>
    <w:lvl w:ilvl="0" w:tplc="43162BAC">
      <w:start w:val="1"/>
      <w:numFmt w:val="bullet"/>
      <w:lvlText w:val=""/>
      <w:lvlJc w:val="left"/>
      <w:pPr>
        <w:ind w:left="1080" w:hanging="360"/>
      </w:pPr>
      <w:rPr>
        <w:rFonts w:ascii="Symbol" w:hAnsi="Symbol" w:hint="default"/>
      </w:rPr>
    </w:lvl>
    <w:lvl w:ilvl="1" w:tplc="DB4A21BE" w:tentative="1">
      <w:start w:val="1"/>
      <w:numFmt w:val="bullet"/>
      <w:lvlText w:val="o"/>
      <w:lvlJc w:val="left"/>
      <w:pPr>
        <w:ind w:left="1800" w:hanging="360"/>
      </w:pPr>
      <w:rPr>
        <w:rFonts w:ascii="Courier New" w:hAnsi="Courier New" w:cs="Courier New" w:hint="default"/>
      </w:rPr>
    </w:lvl>
    <w:lvl w:ilvl="2" w:tplc="CB041544" w:tentative="1">
      <w:start w:val="1"/>
      <w:numFmt w:val="bullet"/>
      <w:lvlText w:val=""/>
      <w:lvlJc w:val="left"/>
      <w:pPr>
        <w:ind w:left="2520" w:hanging="360"/>
      </w:pPr>
      <w:rPr>
        <w:rFonts w:ascii="Wingdings" w:hAnsi="Wingdings" w:hint="default"/>
      </w:rPr>
    </w:lvl>
    <w:lvl w:ilvl="3" w:tplc="411C2102" w:tentative="1">
      <w:start w:val="1"/>
      <w:numFmt w:val="bullet"/>
      <w:lvlText w:val=""/>
      <w:lvlJc w:val="left"/>
      <w:pPr>
        <w:ind w:left="3240" w:hanging="360"/>
      </w:pPr>
      <w:rPr>
        <w:rFonts w:ascii="Symbol" w:hAnsi="Symbol" w:hint="default"/>
      </w:rPr>
    </w:lvl>
    <w:lvl w:ilvl="4" w:tplc="97DC4F20" w:tentative="1">
      <w:start w:val="1"/>
      <w:numFmt w:val="bullet"/>
      <w:lvlText w:val="o"/>
      <w:lvlJc w:val="left"/>
      <w:pPr>
        <w:ind w:left="3960" w:hanging="360"/>
      </w:pPr>
      <w:rPr>
        <w:rFonts w:ascii="Courier New" w:hAnsi="Courier New" w:cs="Courier New" w:hint="default"/>
      </w:rPr>
    </w:lvl>
    <w:lvl w:ilvl="5" w:tplc="0AFA5D9E" w:tentative="1">
      <w:start w:val="1"/>
      <w:numFmt w:val="bullet"/>
      <w:lvlText w:val=""/>
      <w:lvlJc w:val="left"/>
      <w:pPr>
        <w:ind w:left="4680" w:hanging="360"/>
      </w:pPr>
      <w:rPr>
        <w:rFonts w:ascii="Wingdings" w:hAnsi="Wingdings" w:hint="default"/>
      </w:rPr>
    </w:lvl>
    <w:lvl w:ilvl="6" w:tplc="0FC42794" w:tentative="1">
      <w:start w:val="1"/>
      <w:numFmt w:val="bullet"/>
      <w:lvlText w:val=""/>
      <w:lvlJc w:val="left"/>
      <w:pPr>
        <w:ind w:left="5400" w:hanging="360"/>
      </w:pPr>
      <w:rPr>
        <w:rFonts w:ascii="Symbol" w:hAnsi="Symbol" w:hint="default"/>
      </w:rPr>
    </w:lvl>
    <w:lvl w:ilvl="7" w:tplc="9B5A7886" w:tentative="1">
      <w:start w:val="1"/>
      <w:numFmt w:val="bullet"/>
      <w:lvlText w:val="o"/>
      <w:lvlJc w:val="left"/>
      <w:pPr>
        <w:ind w:left="6120" w:hanging="360"/>
      </w:pPr>
      <w:rPr>
        <w:rFonts w:ascii="Courier New" w:hAnsi="Courier New" w:cs="Courier New" w:hint="default"/>
      </w:rPr>
    </w:lvl>
    <w:lvl w:ilvl="8" w:tplc="46A0C7B8" w:tentative="1">
      <w:start w:val="1"/>
      <w:numFmt w:val="bullet"/>
      <w:lvlText w:val=""/>
      <w:lvlJc w:val="left"/>
      <w:pPr>
        <w:ind w:left="6840" w:hanging="360"/>
      </w:pPr>
      <w:rPr>
        <w:rFonts w:ascii="Wingdings" w:hAnsi="Wingdings" w:hint="default"/>
      </w:rPr>
    </w:lvl>
  </w:abstractNum>
  <w:abstractNum w:abstractNumId="5" w15:restartNumberingAfterBreak="0">
    <w:nsid w:val="3A2302AE"/>
    <w:multiLevelType w:val="hybridMultilevel"/>
    <w:tmpl w:val="077804AC"/>
    <w:lvl w:ilvl="0" w:tplc="E1064A0C">
      <w:start w:val="1"/>
      <w:numFmt w:val="bullet"/>
      <w:lvlText w:val=""/>
      <w:lvlJc w:val="left"/>
      <w:pPr>
        <w:ind w:left="1080" w:hanging="360"/>
      </w:pPr>
      <w:rPr>
        <w:rFonts w:ascii="Symbol" w:hAnsi="Symbol" w:hint="default"/>
      </w:rPr>
    </w:lvl>
    <w:lvl w:ilvl="1" w:tplc="37203546" w:tentative="1">
      <w:start w:val="1"/>
      <w:numFmt w:val="bullet"/>
      <w:lvlText w:val="o"/>
      <w:lvlJc w:val="left"/>
      <w:pPr>
        <w:ind w:left="1800" w:hanging="360"/>
      </w:pPr>
      <w:rPr>
        <w:rFonts w:ascii="Courier New" w:hAnsi="Courier New" w:cs="Courier New" w:hint="default"/>
      </w:rPr>
    </w:lvl>
    <w:lvl w:ilvl="2" w:tplc="47B69C90" w:tentative="1">
      <w:start w:val="1"/>
      <w:numFmt w:val="bullet"/>
      <w:lvlText w:val=""/>
      <w:lvlJc w:val="left"/>
      <w:pPr>
        <w:ind w:left="2520" w:hanging="360"/>
      </w:pPr>
      <w:rPr>
        <w:rFonts w:ascii="Wingdings" w:hAnsi="Wingdings" w:hint="default"/>
      </w:rPr>
    </w:lvl>
    <w:lvl w:ilvl="3" w:tplc="D7E63D6A" w:tentative="1">
      <w:start w:val="1"/>
      <w:numFmt w:val="bullet"/>
      <w:lvlText w:val=""/>
      <w:lvlJc w:val="left"/>
      <w:pPr>
        <w:ind w:left="3240" w:hanging="360"/>
      </w:pPr>
      <w:rPr>
        <w:rFonts w:ascii="Symbol" w:hAnsi="Symbol" w:hint="default"/>
      </w:rPr>
    </w:lvl>
    <w:lvl w:ilvl="4" w:tplc="8F9AAEE2" w:tentative="1">
      <w:start w:val="1"/>
      <w:numFmt w:val="bullet"/>
      <w:lvlText w:val="o"/>
      <w:lvlJc w:val="left"/>
      <w:pPr>
        <w:ind w:left="3960" w:hanging="360"/>
      </w:pPr>
      <w:rPr>
        <w:rFonts w:ascii="Courier New" w:hAnsi="Courier New" w:cs="Courier New" w:hint="default"/>
      </w:rPr>
    </w:lvl>
    <w:lvl w:ilvl="5" w:tplc="9260D3CE" w:tentative="1">
      <w:start w:val="1"/>
      <w:numFmt w:val="bullet"/>
      <w:lvlText w:val=""/>
      <w:lvlJc w:val="left"/>
      <w:pPr>
        <w:ind w:left="4680" w:hanging="360"/>
      </w:pPr>
      <w:rPr>
        <w:rFonts w:ascii="Wingdings" w:hAnsi="Wingdings" w:hint="default"/>
      </w:rPr>
    </w:lvl>
    <w:lvl w:ilvl="6" w:tplc="0A2A371A" w:tentative="1">
      <w:start w:val="1"/>
      <w:numFmt w:val="bullet"/>
      <w:lvlText w:val=""/>
      <w:lvlJc w:val="left"/>
      <w:pPr>
        <w:ind w:left="5400" w:hanging="360"/>
      </w:pPr>
      <w:rPr>
        <w:rFonts w:ascii="Symbol" w:hAnsi="Symbol" w:hint="default"/>
      </w:rPr>
    </w:lvl>
    <w:lvl w:ilvl="7" w:tplc="5232E270" w:tentative="1">
      <w:start w:val="1"/>
      <w:numFmt w:val="bullet"/>
      <w:lvlText w:val="o"/>
      <w:lvlJc w:val="left"/>
      <w:pPr>
        <w:ind w:left="6120" w:hanging="360"/>
      </w:pPr>
      <w:rPr>
        <w:rFonts w:ascii="Courier New" w:hAnsi="Courier New" w:cs="Courier New" w:hint="default"/>
      </w:rPr>
    </w:lvl>
    <w:lvl w:ilvl="8" w:tplc="6FDE32C8" w:tentative="1">
      <w:start w:val="1"/>
      <w:numFmt w:val="bullet"/>
      <w:lvlText w:val=""/>
      <w:lvlJc w:val="left"/>
      <w:pPr>
        <w:ind w:left="6840" w:hanging="360"/>
      </w:pPr>
      <w:rPr>
        <w:rFonts w:ascii="Wingdings" w:hAnsi="Wingdings" w:hint="default"/>
      </w:rPr>
    </w:lvl>
  </w:abstractNum>
  <w:num w:numId="1" w16cid:durableId="940114690">
    <w:abstractNumId w:val="0"/>
  </w:num>
  <w:num w:numId="2" w16cid:durableId="2143035144">
    <w:abstractNumId w:val="2"/>
  </w:num>
  <w:num w:numId="3" w16cid:durableId="1585525757">
    <w:abstractNumId w:val="5"/>
  </w:num>
  <w:num w:numId="4" w16cid:durableId="1960986306">
    <w:abstractNumId w:val="4"/>
  </w:num>
  <w:num w:numId="5" w16cid:durableId="691960577">
    <w:abstractNumId w:val="1"/>
  </w:num>
  <w:num w:numId="6" w16cid:durableId="10712729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2EF"/>
    <w:rsid w:val="00012B9F"/>
    <w:rsid w:val="00035758"/>
    <w:rsid w:val="000534C4"/>
    <w:rsid w:val="000723F9"/>
    <w:rsid w:val="00075930"/>
    <w:rsid w:val="000A1ED5"/>
    <w:rsid w:val="000D30A8"/>
    <w:rsid w:val="000D7E55"/>
    <w:rsid w:val="000E24FC"/>
    <w:rsid w:val="00117D19"/>
    <w:rsid w:val="001248FC"/>
    <w:rsid w:val="00126E9A"/>
    <w:rsid w:val="00171783"/>
    <w:rsid w:val="001730A8"/>
    <w:rsid w:val="0019351C"/>
    <w:rsid w:val="00193B9B"/>
    <w:rsid w:val="001B3BC8"/>
    <w:rsid w:val="001B75EA"/>
    <w:rsid w:val="001C5BC7"/>
    <w:rsid w:val="001E746A"/>
    <w:rsid w:val="001F6AD6"/>
    <w:rsid w:val="00201AE0"/>
    <w:rsid w:val="00201BF2"/>
    <w:rsid w:val="00204594"/>
    <w:rsid w:val="0022318E"/>
    <w:rsid w:val="00240CD9"/>
    <w:rsid w:val="002420B2"/>
    <w:rsid w:val="00283BC7"/>
    <w:rsid w:val="002B231B"/>
    <w:rsid w:val="002F6963"/>
    <w:rsid w:val="00330D41"/>
    <w:rsid w:val="00330F1D"/>
    <w:rsid w:val="00366950"/>
    <w:rsid w:val="00382363"/>
    <w:rsid w:val="003A18C6"/>
    <w:rsid w:val="003C2007"/>
    <w:rsid w:val="003C6D1D"/>
    <w:rsid w:val="003C79CF"/>
    <w:rsid w:val="003D0B5C"/>
    <w:rsid w:val="003E1E0D"/>
    <w:rsid w:val="003E60C4"/>
    <w:rsid w:val="003E6DEA"/>
    <w:rsid w:val="003F0B43"/>
    <w:rsid w:val="003F0DE8"/>
    <w:rsid w:val="004226F5"/>
    <w:rsid w:val="00426E30"/>
    <w:rsid w:val="00431BEF"/>
    <w:rsid w:val="004463DA"/>
    <w:rsid w:val="00463E89"/>
    <w:rsid w:val="00465093"/>
    <w:rsid w:val="0047177E"/>
    <w:rsid w:val="00482195"/>
    <w:rsid w:val="004872E3"/>
    <w:rsid w:val="004945FB"/>
    <w:rsid w:val="004C060A"/>
    <w:rsid w:val="00524E8A"/>
    <w:rsid w:val="005423B4"/>
    <w:rsid w:val="0054474D"/>
    <w:rsid w:val="00567CEA"/>
    <w:rsid w:val="005765F7"/>
    <w:rsid w:val="00577E14"/>
    <w:rsid w:val="005B6AB2"/>
    <w:rsid w:val="005F37F7"/>
    <w:rsid w:val="00612C06"/>
    <w:rsid w:val="0061767B"/>
    <w:rsid w:val="00634E63"/>
    <w:rsid w:val="00640A2D"/>
    <w:rsid w:val="00642577"/>
    <w:rsid w:val="00645DA8"/>
    <w:rsid w:val="00647728"/>
    <w:rsid w:val="0065132C"/>
    <w:rsid w:val="00653435"/>
    <w:rsid w:val="00664A12"/>
    <w:rsid w:val="00665816"/>
    <w:rsid w:val="006A135C"/>
    <w:rsid w:val="006A369F"/>
    <w:rsid w:val="006A7028"/>
    <w:rsid w:val="006C4680"/>
    <w:rsid w:val="006E5F36"/>
    <w:rsid w:val="0070682A"/>
    <w:rsid w:val="0071362A"/>
    <w:rsid w:val="00724B18"/>
    <w:rsid w:val="00727C6B"/>
    <w:rsid w:val="00765C44"/>
    <w:rsid w:val="00770971"/>
    <w:rsid w:val="00775951"/>
    <w:rsid w:val="007830E2"/>
    <w:rsid w:val="0078425D"/>
    <w:rsid w:val="00795836"/>
    <w:rsid w:val="007C0E16"/>
    <w:rsid w:val="007C1DC9"/>
    <w:rsid w:val="007D37C9"/>
    <w:rsid w:val="00811804"/>
    <w:rsid w:val="008149B2"/>
    <w:rsid w:val="00822B6B"/>
    <w:rsid w:val="00844911"/>
    <w:rsid w:val="0087299F"/>
    <w:rsid w:val="0087319A"/>
    <w:rsid w:val="00873D5B"/>
    <w:rsid w:val="0088443A"/>
    <w:rsid w:val="0088503A"/>
    <w:rsid w:val="00886E7C"/>
    <w:rsid w:val="0088745B"/>
    <w:rsid w:val="00893ACC"/>
    <w:rsid w:val="008A032E"/>
    <w:rsid w:val="008A2B52"/>
    <w:rsid w:val="008A415C"/>
    <w:rsid w:val="008A4C0E"/>
    <w:rsid w:val="008B3C41"/>
    <w:rsid w:val="008D08BA"/>
    <w:rsid w:val="008E00B5"/>
    <w:rsid w:val="008E5437"/>
    <w:rsid w:val="00914DC4"/>
    <w:rsid w:val="0091598E"/>
    <w:rsid w:val="0092350C"/>
    <w:rsid w:val="00932D8D"/>
    <w:rsid w:val="009373BE"/>
    <w:rsid w:val="00962021"/>
    <w:rsid w:val="00975F9A"/>
    <w:rsid w:val="009A55E9"/>
    <w:rsid w:val="009B2CC1"/>
    <w:rsid w:val="009B3286"/>
    <w:rsid w:val="009C1916"/>
    <w:rsid w:val="009C5BCF"/>
    <w:rsid w:val="009D7B5D"/>
    <w:rsid w:val="00A060B9"/>
    <w:rsid w:val="00A17C66"/>
    <w:rsid w:val="00A30794"/>
    <w:rsid w:val="00A57A93"/>
    <w:rsid w:val="00A652EF"/>
    <w:rsid w:val="00A6790A"/>
    <w:rsid w:val="00A71BCB"/>
    <w:rsid w:val="00A71BF8"/>
    <w:rsid w:val="00A81A59"/>
    <w:rsid w:val="00A91752"/>
    <w:rsid w:val="00A96CE3"/>
    <w:rsid w:val="00AA0D6B"/>
    <w:rsid w:val="00AB0028"/>
    <w:rsid w:val="00AB06AD"/>
    <w:rsid w:val="00AD5DAB"/>
    <w:rsid w:val="00B12C2B"/>
    <w:rsid w:val="00B355D4"/>
    <w:rsid w:val="00B41200"/>
    <w:rsid w:val="00B42B31"/>
    <w:rsid w:val="00B50147"/>
    <w:rsid w:val="00B653F8"/>
    <w:rsid w:val="00B67B8F"/>
    <w:rsid w:val="00B70CE5"/>
    <w:rsid w:val="00B71B69"/>
    <w:rsid w:val="00B726C2"/>
    <w:rsid w:val="00B81A3D"/>
    <w:rsid w:val="00B8319D"/>
    <w:rsid w:val="00B93BC0"/>
    <w:rsid w:val="00BB2831"/>
    <w:rsid w:val="00BF31B1"/>
    <w:rsid w:val="00C0469C"/>
    <w:rsid w:val="00C255E2"/>
    <w:rsid w:val="00C3543E"/>
    <w:rsid w:val="00C36574"/>
    <w:rsid w:val="00C42F25"/>
    <w:rsid w:val="00C47C0C"/>
    <w:rsid w:val="00C53316"/>
    <w:rsid w:val="00C634A9"/>
    <w:rsid w:val="00C66D4F"/>
    <w:rsid w:val="00C6798B"/>
    <w:rsid w:val="00C830EB"/>
    <w:rsid w:val="00C9141E"/>
    <w:rsid w:val="00CB0278"/>
    <w:rsid w:val="00CB0E63"/>
    <w:rsid w:val="00CB4D35"/>
    <w:rsid w:val="00CC1A6C"/>
    <w:rsid w:val="00CC4A90"/>
    <w:rsid w:val="00CD13A6"/>
    <w:rsid w:val="00CD58B2"/>
    <w:rsid w:val="00CE780E"/>
    <w:rsid w:val="00CE7894"/>
    <w:rsid w:val="00CF34FD"/>
    <w:rsid w:val="00D32591"/>
    <w:rsid w:val="00D33CC5"/>
    <w:rsid w:val="00D41BE9"/>
    <w:rsid w:val="00D5532E"/>
    <w:rsid w:val="00D7302A"/>
    <w:rsid w:val="00D80964"/>
    <w:rsid w:val="00D86879"/>
    <w:rsid w:val="00D87AD8"/>
    <w:rsid w:val="00D95194"/>
    <w:rsid w:val="00DA1286"/>
    <w:rsid w:val="00DA361E"/>
    <w:rsid w:val="00DA6FEC"/>
    <w:rsid w:val="00DB5660"/>
    <w:rsid w:val="00DF0869"/>
    <w:rsid w:val="00E177C4"/>
    <w:rsid w:val="00E23602"/>
    <w:rsid w:val="00E37DC5"/>
    <w:rsid w:val="00E60EA6"/>
    <w:rsid w:val="00E6176F"/>
    <w:rsid w:val="00EB61C8"/>
    <w:rsid w:val="00EC071F"/>
    <w:rsid w:val="00EC6E7A"/>
    <w:rsid w:val="00ED3BD2"/>
    <w:rsid w:val="00F012BE"/>
    <w:rsid w:val="00F10471"/>
    <w:rsid w:val="00F11067"/>
    <w:rsid w:val="00F157C1"/>
    <w:rsid w:val="00F17473"/>
    <w:rsid w:val="00F17F69"/>
    <w:rsid w:val="00F220A0"/>
    <w:rsid w:val="00F24CCB"/>
    <w:rsid w:val="00F2572F"/>
    <w:rsid w:val="00F71C44"/>
    <w:rsid w:val="00F76575"/>
    <w:rsid w:val="00F77FAB"/>
    <w:rsid w:val="00FA6304"/>
    <w:rsid w:val="00FB4D55"/>
    <w:rsid w:val="00FB6C34"/>
    <w:rsid w:val="00FB7E49"/>
    <w:rsid w:val="00FE1BBA"/>
    <w:rsid w:val="00FE35A9"/>
    <w:rsid w:val="00FE503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B6761C"/>
  <w15:chartTrackingRefBased/>
  <w15:docId w15:val="{A6939675-DFDA-43F8-A22F-7EC7881D4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45FB"/>
    <w:pPr>
      <w:spacing w:after="0" w:line="360" w:lineRule="auto"/>
      <w:jc w:val="both"/>
    </w:pPr>
    <w:rPr>
      <w:rFonts w:ascii="Times New Roman" w:hAnsi="Times New Roman" w:cs="Times New Roman"/>
      <w:kern w:val="0"/>
      <w:sz w:val="24"/>
      <w:szCs w:val="20"/>
      <w:lang w:val="en-GB" w:eastAsia="en-GB"/>
      <w14:ligatures w14:val="none"/>
    </w:rPr>
  </w:style>
  <w:style w:type="paragraph" w:styleId="Heading1">
    <w:name w:val="heading 1"/>
    <w:basedOn w:val="Normal"/>
    <w:next w:val="Normal"/>
    <w:link w:val="Heading1Char"/>
    <w:uiPriority w:val="9"/>
    <w:qFormat/>
    <w:rsid w:val="00B41200"/>
    <w:pPr>
      <w:keepNext/>
      <w:keepLines/>
      <w:spacing w:before="240"/>
      <w:outlineLvl w:val="0"/>
    </w:pPr>
    <w:rPr>
      <w:rFonts w:eastAsiaTheme="majorEastAsia" w:cstheme="majorBidi"/>
      <w:b/>
      <w:szCs w:val="32"/>
      <w:lang w:val="en-IN"/>
    </w:rPr>
  </w:style>
  <w:style w:type="paragraph" w:styleId="Heading2">
    <w:name w:val="heading 2"/>
    <w:basedOn w:val="Normal"/>
    <w:next w:val="Normal"/>
    <w:link w:val="Heading2Char"/>
    <w:uiPriority w:val="9"/>
    <w:unhideWhenUsed/>
    <w:qFormat/>
    <w:rsid w:val="004945FB"/>
    <w:pPr>
      <w:keepNext/>
      <w:keepLines/>
      <w:spacing w:before="160" w:after="80"/>
      <w:outlineLvl w:val="1"/>
    </w:pPr>
    <w:rPr>
      <w:rFonts w:eastAsiaTheme="majorEastAsia" w:cstheme="majorBidi"/>
      <w:b/>
      <w:i/>
      <w:szCs w:val="32"/>
    </w:rPr>
  </w:style>
  <w:style w:type="paragraph" w:styleId="Heading3">
    <w:name w:val="heading 3"/>
    <w:basedOn w:val="Normal"/>
    <w:next w:val="Normal"/>
    <w:link w:val="Heading3Char"/>
    <w:uiPriority w:val="9"/>
    <w:semiHidden/>
    <w:unhideWhenUsed/>
    <w:qFormat/>
    <w:rsid w:val="00A652EF"/>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652E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652E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652E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652E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652E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652E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945FB"/>
    <w:rPr>
      <w:rFonts w:ascii="Times New Roman" w:eastAsiaTheme="majorEastAsia" w:hAnsi="Times New Roman" w:cstheme="majorBidi"/>
      <w:b/>
      <w:i/>
      <w:kern w:val="0"/>
      <w:sz w:val="24"/>
      <w:szCs w:val="32"/>
      <w:lang w:val="en-GB" w:eastAsia="en-GB"/>
      <w14:ligatures w14:val="none"/>
    </w:rPr>
  </w:style>
  <w:style w:type="character" w:customStyle="1" w:styleId="Heading1Char">
    <w:name w:val="Heading 1 Char"/>
    <w:basedOn w:val="DefaultParagraphFont"/>
    <w:link w:val="Heading1"/>
    <w:uiPriority w:val="9"/>
    <w:rsid w:val="00B41200"/>
    <w:rPr>
      <w:rFonts w:ascii="Times New Roman" w:eastAsiaTheme="majorEastAsia" w:hAnsi="Times New Roman" w:cstheme="majorBidi"/>
      <w:b/>
      <w:kern w:val="0"/>
      <w:sz w:val="24"/>
      <w:szCs w:val="32"/>
      <w:lang w:eastAsia="en-GB"/>
      <w14:ligatures w14:val="none"/>
    </w:rPr>
  </w:style>
  <w:style w:type="paragraph" w:styleId="NoSpacing">
    <w:name w:val="No Spacing"/>
    <w:link w:val="NoSpacingChar"/>
    <w:uiPriority w:val="1"/>
    <w:qFormat/>
    <w:rsid w:val="00204594"/>
    <w:pPr>
      <w:widowControl w:val="0"/>
      <w:autoSpaceDE w:val="0"/>
      <w:autoSpaceDN w:val="0"/>
      <w:spacing w:after="0" w:line="360" w:lineRule="auto"/>
      <w:jc w:val="both"/>
    </w:pPr>
    <w:rPr>
      <w:rFonts w:ascii="Times New Roman" w:eastAsia="Arial" w:hAnsi="Times New Roman" w:cs="Arial"/>
      <w:kern w:val="0"/>
      <w:sz w:val="24"/>
      <w:lang w:val="en-GB"/>
      <w14:ligatures w14:val="none"/>
    </w:rPr>
  </w:style>
  <w:style w:type="paragraph" w:styleId="Title">
    <w:name w:val="Title"/>
    <w:basedOn w:val="Normal"/>
    <w:next w:val="Normal"/>
    <w:link w:val="TitleChar"/>
    <w:uiPriority w:val="10"/>
    <w:qFormat/>
    <w:rsid w:val="008D08BA"/>
    <w:pPr>
      <w:spacing w:after="80"/>
      <w:contextualSpacing/>
      <w:jc w:val="center"/>
    </w:pPr>
    <w:rPr>
      <w:rFonts w:eastAsiaTheme="majorEastAsia" w:cstheme="majorBidi"/>
      <w:spacing w:val="-10"/>
      <w:kern w:val="28"/>
      <w:sz w:val="36"/>
      <w:szCs w:val="56"/>
    </w:rPr>
  </w:style>
  <w:style w:type="character" w:customStyle="1" w:styleId="TitleChar">
    <w:name w:val="Title Char"/>
    <w:basedOn w:val="DefaultParagraphFont"/>
    <w:link w:val="Title"/>
    <w:uiPriority w:val="10"/>
    <w:rsid w:val="008D08BA"/>
    <w:rPr>
      <w:rFonts w:ascii="Times New Roman" w:eastAsiaTheme="majorEastAsia" w:hAnsi="Times New Roman" w:cstheme="majorBidi"/>
      <w:spacing w:val="-10"/>
      <w:kern w:val="28"/>
      <w:sz w:val="36"/>
      <w:szCs w:val="56"/>
      <w:lang w:val="en-GB"/>
      <w14:ligatures w14:val="none"/>
    </w:rPr>
  </w:style>
  <w:style w:type="character" w:customStyle="1" w:styleId="Heading3Char">
    <w:name w:val="Heading 3 Char"/>
    <w:basedOn w:val="DefaultParagraphFont"/>
    <w:link w:val="Heading3"/>
    <w:uiPriority w:val="9"/>
    <w:semiHidden/>
    <w:rsid w:val="00A652EF"/>
    <w:rPr>
      <w:rFonts w:eastAsiaTheme="majorEastAsia" w:cstheme="majorBidi"/>
      <w:color w:val="2F5496" w:themeColor="accent1" w:themeShade="BF"/>
      <w:kern w:val="0"/>
      <w:sz w:val="28"/>
      <w:szCs w:val="28"/>
      <w:lang w:val="en-GB" w:eastAsia="en-GB"/>
      <w14:ligatures w14:val="none"/>
    </w:rPr>
  </w:style>
  <w:style w:type="character" w:customStyle="1" w:styleId="Heading4Char">
    <w:name w:val="Heading 4 Char"/>
    <w:basedOn w:val="DefaultParagraphFont"/>
    <w:link w:val="Heading4"/>
    <w:uiPriority w:val="9"/>
    <w:semiHidden/>
    <w:rsid w:val="00A652EF"/>
    <w:rPr>
      <w:rFonts w:eastAsiaTheme="majorEastAsia" w:cstheme="majorBidi"/>
      <w:i/>
      <w:iCs/>
      <w:color w:val="2F5496" w:themeColor="accent1" w:themeShade="BF"/>
      <w:kern w:val="0"/>
      <w:sz w:val="24"/>
      <w:szCs w:val="20"/>
      <w:lang w:val="en-GB" w:eastAsia="en-GB"/>
      <w14:ligatures w14:val="none"/>
    </w:rPr>
  </w:style>
  <w:style w:type="character" w:customStyle="1" w:styleId="Heading5Char">
    <w:name w:val="Heading 5 Char"/>
    <w:basedOn w:val="DefaultParagraphFont"/>
    <w:link w:val="Heading5"/>
    <w:uiPriority w:val="9"/>
    <w:semiHidden/>
    <w:rsid w:val="00A652EF"/>
    <w:rPr>
      <w:rFonts w:eastAsiaTheme="majorEastAsia" w:cstheme="majorBidi"/>
      <w:color w:val="2F5496" w:themeColor="accent1" w:themeShade="BF"/>
      <w:kern w:val="0"/>
      <w:sz w:val="24"/>
      <w:szCs w:val="20"/>
      <w:lang w:val="en-GB" w:eastAsia="en-GB"/>
      <w14:ligatures w14:val="none"/>
    </w:rPr>
  </w:style>
  <w:style w:type="character" w:customStyle="1" w:styleId="Heading6Char">
    <w:name w:val="Heading 6 Char"/>
    <w:basedOn w:val="DefaultParagraphFont"/>
    <w:link w:val="Heading6"/>
    <w:uiPriority w:val="9"/>
    <w:semiHidden/>
    <w:rsid w:val="00A652EF"/>
    <w:rPr>
      <w:rFonts w:eastAsiaTheme="majorEastAsia" w:cstheme="majorBidi"/>
      <w:i/>
      <w:iCs/>
      <w:color w:val="595959" w:themeColor="text1" w:themeTint="A6"/>
      <w:kern w:val="0"/>
      <w:sz w:val="24"/>
      <w:szCs w:val="20"/>
      <w:lang w:val="en-GB" w:eastAsia="en-GB"/>
      <w14:ligatures w14:val="none"/>
    </w:rPr>
  </w:style>
  <w:style w:type="character" w:customStyle="1" w:styleId="Heading7Char">
    <w:name w:val="Heading 7 Char"/>
    <w:basedOn w:val="DefaultParagraphFont"/>
    <w:link w:val="Heading7"/>
    <w:uiPriority w:val="9"/>
    <w:semiHidden/>
    <w:rsid w:val="00A652EF"/>
    <w:rPr>
      <w:rFonts w:eastAsiaTheme="majorEastAsia" w:cstheme="majorBidi"/>
      <w:color w:val="595959" w:themeColor="text1" w:themeTint="A6"/>
      <w:kern w:val="0"/>
      <w:sz w:val="24"/>
      <w:szCs w:val="20"/>
      <w:lang w:val="en-GB" w:eastAsia="en-GB"/>
      <w14:ligatures w14:val="none"/>
    </w:rPr>
  </w:style>
  <w:style w:type="character" w:customStyle="1" w:styleId="Heading8Char">
    <w:name w:val="Heading 8 Char"/>
    <w:basedOn w:val="DefaultParagraphFont"/>
    <w:link w:val="Heading8"/>
    <w:uiPriority w:val="9"/>
    <w:semiHidden/>
    <w:rsid w:val="00A652EF"/>
    <w:rPr>
      <w:rFonts w:eastAsiaTheme="majorEastAsia" w:cstheme="majorBidi"/>
      <w:i/>
      <w:iCs/>
      <w:color w:val="272727" w:themeColor="text1" w:themeTint="D8"/>
      <w:kern w:val="0"/>
      <w:sz w:val="24"/>
      <w:szCs w:val="20"/>
      <w:lang w:val="en-GB" w:eastAsia="en-GB"/>
      <w14:ligatures w14:val="none"/>
    </w:rPr>
  </w:style>
  <w:style w:type="character" w:customStyle="1" w:styleId="Heading9Char">
    <w:name w:val="Heading 9 Char"/>
    <w:basedOn w:val="DefaultParagraphFont"/>
    <w:link w:val="Heading9"/>
    <w:uiPriority w:val="9"/>
    <w:semiHidden/>
    <w:rsid w:val="00A652EF"/>
    <w:rPr>
      <w:rFonts w:eastAsiaTheme="majorEastAsia" w:cstheme="majorBidi"/>
      <w:color w:val="272727" w:themeColor="text1" w:themeTint="D8"/>
      <w:kern w:val="0"/>
      <w:sz w:val="24"/>
      <w:szCs w:val="20"/>
      <w:lang w:val="en-GB" w:eastAsia="en-GB"/>
      <w14:ligatures w14:val="none"/>
    </w:rPr>
  </w:style>
  <w:style w:type="paragraph" w:styleId="Subtitle">
    <w:name w:val="Subtitle"/>
    <w:basedOn w:val="Normal"/>
    <w:next w:val="Normal"/>
    <w:link w:val="SubtitleChar"/>
    <w:uiPriority w:val="11"/>
    <w:qFormat/>
    <w:rsid w:val="00A652E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52EF"/>
    <w:rPr>
      <w:rFonts w:eastAsiaTheme="majorEastAsia" w:cstheme="majorBidi"/>
      <w:color w:val="595959" w:themeColor="text1" w:themeTint="A6"/>
      <w:spacing w:val="15"/>
      <w:kern w:val="0"/>
      <w:sz w:val="28"/>
      <w:szCs w:val="28"/>
      <w:lang w:val="en-GB" w:eastAsia="en-GB"/>
      <w14:ligatures w14:val="none"/>
    </w:rPr>
  </w:style>
  <w:style w:type="paragraph" w:styleId="Quote">
    <w:name w:val="Quote"/>
    <w:basedOn w:val="Normal"/>
    <w:next w:val="Normal"/>
    <w:link w:val="QuoteChar"/>
    <w:uiPriority w:val="29"/>
    <w:qFormat/>
    <w:rsid w:val="00A652E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652EF"/>
    <w:rPr>
      <w:rFonts w:ascii="Times New Roman" w:hAnsi="Times New Roman" w:cs="Times New Roman"/>
      <w:i/>
      <w:iCs/>
      <w:color w:val="404040" w:themeColor="text1" w:themeTint="BF"/>
      <w:kern w:val="0"/>
      <w:sz w:val="24"/>
      <w:szCs w:val="20"/>
      <w:lang w:val="en-GB" w:eastAsia="en-GB"/>
      <w14:ligatures w14:val="none"/>
    </w:rPr>
  </w:style>
  <w:style w:type="paragraph" w:styleId="ListParagraph">
    <w:name w:val="List Paragraph"/>
    <w:basedOn w:val="Normal"/>
    <w:uiPriority w:val="34"/>
    <w:qFormat/>
    <w:rsid w:val="00A652EF"/>
    <w:pPr>
      <w:ind w:left="720"/>
      <w:contextualSpacing/>
    </w:pPr>
  </w:style>
  <w:style w:type="character" w:styleId="IntenseEmphasis">
    <w:name w:val="Intense Emphasis"/>
    <w:basedOn w:val="DefaultParagraphFont"/>
    <w:uiPriority w:val="21"/>
    <w:qFormat/>
    <w:rsid w:val="00A652EF"/>
    <w:rPr>
      <w:i/>
      <w:iCs/>
      <w:color w:val="2F5496" w:themeColor="accent1" w:themeShade="BF"/>
    </w:rPr>
  </w:style>
  <w:style w:type="paragraph" w:styleId="IntenseQuote">
    <w:name w:val="Intense Quote"/>
    <w:basedOn w:val="Normal"/>
    <w:next w:val="Normal"/>
    <w:link w:val="IntenseQuoteChar"/>
    <w:uiPriority w:val="30"/>
    <w:qFormat/>
    <w:rsid w:val="00A652E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652EF"/>
    <w:rPr>
      <w:rFonts w:ascii="Times New Roman" w:hAnsi="Times New Roman" w:cs="Times New Roman"/>
      <w:i/>
      <w:iCs/>
      <w:color w:val="2F5496" w:themeColor="accent1" w:themeShade="BF"/>
      <w:kern w:val="0"/>
      <w:sz w:val="24"/>
      <w:szCs w:val="20"/>
      <w:lang w:val="en-GB" w:eastAsia="en-GB"/>
      <w14:ligatures w14:val="none"/>
    </w:rPr>
  </w:style>
  <w:style w:type="character" w:styleId="IntenseReference">
    <w:name w:val="Intense Reference"/>
    <w:basedOn w:val="DefaultParagraphFont"/>
    <w:uiPriority w:val="32"/>
    <w:qFormat/>
    <w:rsid w:val="00A652EF"/>
    <w:rPr>
      <w:b/>
      <w:bCs/>
      <w:smallCaps/>
      <w:color w:val="2F5496" w:themeColor="accent1" w:themeShade="BF"/>
      <w:spacing w:val="5"/>
    </w:rPr>
  </w:style>
  <w:style w:type="paragraph" w:styleId="TOCHeading">
    <w:name w:val="TOC Heading"/>
    <w:basedOn w:val="Heading1"/>
    <w:next w:val="Normal"/>
    <w:uiPriority w:val="39"/>
    <w:unhideWhenUsed/>
    <w:qFormat/>
    <w:rsid w:val="002B231B"/>
    <w:pPr>
      <w:spacing w:line="259" w:lineRule="auto"/>
      <w:jc w:val="left"/>
      <w:outlineLvl w:val="9"/>
    </w:pPr>
    <w:rPr>
      <w:rFonts w:asciiTheme="majorHAnsi" w:hAnsiTheme="majorHAnsi"/>
      <w:b w:val="0"/>
      <w:color w:val="2F5496" w:themeColor="accent1" w:themeShade="BF"/>
      <w:sz w:val="32"/>
      <w:lang w:val="en-US" w:eastAsia="en-US"/>
    </w:rPr>
  </w:style>
  <w:style w:type="paragraph" w:styleId="TOC2">
    <w:name w:val="toc 2"/>
    <w:basedOn w:val="Normal"/>
    <w:next w:val="Normal"/>
    <w:autoRedefine/>
    <w:uiPriority w:val="39"/>
    <w:unhideWhenUsed/>
    <w:rsid w:val="002B231B"/>
    <w:pPr>
      <w:spacing w:after="100"/>
      <w:ind w:left="240"/>
    </w:pPr>
  </w:style>
  <w:style w:type="character" w:styleId="Hyperlink">
    <w:name w:val="Hyperlink"/>
    <w:basedOn w:val="DefaultParagraphFont"/>
    <w:uiPriority w:val="99"/>
    <w:unhideWhenUsed/>
    <w:rsid w:val="002B231B"/>
    <w:rPr>
      <w:color w:val="0563C1" w:themeColor="hyperlink"/>
      <w:u w:val="single"/>
    </w:rPr>
  </w:style>
  <w:style w:type="paragraph" w:styleId="TOC1">
    <w:name w:val="toc 1"/>
    <w:basedOn w:val="Normal"/>
    <w:next w:val="Normal"/>
    <w:autoRedefine/>
    <w:uiPriority w:val="39"/>
    <w:unhideWhenUsed/>
    <w:rsid w:val="00B41200"/>
    <w:pPr>
      <w:spacing w:after="100"/>
    </w:pPr>
  </w:style>
  <w:style w:type="character" w:styleId="UnresolvedMention">
    <w:name w:val="Unresolved Mention"/>
    <w:basedOn w:val="DefaultParagraphFont"/>
    <w:uiPriority w:val="99"/>
    <w:semiHidden/>
    <w:unhideWhenUsed/>
    <w:rsid w:val="0070682A"/>
    <w:rPr>
      <w:color w:val="605E5C"/>
      <w:shd w:val="clear" w:color="auto" w:fill="E1DFDD"/>
    </w:rPr>
  </w:style>
  <w:style w:type="paragraph" w:styleId="Header">
    <w:name w:val="header"/>
    <w:basedOn w:val="Normal"/>
    <w:link w:val="HeaderChar"/>
    <w:uiPriority w:val="99"/>
    <w:unhideWhenUsed/>
    <w:rsid w:val="009373BE"/>
    <w:pPr>
      <w:tabs>
        <w:tab w:val="center" w:pos="4513"/>
        <w:tab w:val="right" w:pos="9026"/>
      </w:tabs>
      <w:spacing w:line="240" w:lineRule="auto"/>
    </w:pPr>
  </w:style>
  <w:style w:type="character" w:customStyle="1" w:styleId="HeaderChar">
    <w:name w:val="Header Char"/>
    <w:basedOn w:val="DefaultParagraphFont"/>
    <w:link w:val="Header"/>
    <w:uiPriority w:val="99"/>
    <w:rsid w:val="009373BE"/>
    <w:rPr>
      <w:rFonts w:ascii="Times New Roman" w:hAnsi="Times New Roman" w:cs="Times New Roman"/>
      <w:kern w:val="0"/>
      <w:sz w:val="24"/>
      <w:szCs w:val="20"/>
      <w:lang w:val="en-GB" w:eastAsia="en-GB"/>
      <w14:ligatures w14:val="none"/>
    </w:rPr>
  </w:style>
  <w:style w:type="paragraph" w:styleId="Footer">
    <w:name w:val="footer"/>
    <w:basedOn w:val="Normal"/>
    <w:link w:val="FooterChar"/>
    <w:uiPriority w:val="99"/>
    <w:unhideWhenUsed/>
    <w:rsid w:val="009373BE"/>
    <w:pPr>
      <w:tabs>
        <w:tab w:val="center" w:pos="4513"/>
        <w:tab w:val="right" w:pos="9026"/>
      </w:tabs>
      <w:spacing w:line="240" w:lineRule="auto"/>
    </w:pPr>
  </w:style>
  <w:style w:type="character" w:customStyle="1" w:styleId="FooterChar">
    <w:name w:val="Footer Char"/>
    <w:basedOn w:val="DefaultParagraphFont"/>
    <w:link w:val="Footer"/>
    <w:uiPriority w:val="99"/>
    <w:rsid w:val="009373BE"/>
    <w:rPr>
      <w:rFonts w:ascii="Times New Roman" w:hAnsi="Times New Roman" w:cs="Times New Roman"/>
      <w:kern w:val="0"/>
      <w:sz w:val="24"/>
      <w:szCs w:val="20"/>
      <w:lang w:val="en-GB" w:eastAsia="en-GB"/>
      <w14:ligatures w14:val="none"/>
    </w:rPr>
  </w:style>
  <w:style w:type="character" w:customStyle="1" w:styleId="NoSpacingChar">
    <w:name w:val="No Spacing Char"/>
    <w:basedOn w:val="DefaultParagraphFont"/>
    <w:link w:val="NoSpacing"/>
    <w:uiPriority w:val="1"/>
    <w:rsid w:val="00F76575"/>
    <w:rPr>
      <w:rFonts w:ascii="Times New Roman" w:eastAsia="Arial" w:hAnsi="Times New Roman" w:cs="Arial"/>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3E7C8B-BF5D-4CB0-9136-669CF2520E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2316</Words>
  <Characters>14268</Characters>
  <Application>Microsoft Office Word</Application>
  <DocSecurity>0</DocSecurity>
  <Lines>259</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dewwy</dc:creator>
  <cp:lastModifiedBy>dewwyl1@gmail.com</cp:lastModifiedBy>
  <cp:revision>2</cp:revision>
  <dcterms:created xsi:type="dcterms:W3CDTF">2025-11-19T00:12:00Z</dcterms:created>
  <dcterms:modified xsi:type="dcterms:W3CDTF">2025-11-19T00:12:00Z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9528cf45-0fbd-4912-9845-41baae6eb909</vt:lpwstr>
  </property>
</Properties>
</file>