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509416" w14:textId="70CF9F55" w:rsidR="00D72251" w:rsidRDefault="008B6F3B" w:rsidP="00D72251">
      <w:pPr>
        <w:jc w:val="center"/>
        <w:rPr>
          <w:sz w:val="34"/>
          <w:szCs w:val="34"/>
        </w:rPr>
      </w:pPr>
      <w:r>
        <w:rPr>
          <w:sz w:val="34"/>
          <w:szCs w:val="34"/>
        </w:rPr>
        <w:t xml:space="preserve"> </w:t>
      </w:r>
      <w:r w:rsidR="00D72251">
        <w:rPr>
          <w:noProof/>
          <w:lang w:val="en-US"/>
        </w:rPr>
        <w:drawing>
          <wp:inline distT="0" distB="0" distL="0" distR="0" wp14:anchorId="5FE1DFF6" wp14:editId="7759D361">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024DEC88" w14:textId="77777777" w:rsidR="00D72251" w:rsidRPr="009C063A" w:rsidRDefault="00D72251" w:rsidP="00D72251">
      <w:pPr>
        <w:spacing w:line="240" w:lineRule="auto"/>
        <w:jc w:val="center"/>
        <w:rPr>
          <w:sz w:val="38"/>
          <w:szCs w:val="38"/>
        </w:rPr>
      </w:pPr>
      <w:r w:rsidRPr="009C063A">
        <w:rPr>
          <w:sz w:val="38"/>
          <w:szCs w:val="38"/>
        </w:rPr>
        <w:t>Master of Business Administration</w:t>
      </w:r>
    </w:p>
    <w:p w14:paraId="0277DD66" w14:textId="53054150" w:rsidR="00D72251" w:rsidRDefault="00D72251" w:rsidP="00D72251">
      <w:pPr>
        <w:jc w:val="center"/>
        <w:rPr>
          <w:sz w:val="28"/>
          <w:szCs w:val="28"/>
        </w:rPr>
      </w:pPr>
      <w:r w:rsidRPr="00180CA4">
        <w:rPr>
          <w:sz w:val="32"/>
          <w:szCs w:val="32"/>
        </w:rPr>
        <w:t xml:space="preserve">International Business </w:t>
      </w:r>
      <w:r w:rsidR="008B6F3B">
        <w:rPr>
          <w:sz w:val="32"/>
          <w:szCs w:val="32"/>
        </w:rPr>
        <w:t>Pathway</w:t>
      </w:r>
    </w:p>
    <w:p w14:paraId="4B754A2E" w14:textId="77777777" w:rsidR="00D72251" w:rsidRDefault="00D72251" w:rsidP="00D72251">
      <w:pPr>
        <w:jc w:val="center"/>
        <w:rPr>
          <w:sz w:val="28"/>
          <w:szCs w:val="28"/>
        </w:rPr>
      </w:pPr>
      <w:r>
        <w:rPr>
          <w:noProof/>
          <w:sz w:val="28"/>
          <w:szCs w:val="28"/>
          <w:lang w:val="en-US"/>
        </w:rPr>
        <w:drawing>
          <wp:inline distT="0" distB="0" distL="0" distR="0" wp14:anchorId="4C0F2979" wp14:editId="7CB6DCE5">
            <wp:extent cx="2257425" cy="2257425"/>
            <wp:effectExtent l="0" t="0" r="9525" b="9525"/>
            <wp:docPr id="732040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57425" cy="2257425"/>
                    </a:xfrm>
                    <a:prstGeom prst="rect">
                      <a:avLst/>
                    </a:prstGeom>
                    <a:noFill/>
                    <a:ln>
                      <a:noFill/>
                    </a:ln>
                  </pic:spPr>
                </pic:pic>
              </a:graphicData>
            </a:graphic>
          </wp:inline>
        </w:drawing>
      </w:r>
    </w:p>
    <w:p w14:paraId="6DAB930E" w14:textId="77777777" w:rsidR="00D72251" w:rsidRPr="00180CA4" w:rsidRDefault="00D72251" w:rsidP="00D72251">
      <w:pPr>
        <w:jc w:val="center"/>
        <w:rPr>
          <w:color w:val="000000" w:themeColor="text1"/>
          <w:sz w:val="28"/>
          <w:szCs w:val="28"/>
        </w:rPr>
      </w:pPr>
      <w:r w:rsidRPr="00180CA4">
        <w:rPr>
          <w:color w:val="000000" w:themeColor="text1"/>
          <w:sz w:val="28"/>
          <w:szCs w:val="28"/>
        </w:rPr>
        <w:t>Assessment 1: Individual report. Weight: 100%</w:t>
      </w:r>
    </w:p>
    <w:p w14:paraId="6A357C2A" w14:textId="77777777" w:rsidR="00D72251" w:rsidRPr="00043B72" w:rsidRDefault="00D72251" w:rsidP="00D72251">
      <w:pPr>
        <w:rPr>
          <w:sz w:val="28"/>
          <w:szCs w:val="28"/>
        </w:rPr>
      </w:pPr>
      <w:r w:rsidRPr="00043B72">
        <w:rPr>
          <w:b/>
          <w:bCs/>
          <w:sz w:val="28"/>
          <w:szCs w:val="28"/>
        </w:rPr>
        <w:t>Module name:</w:t>
      </w:r>
      <w:r>
        <w:rPr>
          <w:b/>
          <w:bCs/>
          <w:sz w:val="28"/>
          <w:szCs w:val="28"/>
        </w:rPr>
        <w:t xml:space="preserve"> </w:t>
      </w:r>
      <w:r w:rsidRPr="00D72251">
        <w:rPr>
          <w:b/>
          <w:bCs/>
          <w:sz w:val="28"/>
          <w:szCs w:val="28"/>
        </w:rPr>
        <w:t>International Marketing: Principles and Practices</w:t>
      </w:r>
    </w:p>
    <w:p w14:paraId="20E94FAB" w14:textId="494A4BD6" w:rsidR="00D72251" w:rsidRPr="00043B72" w:rsidRDefault="00D72251" w:rsidP="00BB76CA">
      <w:pPr>
        <w:ind w:left="2160" w:firstLine="720"/>
        <w:rPr>
          <w:sz w:val="28"/>
          <w:szCs w:val="28"/>
        </w:rPr>
      </w:pPr>
      <w:r w:rsidRPr="00043B72">
        <w:rPr>
          <w:b/>
          <w:bCs/>
          <w:sz w:val="28"/>
          <w:szCs w:val="28"/>
        </w:rPr>
        <w:t>Module code</w:t>
      </w:r>
      <w:r w:rsidRPr="00043B72">
        <w:rPr>
          <w:sz w:val="28"/>
          <w:szCs w:val="28"/>
        </w:rPr>
        <w:t>:</w:t>
      </w:r>
      <w:r>
        <w:rPr>
          <w:sz w:val="28"/>
          <w:szCs w:val="28"/>
        </w:rPr>
        <w:t xml:space="preserve"> </w:t>
      </w:r>
      <w:r w:rsidRPr="00D72251">
        <w:rPr>
          <w:sz w:val="28"/>
          <w:szCs w:val="28"/>
        </w:rPr>
        <w:t>LCMB7026</w:t>
      </w:r>
    </w:p>
    <w:p w14:paraId="31A228FD" w14:textId="3FC0806E" w:rsidR="00D72251" w:rsidRPr="00043B72" w:rsidRDefault="00BB76CA" w:rsidP="00BB76CA">
      <w:pPr>
        <w:ind w:left="2160"/>
        <w:rPr>
          <w:sz w:val="28"/>
          <w:szCs w:val="28"/>
        </w:rPr>
      </w:pPr>
      <w:r>
        <w:rPr>
          <w:b/>
          <w:bCs/>
          <w:sz w:val="28"/>
          <w:szCs w:val="28"/>
        </w:rPr>
        <w:t xml:space="preserve">  </w:t>
      </w:r>
      <w:r w:rsidR="00D72251" w:rsidRPr="00043B72">
        <w:rPr>
          <w:b/>
          <w:bCs/>
          <w:sz w:val="28"/>
          <w:szCs w:val="28"/>
        </w:rPr>
        <w:t>Lecturer name</w:t>
      </w:r>
      <w:r w:rsidR="00D72251" w:rsidRPr="00043B72">
        <w:rPr>
          <w:sz w:val="28"/>
          <w:szCs w:val="28"/>
        </w:rPr>
        <w:t xml:space="preserve">: </w:t>
      </w:r>
      <w:r w:rsidR="00C13C37">
        <w:rPr>
          <w:sz w:val="28"/>
          <w:szCs w:val="28"/>
        </w:rPr>
        <w:t xml:space="preserve">Dr </w:t>
      </w:r>
      <w:r w:rsidR="008522D2">
        <w:rPr>
          <w:sz w:val="28"/>
          <w:szCs w:val="28"/>
        </w:rPr>
        <w:t>Tol</w:t>
      </w:r>
      <w:r w:rsidR="00C13C37">
        <w:rPr>
          <w:sz w:val="28"/>
          <w:szCs w:val="28"/>
        </w:rPr>
        <w:t>a</w:t>
      </w:r>
      <w:r w:rsidR="008522D2">
        <w:rPr>
          <w:sz w:val="28"/>
          <w:szCs w:val="28"/>
        </w:rPr>
        <w:t xml:space="preserve"> Odugbesan</w:t>
      </w:r>
    </w:p>
    <w:p w14:paraId="0E518BD2" w14:textId="6912ED72" w:rsidR="00D72251" w:rsidRPr="00043B72" w:rsidRDefault="00BB76CA" w:rsidP="00BB76CA">
      <w:pPr>
        <w:ind w:left="2160"/>
        <w:rPr>
          <w:sz w:val="28"/>
          <w:szCs w:val="28"/>
        </w:rPr>
      </w:pPr>
      <w:r>
        <w:rPr>
          <w:sz w:val="28"/>
          <w:szCs w:val="28"/>
        </w:rPr>
        <w:t xml:space="preserve">      </w:t>
      </w:r>
      <w:r w:rsidR="00D72251" w:rsidRPr="00043B72">
        <w:rPr>
          <w:b/>
          <w:bCs/>
          <w:sz w:val="28"/>
          <w:szCs w:val="28"/>
        </w:rPr>
        <w:t>Student name</w:t>
      </w:r>
      <w:r w:rsidR="00D72251" w:rsidRPr="00043B72">
        <w:rPr>
          <w:sz w:val="28"/>
          <w:szCs w:val="28"/>
        </w:rPr>
        <w:t>:</w:t>
      </w:r>
      <w:r w:rsidR="008B6F3B">
        <w:rPr>
          <w:sz w:val="28"/>
          <w:szCs w:val="28"/>
        </w:rPr>
        <w:t xml:space="preserve"> Md Nebir Miah</w:t>
      </w:r>
    </w:p>
    <w:p w14:paraId="5962512C" w14:textId="77777777" w:rsidR="00BB76CA" w:rsidRDefault="00BB76CA" w:rsidP="00BB76CA">
      <w:pPr>
        <w:ind w:left="2160" w:firstLine="720"/>
        <w:rPr>
          <w:sz w:val="28"/>
          <w:szCs w:val="28"/>
        </w:rPr>
      </w:pPr>
      <w:r>
        <w:rPr>
          <w:b/>
          <w:bCs/>
          <w:sz w:val="28"/>
          <w:szCs w:val="28"/>
        </w:rPr>
        <w:t xml:space="preserve">     </w:t>
      </w:r>
      <w:r w:rsidR="00D72251" w:rsidRPr="00043B72">
        <w:rPr>
          <w:b/>
          <w:bCs/>
          <w:sz w:val="28"/>
          <w:szCs w:val="28"/>
        </w:rPr>
        <w:t>Student ID</w:t>
      </w:r>
      <w:r w:rsidR="00D72251" w:rsidRPr="00043B72">
        <w:rPr>
          <w:sz w:val="28"/>
          <w:szCs w:val="28"/>
        </w:rPr>
        <w:t>:</w:t>
      </w:r>
      <w:r w:rsidR="00D72251">
        <w:rPr>
          <w:sz w:val="28"/>
          <w:szCs w:val="28"/>
        </w:rPr>
        <w:t xml:space="preserve"> </w:t>
      </w:r>
      <w:r w:rsidR="008B6F3B">
        <w:rPr>
          <w:sz w:val="28"/>
          <w:szCs w:val="28"/>
        </w:rPr>
        <w:t>2516200</w:t>
      </w:r>
    </w:p>
    <w:p w14:paraId="718C62B4" w14:textId="5527831E" w:rsidR="00D72251" w:rsidRPr="00043B72" w:rsidRDefault="00BB76CA" w:rsidP="00BB76CA">
      <w:pPr>
        <w:ind w:left="2160" w:firstLine="720"/>
        <w:rPr>
          <w:sz w:val="28"/>
          <w:szCs w:val="28"/>
        </w:rPr>
      </w:pPr>
      <w:r>
        <w:rPr>
          <w:b/>
          <w:bCs/>
          <w:sz w:val="28"/>
          <w:szCs w:val="28"/>
        </w:rPr>
        <w:t xml:space="preserve">       </w:t>
      </w:r>
      <w:r w:rsidR="00D72251" w:rsidRPr="00043B72">
        <w:rPr>
          <w:b/>
          <w:bCs/>
          <w:sz w:val="28"/>
          <w:szCs w:val="28"/>
        </w:rPr>
        <w:t>Word count</w:t>
      </w:r>
      <w:r w:rsidR="00D72251" w:rsidRPr="00043B72">
        <w:rPr>
          <w:sz w:val="28"/>
          <w:szCs w:val="28"/>
        </w:rPr>
        <w:t>:</w:t>
      </w:r>
      <w:r w:rsidR="00D72251">
        <w:rPr>
          <w:sz w:val="28"/>
          <w:szCs w:val="28"/>
        </w:rPr>
        <w:t xml:space="preserve"> 5</w:t>
      </w:r>
      <w:r>
        <w:rPr>
          <w:sz w:val="28"/>
          <w:szCs w:val="28"/>
        </w:rPr>
        <w:t>2</w:t>
      </w:r>
      <w:r w:rsidR="00466CCF">
        <w:rPr>
          <w:sz w:val="28"/>
          <w:szCs w:val="28"/>
        </w:rPr>
        <w:t>23</w:t>
      </w:r>
    </w:p>
    <w:p w14:paraId="31B38415" w14:textId="7287B5D3" w:rsidR="005022F8" w:rsidRDefault="00BB76CA" w:rsidP="00BB76CA">
      <w:pPr>
        <w:ind w:left="1440" w:firstLine="720"/>
        <w:rPr>
          <w:sz w:val="28"/>
          <w:szCs w:val="28"/>
        </w:rPr>
      </w:pPr>
      <w:r>
        <w:rPr>
          <w:b/>
          <w:bCs/>
          <w:sz w:val="28"/>
          <w:szCs w:val="28"/>
        </w:rPr>
        <w:t xml:space="preserve">    </w:t>
      </w:r>
      <w:r w:rsidR="00D72251" w:rsidRPr="00043B72">
        <w:rPr>
          <w:b/>
          <w:bCs/>
          <w:sz w:val="28"/>
          <w:szCs w:val="28"/>
        </w:rPr>
        <w:t>Submission date</w:t>
      </w:r>
      <w:r w:rsidR="00D72251" w:rsidRPr="00043B72">
        <w:rPr>
          <w:sz w:val="28"/>
          <w:szCs w:val="28"/>
        </w:rPr>
        <w:t>:</w:t>
      </w:r>
      <w:r w:rsidR="0005417B">
        <w:rPr>
          <w:sz w:val="28"/>
          <w:szCs w:val="28"/>
        </w:rPr>
        <w:t xml:space="preserve"> 1</w:t>
      </w:r>
      <w:r>
        <w:rPr>
          <w:sz w:val="28"/>
          <w:szCs w:val="28"/>
        </w:rPr>
        <w:t>1</w:t>
      </w:r>
      <w:r w:rsidR="0005417B">
        <w:rPr>
          <w:sz w:val="28"/>
          <w:szCs w:val="28"/>
        </w:rPr>
        <w:t xml:space="preserve"> August 2026</w:t>
      </w:r>
    </w:p>
    <w:p w14:paraId="4EDEFAA9" w14:textId="77777777" w:rsidR="005022F8" w:rsidRDefault="005022F8">
      <w:pPr>
        <w:spacing w:line="259" w:lineRule="auto"/>
        <w:jc w:val="left"/>
        <w:rPr>
          <w:sz w:val="28"/>
          <w:szCs w:val="28"/>
        </w:rPr>
      </w:pPr>
      <w:r>
        <w:rPr>
          <w:sz w:val="28"/>
          <w:szCs w:val="28"/>
        </w:rPr>
        <w:br w:type="page"/>
      </w:r>
    </w:p>
    <w:p w14:paraId="5B4307D9" w14:textId="77777777" w:rsidR="005022F8" w:rsidRPr="00BB76CA" w:rsidRDefault="005022F8" w:rsidP="005022F8">
      <w:pPr>
        <w:rPr>
          <w:b/>
          <w:bCs/>
        </w:rPr>
      </w:pPr>
      <w:r w:rsidRPr="00BB76CA">
        <w:rPr>
          <w:b/>
          <w:bCs/>
        </w:rPr>
        <w:lastRenderedPageBreak/>
        <w:t>AI use acknowledgement</w:t>
      </w:r>
    </w:p>
    <w:p w14:paraId="35910399" w14:textId="77777777" w:rsidR="005022F8" w:rsidRDefault="005022F8" w:rsidP="005022F8">
      <w:r>
        <w:t>I acknowledge the use of Chatgpt (https://chatgpt.com/ on 17th July, 2026 to research, planning and development of my assignment. I used the prompt:</w:t>
      </w:r>
    </w:p>
    <w:p w14:paraId="1743D06A" w14:textId="77777777" w:rsidR="005022F8" w:rsidRDefault="005022F8" w:rsidP="005022F8">
      <w:r>
        <w:t>Provide a detailed, evidence-based foundation for a comparative analysis of Toyota’s international marketing strategies in Japan and the United States</w:t>
      </w:r>
    </w:p>
    <w:p w14:paraId="1F9F1F18" w14:textId="77777777" w:rsidR="00D72251" w:rsidRPr="00D72251" w:rsidRDefault="005022F8" w:rsidP="005022F8">
      <w:pPr>
        <w:rPr>
          <w:sz w:val="28"/>
          <w:szCs w:val="28"/>
        </w:rPr>
      </w:pPr>
      <w:r>
        <w:t>I confirm that I have not presented any AI generated text as my own work. I confirm I have copies of my drafts, notes, and other resources I used before, and after the use of AI tools which I may be asked to provide in evidence.</w:t>
      </w:r>
      <w:r w:rsidR="00D72251">
        <w:br w:type="page"/>
      </w:r>
    </w:p>
    <w:sdt>
      <w:sdtPr>
        <w:rPr>
          <w:rFonts w:ascii="Arial" w:eastAsiaTheme="minorHAnsi" w:hAnsi="Arial" w:cstheme="minorBidi"/>
          <w:color w:val="auto"/>
          <w:sz w:val="24"/>
          <w:szCs w:val="22"/>
          <w:lang w:val="en-GB"/>
        </w:rPr>
        <w:id w:val="-1250500184"/>
        <w:docPartObj>
          <w:docPartGallery w:val="Table of Contents"/>
          <w:docPartUnique/>
        </w:docPartObj>
      </w:sdtPr>
      <w:sdtEndPr>
        <w:rPr>
          <w:b/>
          <w:bCs/>
          <w:noProof/>
        </w:rPr>
      </w:sdtEndPr>
      <w:sdtContent>
        <w:p w14:paraId="3678921E" w14:textId="77777777" w:rsidR="00D72251" w:rsidRDefault="00D72251">
          <w:pPr>
            <w:pStyle w:val="TOCHeading"/>
          </w:pPr>
          <w:r>
            <w:t>Contents</w:t>
          </w:r>
        </w:p>
        <w:p w14:paraId="4A8A5DCB" w14:textId="77777777" w:rsidR="005022F8" w:rsidRDefault="00D72251">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36268199" w:history="1">
            <w:r w:rsidR="005022F8" w:rsidRPr="00C94BBE">
              <w:rPr>
                <w:rStyle w:val="Hyperlink"/>
                <w:noProof/>
              </w:rPr>
              <w:t>Section 1: Analytical report</w:t>
            </w:r>
            <w:r w:rsidR="005022F8">
              <w:rPr>
                <w:noProof/>
                <w:webHidden/>
              </w:rPr>
              <w:tab/>
            </w:r>
            <w:r w:rsidR="005022F8">
              <w:rPr>
                <w:noProof/>
                <w:webHidden/>
              </w:rPr>
              <w:fldChar w:fldCharType="begin"/>
            </w:r>
            <w:r w:rsidR="005022F8">
              <w:rPr>
                <w:noProof/>
                <w:webHidden/>
              </w:rPr>
              <w:instrText xml:space="preserve"> PAGEREF _Toc236268199 \h </w:instrText>
            </w:r>
            <w:r w:rsidR="005022F8">
              <w:rPr>
                <w:noProof/>
                <w:webHidden/>
              </w:rPr>
            </w:r>
            <w:r w:rsidR="005022F8">
              <w:rPr>
                <w:noProof/>
                <w:webHidden/>
              </w:rPr>
              <w:fldChar w:fldCharType="separate"/>
            </w:r>
            <w:r w:rsidR="005022F8">
              <w:rPr>
                <w:noProof/>
                <w:webHidden/>
              </w:rPr>
              <w:t>4</w:t>
            </w:r>
            <w:r w:rsidR="005022F8">
              <w:rPr>
                <w:noProof/>
                <w:webHidden/>
              </w:rPr>
              <w:fldChar w:fldCharType="end"/>
            </w:r>
          </w:hyperlink>
        </w:p>
        <w:p w14:paraId="393D06DE" w14:textId="77777777" w:rsidR="005022F8" w:rsidRDefault="005022F8">
          <w:pPr>
            <w:pStyle w:val="TOC2"/>
            <w:tabs>
              <w:tab w:val="left" w:pos="880"/>
              <w:tab w:val="right" w:leader="dot" w:pos="9350"/>
            </w:tabs>
            <w:rPr>
              <w:rFonts w:asciiTheme="minorHAnsi" w:eastAsiaTheme="minorEastAsia" w:hAnsiTheme="minorHAnsi"/>
              <w:noProof/>
              <w:sz w:val="22"/>
              <w:lang w:val="en-US"/>
            </w:rPr>
          </w:pPr>
          <w:hyperlink w:anchor="_Toc236268200" w:history="1">
            <w:r w:rsidRPr="00C94BBE">
              <w:rPr>
                <w:rStyle w:val="Hyperlink"/>
                <w:noProof/>
              </w:rPr>
              <w:t>1.</w:t>
            </w:r>
            <w:r>
              <w:rPr>
                <w:rFonts w:asciiTheme="minorHAnsi" w:eastAsiaTheme="minorEastAsia" w:hAnsiTheme="minorHAnsi"/>
                <w:noProof/>
                <w:sz w:val="22"/>
                <w:lang w:val="en-US"/>
              </w:rPr>
              <w:tab/>
            </w:r>
            <w:r w:rsidRPr="00C94BBE">
              <w:rPr>
                <w:rStyle w:val="Hyperlink"/>
                <w:noProof/>
              </w:rPr>
              <w:t>Introduction</w:t>
            </w:r>
            <w:r>
              <w:rPr>
                <w:noProof/>
                <w:webHidden/>
              </w:rPr>
              <w:tab/>
            </w:r>
            <w:r>
              <w:rPr>
                <w:noProof/>
                <w:webHidden/>
              </w:rPr>
              <w:fldChar w:fldCharType="begin"/>
            </w:r>
            <w:r>
              <w:rPr>
                <w:noProof/>
                <w:webHidden/>
              </w:rPr>
              <w:instrText xml:space="preserve"> PAGEREF _Toc236268200 \h </w:instrText>
            </w:r>
            <w:r>
              <w:rPr>
                <w:noProof/>
                <w:webHidden/>
              </w:rPr>
            </w:r>
            <w:r>
              <w:rPr>
                <w:noProof/>
                <w:webHidden/>
              </w:rPr>
              <w:fldChar w:fldCharType="separate"/>
            </w:r>
            <w:r>
              <w:rPr>
                <w:noProof/>
                <w:webHidden/>
              </w:rPr>
              <w:t>4</w:t>
            </w:r>
            <w:r>
              <w:rPr>
                <w:noProof/>
                <w:webHidden/>
              </w:rPr>
              <w:fldChar w:fldCharType="end"/>
            </w:r>
          </w:hyperlink>
        </w:p>
        <w:p w14:paraId="753D4F7B" w14:textId="77777777" w:rsidR="005022F8" w:rsidRDefault="005022F8">
          <w:pPr>
            <w:pStyle w:val="TOC2"/>
            <w:tabs>
              <w:tab w:val="left" w:pos="880"/>
              <w:tab w:val="right" w:leader="dot" w:pos="9350"/>
            </w:tabs>
            <w:rPr>
              <w:rFonts w:asciiTheme="minorHAnsi" w:eastAsiaTheme="minorEastAsia" w:hAnsiTheme="minorHAnsi"/>
              <w:noProof/>
              <w:sz w:val="22"/>
              <w:lang w:val="en-US"/>
            </w:rPr>
          </w:pPr>
          <w:hyperlink w:anchor="_Toc236268201" w:history="1">
            <w:r w:rsidRPr="00C94BBE">
              <w:rPr>
                <w:rStyle w:val="Hyperlink"/>
                <w:noProof/>
              </w:rPr>
              <w:t>2.</w:t>
            </w:r>
            <w:r>
              <w:rPr>
                <w:rFonts w:asciiTheme="minorHAnsi" w:eastAsiaTheme="minorEastAsia" w:hAnsiTheme="minorHAnsi"/>
                <w:noProof/>
                <w:sz w:val="22"/>
                <w:lang w:val="en-US"/>
              </w:rPr>
              <w:tab/>
            </w:r>
            <w:r w:rsidRPr="00C94BBE">
              <w:rPr>
                <w:rStyle w:val="Hyperlink"/>
                <w:noProof/>
              </w:rPr>
              <w:t>Toyota and Country Overview</w:t>
            </w:r>
            <w:r>
              <w:rPr>
                <w:noProof/>
                <w:webHidden/>
              </w:rPr>
              <w:tab/>
            </w:r>
            <w:r>
              <w:rPr>
                <w:noProof/>
                <w:webHidden/>
              </w:rPr>
              <w:fldChar w:fldCharType="begin"/>
            </w:r>
            <w:r>
              <w:rPr>
                <w:noProof/>
                <w:webHidden/>
              </w:rPr>
              <w:instrText xml:space="preserve"> PAGEREF _Toc236268201 \h </w:instrText>
            </w:r>
            <w:r>
              <w:rPr>
                <w:noProof/>
                <w:webHidden/>
              </w:rPr>
            </w:r>
            <w:r>
              <w:rPr>
                <w:noProof/>
                <w:webHidden/>
              </w:rPr>
              <w:fldChar w:fldCharType="separate"/>
            </w:r>
            <w:r>
              <w:rPr>
                <w:noProof/>
                <w:webHidden/>
              </w:rPr>
              <w:t>5</w:t>
            </w:r>
            <w:r>
              <w:rPr>
                <w:noProof/>
                <w:webHidden/>
              </w:rPr>
              <w:fldChar w:fldCharType="end"/>
            </w:r>
          </w:hyperlink>
        </w:p>
        <w:p w14:paraId="4C1F23E9" w14:textId="77777777" w:rsidR="005022F8" w:rsidRDefault="005022F8">
          <w:pPr>
            <w:pStyle w:val="TOC2"/>
            <w:tabs>
              <w:tab w:val="left" w:pos="880"/>
              <w:tab w:val="right" w:leader="dot" w:pos="9350"/>
            </w:tabs>
            <w:rPr>
              <w:rFonts w:asciiTheme="minorHAnsi" w:eastAsiaTheme="minorEastAsia" w:hAnsiTheme="minorHAnsi"/>
              <w:noProof/>
              <w:sz w:val="22"/>
              <w:lang w:val="en-US"/>
            </w:rPr>
          </w:pPr>
          <w:hyperlink w:anchor="_Toc236268202" w:history="1">
            <w:r w:rsidRPr="00C94BBE">
              <w:rPr>
                <w:rStyle w:val="Hyperlink"/>
                <w:noProof/>
              </w:rPr>
              <w:t>3.</w:t>
            </w:r>
            <w:r>
              <w:rPr>
                <w:rFonts w:asciiTheme="minorHAnsi" w:eastAsiaTheme="minorEastAsia" w:hAnsiTheme="minorHAnsi"/>
                <w:noProof/>
                <w:sz w:val="22"/>
                <w:lang w:val="en-US"/>
              </w:rPr>
              <w:tab/>
            </w:r>
            <w:r w:rsidRPr="00C94BBE">
              <w:rPr>
                <w:rStyle w:val="Hyperlink"/>
                <w:noProof/>
              </w:rPr>
              <w:t>Comparative Macro- and Socio-cultural Environment</w:t>
            </w:r>
            <w:r>
              <w:rPr>
                <w:noProof/>
                <w:webHidden/>
              </w:rPr>
              <w:tab/>
            </w:r>
            <w:r>
              <w:rPr>
                <w:noProof/>
                <w:webHidden/>
              </w:rPr>
              <w:fldChar w:fldCharType="begin"/>
            </w:r>
            <w:r>
              <w:rPr>
                <w:noProof/>
                <w:webHidden/>
              </w:rPr>
              <w:instrText xml:space="preserve"> PAGEREF _Toc236268202 \h </w:instrText>
            </w:r>
            <w:r>
              <w:rPr>
                <w:noProof/>
                <w:webHidden/>
              </w:rPr>
            </w:r>
            <w:r>
              <w:rPr>
                <w:noProof/>
                <w:webHidden/>
              </w:rPr>
              <w:fldChar w:fldCharType="separate"/>
            </w:r>
            <w:r>
              <w:rPr>
                <w:noProof/>
                <w:webHidden/>
              </w:rPr>
              <w:t>7</w:t>
            </w:r>
            <w:r>
              <w:rPr>
                <w:noProof/>
                <w:webHidden/>
              </w:rPr>
              <w:fldChar w:fldCharType="end"/>
            </w:r>
          </w:hyperlink>
        </w:p>
        <w:p w14:paraId="61B16FCB"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03" w:history="1">
            <w:r w:rsidRPr="00C94BBE">
              <w:rPr>
                <w:rStyle w:val="Hyperlink"/>
                <w:noProof/>
                <w:lang w:val="en-US"/>
              </w:rPr>
              <w:t>3.1</w:t>
            </w:r>
            <w:r>
              <w:rPr>
                <w:rFonts w:asciiTheme="minorHAnsi" w:eastAsiaTheme="minorEastAsia" w:hAnsiTheme="minorHAnsi"/>
                <w:noProof/>
                <w:sz w:val="22"/>
                <w:lang w:val="en-US"/>
              </w:rPr>
              <w:tab/>
            </w:r>
            <w:r w:rsidRPr="00C94BBE">
              <w:rPr>
                <w:rStyle w:val="Hyperlink"/>
                <w:noProof/>
                <w:lang w:val="en-US"/>
              </w:rPr>
              <w:t>Political</w:t>
            </w:r>
            <w:r>
              <w:rPr>
                <w:noProof/>
                <w:webHidden/>
              </w:rPr>
              <w:tab/>
            </w:r>
            <w:r>
              <w:rPr>
                <w:noProof/>
                <w:webHidden/>
              </w:rPr>
              <w:fldChar w:fldCharType="begin"/>
            </w:r>
            <w:r>
              <w:rPr>
                <w:noProof/>
                <w:webHidden/>
              </w:rPr>
              <w:instrText xml:space="preserve"> PAGEREF _Toc236268203 \h </w:instrText>
            </w:r>
            <w:r>
              <w:rPr>
                <w:noProof/>
                <w:webHidden/>
              </w:rPr>
            </w:r>
            <w:r>
              <w:rPr>
                <w:noProof/>
                <w:webHidden/>
              </w:rPr>
              <w:fldChar w:fldCharType="separate"/>
            </w:r>
            <w:r>
              <w:rPr>
                <w:noProof/>
                <w:webHidden/>
              </w:rPr>
              <w:t>7</w:t>
            </w:r>
            <w:r>
              <w:rPr>
                <w:noProof/>
                <w:webHidden/>
              </w:rPr>
              <w:fldChar w:fldCharType="end"/>
            </w:r>
          </w:hyperlink>
        </w:p>
        <w:p w14:paraId="6F1AA9E4"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04" w:history="1">
            <w:r w:rsidRPr="00C94BBE">
              <w:rPr>
                <w:rStyle w:val="Hyperlink"/>
                <w:noProof/>
                <w:lang w:val="en-US"/>
              </w:rPr>
              <w:t>3.2</w:t>
            </w:r>
            <w:r>
              <w:rPr>
                <w:rFonts w:asciiTheme="minorHAnsi" w:eastAsiaTheme="minorEastAsia" w:hAnsiTheme="minorHAnsi"/>
                <w:noProof/>
                <w:sz w:val="22"/>
                <w:lang w:val="en-US"/>
              </w:rPr>
              <w:tab/>
            </w:r>
            <w:r w:rsidRPr="00C94BBE">
              <w:rPr>
                <w:rStyle w:val="Hyperlink"/>
                <w:noProof/>
                <w:lang w:val="en-US"/>
              </w:rPr>
              <w:t>Economic</w:t>
            </w:r>
            <w:r>
              <w:rPr>
                <w:noProof/>
                <w:webHidden/>
              </w:rPr>
              <w:tab/>
            </w:r>
            <w:r>
              <w:rPr>
                <w:noProof/>
                <w:webHidden/>
              </w:rPr>
              <w:fldChar w:fldCharType="begin"/>
            </w:r>
            <w:r>
              <w:rPr>
                <w:noProof/>
                <w:webHidden/>
              </w:rPr>
              <w:instrText xml:space="preserve"> PAGEREF _Toc236268204 \h </w:instrText>
            </w:r>
            <w:r>
              <w:rPr>
                <w:noProof/>
                <w:webHidden/>
              </w:rPr>
            </w:r>
            <w:r>
              <w:rPr>
                <w:noProof/>
                <w:webHidden/>
              </w:rPr>
              <w:fldChar w:fldCharType="separate"/>
            </w:r>
            <w:r>
              <w:rPr>
                <w:noProof/>
                <w:webHidden/>
              </w:rPr>
              <w:t>7</w:t>
            </w:r>
            <w:r>
              <w:rPr>
                <w:noProof/>
                <w:webHidden/>
              </w:rPr>
              <w:fldChar w:fldCharType="end"/>
            </w:r>
          </w:hyperlink>
        </w:p>
        <w:p w14:paraId="6CF4864A"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05" w:history="1">
            <w:r w:rsidRPr="00C94BBE">
              <w:rPr>
                <w:rStyle w:val="Hyperlink"/>
                <w:noProof/>
                <w:lang w:val="en-US"/>
              </w:rPr>
              <w:t>3.3</w:t>
            </w:r>
            <w:r>
              <w:rPr>
                <w:rFonts w:asciiTheme="minorHAnsi" w:eastAsiaTheme="minorEastAsia" w:hAnsiTheme="minorHAnsi"/>
                <w:noProof/>
                <w:sz w:val="22"/>
                <w:lang w:val="en-US"/>
              </w:rPr>
              <w:tab/>
            </w:r>
            <w:r w:rsidRPr="00C94BBE">
              <w:rPr>
                <w:rStyle w:val="Hyperlink"/>
                <w:noProof/>
                <w:lang w:val="en-US"/>
              </w:rPr>
              <w:t>Socio-cultural</w:t>
            </w:r>
            <w:r>
              <w:rPr>
                <w:noProof/>
                <w:webHidden/>
              </w:rPr>
              <w:tab/>
            </w:r>
            <w:r>
              <w:rPr>
                <w:noProof/>
                <w:webHidden/>
              </w:rPr>
              <w:fldChar w:fldCharType="begin"/>
            </w:r>
            <w:r>
              <w:rPr>
                <w:noProof/>
                <w:webHidden/>
              </w:rPr>
              <w:instrText xml:space="preserve"> PAGEREF _Toc236268205 \h </w:instrText>
            </w:r>
            <w:r>
              <w:rPr>
                <w:noProof/>
                <w:webHidden/>
              </w:rPr>
            </w:r>
            <w:r>
              <w:rPr>
                <w:noProof/>
                <w:webHidden/>
              </w:rPr>
              <w:fldChar w:fldCharType="separate"/>
            </w:r>
            <w:r>
              <w:rPr>
                <w:noProof/>
                <w:webHidden/>
              </w:rPr>
              <w:t>8</w:t>
            </w:r>
            <w:r>
              <w:rPr>
                <w:noProof/>
                <w:webHidden/>
              </w:rPr>
              <w:fldChar w:fldCharType="end"/>
            </w:r>
          </w:hyperlink>
        </w:p>
        <w:p w14:paraId="7BD0A576"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06" w:history="1">
            <w:r w:rsidRPr="00C94BBE">
              <w:rPr>
                <w:rStyle w:val="Hyperlink"/>
                <w:noProof/>
                <w:lang w:val="en-US"/>
              </w:rPr>
              <w:t>3.4</w:t>
            </w:r>
            <w:r>
              <w:rPr>
                <w:rFonts w:asciiTheme="minorHAnsi" w:eastAsiaTheme="minorEastAsia" w:hAnsiTheme="minorHAnsi"/>
                <w:noProof/>
                <w:sz w:val="22"/>
                <w:lang w:val="en-US"/>
              </w:rPr>
              <w:tab/>
            </w:r>
            <w:r w:rsidRPr="00C94BBE">
              <w:rPr>
                <w:rStyle w:val="Hyperlink"/>
                <w:noProof/>
                <w:lang w:val="en-US"/>
              </w:rPr>
              <w:t>Technological</w:t>
            </w:r>
            <w:r>
              <w:rPr>
                <w:noProof/>
                <w:webHidden/>
              </w:rPr>
              <w:tab/>
            </w:r>
            <w:r>
              <w:rPr>
                <w:noProof/>
                <w:webHidden/>
              </w:rPr>
              <w:fldChar w:fldCharType="begin"/>
            </w:r>
            <w:r>
              <w:rPr>
                <w:noProof/>
                <w:webHidden/>
              </w:rPr>
              <w:instrText xml:space="preserve"> PAGEREF _Toc236268206 \h </w:instrText>
            </w:r>
            <w:r>
              <w:rPr>
                <w:noProof/>
                <w:webHidden/>
              </w:rPr>
            </w:r>
            <w:r>
              <w:rPr>
                <w:noProof/>
                <w:webHidden/>
              </w:rPr>
              <w:fldChar w:fldCharType="separate"/>
            </w:r>
            <w:r>
              <w:rPr>
                <w:noProof/>
                <w:webHidden/>
              </w:rPr>
              <w:t>10</w:t>
            </w:r>
            <w:r>
              <w:rPr>
                <w:noProof/>
                <w:webHidden/>
              </w:rPr>
              <w:fldChar w:fldCharType="end"/>
            </w:r>
          </w:hyperlink>
        </w:p>
        <w:p w14:paraId="0E68A551"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07" w:history="1">
            <w:r w:rsidRPr="00C94BBE">
              <w:rPr>
                <w:rStyle w:val="Hyperlink"/>
                <w:noProof/>
                <w:lang w:val="en-US"/>
              </w:rPr>
              <w:t>3.5</w:t>
            </w:r>
            <w:r>
              <w:rPr>
                <w:rFonts w:asciiTheme="minorHAnsi" w:eastAsiaTheme="minorEastAsia" w:hAnsiTheme="minorHAnsi"/>
                <w:noProof/>
                <w:sz w:val="22"/>
                <w:lang w:val="en-US"/>
              </w:rPr>
              <w:tab/>
            </w:r>
            <w:r w:rsidRPr="00C94BBE">
              <w:rPr>
                <w:rStyle w:val="Hyperlink"/>
                <w:noProof/>
                <w:lang w:val="en-US"/>
              </w:rPr>
              <w:t>Legal</w:t>
            </w:r>
            <w:r>
              <w:rPr>
                <w:noProof/>
                <w:webHidden/>
              </w:rPr>
              <w:tab/>
            </w:r>
            <w:r>
              <w:rPr>
                <w:noProof/>
                <w:webHidden/>
              </w:rPr>
              <w:fldChar w:fldCharType="begin"/>
            </w:r>
            <w:r>
              <w:rPr>
                <w:noProof/>
                <w:webHidden/>
              </w:rPr>
              <w:instrText xml:space="preserve"> PAGEREF _Toc236268207 \h </w:instrText>
            </w:r>
            <w:r>
              <w:rPr>
                <w:noProof/>
                <w:webHidden/>
              </w:rPr>
            </w:r>
            <w:r>
              <w:rPr>
                <w:noProof/>
                <w:webHidden/>
              </w:rPr>
              <w:fldChar w:fldCharType="separate"/>
            </w:r>
            <w:r>
              <w:rPr>
                <w:noProof/>
                <w:webHidden/>
              </w:rPr>
              <w:t>10</w:t>
            </w:r>
            <w:r>
              <w:rPr>
                <w:noProof/>
                <w:webHidden/>
              </w:rPr>
              <w:fldChar w:fldCharType="end"/>
            </w:r>
          </w:hyperlink>
        </w:p>
        <w:p w14:paraId="5F9ADB3B"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08" w:history="1">
            <w:r w:rsidRPr="00C94BBE">
              <w:rPr>
                <w:rStyle w:val="Hyperlink"/>
                <w:noProof/>
                <w:lang w:val="en-US"/>
              </w:rPr>
              <w:t>3.6</w:t>
            </w:r>
            <w:r>
              <w:rPr>
                <w:rFonts w:asciiTheme="minorHAnsi" w:eastAsiaTheme="minorEastAsia" w:hAnsiTheme="minorHAnsi"/>
                <w:noProof/>
                <w:sz w:val="22"/>
                <w:lang w:val="en-US"/>
              </w:rPr>
              <w:tab/>
            </w:r>
            <w:r w:rsidRPr="00C94BBE">
              <w:rPr>
                <w:rStyle w:val="Hyperlink"/>
                <w:noProof/>
                <w:lang w:val="en-US"/>
              </w:rPr>
              <w:t>Environmental</w:t>
            </w:r>
            <w:r>
              <w:rPr>
                <w:noProof/>
                <w:webHidden/>
              </w:rPr>
              <w:tab/>
            </w:r>
            <w:r>
              <w:rPr>
                <w:noProof/>
                <w:webHidden/>
              </w:rPr>
              <w:fldChar w:fldCharType="begin"/>
            </w:r>
            <w:r>
              <w:rPr>
                <w:noProof/>
                <w:webHidden/>
              </w:rPr>
              <w:instrText xml:space="preserve"> PAGEREF _Toc236268208 \h </w:instrText>
            </w:r>
            <w:r>
              <w:rPr>
                <w:noProof/>
                <w:webHidden/>
              </w:rPr>
            </w:r>
            <w:r>
              <w:rPr>
                <w:noProof/>
                <w:webHidden/>
              </w:rPr>
              <w:fldChar w:fldCharType="separate"/>
            </w:r>
            <w:r>
              <w:rPr>
                <w:noProof/>
                <w:webHidden/>
              </w:rPr>
              <w:t>10</w:t>
            </w:r>
            <w:r>
              <w:rPr>
                <w:noProof/>
                <w:webHidden/>
              </w:rPr>
              <w:fldChar w:fldCharType="end"/>
            </w:r>
          </w:hyperlink>
        </w:p>
        <w:p w14:paraId="52D95939"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09" w:history="1">
            <w:r w:rsidRPr="00C94BBE">
              <w:rPr>
                <w:rStyle w:val="Hyperlink"/>
                <w:noProof/>
                <w:lang w:val="en-US"/>
              </w:rPr>
              <w:t>3.7</w:t>
            </w:r>
            <w:r>
              <w:rPr>
                <w:rFonts w:asciiTheme="minorHAnsi" w:eastAsiaTheme="minorEastAsia" w:hAnsiTheme="minorHAnsi"/>
                <w:noProof/>
                <w:sz w:val="22"/>
                <w:lang w:val="en-US"/>
              </w:rPr>
              <w:tab/>
            </w:r>
            <w:r w:rsidRPr="00C94BBE">
              <w:rPr>
                <w:rStyle w:val="Hyperlink"/>
                <w:noProof/>
                <w:lang w:val="en-US"/>
              </w:rPr>
              <w:t>Summarised PESTLE Analysis</w:t>
            </w:r>
            <w:r>
              <w:rPr>
                <w:noProof/>
                <w:webHidden/>
              </w:rPr>
              <w:tab/>
            </w:r>
            <w:r>
              <w:rPr>
                <w:noProof/>
                <w:webHidden/>
              </w:rPr>
              <w:fldChar w:fldCharType="begin"/>
            </w:r>
            <w:r>
              <w:rPr>
                <w:noProof/>
                <w:webHidden/>
              </w:rPr>
              <w:instrText xml:space="preserve"> PAGEREF _Toc236268209 \h </w:instrText>
            </w:r>
            <w:r>
              <w:rPr>
                <w:noProof/>
                <w:webHidden/>
              </w:rPr>
            </w:r>
            <w:r>
              <w:rPr>
                <w:noProof/>
                <w:webHidden/>
              </w:rPr>
              <w:fldChar w:fldCharType="separate"/>
            </w:r>
            <w:r>
              <w:rPr>
                <w:noProof/>
                <w:webHidden/>
              </w:rPr>
              <w:t>11</w:t>
            </w:r>
            <w:r>
              <w:rPr>
                <w:noProof/>
                <w:webHidden/>
              </w:rPr>
              <w:fldChar w:fldCharType="end"/>
            </w:r>
          </w:hyperlink>
        </w:p>
        <w:p w14:paraId="7740C408" w14:textId="77777777" w:rsidR="005022F8" w:rsidRDefault="005022F8">
          <w:pPr>
            <w:pStyle w:val="TOC2"/>
            <w:tabs>
              <w:tab w:val="left" w:pos="880"/>
              <w:tab w:val="right" w:leader="dot" w:pos="9350"/>
            </w:tabs>
            <w:rPr>
              <w:rFonts w:asciiTheme="minorHAnsi" w:eastAsiaTheme="minorEastAsia" w:hAnsiTheme="minorHAnsi"/>
              <w:noProof/>
              <w:sz w:val="22"/>
              <w:lang w:val="en-US"/>
            </w:rPr>
          </w:pPr>
          <w:hyperlink w:anchor="_Toc236268210" w:history="1">
            <w:r w:rsidRPr="00C94BBE">
              <w:rPr>
                <w:rStyle w:val="Hyperlink"/>
                <w:noProof/>
              </w:rPr>
              <w:t>4.</w:t>
            </w:r>
            <w:r>
              <w:rPr>
                <w:rFonts w:asciiTheme="minorHAnsi" w:eastAsiaTheme="minorEastAsia" w:hAnsiTheme="minorHAnsi"/>
                <w:noProof/>
                <w:sz w:val="22"/>
                <w:lang w:val="en-US"/>
              </w:rPr>
              <w:tab/>
            </w:r>
            <w:r w:rsidRPr="00C94BBE">
              <w:rPr>
                <w:rStyle w:val="Hyperlink"/>
                <w:noProof/>
              </w:rPr>
              <w:t>Comparative STP Strategies</w:t>
            </w:r>
            <w:r>
              <w:rPr>
                <w:noProof/>
                <w:webHidden/>
              </w:rPr>
              <w:tab/>
            </w:r>
            <w:r>
              <w:rPr>
                <w:noProof/>
                <w:webHidden/>
              </w:rPr>
              <w:fldChar w:fldCharType="begin"/>
            </w:r>
            <w:r>
              <w:rPr>
                <w:noProof/>
                <w:webHidden/>
              </w:rPr>
              <w:instrText xml:space="preserve"> PAGEREF _Toc236268210 \h </w:instrText>
            </w:r>
            <w:r>
              <w:rPr>
                <w:noProof/>
                <w:webHidden/>
              </w:rPr>
            </w:r>
            <w:r>
              <w:rPr>
                <w:noProof/>
                <w:webHidden/>
              </w:rPr>
              <w:fldChar w:fldCharType="separate"/>
            </w:r>
            <w:r>
              <w:rPr>
                <w:noProof/>
                <w:webHidden/>
              </w:rPr>
              <w:t>12</w:t>
            </w:r>
            <w:r>
              <w:rPr>
                <w:noProof/>
                <w:webHidden/>
              </w:rPr>
              <w:fldChar w:fldCharType="end"/>
            </w:r>
          </w:hyperlink>
        </w:p>
        <w:p w14:paraId="0AAD6F6E"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11" w:history="1">
            <w:r w:rsidRPr="00C94BBE">
              <w:rPr>
                <w:rStyle w:val="Hyperlink"/>
                <w:noProof/>
                <w:lang w:val="en-US"/>
              </w:rPr>
              <w:t>4.1</w:t>
            </w:r>
            <w:r>
              <w:rPr>
                <w:rFonts w:asciiTheme="minorHAnsi" w:eastAsiaTheme="minorEastAsia" w:hAnsiTheme="minorHAnsi"/>
                <w:noProof/>
                <w:sz w:val="22"/>
                <w:lang w:val="en-US"/>
              </w:rPr>
              <w:tab/>
            </w:r>
            <w:r w:rsidRPr="00C94BBE">
              <w:rPr>
                <w:rStyle w:val="Hyperlink"/>
                <w:noProof/>
                <w:lang w:val="en-US"/>
              </w:rPr>
              <w:t>Segmentation</w:t>
            </w:r>
            <w:r>
              <w:rPr>
                <w:noProof/>
                <w:webHidden/>
              </w:rPr>
              <w:tab/>
            </w:r>
            <w:r>
              <w:rPr>
                <w:noProof/>
                <w:webHidden/>
              </w:rPr>
              <w:fldChar w:fldCharType="begin"/>
            </w:r>
            <w:r>
              <w:rPr>
                <w:noProof/>
                <w:webHidden/>
              </w:rPr>
              <w:instrText xml:space="preserve"> PAGEREF _Toc236268211 \h </w:instrText>
            </w:r>
            <w:r>
              <w:rPr>
                <w:noProof/>
                <w:webHidden/>
              </w:rPr>
            </w:r>
            <w:r>
              <w:rPr>
                <w:noProof/>
                <w:webHidden/>
              </w:rPr>
              <w:fldChar w:fldCharType="separate"/>
            </w:r>
            <w:r>
              <w:rPr>
                <w:noProof/>
                <w:webHidden/>
              </w:rPr>
              <w:t>12</w:t>
            </w:r>
            <w:r>
              <w:rPr>
                <w:noProof/>
                <w:webHidden/>
              </w:rPr>
              <w:fldChar w:fldCharType="end"/>
            </w:r>
          </w:hyperlink>
        </w:p>
        <w:p w14:paraId="3A9880A4"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12" w:history="1">
            <w:r w:rsidRPr="00C94BBE">
              <w:rPr>
                <w:rStyle w:val="Hyperlink"/>
                <w:noProof/>
                <w:lang w:val="en-US"/>
              </w:rPr>
              <w:t>4.2</w:t>
            </w:r>
            <w:r>
              <w:rPr>
                <w:rFonts w:asciiTheme="minorHAnsi" w:eastAsiaTheme="minorEastAsia" w:hAnsiTheme="minorHAnsi"/>
                <w:noProof/>
                <w:sz w:val="22"/>
                <w:lang w:val="en-US"/>
              </w:rPr>
              <w:tab/>
            </w:r>
            <w:r w:rsidRPr="00C94BBE">
              <w:rPr>
                <w:rStyle w:val="Hyperlink"/>
                <w:noProof/>
                <w:lang w:val="en-US"/>
              </w:rPr>
              <w:t>Targeting</w:t>
            </w:r>
            <w:r>
              <w:rPr>
                <w:noProof/>
                <w:webHidden/>
              </w:rPr>
              <w:tab/>
            </w:r>
            <w:r>
              <w:rPr>
                <w:noProof/>
                <w:webHidden/>
              </w:rPr>
              <w:fldChar w:fldCharType="begin"/>
            </w:r>
            <w:r>
              <w:rPr>
                <w:noProof/>
                <w:webHidden/>
              </w:rPr>
              <w:instrText xml:space="preserve"> PAGEREF _Toc236268212 \h </w:instrText>
            </w:r>
            <w:r>
              <w:rPr>
                <w:noProof/>
                <w:webHidden/>
              </w:rPr>
            </w:r>
            <w:r>
              <w:rPr>
                <w:noProof/>
                <w:webHidden/>
              </w:rPr>
              <w:fldChar w:fldCharType="separate"/>
            </w:r>
            <w:r>
              <w:rPr>
                <w:noProof/>
                <w:webHidden/>
              </w:rPr>
              <w:t>12</w:t>
            </w:r>
            <w:r>
              <w:rPr>
                <w:noProof/>
                <w:webHidden/>
              </w:rPr>
              <w:fldChar w:fldCharType="end"/>
            </w:r>
          </w:hyperlink>
        </w:p>
        <w:p w14:paraId="078BD778"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13" w:history="1">
            <w:r w:rsidRPr="00C94BBE">
              <w:rPr>
                <w:rStyle w:val="Hyperlink"/>
                <w:noProof/>
                <w:lang w:val="en-US"/>
              </w:rPr>
              <w:t>4.3</w:t>
            </w:r>
            <w:r>
              <w:rPr>
                <w:rFonts w:asciiTheme="minorHAnsi" w:eastAsiaTheme="minorEastAsia" w:hAnsiTheme="minorHAnsi"/>
                <w:noProof/>
                <w:sz w:val="22"/>
                <w:lang w:val="en-US"/>
              </w:rPr>
              <w:tab/>
            </w:r>
            <w:r w:rsidRPr="00C94BBE">
              <w:rPr>
                <w:rStyle w:val="Hyperlink"/>
                <w:noProof/>
                <w:lang w:val="en-US"/>
              </w:rPr>
              <w:t>Positioning</w:t>
            </w:r>
            <w:r>
              <w:rPr>
                <w:noProof/>
                <w:webHidden/>
              </w:rPr>
              <w:tab/>
            </w:r>
            <w:r>
              <w:rPr>
                <w:noProof/>
                <w:webHidden/>
              </w:rPr>
              <w:fldChar w:fldCharType="begin"/>
            </w:r>
            <w:r>
              <w:rPr>
                <w:noProof/>
                <w:webHidden/>
              </w:rPr>
              <w:instrText xml:space="preserve"> PAGEREF _Toc236268213 \h </w:instrText>
            </w:r>
            <w:r>
              <w:rPr>
                <w:noProof/>
                <w:webHidden/>
              </w:rPr>
            </w:r>
            <w:r>
              <w:rPr>
                <w:noProof/>
                <w:webHidden/>
              </w:rPr>
              <w:fldChar w:fldCharType="separate"/>
            </w:r>
            <w:r>
              <w:rPr>
                <w:noProof/>
                <w:webHidden/>
              </w:rPr>
              <w:t>12</w:t>
            </w:r>
            <w:r>
              <w:rPr>
                <w:noProof/>
                <w:webHidden/>
              </w:rPr>
              <w:fldChar w:fldCharType="end"/>
            </w:r>
          </w:hyperlink>
        </w:p>
        <w:p w14:paraId="1AD5B970"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14" w:history="1">
            <w:r w:rsidRPr="00C94BBE">
              <w:rPr>
                <w:rStyle w:val="Hyperlink"/>
                <w:noProof/>
                <w:lang w:val="en-US"/>
              </w:rPr>
              <w:t>4.4</w:t>
            </w:r>
            <w:r>
              <w:rPr>
                <w:rFonts w:asciiTheme="minorHAnsi" w:eastAsiaTheme="minorEastAsia" w:hAnsiTheme="minorHAnsi"/>
                <w:noProof/>
                <w:sz w:val="22"/>
                <w:lang w:val="en-US"/>
              </w:rPr>
              <w:tab/>
            </w:r>
            <w:r w:rsidRPr="00C94BBE">
              <w:rPr>
                <w:rStyle w:val="Hyperlink"/>
                <w:noProof/>
                <w:lang w:val="en-US"/>
              </w:rPr>
              <w:t>Summarised STP Strategies</w:t>
            </w:r>
            <w:r>
              <w:rPr>
                <w:noProof/>
                <w:webHidden/>
              </w:rPr>
              <w:tab/>
            </w:r>
            <w:r>
              <w:rPr>
                <w:noProof/>
                <w:webHidden/>
              </w:rPr>
              <w:fldChar w:fldCharType="begin"/>
            </w:r>
            <w:r>
              <w:rPr>
                <w:noProof/>
                <w:webHidden/>
              </w:rPr>
              <w:instrText xml:space="preserve"> PAGEREF _Toc236268214 \h </w:instrText>
            </w:r>
            <w:r>
              <w:rPr>
                <w:noProof/>
                <w:webHidden/>
              </w:rPr>
            </w:r>
            <w:r>
              <w:rPr>
                <w:noProof/>
                <w:webHidden/>
              </w:rPr>
              <w:fldChar w:fldCharType="separate"/>
            </w:r>
            <w:r>
              <w:rPr>
                <w:noProof/>
                <w:webHidden/>
              </w:rPr>
              <w:t>14</w:t>
            </w:r>
            <w:r>
              <w:rPr>
                <w:noProof/>
                <w:webHidden/>
              </w:rPr>
              <w:fldChar w:fldCharType="end"/>
            </w:r>
          </w:hyperlink>
        </w:p>
        <w:p w14:paraId="1437C2ED" w14:textId="77777777" w:rsidR="005022F8" w:rsidRDefault="005022F8">
          <w:pPr>
            <w:pStyle w:val="TOC2"/>
            <w:tabs>
              <w:tab w:val="left" w:pos="880"/>
              <w:tab w:val="right" w:leader="dot" w:pos="9350"/>
            </w:tabs>
            <w:rPr>
              <w:rFonts w:asciiTheme="minorHAnsi" w:eastAsiaTheme="minorEastAsia" w:hAnsiTheme="minorHAnsi"/>
              <w:noProof/>
              <w:sz w:val="22"/>
              <w:lang w:val="en-US"/>
            </w:rPr>
          </w:pPr>
          <w:hyperlink w:anchor="_Toc236268215" w:history="1">
            <w:r w:rsidRPr="00C94BBE">
              <w:rPr>
                <w:rStyle w:val="Hyperlink"/>
                <w:noProof/>
              </w:rPr>
              <w:t>5.</w:t>
            </w:r>
            <w:r>
              <w:rPr>
                <w:rFonts w:asciiTheme="minorHAnsi" w:eastAsiaTheme="minorEastAsia" w:hAnsiTheme="minorHAnsi"/>
                <w:noProof/>
                <w:sz w:val="22"/>
                <w:lang w:val="en-US"/>
              </w:rPr>
              <w:tab/>
            </w:r>
            <w:r w:rsidRPr="00C94BBE">
              <w:rPr>
                <w:rStyle w:val="Hyperlink"/>
                <w:noProof/>
              </w:rPr>
              <w:t>Comparative International Marketing Mix (7Ps)</w:t>
            </w:r>
            <w:r>
              <w:rPr>
                <w:noProof/>
                <w:webHidden/>
              </w:rPr>
              <w:tab/>
            </w:r>
            <w:r>
              <w:rPr>
                <w:noProof/>
                <w:webHidden/>
              </w:rPr>
              <w:fldChar w:fldCharType="begin"/>
            </w:r>
            <w:r>
              <w:rPr>
                <w:noProof/>
                <w:webHidden/>
              </w:rPr>
              <w:instrText xml:space="preserve"> PAGEREF _Toc236268215 \h </w:instrText>
            </w:r>
            <w:r>
              <w:rPr>
                <w:noProof/>
                <w:webHidden/>
              </w:rPr>
            </w:r>
            <w:r>
              <w:rPr>
                <w:noProof/>
                <w:webHidden/>
              </w:rPr>
              <w:fldChar w:fldCharType="separate"/>
            </w:r>
            <w:r>
              <w:rPr>
                <w:noProof/>
                <w:webHidden/>
              </w:rPr>
              <w:t>14</w:t>
            </w:r>
            <w:r>
              <w:rPr>
                <w:noProof/>
                <w:webHidden/>
              </w:rPr>
              <w:fldChar w:fldCharType="end"/>
            </w:r>
          </w:hyperlink>
        </w:p>
        <w:p w14:paraId="3A3DAB48"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16" w:history="1">
            <w:r w:rsidRPr="00C94BBE">
              <w:rPr>
                <w:rStyle w:val="Hyperlink"/>
                <w:noProof/>
                <w:lang w:val="en-US"/>
              </w:rPr>
              <w:t>5.1</w:t>
            </w:r>
            <w:r>
              <w:rPr>
                <w:rFonts w:asciiTheme="minorHAnsi" w:eastAsiaTheme="minorEastAsia" w:hAnsiTheme="minorHAnsi"/>
                <w:noProof/>
                <w:sz w:val="22"/>
                <w:lang w:val="en-US"/>
              </w:rPr>
              <w:tab/>
            </w:r>
            <w:r w:rsidRPr="00C94BBE">
              <w:rPr>
                <w:rStyle w:val="Hyperlink"/>
                <w:noProof/>
                <w:lang w:val="en-US"/>
              </w:rPr>
              <w:t>Product</w:t>
            </w:r>
            <w:r>
              <w:rPr>
                <w:noProof/>
                <w:webHidden/>
              </w:rPr>
              <w:tab/>
            </w:r>
            <w:r>
              <w:rPr>
                <w:noProof/>
                <w:webHidden/>
              </w:rPr>
              <w:fldChar w:fldCharType="begin"/>
            </w:r>
            <w:r>
              <w:rPr>
                <w:noProof/>
                <w:webHidden/>
              </w:rPr>
              <w:instrText xml:space="preserve"> PAGEREF _Toc236268216 \h </w:instrText>
            </w:r>
            <w:r>
              <w:rPr>
                <w:noProof/>
                <w:webHidden/>
              </w:rPr>
            </w:r>
            <w:r>
              <w:rPr>
                <w:noProof/>
                <w:webHidden/>
              </w:rPr>
              <w:fldChar w:fldCharType="separate"/>
            </w:r>
            <w:r>
              <w:rPr>
                <w:noProof/>
                <w:webHidden/>
              </w:rPr>
              <w:t>14</w:t>
            </w:r>
            <w:r>
              <w:rPr>
                <w:noProof/>
                <w:webHidden/>
              </w:rPr>
              <w:fldChar w:fldCharType="end"/>
            </w:r>
          </w:hyperlink>
        </w:p>
        <w:p w14:paraId="6AE0B0EF"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17" w:history="1">
            <w:r w:rsidRPr="00C94BBE">
              <w:rPr>
                <w:rStyle w:val="Hyperlink"/>
                <w:noProof/>
                <w:lang w:val="en-US"/>
              </w:rPr>
              <w:t>5.2</w:t>
            </w:r>
            <w:r>
              <w:rPr>
                <w:rFonts w:asciiTheme="minorHAnsi" w:eastAsiaTheme="minorEastAsia" w:hAnsiTheme="minorHAnsi"/>
                <w:noProof/>
                <w:sz w:val="22"/>
                <w:lang w:val="en-US"/>
              </w:rPr>
              <w:tab/>
            </w:r>
            <w:r w:rsidRPr="00C94BBE">
              <w:rPr>
                <w:rStyle w:val="Hyperlink"/>
                <w:noProof/>
                <w:lang w:val="en-US"/>
              </w:rPr>
              <w:t>Price</w:t>
            </w:r>
            <w:r>
              <w:rPr>
                <w:noProof/>
                <w:webHidden/>
              </w:rPr>
              <w:tab/>
            </w:r>
            <w:r>
              <w:rPr>
                <w:noProof/>
                <w:webHidden/>
              </w:rPr>
              <w:fldChar w:fldCharType="begin"/>
            </w:r>
            <w:r>
              <w:rPr>
                <w:noProof/>
                <w:webHidden/>
              </w:rPr>
              <w:instrText xml:space="preserve"> PAGEREF _Toc236268217 \h </w:instrText>
            </w:r>
            <w:r>
              <w:rPr>
                <w:noProof/>
                <w:webHidden/>
              </w:rPr>
            </w:r>
            <w:r>
              <w:rPr>
                <w:noProof/>
                <w:webHidden/>
              </w:rPr>
              <w:fldChar w:fldCharType="separate"/>
            </w:r>
            <w:r>
              <w:rPr>
                <w:noProof/>
                <w:webHidden/>
              </w:rPr>
              <w:t>15</w:t>
            </w:r>
            <w:r>
              <w:rPr>
                <w:noProof/>
                <w:webHidden/>
              </w:rPr>
              <w:fldChar w:fldCharType="end"/>
            </w:r>
          </w:hyperlink>
        </w:p>
        <w:p w14:paraId="48F0C17A"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18" w:history="1">
            <w:r w:rsidRPr="00C94BBE">
              <w:rPr>
                <w:rStyle w:val="Hyperlink"/>
                <w:noProof/>
                <w:lang w:val="en-US"/>
              </w:rPr>
              <w:t>5.3</w:t>
            </w:r>
            <w:r>
              <w:rPr>
                <w:rFonts w:asciiTheme="minorHAnsi" w:eastAsiaTheme="minorEastAsia" w:hAnsiTheme="minorHAnsi"/>
                <w:noProof/>
                <w:sz w:val="22"/>
                <w:lang w:val="en-US"/>
              </w:rPr>
              <w:tab/>
            </w:r>
            <w:r w:rsidRPr="00C94BBE">
              <w:rPr>
                <w:rStyle w:val="Hyperlink"/>
                <w:noProof/>
                <w:lang w:val="en-US"/>
              </w:rPr>
              <w:t>Place</w:t>
            </w:r>
            <w:r>
              <w:rPr>
                <w:noProof/>
                <w:webHidden/>
              </w:rPr>
              <w:tab/>
            </w:r>
            <w:r>
              <w:rPr>
                <w:noProof/>
                <w:webHidden/>
              </w:rPr>
              <w:fldChar w:fldCharType="begin"/>
            </w:r>
            <w:r>
              <w:rPr>
                <w:noProof/>
                <w:webHidden/>
              </w:rPr>
              <w:instrText xml:space="preserve"> PAGEREF _Toc236268218 \h </w:instrText>
            </w:r>
            <w:r>
              <w:rPr>
                <w:noProof/>
                <w:webHidden/>
              </w:rPr>
            </w:r>
            <w:r>
              <w:rPr>
                <w:noProof/>
                <w:webHidden/>
              </w:rPr>
              <w:fldChar w:fldCharType="separate"/>
            </w:r>
            <w:r>
              <w:rPr>
                <w:noProof/>
                <w:webHidden/>
              </w:rPr>
              <w:t>15</w:t>
            </w:r>
            <w:r>
              <w:rPr>
                <w:noProof/>
                <w:webHidden/>
              </w:rPr>
              <w:fldChar w:fldCharType="end"/>
            </w:r>
          </w:hyperlink>
        </w:p>
        <w:p w14:paraId="573B3A83"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19" w:history="1">
            <w:r w:rsidRPr="00C94BBE">
              <w:rPr>
                <w:rStyle w:val="Hyperlink"/>
                <w:noProof/>
                <w:lang w:val="en-US"/>
              </w:rPr>
              <w:t>5.4</w:t>
            </w:r>
            <w:r>
              <w:rPr>
                <w:rFonts w:asciiTheme="minorHAnsi" w:eastAsiaTheme="minorEastAsia" w:hAnsiTheme="minorHAnsi"/>
                <w:noProof/>
                <w:sz w:val="22"/>
                <w:lang w:val="en-US"/>
              </w:rPr>
              <w:tab/>
            </w:r>
            <w:r w:rsidRPr="00C94BBE">
              <w:rPr>
                <w:rStyle w:val="Hyperlink"/>
                <w:noProof/>
                <w:lang w:val="en-US"/>
              </w:rPr>
              <w:t>Promotion</w:t>
            </w:r>
            <w:r>
              <w:rPr>
                <w:noProof/>
                <w:webHidden/>
              </w:rPr>
              <w:tab/>
            </w:r>
            <w:r>
              <w:rPr>
                <w:noProof/>
                <w:webHidden/>
              </w:rPr>
              <w:fldChar w:fldCharType="begin"/>
            </w:r>
            <w:r>
              <w:rPr>
                <w:noProof/>
                <w:webHidden/>
              </w:rPr>
              <w:instrText xml:space="preserve"> PAGEREF _Toc236268219 \h </w:instrText>
            </w:r>
            <w:r>
              <w:rPr>
                <w:noProof/>
                <w:webHidden/>
              </w:rPr>
            </w:r>
            <w:r>
              <w:rPr>
                <w:noProof/>
                <w:webHidden/>
              </w:rPr>
              <w:fldChar w:fldCharType="separate"/>
            </w:r>
            <w:r>
              <w:rPr>
                <w:noProof/>
                <w:webHidden/>
              </w:rPr>
              <w:t>15</w:t>
            </w:r>
            <w:r>
              <w:rPr>
                <w:noProof/>
                <w:webHidden/>
              </w:rPr>
              <w:fldChar w:fldCharType="end"/>
            </w:r>
          </w:hyperlink>
        </w:p>
        <w:p w14:paraId="1640A196"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20" w:history="1">
            <w:r w:rsidRPr="00C94BBE">
              <w:rPr>
                <w:rStyle w:val="Hyperlink"/>
                <w:noProof/>
                <w:lang w:val="en-US"/>
              </w:rPr>
              <w:t>5.5</w:t>
            </w:r>
            <w:r>
              <w:rPr>
                <w:rFonts w:asciiTheme="minorHAnsi" w:eastAsiaTheme="minorEastAsia" w:hAnsiTheme="minorHAnsi"/>
                <w:noProof/>
                <w:sz w:val="22"/>
                <w:lang w:val="en-US"/>
              </w:rPr>
              <w:tab/>
            </w:r>
            <w:r w:rsidRPr="00C94BBE">
              <w:rPr>
                <w:rStyle w:val="Hyperlink"/>
                <w:noProof/>
                <w:lang w:val="en-US"/>
              </w:rPr>
              <w:t>People</w:t>
            </w:r>
            <w:r>
              <w:rPr>
                <w:noProof/>
                <w:webHidden/>
              </w:rPr>
              <w:tab/>
            </w:r>
            <w:r>
              <w:rPr>
                <w:noProof/>
                <w:webHidden/>
              </w:rPr>
              <w:fldChar w:fldCharType="begin"/>
            </w:r>
            <w:r>
              <w:rPr>
                <w:noProof/>
                <w:webHidden/>
              </w:rPr>
              <w:instrText xml:space="preserve"> PAGEREF _Toc236268220 \h </w:instrText>
            </w:r>
            <w:r>
              <w:rPr>
                <w:noProof/>
                <w:webHidden/>
              </w:rPr>
            </w:r>
            <w:r>
              <w:rPr>
                <w:noProof/>
                <w:webHidden/>
              </w:rPr>
              <w:fldChar w:fldCharType="separate"/>
            </w:r>
            <w:r>
              <w:rPr>
                <w:noProof/>
                <w:webHidden/>
              </w:rPr>
              <w:t>16</w:t>
            </w:r>
            <w:r>
              <w:rPr>
                <w:noProof/>
                <w:webHidden/>
              </w:rPr>
              <w:fldChar w:fldCharType="end"/>
            </w:r>
          </w:hyperlink>
        </w:p>
        <w:p w14:paraId="4883C3D8"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21" w:history="1">
            <w:r w:rsidRPr="00C94BBE">
              <w:rPr>
                <w:rStyle w:val="Hyperlink"/>
                <w:noProof/>
                <w:lang w:val="en-US"/>
              </w:rPr>
              <w:t>5.6</w:t>
            </w:r>
            <w:r>
              <w:rPr>
                <w:rFonts w:asciiTheme="minorHAnsi" w:eastAsiaTheme="minorEastAsia" w:hAnsiTheme="minorHAnsi"/>
                <w:noProof/>
                <w:sz w:val="22"/>
                <w:lang w:val="en-US"/>
              </w:rPr>
              <w:tab/>
            </w:r>
            <w:r w:rsidRPr="00C94BBE">
              <w:rPr>
                <w:rStyle w:val="Hyperlink"/>
                <w:noProof/>
                <w:lang w:val="en-US"/>
              </w:rPr>
              <w:t>Process</w:t>
            </w:r>
            <w:r>
              <w:rPr>
                <w:noProof/>
                <w:webHidden/>
              </w:rPr>
              <w:tab/>
            </w:r>
            <w:r>
              <w:rPr>
                <w:noProof/>
                <w:webHidden/>
              </w:rPr>
              <w:fldChar w:fldCharType="begin"/>
            </w:r>
            <w:r>
              <w:rPr>
                <w:noProof/>
                <w:webHidden/>
              </w:rPr>
              <w:instrText xml:space="preserve"> PAGEREF _Toc236268221 \h </w:instrText>
            </w:r>
            <w:r>
              <w:rPr>
                <w:noProof/>
                <w:webHidden/>
              </w:rPr>
            </w:r>
            <w:r>
              <w:rPr>
                <w:noProof/>
                <w:webHidden/>
              </w:rPr>
              <w:fldChar w:fldCharType="separate"/>
            </w:r>
            <w:r>
              <w:rPr>
                <w:noProof/>
                <w:webHidden/>
              </w:rPr>
              <w:t>16</w:t>
            </w:r>
            <w:r>
              <w:rPr>
                <w:noProof/>
                <w:webHidden/>
              </w:rPr>
              <w:fldChar w:fldCharType="end"/>
            </w:r>
          </w:hyperlink>
        </w:p>
        <w:p w14:paraId="01FD12D5"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22" w:history="1">
            <w:r w:rsidRPr="00C94BBE">
              <w:rPr>
                <w:rStyle w:val="Hyperlink"/>
                <w:noProof/>
                <w:lang w:val="en-US"/>
              </w:rPr>
              <w:t>5.7</w:t>
            </w:r>
            <w:r>
              <w:rPr>
                <w:rFonts w:asciiTheme="minorHAnsi" w:eastAsiaTheme="minorEastAsia" w:hAnsiTheme="minorHAnsi"/>
                <w:noProof/>
                <w:sz w:val="22"/>
                <w:lang w:val="en-US"/>
              </w:rPr>
              <w:tab/>
            </w:r>
            <w:r w:rsidRPr="00C94BBE">
              <w:rPr>
                <w:rStyle w:val="Hyperlink"/>
                <w:noProof/>
                <w:lang w:val="en-US"/>
              </w:rPr>
              <w:t>Physical evidence</w:t>
            </w:r>
            <w:r>
              <w:rPr>
                <w:noProof/>
                <w:webHidden/>
              </w:rPr>
              <w:tab/>
            </w:r>
            <w:r>
              <w:rPr>
                <w:noProof/>
                <w:webHidden/>
              </w:rPr>
              <w:fldChar w:fldCharType="begin"/>
            </w:r>
            <w:r>
              <w:rPr>
                <w:noProof/>
                <w:webHidden/>
              </w:rPr>
              <w:instrText xml:space="preserve"> PAGEREF _Toc236268222 \h </w:instrText>
            </w:r>
            <w:r>
              <w:rPr>
                <w:noProof/>
                <w:webHidden/>
              </w:rPr>
            </w:r>
            <w:r>
              <w:rPr>
                <w:noProof/>
                <w:webHidden/>
              </w:rPr>
              <w:fldChar w:fldCharType="separate"/>
            </w:r>
            <w:r>
              <w:rPr>
                <w:noProof/>
                <w:webHidden/>
              </w:rPr>
              <w:t>17</w:t>
            </w:r>
            <w:r>
              <w:rPr>
                <w:noProof/>
                <w:webHidden/>
              </w:rPr>
              <w:fldChar w:fldCharType="end"/>
            </w:r>
          </w:hyperlink>
        </w:p>
        <w:p w14:paraId="64C8354A"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23" w:history="1">
            <w:r w:rsidRPr="00C94BBE">
              <w:rPr>
                <w:rStyle w:val="Hyperlink"/>
                <w:noProof/>
                <w:lang w:val="en-US"/>
              </w:rPr>
              <w:t>5.8</w:t>
            </w:r>
            <w:r>
              <w:rPr>
                <w:rFonts w:asciiTheme="minorHAnsi" w:eastAsiaTheme="minorEastAsia" w:hAnsiTheme="minorHAnsi"/>
                <w:noProof/>
                <w:sz w:val="22"/>
                <w:lang w:val="en-US"/>
              </w:rPr>
              <w:tab/>
            </w:r>
            <w:r w:rsidRPr="00C94BBE">
              <w:rPr>
                <w:rStyle w:val="Hyperlink"/>
                <w:noProof/>
                <w:lang w:val="en-US"/>
              </w:rPr>
              <w:t>Summarised Marketing Mix</w:t>
            </w:r>
            <w:r>
              <w:rPr>
                <w:noProof/>
                <w:webHidden/>
              </w:rPr>
              <w:tab/>
            </w:r>
            <w:r>
              <w:rPr>
                <w:noProof/>
                <w:webHidden/>
              </w:rPr>
              <w:fldChar w:fldCharType="begin"/>
            </w:r>
            <w:r>
              <w:rPr>
                <w:noProof/>
                <w:webHidden/>
              </w:rPr>
              <w:instrText xml:space="preserve"> PAGEREF _Toc236268223 \h </w:instrText>
            </w:r>
            <w:r>
              <w:rPr>
                <w:noProof/>
                <w:webHidden/>
              </w:rPr>
            </w:r>
            <w:r>
              <w:rPr>
                <w:noProof/>
                <w:webHidden/>
              </w:rPr>
              <w:fldChar w:fldCharType="separate"/>
            </w:r>
            <w:r>
              <w:rPr>
                <w:noProof/>
                <w:webHidden/>
              </w:rPr>
              <w:t>18</w:t>
            </w:r>
            <w:r>
              <w:rPr>
                <w:noProof/>
                <w:webHidden/>
              </w:rPr>
              <w:fldChar w:fldCharType="end"/>
            </w:r>
          </w:hyperlink>
        </w:p>
        <w:p w14:paraId="6FB155C3" w14:textId="77777777" w:rsidR="005022F8" w:rsidRDefault="005022F8">
          <w:pPr>
            <w:pStyle w:val="TOC2"/>
            <w:tabs>
              <w:tab w:val="left" w:pos="880"/>
              <w:tab w:val="right" w:leader="dot" w:pos="9350"/>
            </w:tabs>
            <w:rPr>
              <w:rFonts w:asciiTheme="minorHAnsi" w:eastAsiaTheme="minorEastAsia" w:hAnsiTheme="minorHAnsi"/>
              <w:noProof/>
              <w:sz w:val="22"/>
              <w:lang w:val="en-US"/>
            </w:rPr>
          </w:pPr>
          <w:hyperlink w:anchor="_Toc236268224" w:history="1">
            <w:r w:rsidRPr="00C94BBE">
              <w:rPr>
                <w:rStyle w:val="Hyperlink"/>
                <w:noProof/>
              </w:rPr>
              <w:t>6.</w:t>
            </w:r>
            <w:r>
              <w:rPr>
                <w:rFonts w:asciiTheme="minorHAnsi" w:eastAsiaTheme="minorEastAsia" w:hAnsiTheme="minorHAnsi"/>
                <w:noProof/>
                <w:sz w:val="22"/>
                <w:lang w:val="en-US"/>
              </w:rPr>
              <w:tab/>
            </w:r>
            <w:r w:rsidRPr="00C94BBE">
              <w:rPr>
                <w:rStyle w:val="Hyperlink"/>
                <w:noProof/>
              </w:rPr>
              <w:t>Evaluation of Toyota’s Market-entry Strategy in the United States</w:t>
            </w:r>
            <w:r>
              <w:rPr>
                <w:noProof/>
                <w:webHidden/>
              </w:rPr>
              <w:tab/>
            </w:r>
            <w:r>
              <w:rPr>
                <w:noProof/>
                <w:webHidden/>
              </w:rPr>
              <w:fldChar w:fldCharType="begin"/>
            </w:r>
            <w:r>
              <w:rPr>
                <w:noProof/>
                <w:webHidden/>
              </w:rPr>
              <w:instrText xml:space="preserve"> PAGEREF _Toc236268224 \h </w:instrText>
            </w:r>
            <w:r>
              <w:rPr>
                <w:noProof/>
                <w:webHidden/>
              </w:rPr>
            </w:r>
            <w:r>
              <w:rPr>
                <w:noProof/>
                <w:webHidden/>
              </w:rPr>
              <w:fldChar w:fldCharType="separate"/>
            </w:r>
            <w:r>
              <w:rPr>
                <w:noProof/>
                <w:webHidden/>
              </w:rPr>
              <w:t>19</w:t>
            </w:r>
            <w:r>
              <w:rPr>
                <w:noProof/>
                <w:webHidden/>
              </w:rPr>
              <w:fldChar w:fldCharType="end"/>
            </w:r>
          </w:hyperlink>
        </w:p>
        <w:p w14:paraId="013410AE" w14:textId="77777777" w:rsidR="005022F8" w:rsidRDefault="005022F8">
          <w:pPr>
            <w:pStyle w:val="TOC2"/>
            <w:tabs>
              <w:tab w:val="left" w:pos="880"/>
              <w:tab w:val="right" w:leader="dot" w:pos="9350"/>
            </w:tabs>
            <w:rPr>
              <w:rFonts w:asciiTheme="minorHAnsi" w:eastAsiaTheme="minorEastAsia" w:hAnsiTheme="minorHAnsi"/>
              <w:noProof/>
              <w:sz w:val="22"/>
              <w:lang w:val="en-US"/>
            </w:rPr>
          </w:pPr>
          <w:hyperlink w:anchor="_Toc236268225" w:history="1">
            <w:r w:rsidRPr="00C94BBE">
              <w:rPr>
                <w:rStyle w:val="Hyperlink"/>
                <w:noProof/>
              </w:rPr>
              <w:t>7.</w:t>
            </w:r>
            <w:r>
              <w:rPr>
                <w:rFonts w:asciiTheme="minorHAnsi" w:eastAsiaTheme="minorEastAsia" w:hAnsiTheme="minorHAnsi"/>
                <w:noProof/>
                <w:sz w:val="22"/>
                <w:lang w:val="en-US"/>
              </w:rPr>
              <w:tab/>
            </w:r>
            <w:r w:rsidRPr="00C94BBE">
              <w:rPr>
                <w:rStyle w:val="Hyperlink"/>
                <w:noProof/>
              </w:rPr>
              <w:t>Ethical and Unethical Marketing Practices in the United States</w:t>
            </w:r>
            <w:r>
              <w:rPr>
                <w:noProof/>
                <w:webHidden/>
              </w:rPr>
              <w:tab/>
            </w:r>
            <w:r>
              <w:rPr>
                <w:noProof/>
                <w:webHidden/>
              </w:rPr>
              <w:fldChar w:fldCharType="begin"/>
            </w:r>
            <w:r>
              <w:rPr>
                <w:noProof/>
                <w:webHidden/>
              </w:rPr>
              <w:instrText xml:space="preserve"> PAGEREF _Toc236268225 \h </w:instrText>
            </w:r>
            <w:r>
              <w:rPr>
                <w:noProof/>
                <w:webHidden/>
              </w:rPr>
            </w:r>
            <w:r>
              <w:rPr>
                <w:noProof/>
                <w:webHidden/>
              </w:rPr>
              <w:fldChar w:fldCharType="separate"/>
            </w:r>
            <w:r>
              <w:rPr>
                <w:noProof/>
                <w:webHidden/>
              </w:rPr>
              <w:t>20</w:t>
            </w:r>
            <w:r>
              <w:rPr>
                <w:noProof/>
                <w:webHidden/>
              </w:rPr>
              <w:fldChar w:fldCharType="end"/>
            </w:r>
          </w:hyperlink>
        </w:p>
        <w:p w14:paraId="457099FC"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26" w:history="1">
            <w:r w:rsidRPr="00C94BBE">
              <w:rPr>
                <w:rStyle w:val="Hyperlink"/>
                <w:noProof/>
                <w:lang w:val="en-US"/>
              </w:rPr>
              <w:t>7.1</w:t>
            </w:r>
            <w:r>
              <w:rPr>
                <w:rFonts w:asciiTheme="minorHAnsi" w:eastAsiaTheme="minorEastAsia" w:hAnsiTheme="minorHAnsi"/>
                <w:noProof/>
                <w:sz w:val="22"/>
                <w:lang w:val="en-US"/>
              </w:rPr>
              <w:tab/>
            </w:r>
            <w:r w:rsidRPr="00C94BBE">
              <w:rPr>
                <w:rStyle w:val="Hyperlink"/>
                <w:noProof/>
                <w:lang w:val="en-US"/>
              </w:rPr>
              <w:t>Ethical practice 1 - product safety</w:t>
            </w:r>
            <w:r>
              <w:rPr>
                <w:noProof/>
                <w:webHidden/>
              </w:rPr>
              <w:tab/>
            </w:r>
            <w:r>
              <w:rPr>
                <w:noProof/>
                <w:webHidden/>
              </w:rPr>
              <w:fldChar w:fldCharType="begin"/>
            </w:r>
            <w:r>
              <w:rPr>
                <w:noProof/>
                <w:webHidden/>
              </w:rPr>
              <w:instrText xml:space="preserve"> PAGEREF _Toc236268226 \h </w:instrText>
            </w:r>
            <w:r>
              <w:rPr>
                <w:noProof/>
                <w:webHidden/>
              </w:rPr>
            </w:r>
            <w:r>
              <w:rPr>
                <w:noProof/>
                <w:webHidden/>
              </w:rPr>
              <w:fldChar w:fldCharType="separate"/>
            </w:r>
            <w:r>
              <w:rPr>
                <w:noProof/>
                <w:webHidden/>
              </w:rPr>
              <w:t>20</w:t>
            </w:r>
            <w:r>
              <w:rPr>
                <w:noProof/>
                <w:webHidden/>
              </w:rPr>
              <w:fldChar w:fldCharType="end"/>
            </w:r>
          </w:hyperlink>
        </w:p>
        <w:p w14:paraId="0BD029EC"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27" w:history="1">
            <w:r w:rsidRPr="00C94BBE">
              <w:rPr>
                <w:rStyle w:val="Hyperlink"/>
                <w:noProof/>
                <w:lang w:val="en-US"/>
              </w:rPr>
              <w:t>7.2</w:t>
            </w:r>
            <w:r>
              <w:rPr>
                <w:rFonts w:asciiTheme="minorHAnsi" w:eastAsiaTheme="minorEastAsia" w:hAnsiTheme="minorHAnsi"/>
                <w:noProof/>
                <w:sz w:val="22"/>
                <w:lang w:val="en-US"/>
              </w:rPr>
              <w:tab/>
            </w:r>
            <w:r w:rsidRPr="00C94BBE">
              <w:rPr>
                <w:rStyle w:val="Hyperlink"/>
                <w:noProof/>
                <w:lang w:val="en-US"/>
              </w:rPr>
              <w:t>Ethical practice 2 - child-passenger safety</w:t>
            </w:r>
            <w:r>
              <w:rPr>
                <w:noProof/>
                <w:webHidden/>
              </w:rPr>
              <w:tab/>
            </w:r>
            <w:r>
              <w:rPr>
                <w:noProof/>
                <w:webHidden/>
              </w:rPr>
              <w:fldChar w:fldCharType="begin"/>
            </w:r>
            <w:r>
              <w:rPr>
                <w:noProof/>
                <w:webHidden/>
              </w:rPr>
              <w:instrText xml:space="preserve"> PAGEREF _Toc236268227 \h </w:instrText>
            </w:r>
            <w:r>
              <w:rPr>
                <w:noProof/>
                <w:webHidden/>
              </w:rPr>
            </w:r>
            <w:r>
              <w:rPr>
                <w:noProof/>
                <w:webHidden/>
              </w:rPr>
              <w:fldChar w:fldCharType="separate"/>
            </w:r>
            <w:r>
              <w:rPr>
                <w:noProof/>
                <w:webHidden/>
              </w:rPr>
              <w:t>20</w:t>
            </w:r>
            <w:r>
              <w:rPr>
                <w:noProof/>
                <w:webHidden/>
              </w:rPr>
              <w:fldChar w:fldCharType="end"/>
            </w:r>
          </w:hyperlink>
        </w:p>
        <w:p w14:paraId="4BE50BB7"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28" w:history="1">
            <w:r w:rsidRPr="00C94BBE">
              <w:rPr>
                <w:rStyle w:val="Hyperlink"/>
                <w:noProof/>
                <w:lang w:val="en-US"/>
              </w:rPr>
              <w:t>7.3</w:t>
            </w:r>
            <w:r>
              <w:rPr>
                <w:rFonts w:asciiTheme="minorHAnsi" w:eastAsiaTheme="minorEastAsia" w:hAnsiTheme="minorHAnsi"/>
                <w:noProof/>
                <w:sz w:val="22"/>
                <w:lang w:val="en-US"/>
              </w:rPr>
              <w:tab/>
            </w:r>
            <w:r w:rsidRPr="00C94BBE">
              <w:rPr>
                <w:rStyle w:val="Hyperlink"/>
                <w:noProof/>
                <w:lang w:val="en-US"/>
              </w:rPr>
              <w:t>Unethical practice 1 - emissions reporting</w:t>
            </w:r>
            <w:r>
              <w:rPr>
                <w:noProof/>
                <w:webHidden/>
              </w:rPr>
              <w:tab/>
            </w:r>
            <w:r>
              <w:rPr>
                <w:noProof/>
                <w:webHidden/>
              </w:rPr>
              <w:fldChar w:fldCharType="begin"/>
            </w:r>
            <w:r>
              <w:rPr>
                <w:noProof/>
                <w:webHidden/>
              </w:rPr>
              <w:instrText xml:space="preserve"> PAGEREF _Toc236268228 \h </w:instrText>
            </w:r>
            <w:r>
              <w:rPr>
                <w:noProof/>
                <w:webHidden/>
              </w:rPr>
            </w:r>
            <w:r>
              <w:rPr>
                <w:noProof/>
                <w:webHidden/>
              </w:rPr>
              <w:fldChar w:fldCharType="separate"/>
            </w:r>
            <w:r>
              <w:rPr>
                <w:noProof/>
                <w:webHidden/>
              </w:rPr>
              <w:t>20</w:t>
            </w:r>
            <w:r>
              <w:rPr>
                <w:noProof/>
                <w:webHidden/>
              </w:rPr>
              <w:fldChar w:fldCharType="end"/>
            </w:r>
          </w:hyperlink>
        </w:p>
        <w:p w14:paraId="2CFF422D" w14:textId="77777777" w:rsidR="005022F8" w:rsidRDefault="005022F8">
          <w:pPr>
            <w:pStyle w:val="TOC3"/>
            <w:tabs>
              <w:tab w:val="left" w:pos="1100"/>
              <w:tab w:val="right" w:leader="dot" w:pos="9350"/>
            </w:tabs>
            <w:rPr>
              <w:rFonts w:asciiTheme="minorHAnsi" w:eastAsiaTheme="minorEastAsia" w:hAnsiTheme="minorHAnsi"/>
              <w:noProof/>
              <w:sz w:val="22"/>
              <w:lang w:val="en-US"/>
            </w:rPr>
          </w:pPr>
          <w:hyperlink w:anchor="_Toc236268229" w:history="1">
            <w:r w:rsidRPr="00C94BBE">
              <w:rPr>
                <w:rStyle w:val="Hyperlink"/>
                <w:noProof/>
                <w:lang w:val="en-US"/>
              </w:rPr>
              <w:t>7.4</w:t>
            </w:r>
            <w:r>
              <w:rPr>
                <w:rFonts w:asciiTheme="minorHAnsi" w:eastAsiaTheme="minorEastAsia" w:hAnsiTheme="minorHAnsi"/>
                <w:noProof/>
                <w:sz w:val="22"/>
                <w:lang w:val="en-US"/>
              </w:rPr>
              <w:tab/>
            </w:r>
            <w:r w:rsidRPr="00C94BBE">
              <w:rPr>
                <w:rStyle w:val="Hyperlink"/>
                <w:noProof/>
                <w:lang w:val="en-US"/>
              </w:rPr>
              <w:t>Unethical practice 2 - finance add-ons and refunds</w:t>
            </w:r>
            <w:r>
              <w:rPr>
                <w:noProof/>
                <w:webHidden/>
              </w:rPr>
              <w:tab/>
            </w:r>
            <w:r>
              <w:rPr>
                <w:noProof/>
                <w:webHidden/>
              </w:rPr>
              <w:fldChar w:fldCharType="begin"/>
            </w:r>
            <w:r>
              <w:rPr>
                <w:noProof/>
                <w:webHidden/>
              </w:rPr>
              <w:instrText xml:space="preserve"> PAGEREF _Toc236268229 \h </w:instrText>
            </w:r>
            <w:r>
              <w:rPr>
                <w:noProof/>
                <w:webHidden/>
              </w:rPr>
            </w:r>
            <w:r>
              <w:rPr>
                <w:noProof/>
                <w:webHidden/>
              </w:rPr>
              <w:fldChar w:fldCharType="separate"/>
            </w:r>
            <w:r>
              <w:rPr>
                <w:noProof/>
                <w:webHidden/>
              </w:rPr>
              <w:t>21</w:t>
            </w:r>
            <w:r>
              <w:rPr>
                <w:noProof/>
                <w:webHidden/>
              </w:rPr>
              <w:fldChar w:fldCharType="end"/>
            </w:r>
          </w:hyperlink>
        </w:p>
        <w:p w14:paraId="579A71E4" w14:textId="77777777" w:rsidR="005022F8" w:rsidRDefault="005022F8">
          <w:pPr>
            <w:pStyle w:val="TOC2"/>
            <w:tabs>
              <w:tab w:val="left" w:pos="880"/>
              <w:tab w:val="right" w:leader="dot" w:pos="9350"/>
            </w:tabs>
            <w:rPr>
              <w:rFonts w:asciiTheme="minorHAnsi" w:eastAsiaTheme="minorEastAsia" w:hAnsiTheme="minorHAnsi"/>
              <w:noProof/>
              <w:sz w:val="22"/>
              <w:lang w:val="en-US"/>
            </w:rPr>
          </w:pPr>
          <w:hyperlink w:anchor="_Toc236268230" w:history="1">
            <w:r w:rsidRPr="00C94BBE">
              <w:rPr>
                <w:rStyle w:val="Hyperlink"/>
                <w:noProof/>
              </w:rPr>
              <w:t>8.</w:t>
            </w:r>
            <w:r>
              <w:rPr>
                <w:rFonts w:asciiTheme="minorHAnsi" w:eastAsiaTheme="minorEastAsia" w:hAnsiTheme="minorHAnsi"/>
                <w:noProof/>
                <w:sz w:val="22"/>
                <w:lang w:val="en-US"/>
              </w:rPr>
              <w:tab/>
            </w:r>
            <w:r w:rsidRPr="00C94BBE">
              <w:rPr>
                <w:rStyle w:val="Hyperlink"/>
                <w:noProof/>
              </w:rPr>
              <w:t>Recommendations</w:t>
            </w:r>
            <w:r>
              <w:rPr>
                <w:noProof/>
                <w:webHidden/>
              </w:rPr>
              <w:tab/>
            </w:r>
            <w:r>
              <w:rPr>
                <w:noProof/>
                <w:webHidden/>
              </w:rPr>
              <w:fldChar w:fldCharType="begin"/>
            </w:r>
            <w:r>
              <w:rPr>
                <w:noProof/>
                <w:webHidden/>
              </w:rPr>
              <w:instrText xml:space="preserve"> PAGEREF _Toc236268230 \h </w:instrText>
            </w:r>
            <w:r>
              <w:rPr>
                <w:noProof/>
                <w:webHidden/>
              </w:rPr>
            </w:r>
            <w:r>
              <w:rPr>
                <w:noProof/>
                <w:webHidden/>
              </w:rPr>
              <w:fldChar w:fldCharType="separate"/>
            </w:r>
            <w:r>
              <w:rPr>
                <w:noProof/>
                <w:webHidden/>
              </w:rPr>
              <w:t>22</w:t>
            </w:r>
            <w:r>
              <w:rPr>
                <w:noProof/>
                <w:webHidden/>
              </w:rPr>
              <w:fldChar w:fldCharType="end"/>
            </w:r>
          </w:hyperlink>
        </w:p>
        <w:p w14:paraId="5B1024D9" w14:textId="77777777" w:rsidR="005022F8" w:rsidRDefault="005022F8">
          <w:pPr>
            <w:pStyle w:val="TOC2"/>
            <w:tabs>
              <w:tab w:val="left" w:pos="880"/>
              <w:tab w:val="right" w:leader="dot" w:pos="9350"/>
            </w:tabs>
            <w:rPr>
              <w:rFonts w:asciiTheme="minorHAnsi" w:eastAsiaTheme="minorEastAsia" w:hAnsiTheme="minorHAnsi"/>
              <w:noProof/>
              <w:sz w:val="22"/>
              <w:lang w:val="en-US"/>
            </w:rPr>
          </w:pPr>
          <w:hyperlink w:anchor="_Toc236268231" w:history="1">
            <w:r w:rsidRPr="00C94BBE">
              <w:rPr>
                <w:rStyle w:val="Hyperlink"/>
                <w:noProof/>
              </w:rPr>
              <w:t>9.</w:t>
            </w:r>
            <w:r>
              <w:rPr>
                <w:rFonts w:asciiTheme="minorHAnsi" w:eastAsiaTheme="minorEastAsia" w:hAnsiTheme="minorHAnsi"/>
                <w:noProof/>
                <w:sz w:val="22"/>
                <w:lang w:val="en-US"/>
              </w:rPr>
              <w:tab/>
            </w:r>
            <w:r w:rsidRPr="00C94BBE">
              <w:rPr>
                <w:rStyle w:val="Hyperlink"/>
                <w:noProof/>
              </w:rPr>
              <w:t>Conclusion</w:t>
            </w:r>
            <w:r>
              <w:rPr>
                <w:noProof/>
                <w:webHidden/>
              </w:rPr>
              <w:tab/>
            </w:r>
            <w:r>
              <w:rPr>
                <w:noProof/>
                <w:webHidden/>
              </w:rPr>
              <w:fldChar w:fldCharType="begin"/>
            </w:r>
            <w:r>
              <w:rPr>
                <w:noProof/>
                <w:webHidden/>
              </w:rPr>
              <w:instrText xml:space="preserve"> PAGEREF _Toc236268231 \h </w:instrText>
            </w:r>
            <w:r>
              <w:rPr>
                <w:noProof/>
                <w:webHidden/>
              </w:rPr>
            </w:r>
            <w:r>
              <w:rPr>
                <w:noProof/>
                <w:webHidden/>
              </w:rPr>
              <w:fldChar w:fldCharType="separate"/>
            </w:r>
            <w:r>
              <w:rPr>
                <w:noProof/>
                <w:webHidden/>
              </w:rPr>
              <w:t>24</w:t>
            </w:r>
            <w:r>
              <w:rPr>
                <w:noProof/>
                <w:webHidden/>
              </w:rPr>
              <w:fldChar w:fldCharType="end"/>
            </w:r>
          </w:hyperlink>
        </w:p>
        <w:p w14:paraId="15627DB0" w14:textId="77777777" w:rsidR="005022F8" w:rsidRDefault="005022F8">
          <w:pPr>
            <w:pStyle w:val="TOC1"/>
            <w:tabs>
              <w:tab w:val="right" w:leader="dot" w:pos="9350"/>
            </w:tabs>
            <w:rPr>
              <w:rFonts w:asciiTheme="minorHAnsi" w:eastAsiaTheme="minorEastAsia" w:hAnsiTheme="minorHAnsi"/>
              <w:noProof/>
              <w:sz w:val="22"/>
              <w:lang w:val="en-US"/>
            </w:rPr>
          </w:pPr>
          <w:hyperlink w:anchor="_Toc236268232" w:history="1">
            <w:r w:rsidRPr="00C94BBE">
              <w:rPr>
                <w:rStyle w:val="Hyperlink"/>
                <w:noProof/>
              </w:rPr>
              <w:t>Section 2: Gibbs Reflective Account</w:t>
            </w:r>
            <w:r>
              <w:rPr>
                <w:noProof/>
                <w:webHidden/>
              </w:rPr>
              <w:tab/>
            </w:r>
            <w:r>
              <w:rPr>
                <w:noProof/>
                <w:webHidden/>
              </w:rPr>
              <w:fldChar w:fldCharType="begin"/>
            </w:r>
            <w:r>
              <w:rPr>
                <w:noProof/>
                <w:webHidden/>
              </w:rPr>
              <w:instrText xml:space="preserve"> PAGEREF _Toc236268232 \h </w:instrText>
            </w:r>
            <w:r>
              <w:rPr>
                <w:noProof/>
                <w:webHidden/>
              </w:rPr>
            </w:r>
            <w:r>
              <w:rPr>
                <w:noProof/>
                <w:webHidden/>
              </w:rPr>
              <w:fldChar w:fldCharType="separate"/>
            </w:r>
            <w:r>
              <w:rPr>
                <w:noProof/>
                <w:webHidden/>
              </w:rPr>
              <w:t>25</w:t>
            </w:r>
            <w:r>
              <w:rPr>
                <w:noProof/>
                <w:webHidden/>
              </w:rPr>
              <w:fldChar w:fldCharType="end"/>
            </w:r>
          </w:hyperlink>
        </w:p>
        <w:p w14:paraId="7E7C8F24" w14:textId="77777777" w:rsidR="005022F8" w:rsidRDefault="005022F8">
          <w:pPr>
            <w:pStyle w:val="TOC3"/>
            <w:tabs>
              <w:tab w:val="right" w:leader="dot" w:pos="9350"/>
            </w:tabs>
            <w:rPr>
              <w:rFonts w:asciiTheme="minorHAnsi" w:eastAsiaTheme="minorEastAsia" w:hAnsiTheme="minorHAnsi"/>
              <w:noProof/>
              <w:sz w:val="22"/>
              <w:lang w:val="en-US"/>
            </w:rPr>
          </w:pPr>
          <w:hyperlink w:anchor="_Toc236268233" w:history="1">
            <w:r w:rsidRPr="00C94BBE">
              <w:rPr>
                <w:rStyle w:val="Hyperlink"/>
                <w:noProof/>
              </w:rPr>
              <w:t>Description</w:t>
            </w:r>
            <w:r>
              <w:rPr>
                <w:noProof/>
                <w:webHidden/>
              </w:rPr>
              <w:tab/>
            </w:r>
            <w:r>
              <w:rPr>
                <w:noProof/>
                <w:webHidden/>
              </w:rPr>
              <w:fldChar w:fldCharType="begin"/>
            </w:r>
            <w:r>
              <w:rPr>
                <w:noProof/>
                <w:webHidden/>
              </w:rPr>
              <w:instrText xml:space="preserve"> PAGEREF _Toc236268233 \h </w:instrText>
            </w:r>
            <w:r>
              <w:rPr>
                <w:noProof/>
                <w:webHidden/>
              </w:rPr>
            </w:r>
            <w:r>
              <w:rPr>
                <w:noProof/>
                <w:webHidden/>
              </w:rPr>
              <w:fldChar w:fldCharType="separate"/>
            </w:r>
            <w:r>
              <w:rPr>
                <w:noProof/>
                <w:webHidden/>
              </w:rPr>
              <w:t>25</w:t>
            </w:r>
            <w:r>
              <w:rPr>
                <w:noProof/>
                <w:webHidden/>
              </w:rPr>
              <w:fldChar w:fldCharType="end"/>
            </w:r>
          </w:hyperlink>
        </w:p>
        <w:p w14:paraId="0B8C5FDA" w14:textId="77777777" w:rsidR="005022F8" w:rsidRDefault="005022F8">
          <w:pPr>
            <w:pStyle w:val="TOC3"/>
            <w:tabs>
              <w:tab w:val="right" w:leader="dot" w:pos="9350"/>
            </w:tabs>
            <w:rPr>
              <w:rFonts w:asciiTheme="minorHAnsi" w:eastAsiaTheme="minorEastAsia" w:hAnsiTheme="minorHAnsi"/>
              <w:noProof/>
              <w:sz w:val="22"/>
              <w:lang w:val="en-US"/>
            </w:rPr>
          </w:pPr>
          <w:hyperlink w:anchor="_Toc236268234" w:history="1">
            <w:r w:rsidRPr="00C94BBE">
              <w:rPr>
                <w:rStyle w:val="Hyperlink"/>
                <w:noProof/>
              </w:rPr>
              <w:t>Feelings</w:t>
            </w:r>
            <w:r>
              <w:rPr>
                <w:noProof/>
                <w:webHidden/>
              </w:rPr>
              <w:tab/>
            </w:r>
            <w:r>
              <w:rPr>
                <w:noProof/>
                <w:webHidden/>
              </w:rPr>
              <w:fldChar w:fldCharType="begin"/>
            </w:r>
            <w:r>
              <w:rPr>
                <w:noProof/>
                <w:webHidden/>
              </w:rPr>
              <w:instrText xml:space="preserve"> PAGEREF _Toc236268234 \h </w:instrText>
            </w:r>
            <w:r>
              <w:rPr>
                <w:noProof/>
                <w:webHidden/>
              </w:rPr>
            </w:r>
            <w:r>
              <w:rPr>
                <w:noProof/>
                <w:webHidden/>
              </w:rPr>
              <w:fldChar w:fldCharType="separate"/>
            </w:r>
            <w:r>
              <w:rPr>
                <w:noProof/>
                <w:webHidden/>
              </w:rPr>
              <w:t>26</w:t>
            </w:r>
            <w:r>
              <w:rPr>
                <w:noProof/>
                <w:webHidden/>
              </w:rPr>
              <w:fldChar w:fldCharType="end"/>
            </w:r>
          </w:hyperlink>
        </w:p>
        <w:p w14:paraId="2345E6C5" w14:textId="77777777" w:rsidR="005022F8" w:rsidRDefault="005022F8">
          <w:pPr>
            <w:pStyle w:val="TOC3"/>
            <w:tabs>
              <w:tab w:val="right" w:leader="dot" w:pos="9350"/>
            </w:tabs>
            <w:rPr>
              <w:rFonts w:asciiTheme="minorHAnsi" w:eastAsiaTheme="minorEastAsia" w:hAnsiTheme="minorHAnsi"/>
              <w:noProof/>
              <w:sz w:val="22"/>
              <w:lang w:val="en-US"/>
            </w:rPr>
          </w:pPr>
          <w:hyperlink w:anchor="_Toc236268235" w:history="1">
            <w:r w:rsidRPr="00C94BBE">
              <w:rPr>
                <w:rStyle w:val="Hyperlink"/>
                <w:noProof/>
              </w:rPr>
              <w:t>Evaluation</w:t>
            </w:r>
            <w:r>
              <w:rPr>
                <w:noProof/>
                <w:webHidden/>
              </w:rPr>
              <w:tab/>
            </w:r>
            <w:r>
              <w:rPr>
                <w:noProof/>
                <w:webHidden/>
              </w:rPr>
              <w:fldChar w:fldCharType="begin"/>
            </w:r>
            <w:r>
              <w:rPr>
                <w:noProof/>
                <w:webHidden/>
              </w:rPr>
              <w:instrText xml:space="preserve"> PAGEREF _Toc236268235 \h </w:instrText>
            </w:r>
            <w:r>
              <w:rPr>
                <w:noProof/>
                <w:webHidden/>
              </w:rPr>
            </w:r>
            <w:r>
              <w:rPr>
                <w:noProof/>
                <w:webHidden/>
              </w:rPr>
              <w:fldChar w:fldCharType="separate"/>
            </w:r>
            <w:r>
              <w:rPr>
                <w:noProof/>
                <w:webHidden/>
              </w:rPr>
              <w:t>26</w:t>
            </w:r>
            <w:r>
              <w:rPr>
                <w:noProof/>
                <w:webHidden/>
              </w:rPr>
              <w:fldChar w:fldCharType="end"/>
            </w:r>
          </w:hyperlink>
        </w:p>
        <w:p w14:paraId="4BB2CC5D" w14:textId="77777777" w:rsidR="005022F8" w:rsidRDefault="005022F8">
          <w:pPr>
            <w:pStyle w:val="TOC3"/>
            <w:tabs>
              <w:tab w:val="right" w:leader="dot" w:pos="9350"/>
            </w:tabs>
            <w:rPr>
              <w:rFonts w:asciiTheme="minorHAnsi" w:eastAsiaTheme="minorEastAsia" w:hAnsiTheme="minorHAnsi"/>
              <w:noProof/>
              <w:sz w:val="22"/>
              <w:lang w:val="en-US"/>
            </w:rPr>
          </w:pPr>
          <w:hyperlink w:anchor="_Toc236268236" w:history="1">
            <w:r w:rsidRPr="00C94BBE">
              <w:rPr>
                <w:rStyle w:val="Hyperlink"/>
                <w:noProof/>
              </w:rPr>
              <w:t>Analysis</w:t>
            </w:r>
            <w:r>
              <w:rPr>
                <w:noProof/>
                <w:webHidden/>
              </w:rPr>
              <w:tab/>
            </w:r>
            <w:r>
              <w:rPr>
                <w:noProof/>
                <w:webHidden/>
              </w:rPr>
              <w:fldChar w:fldCharType="begin"/>
            </w:r>
            <w:r>
              <w:rPr>
                <w:noProof/>
                <w:webHidden/>
              </w:rPr>
              <w:instrText xml:space="preserve"> PAGEREF _Toc236268236 \h </w:instrText>
            </w:r>
            <w:r>
              <w:rPr>
                <w:noProof/>
                <w:webHidden/>
              </w:rPr>
            </w:r>
            <w:r>
              <w:rPr>
                <w:noProof/>
                <w:webHidden/>
              </w:rPr>
              <w:fldChar w:fldCharType="separate"/>
            </w:r>
            <w:r>
              <w:rPr>
                <w:noProof/>
                <w:webHidden/>
              </w:rPr>
              <w:t>27</w:t>
            </w:r>
            <w:r>
              <w:rPr>
                <w:noProof/>
                <w:webHidden/>
              </w:rPr>
              <w:fldChar w:fldCharType="end"/>
            </w:r>
          </w:hyperlink>
        </w:p>
        <w:p w14:paraId="2556D97D" w14:textId="77777777" w:rsidR="005022F8" w:rsidRDefault="005022F8">
          <w:pPr>
            <w:pStyle w:val="TOC3"/>
            <w:tabs>
              <w:tab w:val="right" w:leader="dot" w:pos="9350"/>
            </w:tabs>
            <w:rPr>
              <w:rFonts w:asciiTheme="minorHAnsi" w:eastAsiaTheme="minorEastAsia" w:hAnsiTheme="minorHAnsi"/>
              <w:noProof/>
              <w:sz w:val="22"/>
              <w:lang w:val="en-US"/>
            </w:rPr>
          </w:pPr>
          <w:hyperlink w:anchor="_Toc236268237" w:history="1">
            <w:r w:rsidRPr="00C94BBE">
              <w:rPr>
                <w:rStyle w:val="Hyperlink"/>
                <w:noProof/>
              </w:rPr>
              <w:t>Conclusion</w:t>
            </w:r>
            <w:r>
              <w:rPr>
                <w:noProof/>
                <w:webHidden/>
              </w:rPr>
              <w:tab/>
            </w:r>
            <w:r>
              <w:rPr>
                <w:noProof/>
                <w:webHidden/>
              </w:rPr>
              <w:fldChar w:fldCharType="begin"/>
            </w:r>
            <w:r>
              <w:rPr>
                <w:noProof/>
                <w:webHidden/>
              </w:rPr>
              <w:instrText xml:space="preserve"> PAGEREF _Toc236268237 \h </w:instrText>
            </w:r>
            <w:r>
              <w:rPr>
                <w:noProof/>
                <w:webHidden/>
              </w:rPr>
            </w:r>
            <w:r>
              <w:rPr>
                <w:noProof/>
                <w:webHidden/>
              </w:rPr>
              <w:fldChar w:fldCharType="separate"/>
            </w:r>
            <w:r>
              <w:rPr>
                <w:noProof/>
                <w:webHidden/>
              </w:rPr>
              <w:t>28</w:t>
            </w:r>
            <w:r>
              <w:rPr>
                <w:noProof/>
                <w:webHidden/>
              </w:rPr>
              <w:fldChar w:fldCharType="end"/>
            </w:r>
          </w:hyperlink>
        </w:p>
        <w:p w14:paraId="0FE251C0" w14:textId="77777777" w:rsidR="005022F8" w:rsidRDefault="005022F8">
          <w:pPr>
            <w:pStyle w:val="TOC3"/>
            <w:tabs>
              <w:tab w:val="right" w:leader="dot" w:pos="9350"/>
            </w:tabs>
            <w:rPr>
              <w:rFonts w:asciiTheme="minorHAnsi" w:eastAsiaTheme="minorEastAsia" w:hAnsiTheme="minorHAnsi"/>
              <w:noProof/>
              <w:sz w:val="22"/>
              <w:lang w:val="en-US"/>
            </w:rPr>
          </w:pPr>
          <w:hyperlink w:anchor="_Toc236268238" w:history="1">
            <w:r w:rsidRPr="00C94BBE">
              <w:rPr>
                <w:rStyle w:val="Hyperlink"/>
                <w:noProof/>
              </w:rPr>
              <w:t>Action plan</w:t>
            </w:r>
            <w:r>
              <w:rPr>
                <w:noProof/>
                <w:webHidden/>
              </w:rPr>
              <w:tab/>
            </w:r>
            <w:r>
              <w:rPr>
                <w:noProof/>
                <w:webHidden/>
              </w:rPr>
              <w:fldChar w:fldCharType="begin"/>
            </w:r>
            <w:r>
              <w:rPr>
                <w:noProof/>
                <w:webHidden/>
              </w:rPr>
              <w:instrText xml:space="preserve"> PAGEREF _Toc236268238 \h </w:instrText>
            </w:r>
            <w:r>
              <w:rPr>
                <w:noProof/>
                <w:webHidden/>
              </w:rPr>
            </w:r>
            <w:r>
              <w:rPr>
                <w:noProof/>
                <w:webHidden/>
              </w:rPr>
              <w:fldChar w:fldCharType="separate"/>
            </w:r>
            <w:r>
              <w:rPr>
                <w:noProof/>
                <w:webHidden/>
              </w:rPr>
              <w:t>28</w:t>
            </w:r>
            <w:r>
              <w:rPr>
                <w:noProof/>
                <w:webHidden/>
              </w:rPr>
              <w:fldChar w:fldCharType="end"/>
            </w:r>
          </w:hyperlink>
        </w:p>
        <w:p w14:paraId="7866F535" w14:textId="77777777" w:rsidR="005022F8" w:rsidRDefault="005022F8">
          <w:pPr>
            <w:pStyle w:val="TOC1"/>
            <w:tabs>
              <w:tab w:val="right" w:leader="dot" w:pos="9350"/>
            </w:tabs>
            <w:rPr>
              <w:rFonts w:asciiTheme="minorHAnsi" w:eastAsiaTheme="minorEastAsia" w:hAnsiTheme="minorHAnsi"/>
              <w:noProof/>
              <w:sz w:val="22"/>
              <w:lang w:val="en-US"/>
            </w:rPr>
          </w:pPr>
          <w:hyperlink w:anchor="_Toc236268239" w:history="1">
            <w:r w:rsidRPr="00C94BBE">
              <w:rPr>
                <w:rStyle w:val="Hyperlink"/>
                <w:noProof/>
              </w:rPr>
              <w:t>Reference</w:t>
            </w:r>
            <w:r>
              <w:rPr>
                <w:noProof/>
                <w:webHidden/>
              </w:rPr>
              <w:tab/>
            </w:r>
            <w:r>
              <w:rPr>
                <w:noProof/>
                <w:webHidden/>
              </w:rPr>
              <w:fldChar w:fldCharType="begin"/>
            </w:r>
            <w:r>
              <w:rPr>
                <w:noProof/>
                <w:webHidden/>
              </w:rPr>
              <w:instrText xml:space="preserve"> PAGEREF _Toc236268239 \h </w:instrText>
            </w:r>
            <w:r>
              <w:rPr>
                <w:noProof/>
                <w:webHidden/>
              </w:rPr>
            </w:r>
            <w:r>
              <w:rPr>
                <w:noProof/>
                <w:webHidden/>
              </w:rPr>
              <w:fldChar w:fldCharType="separate"/>
            </w:r>
            <w:r>
              <w:rPr>
                <w:noProof/>
                <w:webHidden/>
              </w:rPr>
              <w:t>30</w:t>
            </w:r>
            <w:r>
              <w:rPr>
                <w:noProof/>
                <w:webHidden/>
              </w:rPr>
              <w:fldChar w:fldCharType="end"/>
            </w:r>
          </w:hyperlink>
        </w:p>
        <w:p w14:paraId="20D9F6E1" w14:textId="77777777" w:rsidR="00D72251" w:rsidRDefault="00D72251">
          <w:r>
            <w:rPr>
              <w:b/>
              <w:bCs/>
              <w:noProof/>
            </w:rPr>
            <w:fldChar w:fldCharType="end"/>
          </w:r>
        </w:p>
      </w:sdtContent>
    </w:sdt>
    <w:p w14:paraId="64E0DCB2" w14:textId="77777777" w:rsidR="00485B79" w:rsidRDefault="00485B79">
      <w:pPr>
        <w:spacing w:line="259" w:lineRule="auto"/>
        <w:jc w:val="left"/>
      </w:pPr>
      <w:r>
        <w:br w:type="page"/>
      </w:r>
    </w:p>
    <w:p w14:paraId="217F7308" w14:textId="77777777" w:rsidR="00BC73DB" w:rsidRPr="00D72251" w:rsidRDefault="00BC73DB" w:rsidP="00BC73DB">
      <w:pPr>
        <w:pStyle w:val="Heading1"/>
      </w:pPr>
      <w:bookmarkStart w:id="0" w:name="_Toc236268199"/>
      <w:r w:rsidRPr="00D72251">
        <w:lastRenderedPageBreak/>
        <w:t>Section 1: Analytical report</w:t>
      </w:r>
      <w:bookmarkEnd w:id="0"/>
    </w:p>
    <w:p w14:paraId="316CAFA2" w14:textId="77777777" w:rsidR="00BC73DB" w:rsidRPr="00D72251" w:rsidRDefault="00485B79" w:rsidP="00BC73DB">
      <w:pPr>
        <w:pStyle w:val="Heading2"/>
        <w:numPr>
          <w:ilvl w:val="0"/>
          <w:numId w:val="3"/>
        </w:numPr>
      </w:pPr>
      <w:bookmarkStart w:id="1" w:name="_Toc236268200"/>
      <w:r w:rsidRPr="00D72251">
        <w:t>Introduction</w:t>
      </w:r>
      <w:bookmarkEnd w:id="1"/>
    </w:p>
    <w:p w14:paraId="319A9665" w14:textId="77777777" w:rsidR="00644796" w:rsidRPr="00D72251" w:rsidRDefault="00644796" w:rsidP="00644796">
      <w:r w:rsidRPr="00D72251">
        <w:t>Toyota Motor Corporation is a revealing, international-marketing case because it is a global proposition on reliability, with differentiated international portfolios. Japan is Toyota's home market; the U.S. is an established host market where the company has developed from exporting to manufacturing, financing, distributing and servicing in the U.S. Both are high-income economies, but differ in their population structure, geography, usage of their vehicles, environmental policies, institutions in the retail trade and communication habits. A comparison helps in assessing Toyota's competitiveness using either standardisation or adaptation or both.</w:t>
      </w:r>
    </w:p>
    <w:p w14:paraId="1288718B" w14:textId="77777777" w:rsidR="00644796" w:rsidRPr="00D72251" w:rsidRDefault="00644796" w:rsidP="00644796">
      <w:r w:rsidRPr="00D72251">
        <w:t>This report compares the Japan macro-environment, socio-cultural environment, segmentation, targeting and positioning (STP), and the 7 element marketing mix of Toyota in the Japan market with the USA market. It then analyzes Toyota's approach to entering the U.S. market and two good and two bad marketing practices and makes recommendations for future action. The evidence is based on Toyota reports and official websites, World Bank, OECD, IEA and U.S. regulators, and peer-reviewed research from 2020 to 2025. The core argument here is that Toyota is implementing a broadly geocentric strategy: The meaning of the brand, or the quality systems, are harmonised all over the world; the product, price, communication, channels and customer processes are customised (Mandler et al., 2021; Wang, 2020).</w:t>
      </w:r>
    </w:p>
    <w:p w14:paraId="1778949A" w14:textId="77777777" w:rsidR="00BC73DB" w:rsidRPr="00D72251" w:rsidRDefault="00BC73DB">
      <w:pPr>
        <w:spacing w:line="259" w:lineRule="auto"/>
        <w:jc w:val="left"/>
        <w:rPr>
          <w:rFonts w:eastAsiaTheme="majorEastAsia" w:cstheme="majorBidi"/>
          <w:b/>
          <w:color w:val="002060"/>
          <w:sz w:val="32"/>
          <w:szCs w:val="26"/>
        </w:rPr>
      </w:pPr>
      <w:r w:rsidRPr="00D72251">
        <w:br w:type="page"/>
      </w:r>
    </w:p>
    <w:p w14:paraId="07E986C7" w14:textId="77777777" w:rsidR="00BC73DB" w:rsidRPr="00D72251" w:rsidRDefault="00BC73DB" w:rsidP="00BC73DB">
      <w:pPr>
        <w:pStyle w:val="Heading2"/>
        <w:numPr>
          <w:ilvl w:val="0"/>
          <w:numId w:val="3"/>
        </w:numPr>
      </w:pPr>
      <w:bookmarkStart w:id="2" w:name="_Toc236268201"/>
      <w:r w:rsidRPr="00D72251">
        <w:lastRenderedPageBreak/>
        <w:t>Toyota and Country Overview</w:t>
      </w:r>
      <w:bookmarkEnd w:id="2"/>
    </w:p>
    <w:p w14:paraId="24E447ED" w14:textId="77777777" w:rsidR="00644796" w:rsidRPr="00D72251" w:rsidRDefault="00644796" w:rsidP="00644796">
      <w:r w:rsidRPr="00D72251">
        <w:t>Toyota was established in Japan in 1937 and is still based in Toyota City. It is a traditional multinational enterprise, not a born-global enterprise as international commitment was a result of a prolonged process.</w:t>
      </w:r>
    </w:p>
    <w:p w14:paraId="64A81B73" w14:textId="77777777" w:rsidR="00BC73DB" w:rsidRPr="00D72251" w:rsidRDefault="00BC73DB" w:rsidP="00BC73DB">
      <w:pPr>
        <w:keepNext/>
        <w:jc w:val="center"/>
      </w:pPr>
      <w:r w:rsidRPr="00D72251">
        <w:rPr>
          <w:noProof/>
          <w:lang w:val="en-US"/>
        </w:rPr>
        <w:drawing>
          <wp:inline distT="0" distB="0" distL="0" distR="0" wp14:anchorId="0BAE4552" wp14:editId="37A60BDE">
            <wp:extent cx="2381250" cy="2371725"/>
            <wp:effectExtent l="0" t="0" r="0" b="9525"/>
            <wp:docPr id="1" name="Picture 1" descr="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s"/>
                    <pic:cNvPicPr>
                      <a:picLocks noChangeAspect="1" noChangeArrowheads="1"/>
                    </pic:cNvPicPr>
                  </pic:nvPicPr>
                  <pic:blipFill rotWithShape="1">
                    <a:blip r:embed="rId10">
                      <a:extLst>
                        <a:ext uri="{28A0092B-C50C-407E-A947-70E740481C1C}">
                          <a14:useLocalDpi xmlns:a14="http://schemas.microsoft.com/office/drawing/2010/main" val="0"/>
                        </a:ext>
                      </a:extLst>
                    </a:blip>
                    <a:srcRect l="21924" t="22595" r="22148" b="21700"/>
                    <a:stretch/>
                  </pic:blipFill>
                  <pic:spPr bwMode="auto">
                    <a:xfrm>
                      <a:off x="0" y="0"/>
                      <a:ext cx="2381250" cy="2371725"/>
                    </a:xfrm>
                    <a:prstGeom prst="rect">
                      <a:avLst/>
                    </a:prstGeom>
                    <a:noFill/>
                    <a:ln>
                      <a:noFill/>
                    </a:ln>
                    <a:extLst>
                      <a:ext uri="{53640926-AAD7-44D8-BBD7-CCE9431645EC}">
                        <a14:shadowObscured xmlns:a14="http://schemas.microsoft.com/office/drawing/2010/main"/>
                      </a:ext>
                    </a:extLst>
                  </pic:spPr>
                </pic:pic>
              </a:graphicData>
            </a:graphic>
          </wp:inline>
        </w:drawing>
      </w:r>
    </w:p>
    <w:p w14:paraId="2031E824" w14:textId="77777777" w:rsidR="00BC73DB" w:rsidRPr="00D72251" w:rsidRDefault="00BC73DB" w:rsidP="00BC73DB">
      <w:pPr>
        <w:pStyle w:val="Caption"/>
        <w:jc w:val="center"/>
      </w:pPr>
      <w:r w:rsidRPr="00D72251">
        <w:t xml:space="preserve">Figure </w:t>
      </w:r>
      <w:r w:rsidRPr="00D72251">
        <w:fldChar w:fldCharType="begin"/>
      </w:r>
      <w:r w:rsidRPr="00D72251">
        <w:instrText xml:space="preserve"> SEQ Figure \* ARABIC </w:instrText>
      </w:r>
      <w:r w:rsidRPr="00D72251">
        <w:fldChar w:fldCharType="separate"/>
      </w:r>
      <w:r w:rsidR="00D72251">
        <w:rPr>
          <w:noProof/>
        </w:rPr>
        <w:t>1</w:t>
      </w:r>
      <w:r w:rsidRPr="00D72251">
        <w:fldChar w:fldCharType="end"/>
      </w:r>
      <w:r w:rsidRPr="00D72251">
        <w:t>: Trademark of Toyota. Source: Toyota Motor Corporation (2026).</w:t>
      </w:r>
    </w:p>
    <w:p w14:paraId="35A36CFE" w14:textId="77777777" w:rsidR="00644796" w:rsidRPr="00D72251" w:rsidRDefault="00644796" w:rsidP="00644796">
      <w:r w:rsidRPr="00D72251">
        <w:t>Toyota Motor Corporation (2025a) reported sales revenue of ¥48.04 trillion, operating income of ¥4.80 trillion and a 10.0% operating margin in FY2025, which indicates that the company has a significant amount of resources to invest in product development, manufacturing localisation and brand investment. It has a range of compact cars, sedans, minivans, sport-utility vehicles, pickups, luxury vehicles and several electrified powertrains. According to the official history, in 1957 the Crown was the first Japanese passenger car exported to the United States and 1957 is the year in which Toyota Motor Sales, U.S.A. was founded (Toyota Motor Corporation, 2026a).</w:t>
      </w:r>
    </w:p>
    <w:p w14:paraId="599923CA" w14:textId="77777777" w:rsidR="00BC73DB" w:rsidRPr="00D72251" w:rsidRDefault="00BC73DB" w:rsidP="00BC73DB">
      <w:pPr>
        <w:keepNext/>
        <w:jc w:val="center"/>
      </w:pPr>
      <w:r w:rsidRPr="00D72251">
        <w:rPr>
          <w:noProof/>
          <w:lang w:val="en-US"/>
        </w:rPr>
        <w:lastRenderedPageBreak/>
        <w:drawing>
          <wp:inline distT="0" distB="0" distL="0" distR="0" wp14:anchorId="3281ACAE" wp14:editId="33CA6BAC">
            <wp:extent cx="4979667" cy="2658467"/>
            <wp:effectExtent l="0" t="0" r="0" b="8890"/>
            <wp:docPr id="2" name="Picture 2" descr="Toyopet Crown: America's first Japanese car | Toyota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yopet Crown: America's first Japanese car | Toyota U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0593" cy="2664300"/>
                    </a:xfrm>
                    <a:prstGeom prst="rect">
                      <a:avLst/>
                    </a:prstGeom>
                    <a:noFill/>
                    <a:ln>
                      <a:noFill/>
                    </a:ln>
                  </pic:spPr>
                </pic:pic>
              </a:graphicData>
            </a:graphic>
          </wp:inline>
        </w:drawing>
      </w:r>
    </w:p>
    <w:p w14:paraId="62FEDC37" w14:textId="77777777" w:rsidR="00BC73DB" w:rsidRPr="00D72251" w:rsidRDefault="00BC73DB" w:rsidP="00BC73DB">
      <w:pPr>
        <w:pStyle w:val="Caption"/>
        <w:jc w:val="center"/>
        <w:rPr>
          <w:lang w:val="en-US"/>
        </w:rPr>
      </w:pPr>
      <w:r w:rsidRPr="00D72251">
        <w:t xml:space="preserve">Figure </w:t>
      </w:r>
      <w:r w:rsidRPr="00D72251">
        <w:fldChar w:fldCharType="begin"/>
      </w:r>
      <w:r w:rsidRPr="00D72251">
        <w:instrText xml:space="preserve"> SEQ Figure \* ARABIC </w:instrText>
      </w:r>
      <w:r w:rsidRPr="00D72251">
        <w:fldChar w:fldCharType="separate"/>
      </w:r>
      <w:r w:rsidR="00D72251">
        <w:rPr>
          <w:noProof/>
        </w:rPr>
        <w:t>2</w:t>
      </w:r>
      <w:r w:rsidRPr="00D72251">
        <w:fldChar w:fldCharType="end"/>
      </w:r>
      <w:r w:rsidRPr="00D72251">
        <w:t>: Toyopet Crown, America's first Japanese car. Source: Toyota Motor Corporation (2026).</w:t>
      </w:r>
    </w:p>
    <w:p w14:paraId="66531008" w14:textId="77777777" w:rsidR="00A374B9" w:rsidRPr="00D72251" w:rsidRDefault="00644796" w:rsidP="00644796">
      <w:pPr>
        <w:rPr>
          <w:rFonts w:eastAsiaTheme="majorEastAsia" w:cstheme="majorBidi"/>
          <w:b/>
          <w:color w:val="002060"/>
          <w:sz w:val="32"/>
          <w:szCs w:val="26"/>
        </w:rPr>
      </w:pPr>
      <w:r w:rsidRPr="00D72251">
        <w:t>Later, commitment expanded with dealers, production, logistics and financial services. This has a broad resemblance to the internationalisation model of Uppsala: the first step was to export, the second was to gain experience, and the third was to gain a stronger commitment and involvement from the host market (Johanson and Vahlne, 2009). The pathway is, however, also influenced by regulation, transport costs, exchange rates, the size of the market and capabilities (Liu and Kang, 2020; Park and Xiao, 2020), and dynamic-capability research offers fuller explanations. Toyota is challenged by strong domestic competition in Japan and in the United States by U.S. and global competitors such as Ford, General Motors, Honda, Hyundai-Kia, Nissan and Tesla.</w:t>
      </w:r>
      <w:r w:rsidR="00A374B9" w:rsidRPr="00D72251">
        <w:br w:type="page"/>
      </w:r>
    </w:p>
    <w:p w14:paraId="1B9AEBE2" w14:textId="77777777" w:rsidR="00BC73DB" w:rsidRPr="00D72251" w:rsidRDefault="00BC73DB" w:rsidP="00BC73DB">
      <w:pPr>
        <w:pStyle w:val="Heading2"/>
        <w:numPr>
          <w:ilvl w:val="0"/>
          <w:numId w:val="3"/>
        </w:numPr>
      </w:pPr>
      <w:bookmarkStart w:id="3" w:name="_Toc236268202"/>
      <w:r w:rsidRPr="00D72251">
        <w:lastRenderedPageBreak/>
        <w:t>Comparative Macro- and Socio-cultural Environment</w:t>
      </w:r>
      <w:bookmarkEnd w:id="3"/>
    </w:p>
    <w:p w14:paraId="215802F0" w14:textId="77777777" w:rsidR="00644796" w:rsidRPr="00D72251" w:rsidRDefault="00644796" w:rsidP="00644796">
      <w:r w:rsidRPr="00D72251">
        <w:t>PESTLE is used as an evaluative approach – all forces are assessed on their impact on Toyota's demand, cost, legitimacy and strategic flexibility. If the disruption of the institution is changing the effectiveness of decisions that are typically taken in that context, then the current evidence should qualify general theory (Griffith and Yalcinkaya, 2023).</w:t>
      </w:r>
    </w:p>
    <w:p w14:paraId="48756FC1" w14:textId="77777777" w:rsidR="00A374B9" w:rsidRPr="00D72251" w:rsidRDefault="00BC73DB" w:rsidP="00A374B9">
      <w:pPr>
        <w:pStyle w:val="Heading3"/>
        <w:numPr>
          <w:ilvl w:val="1"/>
          <w:numId w:val="3"/>
        </w:numPr>
        <w:rPr>
          <w:lang w:val="en-US"/>
        </w:rPr>
      </w:pPr>
      <w:bookmarkStart w:id="4" w:name="_Toc236268203"/>
      <w:r w:rsidRPr="00D72251">
        <w:rPr>
          <w:lang w:val="en-US"/>
        </w:rPr>
        <w:t>Political</w:t>
      </w:r>
      <w:bookmarkEnd w:id="4"/>
    </w:p>
    <w:p w14:paraId="5C4D0C4A" w14:textId="77777777" w:rsidR="00644796" w:rsidRPr="00D72251" w:rsidRDefault="00644796" w:rsidP="00644796">
      <w:pPr>
        <w:rPr>
          <w:lang w:val="en-US"/>
        </w:rPr>
      </w:pPr>
      <w:r w:rsidRPr="00D72251">
        <w:rPr>
          <w:lang w:val="en-US"/>
        </w:rPr>
        <w:t>There are stable institutions and property rights in both countries. Policy familiarity and supplier relationships are provided by Japan, and scale and state-level investment incentives are offered by the United States. Federal-state fragmentation in the U.S. can, however, result in shifting fuel economy policies, charging policies, and industrial policies, which can raise planning and compliance expenses. Toyota's domestic production cuts down on freight risk and enhances legitimacy, highlighting the importance of firms developing capabilities at their domestic sites as well as export markets (Liu and Kang, 2020; Scuotto et al., 2022). Japan is nice and safe; the United States is nice but not so safe.</w:t>
      </w:r>
    </w:p>
    <w:p w14:paraId="12DD502C" w14:textId="77777777" w:rsidR="00BC73DB" w:rsidRPr="00D72251" w:rsidRDefault="00BC73DB" w:rsidP="00BC73DB">
      <w:pPr>
        <w:pStyle w:val="Heading3"/>
        <w:numPr>
          <w:ilvl w:val="1"/>
          <w:numId w:val="3"/>
        </w:numPr>
        <w:rPr>
          <w:lang w:val="en-US"/>
        </w:rPr>
      </w:pPr>
      <w:bookmarkStart w:id="5" w:name="_Toc236268204"/>
      <w:r w:rsidRPr="00D72251">
        <w:rPr>
          <w:lang w:val="en-US"/>
        </w:rPr>
        <w:t>Economic</w:t>
      </w:r>
      <w:bookmarkEnd w:id="5"/>
    </w:p>
    <w:p w14:paraId="4F5960EE" w14:textId="77777777" w:rsidR="00644796" w:rsidRPr="00D72251" w:rsidRDefault="00644796" w:rsidP="00644796">
      <w:pPr>
        <w:rPr>
          <w:lang w:val="en-US"/>
        </w:rPr>
      </w:pPr>
      <w:r w:rsidRPr="00D72251">
        <w:rPr>
          <w:lang w:val="en-US"/>
        </w:rPr>
        <w:t>The U.S. population in 2025 is estimated at 340.1 million, while Japan's is estimated at 124.0 million. GDP is estimated at US$28.75 trillion for the U.S., and at US$4.03 trillion for Japan in 2025—World Bank data. GDP per capita was approximately US$84,534 and US$32,487; growth was 2.8% and 0.1%, respectively. In the United States, the rate of inflation was 2.9% while the unemployment rate was 4.0% and in Japan it was 2.7% and 2.5% respectively (World Bank 2026).</w:t>
      </w:r>
    </w:p>
    <w:p w14:paraId="32E86619" w14:textId="77777777" w:rsidR="00006588" w:rsidRPr="00D72251" w:rsidRDefault="00346465" w:rsidP="00006588">
      <w:pPr>
        <w:keepNext/>
      </w:pPr>
      <w:r w:rsidRPr="00D72251">
        <w:rPr>
          <w:noProof/>
          <w:lang w:val="en-US"/>
        </w:rPr>
        <w:lastRenderedPageBreak/>
        <w:drawing>
          <wp:inline distT="0" distB="0" distL="0" distR="0" wp14:anchorId="59733449" wp14:editId="33A9C18B">
            <wp:extent cx="6057900" cy="4991100"/>
            <wp:effectExtent l="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8A1AC8B" w14:textId="77777777" w:rsidR="00346465" w:rsidRPr="00D72251" w:rsidRDefault="00006588" w:rsidP="00006588">
      <w:pPr>
        <w:pStyle w:val="Caption"/>
        <w:jc w:val="center"/>
      </w:pPr>
      <w:r w:rsidRPr="00D72251">
        <w:t xml:space="preserve">Figure </w:t>
      </w:r>
      <w:r w:rsidRPr="00D72251">
        <w:fldChar w:fldCharType="begin"/>
      </w:r>
      <w:r w:rsidRPr="00D72251">
        <w:instrText xml:space="preserve"> SEQ Figure \* ARABIC </w:instrText>
      </w:r>
      <w:r w:rsidRPr="00D72251">
        <w:fldChar w:fldCharType="separate"/>
      </w:r>
      <w:r w:rsidR="00D72251">
        <w:rPr>
          <w:noProof/>
        </w:rPr>
        <w:t>3</w:t>
      </w:r>
      <w:r w:rsidRPr="00D72251">
        <w:fldChar w:fldCharType="end"/>
      </w:r>
      <w:r w:rsidRPr="00D72251">
        <w:t>: Comparative Economic Indicators of Japan and USA. Source: World Bank (2026).</w:t>
      </w:r>
    </w:p>
    <w:p w14:paraId="0D6513B6" w14:textId="77777777" w:rsidR="00644796" w:rsidRPr="00D72251" w:rsidRDefault="00644796" w:rsidP="00644796">
      <w:r w:rsidRPr="00D72251">
        <w:t>The United States is favourable for scale and premiumisation, but the impact of finance costs is on affordability. The market in Japan is small and declining, which helps distribution to be efficient but not to increase volumes. The definition of demand is not limited to income due to varying price elasticity which is caused by geography, ownership costs, identity, and infrastructure (Khattak and Khattak, 2023). The U.S. environment is favourable but cyclical, mixed in Japan.</w:t>
      </w:r>
    </w:p>
    <w:p w14:paraId="79B1DDF8" w14:textId="77777777" w:rsidR="003F1BB8" w:rsidRPr="00D72251" w:rsidRDefault="003F1BB8" w:rsidP="003F1BB8">
      <w:pPr>
        <w:pStyle w:val="Heading3"/>
        <w:numPr>
          <w:ilvl w:val="1"/>
          <w:numId w:val="3"/>
        </w:numPr>
        <w:rPr>
          <w:lang w:val="en-US"/>
        </w:rPr>
      </w:pPr>
      <w:bookmarkStart w:id="6" w:name="_Toc236268205"/>
      <w:r w:rsidRPr="00D72251">
        <w:rPr>
          <w:lang w:val="en-US"/>
        </w:rPr>
        <w:t>Socio-cultural</w:t>
      </w:r>
      <w:bookmarkEnd w:id="6"/>
    </w:p>
    <w:p w14:paraId="379D5D6B" w14:textId="77777777" w:rsidR="00644796" w:rsidRPr="00D72251" w:rsidRDefault="00644796" w:rsidP="00644796">
      <w:pPr>
        <w:rPr>
          <w:lang w:val="en-US"/>
        </w:rPr>
      </w:pPr>
      <w:r w:rsidRPr="00D72251">
        <w:rPr>
          <w:lang w:val="en-US"/>
        </w:rPr>
        <w:t xml:space="preserve">Japan's ageing is strategically material: Specifically, the working-age population decreased from 87,300,000 people in 1995 to 73,700,000 people in 2024, while the old-age dependency ratio climbed up to a 49% in 2025 (OECD, 2025). Toyota's incentives </w:t>
      </w:r>
      <w:r w:rsidRPr="00D72251">
        <w:rPr>
          <w:lang w:val="en-US"/>
        </w:rPr>
        <w:lastRenderedPageBreak/>
        <w:t>are thus to highlight compact size, accessibility and advanced safety. Suburban, rural and long-distance usage in the U.S. favors crossovers, SUVs and pickups. These are tendencies, not absolutes because there are various regional, generational and income segments in each country, and the meaning attributed by consumers goes beyond nationality (Galalae, Kipnis and Demangeot, 2020; Kizgin et al., 2021). The Japanese market is a good environment for domestic trust, while it is a bad environment demographically; the United States is a good market for the segments, but a difficult one for environmental positioning due to the large-vehicle market.</w:t>
      </w:r>
    </w:p>
    <w:p w14:paraId="2B15A21F" w14:textId="77777777" w:rsidR="00644796" w:rsidRPr="00D72251" w:rsidRDefault="00644796" w:rsidP="00644796">
      <w:pPr>
        <w:rPr>
          <w:lang w:val="en-US"/>
        </w:rPr>
      </w:pPr>
      <w:r w:rsidRPr="00D72251">
        <w:rPr>
          <w:lang w:val="en-US"/>
        </w:rPr>
        <w:t>The cultural dimensions framework developed by Hofstede provides a comparison of national cultures on various values dimensions and explains how cultural differences can impact on consumer behaviour and international marketing decisions (Piotrowska and Piotrowski, 2023).</w:t>
      </w:r>
    </w:p>
    <w:p w14:paraId="77F94757" w14:textId="77777777" w:rsidR="003F1BB8" w:rsidRPr="00D72251" w:rsidRDefault="003F1BB8" w:rsidP="003F1BB8">
      <w:pPr>
        <w:keepNext/>
      </w:pPr>
      <w:r w:rsidRPr="00D72251">
        <w:rPr>
          <w:noProof/>
          <w:lang w:val="en-US"/>
        </w:rPr>
        <w:drawing>
          <wp:inline distT="0" distB="0" distL="0" distR="0" wp14:anchorId="60C392D9" wp14:editId="49E57436">
            <wp:extent cx="5943600" cy="245046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450465"/>
                    </a:xfrm>
                    <a:prstGeom prst="rect">
                      <a:avLst/>
                    </a:prstGeom>
                  </pic:spPr>
                </pic:pic>
              </a:graphicData>
            </a:graphic>
          </wp:inline>
        </w:drawing>
      </w:r>
    </w:p>
    <w:p w14:paraId="3132CAC5" w14:textId="77777777" w:rsidR="003F1BB8" w:rsidRPr="00D72251" w:rsidRDefault="003F1BB8" w:rsidP="003F1BB8">
      <w:pPr>
        <w:pStyle w:val="Caption"/>
        <w:jc w:val="center"/>
      </w:pPr>
      <w:r w:rsidRPr="00D72251">
        <w:t xml:space="preserve">Figure </w:t>
      </w:r>
      <w:r w:rsidRPr="00D72251">
        <w:fldChar w:fldCharType="begin"/>
      </w:r>
      <w:r w:rsidRPr="00D72251">
        <w:instrText xml:space="preserve"> SEQ Figure \* ARABIC </w:instrText>
      </w:r>
      <w:r w:rsidRPr="00D72251">
        <w:fldChar w:fldCharType="separate"/>
      </w:r>
      <w:r w:rsidR="00D72251">
        <w:rPr>
          <w:noProof/>
        </w:rPr>
        <w:t>4</w:t>
      </w:r>
      <w:r w:rsidRPr="00D72251">
        <w:fldChar w:fldCharType="end"/>
      </w:r>
      <w:r w:rsidRPr="00D72251">
        <w:t>: Country Comparison using Hofstede’s cultural dimensions framework. Source: The Culture Factor Group (2026).</w:t>
      </w:r>
    </w:p>
    <w:p w14:paraId="0499AC48" w14:textId="77777777" w:rsidR="00644796" w:rsidRPr="00D72251" w:rsidRDefault="00644796" w:rsidP="00644796">
      <w:r w:rsidRPr="00D72251">
        <w:t xml:space="preserve">According to Hofstede's scores, Japan has a score of 54 for Power distance, 62 for Individualism, 95 for Achievement, 92 for Uncertainty avoidance, 100 for long-term orientation and 42 for indulgence, while the United States has a score of 40, 60, 62, 46, 50 and 68, respectively (The Culture Factor Group, 2026). The biggest differences are in the areas of uncertainty avoidance, long-term orientation and achievement. Japanese communication can focus on established quality, reassurance, workmanship and the longevity of ownership, while U.S. communication can be direct, benefit and lifestyle </w:t>
      </w:r>
      <w:r w:rsidRPr="00D72251">
        <w:lastRenderedPageBreak/>
        <w:t>oriented. However, the similarities in individualism levels reveal superficial stereotypes. National scores are relative averages and mask regional and individual variation and should be triangulated with current behaviour (Moro et al., 2020; Fazli-Salehi et al., 2021).</w:t>
      </w:r>
    </w:p>
    <w:p w14:paraId="1672E8ED" w14:textId="77777777" w:rsidR="003F1BB8" w:rsidRPr="00D72251" w:rsidRDefault="003F1BB8" w:rsidP="003F1BB8">
      <w:pPr>
        <w:pStyle w:val="Heading3"/>
        <w:numPr>
          <w:ilvl w:val="1"/>
          <w:numId w:val="3"/>
        </w:numPr>
        <w:rPr>
          <w:lang w:val="en-US"/>
        </w:rPr>
      </w:pPr>
      <w:bookmarkStart w:id="7" w:name="_Toc236268206"/>
      <w:r w:rsidRPr="00D72251">
        <w:rPr>
          <w:lang w:val="en-US"/>
        </w:rPr>
        <w:t>Technological</w:t>
      </w:r>
      <w:bookmarkEnd w:id="7"/>
    </w:p>
    <w:p w14:paraId="515E8A5D" w14:textId="77777777" w:rsidR="00644796" w:rsidRPr="00D72251" w:rsidRDefault="00644796" w:rsidP="00644796">
      <w:pPr>
        <w:rPr>
          <w:lang w:val="en-US"/>
        </w:rPr>
      </w:pPr>
      <w:r w:rsidRPr="00D72251">
        <w:rPr>
          <w:lang w:val="en-US"/>
        </w:rPr>
        <w:t>Japan is doing well in the engineering and conventional hybrid segment, but is lagging behind in the battery electric transition segment. IEA data show BEVs and PHEVs accounted for less than 3% of Japanese new-car sales in 2025, with conventional hybrids making up about one-third, apartment parking and charging are limiting factors. U.S. car sales just over 10% were in EVs; while large vehicles and SUVs accounted for more than 80% of total sales (IEA, 2026). Toyota's hybrid depth is beneficial for both markets, but too much reliance on hybrids can hurt the perceptions of innovation. Adoption is influenced by infrastructure, incentives, and symbolic meaning as well as the existence of consumer heterogeneity and political identity (Kumar and Alok, 2020; Jenn et al., 2020; Sintov, Abou-Ghalioum and White, 2020; Wicki, Brückmann and Bernauer, 2022). The environment is conducive to a multi-pathway portfolio, but hazardous when BEV learning is slow to translate to action.</w:t>
      </w:r>
    </w:p>
    <w:p w14:paraId="32EEE974" w14:textId="77777777" w:rsidR="003F1BB8" w:rsidRPr="00D72251" w:rsidRDefault="003F1BB8" w:rsidP="003F1BB8">
      <w:pPr>
        <w:pStyle w:val="Heading3"/>
        <w:numPr>
          <w:ilvl w:val="1"/>
          <w:numId w:val="3"/>
        </w:numPr>
        <w:rPr>
          <w:lang w:val="en-US"/>
        </w:rPr>
      </w:pPr>
      <w:bookmarkStart w:id="8" w:name="_Toc236268207"/>
      <w:r w:rsidRPr="00D72251">
        <w:rPr>
          <w:lang w:val="en-US"/>
        </w:rPr>
        <w:t>Legal</w:t>
      </w:r>
      <w:bookmarkEnd w:id="8"/>
    </w:p>
    <w:p w14:paraId="127ECE8D" w14:textId="77777777" w:rsidR="00644796" w:rsidRPr="00D72251" w:rsidRDefault="00644796" w:rsidP="00644796">
      <w:pPr>
        <w:rPr>
          <w:lang w:val="en-US"/>
        </w:rPr>
      </w:pPr>
      <w:r w:rsidRPr="00D72251">
        <w:rPr>
          <w:lang w:val="en-US"/>
        </w:rPr>
        <w:t>Both markets have strict safety, emission, consumer protection and data requirements. The responsibilities are overlapping in the U.S. between federal and state levels of government, and Japan places more trust in national authorities. Raising costs and rewarding documented quality. However, connected vehicles introduce cybersecurity and privacy risk, and dealer-finance creates risks outside of vehicle production (Morris, Madzudzo and Garcia-Perez, 2020). It's a mixed environment in both countries: challenging, but where Toyota differentiates when governance is working.</w:t>
      </w:r>
    </w:p>
    <w:p w14:paraId="25C6AEAC" w14:textId="77777777" w:rsidR="003F1BB8" w:rsidRPr="00D72251" w:rsidRDefault="003F1BB8" w:rsidP="003F1BB8">
      <w:pPr>
        <w:pStyle w:val="Heading3"/>
        <w:numPr>
          <w:ilvl w:val="1"/>
          <w:numId w:val="3"/>
        </w:numPr>
        <w:rPr>
          <w:lang w:val="en-US"/>
        </w:rPr>
      </w:pPr>
      <w:bookmarkStart w:id="9" w:name="_Toc236268208"/>
      <w:r w:rsidRPr="00D72251">
        <w:rPr>
          <w:lang w:val="en-US"/>
        </w:rPr>
        <w:t>Environmental</w:t>
      </w:r>
      <w:bookmarkEnd w:id="9"/>
    </w:p>
    <w:p w14:paraId="5227BFD8" w14:textId="77777777" w:rsidR="00644796" w:rsidRPr="00D72251" w:rsidRDefault="00644796" w:rsidP="00644796">
      <w:pPr>
        <w:rPr>
          <w:lang w:val="en-US"/>
        </w:rPr>
      </w:pPr>
      <w:r w:rsidRPr="00D72251">
        <w:rPr>
          <w:lang w:val="en-US"/>
        </w:rPr>
        <w:t xml:space="preserve">According to the World Bank data, the per-capita greenhouse gas emissions in Japan and USA in 2024 are approximately 7.8 tonnes of CO2 equivalent and 13.6 tonnes of CO2 equivalent, respectively. Hybrids can lower fuel consumption when charging is limited, however, environmental superiority needs to be expressed by powertrain and use </w:t>
      </w:r>
      <w:r w:rsidRPr="00D72251">
        <w:rPr>
          <w:lang w:val="en-US"/>
        </w:rPr>
        <w:lastRenderedPageBreak/>
        <w:t>pattern and lifecycle boundary. The absence of specific evidence in broad sustainable identities raises greenwashing concerns (Cho and Taylor, 2020; Ruiz-Blanco, Romero and Fernandez-Feijoo, 2022; Seele and Schultz, 2022). Electrification has emerged as a promising avenue for Toyota, but it also poses strategic challenges to the interpretation of claims in the context of environmental considerations.</w:t>
      </w:r>
    </w:p>
    <w:p w14:paraId="59F7A69F" w14:textId="77777777" w:rsidR="006407F0" w:rsidRPr="00D72251" w:rsidRDefault="006407F0" w:rsidP="00644796">
      <w:pPr>
        <w:pStyle w:val="Heading3"/>
        <w:numPr>
          <w:ilvl w:val="1"/>
          <w:numId w:val="3"/>
        </w:numPr>
        <w:rPr>
          <w:lang w:val="en-US"/>
        </w:rPr>
      </w:pPr>
      <w:bookmarkStart w:id="10" w:name="_Toc236268209"/>
      <w:r w:rsidRPr="00D72251">
        <w:rPr>
          <w:lang w:val="en-US"/>
        </w:rPr>
        <w:t>Summarised PESTLE Analysis</w:t>
      </w:r>
      <w:bookmarkEnd w:id="10"/>
    </w:p>
    <w:p w14:paraId="0CC003D9" w14:textId="77777777" w:rsidR="006407F0" w:rsidRPr="00D72251" w:rsidRDefault="006407F0" w:rsidP="00644796">
      <w:pPr>
        <w:keepNext/>
        <w:jc w:val="center"/>
      </w:pPr>
      <w:r w:rsidRPr="00D72251">
        <w:rPr>
          <w:noProof/>
          <w:lang w:val="en-US"/>
        </w:rPr>
        <w:drawing>
          <wp:inline distT="0" distB="0" distL="0" distR="0" wp14:anchorId="316E7AD5" wp14:editId="73431D7C">
            <wp:extent cx="4850130" cy="6049375"/>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53329" cy="6053365"/>
                    </a:xfrm>
                    <a:prstGeom prst="rect">
                      <a:avLst/>
                    </a:prstGeom>
                    <a:noFill/>
                  </pic:spPr>
                </pic:pic>
              </a:graphicData>
            </a:graphic>
          </wp:inline>
        </w:drawing>
      </w:r>
    </w:p>
    <w:p w14:paraId="3D604664" w14:textId="77777777" w:rsidR="006407F0" w:rsidRPr="00D72251" w:rsidRDefault="006407F0" w:rsidP="006407F0">
      <w:pPr>
        <w:pStyle w:val="Caption"/>
        <w:jc w:val="center"/>
      </w:pPr>
      <w:r w:rsidRPr="00D72251">
        <w:t xml:space="preserve">Figure </w:t>
      </w:r>
      <w:r w:rsidRPr="00D72251">
        <w:fldChar w:fldCharType="begin"/>
      </w:r>
      <w:r w:rsidRPr="00D72251">
        <w:instrText xml:space="preserve"> SEQ Figure \* ARABIC </w:instrText>
      </w:r>
      <w:r w:rsidRPr="00D72251">
        <w:fldChar w:fldCharType="separate"/>
      </w:r>
      <w:r w:rsidR="00D72251">
        <w:rPr>
          <w:noProof/>
        </w:rPr>
        <w:t>5</w:t>
      </w:r>
      <w:r w:rsidRPr="00D72251">
        <w:fldChar w:fldCharType="end"/>
      </w:r>
      <w:r w:rsidRPr="00D72251">
        <w:t>: Comparative PESTLE judgement. Source: Own Contribution.</w:t>
      </w:r>
    </w:p>
    <w:p w14:paraId="31794AC3" w14:textId="77777777" w:rsidR="006407F0" w:rsidRPr="00D72251" w:rsidRDefault="006407F0" w:rsidP="006407F0">
      <w:pPr>
        <w:pStyle w:val="Heading2"/>
        <w:numPr>
          <w:ilvl w:val="0"/>
          <w:numId w:val="3"/>
        </w:numPr>
      </w:pPr>
      <w:bookmarkStart w:id="11" w:name="_Toc236268210"/>
      <w:r w:rsidRPr="00D72251">
        <w:lastRenderedPageBreak/>
        <w:t>Comparative STP Strategies</w:t>
      </w:r>
      <w:bookmarkEnd w:id="11"/>
    </w:p>
    <w:p w14:paraId="1535EBEA" w14:textId="77777777" w:rsidR="00D867CA" w:rsidRPr="00D72251" w:rsidRDefault="00D867CA" w:rsidP="00D867CA">
      <w:pPr>
        <w:pStyle w:val="Heading3"/>
        <w:numPr>
          <w:ilvl w:val="1"/>
          <w:numId w:val="3"/>
        </w:numPr>
        <w:rPr>
          <w:lang w:val="en-US"/>
        </w:rPr>
      </w:pPr>
      <w:bookmarkStart w:id="12" w:name="_Toc236268211"/>
      <w:r w:rsidRPr="00D72251">
        <w:rPr>
          <w:lang w:val="en-US"/>
        </w:rPr>
        <w:t>Segmentation</w:t>
      </w:r>
      <w:bookmarkEnd w:id="12"/>
    </w:p>
    <w:p w14:paraId="50A83803" w14:textId="77777777" w:rsidR="00644796" w:rsidRPr="00D72251" w:rsidRDefault="00644796" w:rsidP="00644796">
      <w:pPr>
        <w:rPr>
          <w:lang w:val="en-US"/>
        </w:rPr>
      </w:pPr>
      <w:r w:rsidRPr="00D72251">
        <w:rPr>
          <w:lang w:val="en-US"/>
        </w:rPr>
        <w:t>Toyota has adopted differentiated segmentation strategy, with the focus being different in both markets. Demographic and geographic are used to identify the older driver, metropolitan users, families and regional customers, while benefit segmentation looks at accessibility, compactness, safety, fuel economy, comfort and hybrid efficiency. The urban, suburban, rural and climatic variations are a foundation for unique family needs, commuter needs, outdoor user needs, pickup customer needs, premium buyer needs, and environmentally motivated adopter needs in the U.S. Although digital data can aid in identification, they are not a substitute for local knowledge, and in order to be useful, segments must be measurable, accessible, profitable and actionable (Vadana et al., 2020; Wang, 2020; Mahmoud et al., 2020).</w:t>
      </w:r>
    </w:p>
    <w:p w14:paraId="6079BA48" w14:textId="77777777" w:rsidR="00D867CA" w:rsidRPr="00D72251" w:rsidRDefault="00D867CA" w:rsidP="00D867CA">
      <w:pPr>
        <w:pStyle w:val="Heading3"/>
        <w:numPr>
          <w:ilvl w:val="1"/>
          <w:numId w:val="3"/>
        </w:numPr>
        <w:rPr>
          <w:lang w:val="en-US"/>
        </w:rPr>
      </w:pPr>
      <w:bookmarkStart w:id="13" w:name="_Toc236268212"/>
      <w:r w:rsidRPr="00D72251">
        <w:rPr>
          <w:lang w:val="en-US"/>
        </w:rPr>
        <w:t>Targeting</w:t>
      </w:r>
      <w:bookmarkEnd w:id="13"/>
    </w:p>
    <w:p w14:paraId="38EC4B47" w14:textId="77777777" w:rsidR="0041064C" w:rsidRPr="00D72251" w:rsidRDefault="0041064C" w:rsidP="0041064C">
      <w:pPr>
        <w:rPr>
          <w:lang w:val="en-US"/>
        </w:rPr>
      </w:pPr>
      <w:r w:rsidRPr="00D72251">
        <w:rPr>
          <w:lang w:val="en-US"/>
        </w:rPr>
        <w:t>Differentiation of targeting is thus differentiated. Japan's small cars, minivans and hybrids are designed to solve the problems of space, aging and efficiencies, while the U.S. lineup focuses more on crossovers, SUVs, pickups and regional variants. A transnational ‘responsible practical mobility’ segment is present, but with motivations varying: Japanese customers may wish to have confidence in proven technology and operating efficiency, while U.S. adoption is subject to incentives, identity and home charging (Khan, Yamamoto and Sato, 2020; Jenn et al., 2020; Sintov, Abou-Ghalioum and White, 2020).</w:t>
      </w:r>
    </w:p>
    <w:p w14:paraId="5C10A494" w14:textId="77777777" w:rsidR="00D867CA" w:rsidRPr="00D72251" w:rsidRDefault="00D867CA" w:rsidP="00D867CA">
      <w:pPr>
        <w:pStyle w:val="Heading3"/>
        <w:numPr>
          <w:ilvl w:val="1"/>
          <w:numId w:val="3"/>
        </w:numPr>
        <w:rPr>
          <w:lang w:val="en-US"/>
        </w:rPr>
      </w:pPr>
      <w:bookmarkStart w:id="14" w:name="_Toc236268213"/>
      <w:r w:rsidRPr="00D72251">
        <w:rPr>
          <w:lang w:val="en-US"/>
        </w:rPr>
        <w:t>Positioning</w:t>
      </w:r>
      <w:bookmarkEnd w:id="14"/>
    </w:p>
    <w:p w14:paraId="0586AE0A" w14:textId="77777777" w:rsidR="0041064C" w:rsidRPr="00D72251" w:rsidRDefault="0041064C" w:rsidP="0041064C">
      <w:pPr>
        <w:rPr>
          <w:lang w:val="en-US"/>
        </w:rPr>
      </w:pPr>
      <w:r w:rsidRPr="00D72251">
        <w:rPr>
          <w:lang w:val="en-US"/>
        </w:rPr>
        <w:t xml:space="preserve">Positioning continues to be based on reliability, safety, durability and lifecycle value. Toyota is a solid, home-grown institution in Japan. The Japanese origin accentuates the engineering quality, and the local production lowers the psychic distance, making it a localised Japanese origin brand, not just a foreign brand (Hong et al., 2023). The weakness is disruptive-innovation perception and that is something that Tesla is going to be even stronger in. The following maps are analytical syntheses rather than estimates based on consumer surveys, and show a general degree of consistency of reliability/value </w:t>
      </w:r>
      <w:r w:rsidRPr="00D72251">
        <w:rPr>
          <w:lang w:val="en-US"/>
        </w:rPr>
        <w:lastRenderedPageBreak/>
        <w:t>positioning, but also more pressure at the U.S. end to make electrification seem innovative.</w:t>
      </w:r>
    </w:p>
    <w:p w14:paraId="1ACF7B2B" w14:textId="77777777" w:rsidR="00D867CA" w:rsidRPr="00D72251" w:rsidRDefault="00D867CA" w:rsidP="00D867CA">
      <w:pPr>
        <w:keepNext/>
      </w:pPr>
      <w:r w:rsidRPr="00D72251">
        <w:rPr>
          <w:noProof/>
          <w:lang w:val="en-US"/>
        </w:rPr>
        <w:drawing>
          <wp:inline distT="0" distB="0" distL="0" distR="0" wp14:anchorId="70CF24EA" wp14:editId="55C82369">
            <wp:extent cx="5783580" cy="3551274"/>
            <wp:effectExtent l="0" t="0" r="762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24B4E9AE" w14:textId="77777777" w:rsidR="00D867CA" w:rsidRPr="00D72251" w:rsidRDefault="00D867CA" w:rsidP="00D867CA">
      <w:pPr>
        <w:pStyle w:val="Caption"/>
        <w:jc w:val="center"/>
      </w:pPr>
      <w:r w:rsidRPr="00D72251">
        <w:t xml:space="preserve">Figure </w:t>
      </w:r>
      <w:r w:rsidRPr="00D72251">
        <w:fldChar w:fldCharType="begin"/>
      </w:r>
      <w:r w:rsidRPr="00D72251">
        <w:instrText xml:space="preserve"> SEQ Figure \* ARABIC </w:instrText>
      </w:r>
      <w:r w:rsidRPr="00D72251">
        <w:fldChar w:fldCharType="separate"/>
      </w:r>
      <w:r w:rsidR="00D72251">
        <w:rPr>
          <w:noProof/>
        </w:rPr>
        <w:t>6</w:t>
      </w:r>
      <w:r w:rsidRPr="00D72251">
        <w:fldChar w:fldCharType="end"/>
      </w:r>
      <w:r w:rsidRPr="00D72251">
        <w:t>: Illustrative positioning map. Source: Own Contribution.</w:t>
      </w:r>
    </w:p>
    <w:p w14:paraId="4B756F82" w14:textId="77777777" w:rsidR="00763064" w:rsidRPr="00D72251" w:rsidRDefault="00763064" w:rsidP="00763064">
      <w:pPr>
        <w:pStyle w:val="Heading3"/>
        <w:numPr>
          <w:ilvl w:val="1"/>
          <w:numId w:val="3"/>
        </w:numPr>
        <w:rPr>
          <w:lang w:val="en-US"/>
        </w:rPr>
      </w:pPr>
      <w:bookmarkStart w:id="15" w:name="_Toc236268214"/>
      <w:r w:rsidRPr="00D72251">
        <w:rPr>
          <w:lang w:val="en-US"/>
        </w:rPr>
        <w:lastRenderedPageBreak/>
        <w:t>Summarised STP Strategies</w:t>
      </w:r>
      <w:bookmarkEnd w:id="15"/>
    </w:p>
    <w:p w14:paraId="7343AA03" w14:textId="77777777" w:rsidR="00A374B9" w:rsidRPr="00D72251" w:rsidRDefault="00763064" w:rsidP="00A374B9">
      <w:pPr>
        <w:keepNext/>
      </w:pPr>
      <w:r w:rsidRPr="00D72251">
        <w:rPr>
          <w:noProof/>
          <w:lang w:val="en-US"/>
        </w:rPr>
        <w:drawing>
          <wp:inline distT="0" distB="0" distL="0" distR="0" wp14:anchorId="443340CA" wp14:editId="7D495002">
            <wp:extent cx="5985510" cy="3572540"/>
            <wp:effectExtent l="0" t="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05DE227D" w14:textId="77777777" w:rsidR="0062789F" w:rsidRPr="00D72251" w:rsidRDefault="00A374B9" w:rsidP="00A374B9">
      <w:pPr>
        <w:pStyle w:val="Caption"/>
        <w:jc w:val="center"/>
        <w:rPr>
          <w:lang w:val="en-US"/>
        </w:rPr>
      </w:pPr>
      <w:r w:rsidRPr="00D72251">
        <w:t xml:space="preserve">Figure </w:t>
      </w:r>
      <w:r w:rsidRPr="00D72251">
        <w:fldChar w:fldCharType="begin"/>
      </w:r>
      <w:r w:rsidRPr="00D72251">
        <w:instrText xml:space="preserve"> SEQ Figure \* ARABIC </w:instrText>
      </w:r>
      <w:r w:rsidRPr="00D72251">
        <w:fldChar w:fldCharType="separate"/>
      </w:r>
      <w:r w:rsidR="00D72251">
        <w:rPr>
          <w:noProof/>
        </w:rPr>
        <w:t>7</w:t>
      </w:r>
      <w:r w:rsidRPr="00D72251">
        <w:fldChar w:fldCharType="end"/>
      </w:r>
      <w:r w:rsidRPr="00D72251">
        <w:t xml:space="preserve">: </w:t>
      </w:r>
      <w:r w:rsidR="00956EB6" w:rsidRPr="00D72251">
        <w:t>Summary comparison of Toyota’s STP Strategies. Source: Own Contribution.</w:t>
      </w:r>
    </w:p>
    <w:p w14:paraId="35DDD061" w14:textId="77777777" w:rsidR="006407F0" w:rsidRPr="00D72251" w:rsidRDefault="006407F0" w:rsidP="006407F0">
      <w:pPr>
        <w:pStyle w:val="Heading2"/>
        <w:numPr>
          <w:ilvl w:val="0"/>
          <w:numId w:val="3"/>
        </w:numPr>
      </w:pPr>
      <w:bookmarkStart w:id="16" w:name="_Toc236268215"/>
      <w:r w:rsidRPr="00D72251">
        <w:t>Comparative International Marketing Mix (7Ps)</w:t>
      </w:r>
      <w:bookmarkEnd w:id="16"/>
    </w:p>
    <w:p w14:paraId="198FF135" w14:textId="77777777" w:rsidR="00605B7D" w:rsidRPr="00D72251" w:rsidRDefault="006407F0" w:rsidP="00605B7D">
      <w:pPr>
        <w:pStyle w:val="Heading3"/>
        <w:numPr>
          <w:ilvl w:val="1"/>
          <w:numId w:val="3"/>
        </w:numPr>
        <w:rPr>
          <w:lang w:val="en-US"/>
        </w:rPr>
      </w:pPr>
      <w:bookmarkStart w:id="17" w:name="_Toc236268216"/>
      <w:r w:rsidRPr="00D72251">
        <w:rPr>
          <w:lang w:val="en-US"/>
        </w:rPr>
        <w:t>Product</w:t>
      </w:r>
      <w:bookmarkEnd w:id="17"/>
    </w:p>
    <w:p w14:paraId="42253B2C" w14:textId="77777777" w:rsidR="0041064C" w:rsidRPr="00D72251" w:rsidRDefault="0041064C" w:rsidP="0041064C">
      <w:pPr>
        <w:rPr>
          <w:lang w:val="en-US"/>
        </w:rPr>
      </w:pPr>
      <w:r w:rsidRPr="00D72251">
        <w:rPr>
          <w:lang w:val="en-US"/>
        </w:rPr>
        <w:t xml:space="preserve">Toyota 'standardizes' its name, emblem, quality story and basic associations but adapts actual and augmented products. Japan places more importance on compact cars, minivans and hybrids, and the U.S. focuses on crossovers, pickups, bigger SUVs and regional all-wheel-drive cars. This reflects contingency logic – standardisation ensures scale &amp; brand protection, adaptation ensures local fit (Mandler et al., 2021). Product value is also determined by warranty, maintenance, roadside assistance, finance and digital services. Toyota's multi-pathway approach extends to hybrid vehicles (HEVs), plug-in hybrid vehicles (PHEVs), battery electric vehicles (BEVs) and fuel-cell vehicles (Toyota Motor Corporation, 2025a; 2025c). Portfolio breadth provides a hedge against infrastructure uncertainty, but can become confusing if the role of each technology is not well defined. The preferences of consumers for range, incentives, parking and symbolic </w:t>
      </w:r>
      <w:r w:rsidRPr="00D72251">
        <w:rPr>
          <w:lang w:val="en-US"/>
        </w:rPr>
        <w:lastRenderedPageBreak/>
        <w:t>meaning vary across individuals (Khan, Yamamoto and Sato, 2020; Khattak and Khattak, 2023; Liu et al., 2021).</w:t>
      </w:r>
    </w:p>
    <w:p w14:paraId="295BD450" w14:textId="77777777" w:rsidR="00605B7D" w:rsidRPr="00D72251" w:rsidRDefault="00605B7D" w:rsidP="00605B7D">
      <w:pPr>
        <w:pStyle w:val="Heading3"/>
        <w:numPr>
          <w:ilvl w:val="1"/>
          <w:numId w:val="3"/>
        </w:numPr>
        <w:rPr>
          <w:lang w:val="en-US"/>
        </w:rPr>
      </w:pPr>
      <w:bookmarkStart w:id="18" w:name="_Toc236268217"/>
      <w:r w:rsidRPr="00D72251">
        <w:rPr>
          <w:lang w:val="en-US"/>
        </w:rPr>
        <w:t>Price</w:t>
      </w:r>
      <w:bookmarkEnd w:id="18"/>
    </w:p>
    <w:p w14:paraId="42ECC5EC" w14:textId="77777777" w:rsidR="0041064C" w:rsidRPr="00D72251" w:rsidRDefault="0041064C" w:rsidP="0041064C">
      <w:pPr>
        <w:rPr>
          <w:lang w:val="en-US"/>
        </w:rPr>
      </w:pPr>
      <w:r w:rsidRPr="00D72251">
        <w:rPr>
          <w:lang w:val="en-US"/>
        </w:rPr>
        <w:t>The pricing is adapted due to variation in taxes, specifications, production, demand, finance and competition. The 2025 Corolla Cross Hybrid is a case in point: Toyota Japan quoted the Cross Hybrid S at around ¥2.98 million and the Cross Hybrid Z at ¥3.43 million, and Toyota USA priced the Cross Hybrid at a starting MSRP of US$28,495 (Toyota Motor Corporation Japan, 2025; Toyota Motor Sales USA, 2025). Direct currency conversion would be misleading due to the differences in the trims, tax, delivery &amp; equipment. Toyota uses a mixture of cost, competition, and demand and perceived value approaches. The effective price is credit, leasing and dealer practices in the U.S., parking and ownership costs in Japan. Reliability reinforces price-quality perceptions, while vague add-ons can jeopardize the value position. Therefore, it is critical to have transparent communication that is specific to each segment (Khattak and Khattak, 2023; Gao et al., 2021).</w:t>
      </w:r>
    </w:p>
    <w:p w14:paraId="1071C5CE" w14:textId="77777777" w:rsidR="00605B7D" w:rsidRPr="00D72251" w:rsidRDefault="00605B7D" w:rsidP="00605B7D">
      <w:pPr>
        <w:pStyle w:val="Heading3"/>
        <w:numPr>
          <w:ilvl w:val="1"/>
          <w:numId w:val="3"/>
        </w:numPr>
        <w:rPr>
          <w:lang w:val="en-US"/>
        </w:rPr>
      </w:pPr>
      <w:bookmarkStart w:id="19" w:name="_Toc236268218"/>
      <w:r w:rsidRPr="00D72251">
        <w:rPr>
          <w:lang w:val="en-US"/>
        </w:rPr>
        <w:t>Place</w:t>
      </w:r>
      <w:bookmarkEnd w:id="19"/>
    </w:p>
    <w:p w14:paraId="77BE25DB" w14:textId="77777777" w:rsidR="0041064C" w:rsidRPr="00D72251" w:rsidRDefault="0041064C" w:rsidP="0041064C">
      <w:pPr>
        <w:rPr>
          <w:lang w:val="en-US"/>
        </w:rPr>
      </w:pPr>
      <w:r w:rsidRPr="00D72251">
        <w:rPr>
          <w:lang w:val="en-US"/>
        </w:rPr>
        <w:t>Toyota has applied a correct distribution of vehicles through authorised dealers in a selective manner. The U.S. system is very localized, with the company having 11 manufacturing plants, regional offices, private distributors and almost 1,500 Toyota and Lexus dealerships in North America (Crisler, 2026). Local production will have the benefit of reducing lead times, increasing the legitimacy and decrease some currency and freight exposure. Japan has robust domestic logistics and relationships with dealers. Channel fragmentation is the common threat, inventory, price and service will differ despite a common brand. One way to build resilience is to not just have a lean inventory, but to be able to see it, integrate it digitally, and have the ability to be flexible (Belhadi et al., 2021). The dealership is transforming from information keeper to experience and fulfilment partner (Llopis-Albert, Rubio and Valero, 2021).</w:t>
      </w:r>
    </w:p>
    <w:p w14:paraId="54BF4156" w14:textId="77777777" w:rsidR="00605B7D" w:rsidRPr="00D72251" w:rsidRDefault="00605B7D" w:rsidP="00605B7D">
      <w:pPr>
        <w:pStyle w:val="Heading3"/>
        <w:numPr>
          <w:ilvl w:val="1"/>
          <w:numId w:val="3"/>
        </w:numPr>
        <w:rPr>
          <w:lang w:val="en-US"/>
        </w:rPr>
      </w:pPr>
      <w:bookmarkStart w:id="20" w:name="_Toc236268219"/>
      <w:r w:rsidRPr="00D72251">
        <w:rPr>
          <w:lang w:val="en-US"/>
        </w:rPr>
        <w:t>Promotion</w:t>
      </w:r>
      <w:bookmarkEnd w:id="20"/>
    </w:p>
    <w:p w14:paraId="483A66F8" w14:textId="77777777" w:rsidR="0041064C" w:rsidRPr="00D72251" w:rsidRDefault="0041064C" w:rsidP="0041064C">
      <w:pPr>
        <w:rPr>
          <w:lang w:val="en-US"/>
        </w:rPr>
      </w:pPr>
      <w:r w:rsidRPr="00D72251">
        <w:rPr>
          <w:lang w:val="en-US"/>
        </w:rPr>
        <w:t>Toyota uses the same themes like quality, safety and mobility and changes the models, media, language and appeals. Japanese communication can be more context-</w:t>
      </w:r>
      <w:r w:rsidRPr="00D72251">
        <w:rPr>
          <w:lang w:val="en-US"/>
        </w:rPr>
        <w:lastRenderedPageBreak/>
        <w:t>dependent, skillfully constructed and reassuring; the U.S. campaign tends to be more performance-, lifestyle-, price-, or technology-focused. Culture influences interpretation but not necessarily advertising (Moro et al., 2020; Fazli-Salehi et al., 2021). These activities comprise of public relations, sponsorship, dealer communication and digital configurators. A strong trust and local commitment are necessary for digital capability to enhance reach (Vadana et al, 2020; Mahmoud et al, 2020). Toyota needs to do more than just make the same promise on a global level, but provide evidence that is local – particularly separating the evidence for hybrid fuel saving from BEV tail pipe emission. The more ambiguous the information, the more scepticism it raises and the higher the risk of greenwashing (Cho and Taylor, 2020; Bartikowski and Berens, 2021).</w:t>
      </w:r>
    </w:p>
    <w:p w14:paraId="038D1310" w14:textId="77777777" w:rsidR="00605B7D" w:rsidRPr="00D72251" w:rsidRDefault="00605B7D" w:rsidP="00605B7D">
      <w:pPr>
        <w:pStyle w:val="Heading3"/>
        <w:numPr>
          <w:ilvl w:val="1"/>
          <w:numId w:val="3"/>
        </w:numPr>
        <w:rPr>
          <w:lang w:val="en-US"/>
        </w:rPr>
      </w:pPr>
      <w:bookmarkStart w:id="21" w:name="_Toc236268220"/>
      <w:r w:rsidRPr="00D72251">
        <w:rPr>
          <w:lang w:val="en-US"/>
        </w:rPr>
        <w:t>People</w:t>
      </w:r>
      <w:bookmarkEnd w:id="21"/>
    </w:p>
    <w:p w14:paraId="5620ED8E" w14:textId="77777777" w:rsidR="0041064C" w:rsidRPr="00D72251" w:rsidRDefault="0041064C" w:rsidP="0041064C">
      <w:pPr>
        <w:rPr>
          <w:lang w:val="en-US"/>
        </w:rPr>
      </w:pPr>
      <w:r w:rsidRPr="00D72251">
        <w:rPr>
          <w:lang w:val="en-US"/>
        </w:rPr>
        <w:t>The Sales advisers, technicians, financial staff and local managers deliver the brand promise in their daily work.The Sales advisers, technicians, finance staff, and local managers experience the brand promise in their daily work. Toyota can ensure that training, safety expectations and service metrics are standardised, but delivery must be consistent with language, decision style and regulation. The Japanese customer's focus may be on the degree of detail and continuity, while the U.S. customer may focus on comparison, speed and disclosure. Employees at the dealer are not necessarily part of Toyota, leading to issues with agency and consistency. The ability to be dynamic in marketing relies on the routines that link local knowledge with central learning, therefore (Scuotto et al., 2022; Wang, 2020). The number of training sessions should not be the measure of people strategy, it should be judged based on customer outcomes and ethical behaviour.</w:t>
      </w:r>
    </w:p>
    <w:p w14:paraId="484648E3" w14:textId="77777777" w:rsidR="00605B7D" w:rsidRPr="00D72251" w:rsidRDefault="00605B7D" w:rsidP="00605B7D">
      <w:pPr>
        <w:pStyle w:val="Heading3"/>
        <w:numPr>
          <w:ilvl w:val="1"/>
          <w:numId w:val="3"/>
        </w:numPr>
        <w:rPr>
          <w:lang w:val="en-US"/>
        </w:rPr>
      </w:pPr>
      <w:bookmarkStart w:id="22" w:name="_Toc236268221"/>
      <w:r w:rsidRPr="00D72251">
        <w:rPr>
          <w:lang w:val="en-US"/>
        </w:rPr>
        <w:t>Process</w:t>
      </w:r>
      <w:bookmarkEnd w:id="22"/>
    </w:p>
    <w:p w14:paraId="4B67004F" w14:textId="77777777" w:rsidR="0041064C" w:rsidRPr="00D72251" w:rsidRDefault="0041064C" w:rsidP="0041064C">
      <w:pPr>
        <w:rPr>
          <w:lang w:val="en-US"/>
        </w:rPr>
      </w:pPr>
      <w:r w:rsidRPr="00D72251">
        <w:rPr>
          <w:lang w:val="en-US"/>
        </w:rPr>
        <w:t xml:space="preserve">The trip consists of online research, configuration, dealer contact, test drive, finance, delivery, service, handling complaints, recalls, etc. Previous studies have indicated that integration creates a better experience if information and inventory are consistent, and service is integrated (Gao et al., 2021; Bijmolt et al., 2021; Mirzabeiki and Saghiri, 2020). Toyota's discipline in running their business is good, but their finance and dealer processes are weak when trust is lacking due to unclear add-ons or slow refunds. There </w:t>
      </w:r>
      <w:r w:rsidRPr="00D72251">
        <w:rPr>
          <w:lang w:val="en-US"/>
        </w:rPr>
        <w:lastRenderedPageBreak/>
        <w:t>is also the requirement for privacy and cybersecurity governance when it comes to connected services (Morris, Madzudzo and Garcia-Perez, 2020). There must be standardised controls with visible accountability which support locally compliant processes.</w:t>
      </w:r>
    </w:p>
    <w:p w14:paraId="4983BA5B" w14:textId="77777777" w:rsidR="00605B7D" w:rsidRPr="00D72251" w:rsidRDefault="00605B7D" w:rsidP="00605B7D">
      <w:pPr>
        <w:pStyle w:val="Heading3"/>
        <w:numPr>
          <w:ilvl w:val="1"/>
          <w:numId w:val="3"/>
        </w:numPr>
        <w:rPr>
          <w:lang w:val="en-US"/>
        </w:rPr>
      </w:pPr>
      <w:bookmarkStart w:id="23" w:name="_Toc236268222"/>
      <w:r w:rsidRPr="00D72251">
        <w:rPr>
          <w:lang w:val="en-US"/>
        </w:rPr>
        <w:t>Physical evidence</w:t>
      </w:r>
      <w:bookmarkEnd w:id="23"/>
    </w:p>
    <w:p w14:paraId="5D90FEDD" w14:textId="77777777" w:rsidR="00A374B9" w:rsidRPr="00D72251" w:rsidRDefault="0041064C" w:rsidP="0041064C">
      <w:pPr>
        <w:rPr>
          <w:rFonts w:eastAsiaTheme="majorEastAsia" w:cstheme="majorBidi"/>
          <w:b/>
          <w:color w:val="000000" w:themeColor="text1"/>
          <w:sz w:val="28"/>
          <w:szCs w:val="24"/>
          <w:lang w:val="en-US"/>
        </w:rPr>
      </w:pPr>
      <w:r w:rsidRPr="00D72251">
        <w:rPr>
          <w:lang w:val="en-US"/>
        </w:rPr>
        <w:t>Toyota's promise is realized through showrooms, service centres, websites, configurators, apps, displays and documentation. Language and logo are consistent, model hierarchy is adapted, dealership presentation and digital functions are adapted. In the USA, large vehicles and lifestyle use are emphasized, while in Japan, manoeuvrability, accessibility and efficient ownership of the vehicle must be emphasized. Customer confidence in the dealer is undermined by a streamlined website and a muddled pricing situation. In this context, Toyota should aim for a design that is recognised globally, in addition to providing localized information and ensuring an effective digital-to-physical handover (Gao et al., 2021; Llopis-Albert, Rubio and Valero, 2021).</w:t>
      </w:r>
      <w:r w:rsidR="00A374B9" w:rsidRPr="00D72251">
        <w:rPr>
          <w:lang w:val="en-US"/>
        </w:rPr>
        <w:br w:type="page"/>
      </w:r>
    </w:p>
    <w:p w14:paraId="1E8E3AE8" w14:textId="77777777" w:rsidR="00A374B9" w:rsidRPr="00D72251" w:rsidRDefault="00A374B9" w:rsidP="00A374B9">
      <w:pPr>
        <w:pStyle w:val="Heading3"/>
        <w:numPr>
          <w:ilvl w:val="1"/>
          <w:numId w:val="3"/>
        </w:numPr>
        <w:rPr>
          <w:lang w:val="en-US"/>
        </w:rPr>
      </w:pPr>
      <w:bookmarkStart w:id="24" w:name="_Toc236268223"/>
      <w:r w:rsidRPr="00D72251">
        <w:rPr>
          <w:lang w:val="en-US"/>
        </w:rPr>
        <w:lastRenderedPageBreak/>
        <w:t>Summarised Marketing Mix</w:t>
      </w:r>
      <w:bookmarkEnd w:id="24"/>
    </w:p>
    <w:p w14:paraId="517688DB" w14:textId="77777777" w:rsidR="0055784A" w:rsidRPr="00D72251" w:rsidRDefault="0055784A" w:rsidP="0055784A">
      <w:pPr>
        <w:pStyle w:val="Caption"/>
        <w:keepNext/>
        <w:jc w:val="center"/>
      </w:pPr>
      <w:r w:rsidRPr="00D72251">
        <w:t xml:space="preserve">Table </w:t>
      </w:r>
      <w:r w:rsidRPr="00D72251">
        <w:fldChar w:fldCharType="begin"/>
      </w:r>
      <w:r w:rsidRPr="00D72251">
        <w:instrText xml:space="preserve"> SEQ Table \* ARABIC </w:instrText>
      </w:r>
      <w:r w:rsidRPr="00D72251">
        <w:fldChar w:fldCharType="separate"/>
      </w:r>
      <w:r w:rsidRPr="00D72251">
        <w:rPr>
          <w:noProof/>
        </w:rPr>
        <w:t>1</w:t>
      </w:r>
      <w:r w:rsidRPr="00D72251">
        <w:fldChar w:fldCharType="end"/>
      </w:r>
      <w:r w:rsidRPr="00D72251">
        <w:t>: Summary comparison of Toyota’s 7Ps. Source: Own Contribution.</w:t>
      </w:r>
    </w:p>
    <w:tbl>
      <w:tblPr>
        <w:tblStyle w:val="GridTable2-Accent3"/>
        <w:tblW w:w="0" w:type="auto"/>
        <w:tblLook w:val="04A0" w:firstRow="1" w:lastRow="0" w:firstColumn="1" w:lastColumn="0" w:noHBand="0" w:noVBand="1"/>
      </w:tblPr>
      <w:tblGrid>
        <w:gridCol w:w="1310"/>
        <w:gridCol w:w="2964"/>
        <w:gridCol w:w="2634"/>
        <w:gridCol w:w="2442"/>
      </w:tblGrid>
      <w:tr w:rsidR="00956EB6" w:rsidRPr="00D72251" w14:paraId="5454D2BA" w14:textId="77777777" w:rsidTr="00956E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0" w:type="dxa"/>
          </w:tcPr>
          <w:p w14:paraId="4B6D2AB3" w14:textId="77777777" w:rsidR="00A374B9" w:rsidRPr="00D72251" w:rsidRDefault="00A374B9" w:rsidP="0025154F">
            <w:pPr>
              <w:jc w:val="left"/>
              <w:rPr>
                <w:szCs w:val="24"/>
              </w:rPr>
            </w:pPr>
            <w:r w:rsidRPr="00D72251">
              <w:rPr>
                <w:szCs w:val="24"/>
              </w:rPr>
              <w:t>Element</w:t>
            </w:r>
          </w:p>
        </w:tc>
        <w:tc>
          <w:tcPr>
            <w:tcW w:w="2964" w:type="dxa"/>
          </w:tcPr>
          <w:p w14:paraId="360BF982" w14:textId="77777777" w:rsidR="00A374B9" w:rsidRPr="00D72251" w:rsidRDefault="00A374B9" w:rsidP="0025154F">
            <w:pPr>
              <w:jc w:val="left"/>
              <w:cnfStyle w:val="100000000000" w:firstRow="1" w:lastRow="0" w:firstColumn="0" w:lastColumn="0" w:oddVBand="0" w:evenVBand="0" w:oddHBand="0" w:evenHBand="0" w:firstRowFirstColumn="0" w:firstRowLastColumn="0" w:lastRowFirstColumn="0" w:lastRowLastColumn="0"/>
              <w:rPr>
                <w:szCs w:val="24"/>
              </w:rPr>
            </w:pPr>
            <w:r w:rsidRPr="00D72251">
              <w:rPr>
                <w:szCs w:val="24"/>
              </w:rPr>
              <w:t>Japan</w:t>
            </w:r>
          </w:p>
        </w:tc>
        <w:tc>
          <w:tcPr>
            <w:tcW w:w="2634" w:type="dxa"/>
          </w:tcPr>
          <w:p w14:paraId="046FB9F6" w14:textId="77777777" w:rsidR="00A374B9" w:rsidRPr="00D72251" w:rsidRDefault="00A374B9" w:rsidP="0025154F">
            <w:pPr>
              <w:jc w:val="left"/>
              <w:cnfStyle w:val="100000000000" w:firstRow="1" w:lastRow="0" w:firstColumn="0" w:lastColumn="0" w:oddVBand="0" w:evenVBand="0" w:oddHBand="0" w:evenHBand="0" w:firstRowFirstColumn="0" w:firstRowLastColumn="0" w:lastRowFirstColumn="0" w:lastRowLastColumn="0"/>
              <w:rPr>
                <w:szCs w:val="24"/>
              </w:rPr>
            </w:pPr>
            <w:r w:rsidRPr="00D72251">
              <w:rPr>
                <w:szCs w:val="24"/>
              </w:rPr>
              <w:t>United States</w:t>
            </w:r>
          </w:p>
        </w:tc>
        <w:tc>
          <w:tcPr>
            <w:tcW w:w="2442" w:type="dxa"/>
          </w:tcPr>
          <w:p w14:paraId="4D3DBBA7" w14:textId="77777777" w:rsidR="00A374B9" w:rsidRPr="00D72251" w:rsidRDefault="00A374B9" w:rsidP="0025154F">
            <w:pPr>
              <w:jc w:val="left"/>
              <w:cnfStyle w:val="100000000000" w:firstRow="1" w:lastRow="0" w:firstColumn="0" w:lastColumn="0" w:oddVBand="0" w:evenVBand="0" w:oddHBand="0" w:evenHBand="0" w:firstRowFirstColumn="0" w:firstRowLastColumn="0" w:lastRowFirstColumn="0" w:lastRowLastColumn="0"/>
              <w:rPr>
                <w:szCs w:val="24"/>
              </w:rPr>
            </w:pPr>
            <w:r w:rsidRPr="00D72251">
              <w:rPr>
                <w:szCs w:val="24"/>
              </w:rPr>
              <w:t>Strategic Assessment</w:t>
            </w:r>
          </w:p>
        </w:tc>
      </w:tr>
      <w:tr w:rsidR="00A374B9" w:rsidRPr="00D72251" w14:paraId="6DCCC57B" w14:textId="77777777" w:rsidTr="00956E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0" w:type="dxa"/>
          </w:tcPr>
          <w:p w14:paraId="55251A56" w14:textId="77777777" w:rsidR="00A374B9" w:rsidRPr="00D72251" w:rsidRDefault="00A374B9" w:rsidP="0025154F">
            <w:pPr>
              <w:jc w:val="left"/>
              <w:rPr>
                <w:szCs w:val="24"/>
              </w:rPr>
            </w:pPr>
            <w:r w:rsidRPr="00D72251">
              <w:rPr>
                <w:b w:val="0"/>
                <w:szCs w:val="24"/>
              </w:rPr>
              <w:t>Product</w:t>
            </w:r>
          </w:p>
        </w:tc>
        <w:tc>
          <w:tcPr>
            <w:tcW w:w="2964" w:type="dxa"/>
          </w:tcPr>
          <w:p w14:paraId="0B703D3F"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Compact/minivan/hybrid breadth; domestic brand familiarity</w:t>
            </w:r>
          </w:p>
        </w:tc>
        <w:tc>
          <w:tcPr>
            <w:tcW w:w="2634" w:type="dxa"/>
          </w:tcPr>
          <w:p w14:paraId="6BEA51DB"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Crossovers, SUVs, pickups and broader regional configurations</w:t>
            </w:r>
          </w:p>
        </w:tc>
        <w:tc>
          <w:tcPr>
            <w:tcW w:w="2442" w:type="dxa"/>
          </w:tcPr>
          <w:p w14:paraId="175332B3"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Standardised core brand; adapted range and augmented service</w:t>
            </w:r>
          </w:p>
        </w:tc>
      </w:tr>
      <w:tr w:rsidR="00956EB6" w:rsidRPr="00D72251" w14:paraId="7C1D30B1" w14:textId="77777777" w:rsidTr="00956EB6">
        <w:trPr>
          <w:trHeight w:val="260"/>
        </w:trPr>
        <w:tc>
          <w:tcPr>
            <w:cnfStyle w:val="001000000000" w:firstRow="0" w:lastRow="0" w:firstColumn="1" w:lastColumn="0" w:oddVBand="0" w:evenVBand="0" w:oddHBand="0" w:evenHBand="0" w:firstRowFirstColumn="0" w:firstRowLastColumn="0" w:lastRowFirstColumn="0" w:lastRowLastColumn="0"/>
            <w:tcW w:w="9350" w:type="dxa"/>
            <w:gridSpan w:val="4"/>
          </w:tcPr>
          <w:p w14:paraId="63C0F252" w14:textId="77777777" w:rsidR="00956EB6" w:rsidRPr="00D72251" w:rsidRDefault="00956EB6" w:rsidP="0025154F">
            <w:pPr>
              <w:jc w:val="left"/>
              <w:rPr>
                <w:sz w:val="12"/>
                <w:szCs w:val="12"/>
              </w:rPr>
            </w:pPr>
          </w:p>
        </w:tc>
      </w:tr>
      <w:tr w:rsidR="00A374B9" w:rsidRPr="00D72251" w14:paraId="203CBFAD" w14:textId="77777777" w:rsidTr="00956E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0" w:type="dxa"/>
          </w:tcPr>
          <w:p w14:paraId="06E1EEA4" w14:textId="77777777" w:rsidR="00A374B9" w:rsidRPr="00D72251" w:rsidRDefault="00A374B9" w:rsidP="0025154F">
            <w:pPr>
              <w:jc w:val="left"/>
              <w:rPr>
                <w:szCs w:val="24"/>
              </w:rPr>
            </w:pPr>
            <w:r w:rsidRPr="00D72251">
              <w:rPr>
                <w:b w:val="0"/>
                <w:szCs w:val="24"/>
              </w:rPr>
              <w:t>Price</w:t>
            </w:r>
          </w:p>
        </w:tc>
        <w:tc>
          <w:tcPr>
            <w:tcW w:w="2964" w:type="dxa"/>
          </w:tcPr>
          <w:p w14:paraId="248CB244"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Market-specific yen pricing, ownership and parking costs</w:t>
            </w:r>
          </w:p>
        </w:tc>
        <w:tc>
          <w:tcPr>
            <w:tcW w:w="2634" w:type="dxa"/>
          </w:tcPr>
          <w:p w14:paraId="449FA661"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MSRP, finance, incentives and dealer add-ons</w:t>
            </w:r>
          </w:p>
        </w:tc>
        <w:tc>
          <w:tcPr>
            <w:tcW w:w="2442" w:type="dxa"/>
          </w:tcPr>
          <w:p w14:paraId="3BBEC29C"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Adapted architecture; value positioning standardised</w:t>
            </w:r>
          </w:p>
        </w:tc>
      </w:tr>
      <w:tr w:rsidR="00956EB6" w:rsidRPr="00D72251" w14:paraId="627BA070" w14:textId="77777777" w:rsidTr="00956EB6">
        <w:tc>
          <w:tcPr>
            <w:cnfStyle w:val="001000000000" w:firstRow="0" w:lastRow="0" w:firstColumn="1" w:lastColumn="0" w:oddVBand="0" w:evenVBand="0" w:oddHBand="0" w:evenHBand="0" w:firstRowFirstColumn="0" w:firstRowLastColumn="0" w:lastRowFirstColumn="0" w:lastRowLastColumn="0"/>
            <w:tcW w:w="9350" w:type="dxa"/>
            <w:gridSpan w:val="4"/>
          </w:tcPr>
          <w:p w14:paraId="559223FE" w14:textId="77777777" w:rsidR="00956EB6" w:rsidRPr="00D72251" w:rsidRDefault="00956EB6" w:rsidP="0025154F">
            <w:pPr>
              <w:jc w:val="left"/>
              <w:rPr>
                <w:b w:val="0"/>
                <w:bCs w:val="0"/>
                <w:sz w:val="12"/>
                <w:szCs w:val="12"/>
              </w:rPr>
            </w:pPr>
          </w:p>
        </w:tc>
      </w:tr>
      <w:tr w:rsidR="00956EB6" w:rsidRPr="00D72251" w14:paraId="273F0EB2" w14:textId="77777777" w:rsidTr="00956E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0" w:type="dxa"/>
          </w:tcPr>
          <w:p w14:paraId="3BC6C85F" w14:textId="77777777" w:rsidR="00A374B9" w:rsidRPr="00D72251" w:rsidRDefault="00A374B9" w:rsidP="0025154F">
            <w:pPr>
              <w:jc w:val="left"/>
              <w:rPr>
                <w:szCs w:val="24"/>
              </w:rPr>
            </w:pPr>
            <w:r w:rsidRPr="00D72251">
              <w:rPr>
                <w:b w:val="0"/>
                <w:szCs w:val="24"/>
              </w:rPr>
              <w:t>Place</w:t>
            </w:r>
          </w:p>
        </w:tc>
        <w:tc>
          <w:tcPr>
            <w:tcW w:w="2964" w:type="dxa"/>
          </w:tcPr>
          <w:p w14:paraId="5401BCA0"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Dense domestic dealer/logistics network</w:t>
            </w:r>
          </w:p>
        </w:tc>
        <w:tc>
          <w:tcPr>
            <w:tcW w:w="2634" w:type="dxa"/>
          </w:tcPr>
          <w:p w14:paraId="61AE3757"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Local manufacturing, regional offices and extensive dealers</w:t>
            </w:r>
          </w:p>
        </w:tc>
        <w:tc>
          <w:tcPr>
            <w:tcW w:w="2442" w:type="dxa"/>
          </w:tcPr>
          <w:p w14:paraId="738DF00D"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Selective distribution; stronger U.S. localisation</w:t>
            </w:r>
          </w:p>
        </w:tc>
      </w:tr>
      <w:tr w:rsidR="00956EB6" w:rsidRPr="00D72251" w14:paraId="24C22359" w14:textId="77777777" w:rsidTr="00956EB6">
        <w:tc>
          <w:tcPr>
            <w:cnfStyle w:val="001000000000" w:firstRow="0" w:lastRow="0" w:firstColumn="1" w:lastColumn="0" w:oddVBand="0" w:evenVBand="0" w:oddHBand="0" w:evenHBand="0" w:firstRowFirstColumn="0" w:firstRowLastColumn="0" w:lastRowFirstColumn="0" w:lastRowLastColumn="0"/>
            <w:tcW w:w="9350" w:type="dxa"/>
            <w:gridSpan w:val="4"/>
          </w:tcPr>
          <w:p w14:paraId="392392C3" w14:textId="77777777" w:rsidR="00956EB6" w:rsidRPr="00D72251" w:rsidRDefault="00956EB6" w:rsidP="0025154F">
            <w:pPr>
              <w:jc w:val="left"/>
              <w:rPr>
                <w:sz w:val="12"/>
                <w:szCs w:val="12"/>
              </w:rPr>
            </w:pPr>
          </w:p>
        </w:tc>
      </w:tr>
      <w:tr w:rsidR="00956EB6" w:rsidRPr="00D72251" w14:paraId="49F18CC3" w14:textId="77777777" w:rsidTr="00956E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0" w:type="dxa"/>
          </w:tcPr>
          <w:p w14:paraId="46D2E55F" w14:textId="77777777" w:rsidR="00A374B9" w:rsidRPr="00D72251" w:rsidRDefault="00A374B9" w:rsidP="0025154F">
            <w:pPr>
              <w:jc w:val="left"/>
              <w:rPr>
                <w:szCs w:val="24"/>
              </w:rPr>
            </w:pPr>
            <w:r w:rsidRPr="00D72251">
              <w:rPr>
                <w:b w:val="0"/>
                <w:szCs w:val="24"/>
              </w:rPr>
              <w:t>Promotion</w:t>
            </w:r>
          </w:p>
        </w:tc>
        <w:tc>
          <w:tcPr>
            <w:tcW w:w="2964" w:type="dxa"/>
          </w:tcPr>
          <w:p w14:paraId="23B657C3"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Reassurance, craftsmanship and contextual storytelling</w:t>
            </w:r>
          </w:p>
        </w:tc>
        <w:tc>
          <w:tcPr>
            <w:tcW w:w="2634" w:type="dxa"/>
          </w:tcPr>
          <w:p w14:paraId="25519D0C"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Direct benefit, lifestyle, technology and offer-led messages</w:t>
            </w:r>
          </w:p>
        </w:tc>
        <w:tc>
          <w:tcPr>
            <w:tcW w:w="2442" w:type="dxa"/>
          </w:tcPr>
          <w:p w14:paraId="47029A98"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Global promise with local execution</w:t>
            </w:r>
          </w:p>
        </w:tc>
      </w:tr>
      <w:tr w:rsidR="00956EB6" w:rsidRPr="00D72251" w14:paraId="122957D7" w14:textId="77777777" w:rsidTr="00956EB6">
        <w:tc>
          <w:tcPr>
            <w:cnfStyle w:val="001000000000" w:firstRow="0" w:lastRow="0" w:firstColumn="1" w:lastColumn="0" w:oddVBand="0" w:evenVBand="0" w:oddHBand="0" w:evenHBand="0" w:firstRowFirstColumn="0" w:firstRowLastColumn="0" w:lastRowFirstColumn="0" w:lastRowLastColumn="0"/>
            <w:tcW w:w="9350" w:type="dxa"/>
            <w:gridSpan w:val="4"/>
          </w:tcPr>
          <w:p w14:paraId="52B202FC" w14:textId="77777777" w:rsidR="00956EB6" w:rsidRPr="00D72251" w:rsidRDefault="00956EB6" w:rsidP="0025154F">
            <w:pPr>
              <w:jc w:val="left"/>
              <w:rPr>
                <w:sz w:val="12"/>
                <w:szCs w:val="12"/>
              </w:rPr>
            </w:pPr>
          </w:p>
        </w:tc>
      </w:tr>
      <w:tr w:rsidR="00956EB6" w:rsidRPr="00D72251" w14:paraId="447E2118" w14:textId="77777777" w:rsidTr="00956E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0" w:type="dxa"/>
          </w:tcPr>
          <w:p w14:paraId="571B81DC" w14:textId="77777777" w:rsidR="00A374B9" w:rsidRPr="00D72251" w:rsidRDefault="00A374B9" w:rsidP="0025154F">
            <w:pPr>
              <w:jc w:val="left"/>
              <w:rPr>
                <w:szCs w:val="24"/>
              </w:rPr>
            </w:pPr>
            <w:r w:rsidRPr="00D72251">
              <w:rPr>
                <w:b w:val="0"/>
                <w:szCs w:val="24"/>
              </w:rPr>
              <w:t>People</w:t>
            </w:r>
          </w:p>
        </w:tc>
        <w:tc>
          <w:tcPr>
            <w:tcW w:w="2964" w:type="dxa"/>
          </w:tcPr>
          <w:p w14:paraId="5551BBF3"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Relationship continuity and detailed service</w:t>
            </w:r>
          </w:p>
        </w:tc>
        <w:tc>
          <w:tcPr>
            <w:tcW w:w="2634" w:type="dxa"/>
          </w:tcPr>
          <w:p w14:paraId="3BA429C0"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Speed, disclosure, comparison and local dealer expertise</w:t>
            </w:r>
          </w:p>
        </w:tc>
        <w:tc>
          <w:tcPr>
            <w:tcW w:w="2442" w:type="dxa"/>
          </w:tcPr>
          <w:p w14:paraId="23E287BD"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Common standards, culturally adapted delivery</w:t>
            </w:r>
          </w:p>
        </w:tc>
      </w:tr>
      <w:tr w:rsidR="00956EB6" w:rsidRPr="00D72251" w14:paraId="6829F310" w14:textId="77777777" w:rsidTr="00956EB6">
        <w:tc>
          <w:tcPr>
            <w:cnfStyle w:val="001000000000" w:firstRow="0" w:lastRow="0" w:firstColumn="1" w:lastColumn="0" w:oddVBand="0" w:evenVBand="0" w:oddHBand="0" w:evenHBand="0" w:firstRowFirstColumn="0" w:firstRowLastColumn="0" w:lastRowFirstColumn="0" w:lastRowLastColumn="0"/>
            <w:tcW w:w="9350" w:type="dxa"/>
            <w:gridSpan w:val="4"/>
          </w:tcPr>
          <w:p w14:paraId="35C881D7" w14:textId="77777777" w:rsidR="00956EB6" w:rsidRPr="00D72251" w:rsidRDefault="00956EB6" w:rsidP="0025154F">
            <w:pPr>
              <w:jc w:val="left"/>
              <w:rPr>
                <w:sz w:val="12"/>
                <w:szCs w:val="12"/>
              </w:rPr>
            </w:pPr>
          </w:p>
        </w:tc>
      </w:tr>
      <w:tr w:rsidR="00956EB6" w:rsidRPr="00D72251" w14:paraId="001C42E7" w14:textId="77777777" w:rsidTr="00956E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0" w:type="dxa"/>
          </w:tcPr>
          <w:p w14:paraId="2C5EA479" w14:textId="77777777" w:rsidR="00A374B9" w:rsidRPr="00D72251" w:rsidRDefault="00A374B9" w:rsidP="0025154F">
            <w:pPr>
              <w:jc w:val="left"/>
              <w:rPr>
                <w:szCs w:val="24"/>
              </w:rPr>
            </w:pPr>
            <w:r w:rsidRPr="00D72251">
              <w:rPr>
                <w:b w:val="0"/>
                <w:szCs w:val="24"/>
              </w:rPr>
              <w:t>Process</w:t>
            </w:r>
          </w:p>
        </w:tc>
        <w:tc>
          <w:tcPr>
            <w:tcW w:w="2964" w:type="dxa"/>
          </w:tcPr>
          <w:p w14:paraId="45D892DE"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Mature after-sales continuity</w:t>
            </w:r>
          </w:p>
        </w:tc>
        <w:tc>
          <w:tcPr>
            <w:tcW w:w="2634" w:type="dxa"/>
          </w:tcPr>
          <w:p w14:paraId="2087317B"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Complex digital–dealer–finance journey</w:t>
            </w:r>
          </w:p>
        </w:tc>
        <w:tc>
          <w:tcPr>
            <w:tcW w:w="2442" w:type="dxa"/>
          </w:tcPr>
          <w:p w14:paraId="7D82058F"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Need for integrated, transparent systems</w:t>
            </w:r>
          </w:p>
        </w:tc>
      </w:tr>
      <w:tr w:rsidR="00956EB6" w:rsidRPr="00D72251" w14:paraId="317E7BE7" w14:textId="77777777" w:rsidTr="00956EB6">
        <w:tc>
          <w:tcPr>
            <w:cnfStyle w:val="001000000000" w:firstRow="0" w:lastRow="0" w:firstColumn="1" w:lastColumn="0" w:oddVBand="0" w:evenVBand="0" w:oddHBand="0" w:evenHBand="0" w:firstRowFirstColumn="0" w:firstRowLastColumn="0" w:lastRowFirstColumn="0" w:lastRowLastColumn="0"/>
            <w:tcW w:w="9350" w:type="dxa"/>
            <w:gridSpan w:val="4"/>
          </w:tcPr>
          <w:p w14:paraId="573F4673" w14:textId="77777777" w:rsidR="00956EB6" w:rsidRPr="00D72251" w:rsidRDefault="00956EB6" w:rsidP="0025154F">
            <w:pPr>
              <w:jc w:val="left"/>
              <w:rPr>
                <w:sz w:val="12"/>
                <w:szCs w:val="12"/>
              </w:rPr>
            </w:pPr>
          </w:p>
        </w:tc>
      </w:tr>
      <w:tr w:rsidR="00956EB6" w:rsidRPr="00D72251" w14:paraId="030471C4" w14:textId="77777777" w:rsidTr="00956E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0" w:type="dxa"/>
          </w:tcPr>
          <w:p w14:paraId="5C6411C7" w14:textId="77777777" w:rsidR="00A374B9" w:rsidRPr="00D72251" w:rsidRDefault="00A374B9" w:rsidP="0025154F">
            <w:pPr>
              <w:jc w:val="left"/>
              <w:rPr>
                <w:szCs w:val="24"/>
              </w:rPr>
            </w:pPr>
            <w:r w:rsidRPr="00D72251">
              <w:rPr>
                <w:b w:val="0"/>
                <w:szCs w:val="24"/>
              </w:rPr>
              <w:t>Physical evidence</w:t>
            </w:r>
          </w:p>
        </w:tc>
        <w:tc>
          <w:tcPr>
            <w:tcW w:w="2964" w:type="dxa"/>
          </w:tcPr>
          <w:p w14:paraId="060AD65D"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Compact-market display, Japanese digital content</w:t>
            </w:r>
          </w:p>
        </w:tc>
        <w:tc>
          <w:tcPr>
            <w:tcW w:w="2634" w:type="dxa"/>
          </w:tcPr>
          <w:p w14:paraId="68CE63CE" w14:textId="77777777" w:rsidR="00A374B9" w:rsidRPr="00D72251" w:rsidRDefault="00A374B9" w:rsidP="0025154F">
            <w:pPr>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Large-vehicle/lifestyle display and U.S. configurators</w:t>
            </w:r>
          </w:p>
        </w:tc>
        <w:tc>
          <w:tcPr>
            <w:tcW w:w="2442" w:type="dxa"/>
          </w:tcPr>
          <w:p w14:paraId="50D7D49D" w14:textId="77777777" w:rsidR="00A374B9" w:rsidRPr="00D72251" w:rsidRDefault="00A374B9" w:rsidP="00956EB6">
            <w:pPr>
              <w:keepNext/>
              <w:jc w:val="left"/>
              <w:cnfStyle w:val="000000100000" w:firstRow="0" w:lastRow="0" w:firstColumn="0" w:lastColumn="0" w:oddVBand="0" w:evenVBand="0" w:oddHBand="1" w:evenHBand="0" w:firstRowFirstColumn="0" w:firstRowLastColumn="0" w:lastRowFirstColumn="0" w:lastRowLastColumn="0"/>
              <w:rPr>
                <w:szCs w:val="24"/>
              </w:rPr>
            </w:pPr>
            <w:r w:rsidRPr="00D72251">
              <w:rPr>
                <w:szCs w:val="24"/>
              </w:rPr>
              <w:t>Recognisable identity with local cues</w:t>
            </w:r>
          </w:p>
        </w:tc>
      </w:tr>
    </w:tbl>
    <w:p w14:paraId="5C8D20CD" w14:textId="77777777" w:rsidR="003F1BB8" w:rsidRPr="00D72251" w:rsidRDefault="003F1BB8" w:rsidP="00BC73DB">
      <w:pPr>
        <w:rPr>
          <w:lang w:val="en-US"/>
        </w:rPr>
      </w:pPr>
    </w:p>
    <w:p w14:paraId="2D3045F2" w14:textId="77777777" w:rsidR="00956EB6" w:rsidRPr="00D72251" w:rsidRDefault="00956EB6" w:rsidP="00956EB6">
      <w:pPr>
        <w:pStyle w:val="Heading2"/>
        <w:numPr>
          <w:ilvl w:val="0"/>
          <w:numId w:val="3"/>
        </w:numPr>
      </w:pPr>
      <w:bookmarkStart w:id="25" w:name="_Toc236268224"/>
      <w:r w:rsidRPr="00D72251">
        <w:lastRenderedPageBreak/>
        <w:t>Evaluation of Toyota’s Market-entry Strategy in the United States</w:t>
      </w:r>
      <w:bookmarkEnd w:id="25"/>
    </w:p>
    <w:p w14:paraId="2FF82DDB" w14:textId="77777777" w:rsidR="0041064C" w:rsidRPr="00D72251" w:rsidRDefault="0041064C" w:rsidP="0041064C">
      <w:r w:rsidRPr="00D72251">
        <w:t>In 1957, Toyota's U.S. roadmap shifted from exporting to having a sales company, then to distribution and manufacturing, to battery investment and financing. This corroborates the new Uppsala perspective on the interactive development of relationships and of knowledge and commitment (Johanson and Vahlne, 2009). Limited initial exposure exported to local sales company; later reduced delivery distance by manufacturing, facilitated adaptation and gave legitimacy. Toyota has 11 manufacturing plants in the U.S. and its U.S. battery project in North Carolina is nearing US$14 billion (Crisler, 2026; Faulner, 2026).</w:t>
      </w:r>
    </w:p>
    <w:p w14:paraId="5F03F556" w14:textId="77777777" w:rsidR="0041064C" w:rsidRPr="00D72251" w:rsidRDefault="0041064C" w:rsidP="0041064C">
      <w:r w:rsidRPr="00D72251">
        <w:t>The benefits are quality control, more rapid response time, jobs, any reduced freight exposure and locally adapted vehicles. Local capabilities also have the ability to reconfigure in the context of technological disruption (Liu and Kang, 2020; Park and Xiao, 2020). Disadvantages are high fixed investment, regulatory complexity, labour complexity, reputation risk and not being able to control independent dealers. Uppsala is useful but is not a complete explanation as market size and institutions and scale economies also contributed to localisation. In total, the shift from importer to embedded competitor is what has made Toyota successful in the past, and so will be key to their success in batteries, software and processes in the future.</w:t>
      </w:r>
    </w:p>
    <w:p w14:paraId="35E7C8B9" w14:textId="77777777" w:rsidR="00386DE0" w:rsidRPr="00D72251" w:rsidRDefault="00956EB6" w:rsidP="00386DE0">
      <w:pPr>
        <w:keepNext/>
      </w:pPr>
      <w:r w:rsidRPr="00D72251">
        <w:rPr>
          <w:noProof/>
          <w:lang w:val="en-US"/>
        </w:rPr>
        <w:drawing>
          <wp:inline distT="0" distB="0" distL="0" distR="0" wp14:anchorId="2BF31F35" wp14:editId="29010CD2">
            <wp:extent cx="5705475" cy="2514600"/>
            <wp:effectExtent l="0" t="0" r="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180C2AF0" w14:textId="77777777" w:rsidR="00956EB6" w:rsidRPr="00D72251" w:rsidRDefault="00386DE0" w:rsidP="00386DE0">
      <w:pPr>
        <w:pStyle w:val="Caption"/>
        <w:jc w:val="center"/>
        <w:rPr>
          <w:lang w:val="en-US"/>
        </w:rPr>
      </w:pPr>
      <w:r w:rsidRPr="00D72251">
        <w:t xml:space="preserve">Figure </w:t>
      </w:r>
      <w:r w:rsidRPr="00D72251">
        <w:fldChar w:fldCharType="begin"/>
      </w:r>
      <w:r w:rsidRPr="00D72251">
        <w:instrText xml:space="preserve"> SEQ Figure \* ARABIC </w:instrText>
      </w:r>
      <w:r w:rsidRPr="00D72251">
        <w:fldChar w:fldCharType="separate"/>
      </w:r>
      <w:r w:rsidR="00D72251">
        <w:rPr>
          <w:noProof/>
        </w:rPr>
        <w:t>8</w:t>
      </w:r>
      <w:r w:rsidRPr="00D72251">
        <w:fldChar w:fldCharType="end"/>
      </w:r>
      <w:r w:rsidRPr="00D72251">
        <w:t>: Toyota’s progressive U.S. commitment pathway. Source: Own Contribution.</w:t>
      </w:r>
    </w:p>
    <w:p w14:paraId="25D808D7" w14:textId="77777777" w:rsidR="0055784A" w:rsidRPr="00D72251" w:rsidRDefault="0055784A" w:rsidP="0055784A">
      <w:pPr>
        <w:pStyle w:val="Heading2"/>
        <w:numPr>
          <w:ilvl w:val="0"/>
          <w:numId w:val="3"/>
        </w:numPr>
      </w:pPr>
      <w:bookmarkStart w:id="26" w:name="_Toc236268225"/>
      <w:r w:rsidRPr="00D72251">
        <w:lastRenderedPageBreak/>
        <w:t>Ethical and Unethical Marketing Practices in the United States</w:t>
      </w:r>
      <w:bookmarkEnd w:id="26"/>
    </w:p>
    <w:p w14:paraId="6BD7D6CD" w14:textId="77777777" w:rsidR="0041064C" w:rsidRPr="00D72251" w:rsidRDefault="0041064C" w:rsidP="0041064C">
      <w:r w:rsidRPr="00D72251">
        <w:t>Ethical marketing involves transparency, integrity, addressing issues fairly and equitably among stakeholders. Local expectations can be understood in the context of cultural relativism, but there are some universal minimums: safety, truthful communication, and procedural fairness. The evaluation applies distributive justice, procedural justice and stakeholder responsibility.</w:t>
      </w:r>
    </w:p>
    <w:p w14:paraId="5258673D" w14:textId="77777777" w:rsidR="0055784A" w:rsidRPr="00D72251" w:rsidRDefault="0055784A" w:rsidP="0055784A">
      <w:pPr>
        <w:pStyle w:val="Heading3"/>
        <w:numPr>
          <w:ilvl w:val="1"/>
          <w:numId w:val="3"/>
        </w:numPr>
        <w:rPr>
          <w:lang w:val="en-US"/>
        </w:rPr>
      </w:pPr>
      <w:bookmarkStart w:id="27" w:name="_Toc236268226"/>
      <w:r w:rsidRPr="00D72251">
        <w:rPr>
          <w:lang w:val="en-US"/>
        </w:rPr>
        <w:t>Ethical practice 1 - product safety</w:t>
      </w:r>
      <w:bookmarkEnd w:id="27"/>
    </w:p>
    <w:p w14:paraId="247D773D" w14:textId="77777777" w:rsidR="0041064C" w:rsidRPr="00D72251" w:rsidRDefault="0041064C" w:rsidP="0041064C">
      <w:pPr>
        <w:rPr>
          <w:lang w:val="en-US"/>
        </w:rPr>
      </w:pPr>
      <w:r w:rsidRPr="00D72251">
        <w:rPr>
          <w:lang w:val="en-US"/>
        </w:rPr>
        <w:t>Toyota Safety Sense is the linkage of Product, Promotion and Process. The claim is supported by independent IIHS evidence; the 2025 Toyota Camry, Prius, Corolla Cross, bZ4X and Tundra have earned Top Safety Pick or Top Safety Pick+ ratings by the IIHS (IIHS, 2025). Ethical practice when verified safety features are widely available and messages make clear that help is not an excuse for careless driving.</w:t>
      </w:r>
    </w:p>
    <w:p w14:paraId="7C541E19" w14:textId="77777777" w:rsidR="0055784A" w:rsidRPr="00D72251" w:rsidRDefault="0055784A" w:rsidP="0055784A">
      <w:pPr>
        <w:pStyle w:val="Heading3"/>
        <w:numPr>
          <w:ilvl w:val="1"/>
          <w:numId w:val="3"/>
        </w:numPr>
        <w:rPr>
          <w:lang w:val="en-US"/>
        </w:rPr>
      </w:pPr>
      <w:bookmarkStart w:id="28" w:name="_Toc236268227"/>
      <w:r w:rsidRPr="00D72251">
        <w:rPr>
          <w:lang w:val="en-US"/>
        </w:rPr>
        <w:t>Ethical practice 2 - child-passenger safety</w:t>
      </w:r>
      <w:bookmarkEnd w:id="28"/>
    </w:p>
    <w:p w14:paraId="4213951A" w14:textId="77777777" w:rsidR="0041064C" w:rsidRPr="00D72251" w:rsidRDefault="0041064C" w:rsidP="0041064C">
      <w:pPr>
        <w:rPr>
          <w:lang w:val="en-US"/>
        </w:rPr>
      </w:pPr>
      <w:r w:rsidRPr="00D72251">
        <w:rPr>
          <w:lang w:val="en-US"/>
        </w:rPr>
        <w:t>Buckle Up for Life connects Promotion, People and Process to education and access to child seats. According to Toyota, proper child-seat installation increased by almost threefold at one site, and US$115 million will be available for the Collaborative Safety Research Center through 2026 (Faulner, 2025). These are company reported outcomes which must be independently monitored, but the programme adds defensible stakeholder value when resources get to vulnerable families.</w:t>
      </w:r>
    </w:p>
    <w:p w14:paraId="044BCF34" w14:textId="77777777" w:rsidR="0055784A" w:rsidRPr="00D72251" w:rsidRDefault="0055784A" w:rsidP="0055784A">
      <w:pPr>
        <w:pStyle w:val="Heading3"/>
        <w:numPr>
          <w:ilvl w:val="1"/>
          <w:numId w:val="3"/>
        </w:numPr>
        <w:rPr>
          <w:lang w:val="en-US"/>
        </w:rPr>
      </w:pPr>
      <w:bookmarkStart w:id="29" w:name="_Toc236268228"/>
      <w:r w:rsidRPr="00D72251">
        <w:rPr>
          <w:lang w:val="en-US"/>
        </w:rPr>
        <w:t>Unethical practice 1 - emissions reporting</w:t>
      </w:r>
      <w:bookmarkEnd w:id="29"/>
    </w:p>
    <w:p w14:paraId="6B58BFAD" w14:textId="77777777" w:rsidR="0041064C" w:rsidRPr="00D72251" w:rsidRDefault="0041064C" w:rsidP="0041064C">
      <w:pPr>
        <w:rPr>
          <w:lang w:val="en-US"/>
        </w:rPr>
      </w:pPr>
      <w:r w:rsidRPr="00D72251">
        <w:rPr>
          <w:lang w:val="en-US"/>
        </w:rPr>
        <w:t>The U.S. Department of Justice in 2021 reached a civil US$180 million settlement related to reporting emissions defects in vehicles under the Clean Air Act (U.S. Department of Justice, 2021). The case is related to Product, Process and environmental Promotion. Delayed reporting undermined the regulatory control and the positioning of the responsible-mobility. Procedural justice is fundamental as a reliable report is an integral measure of environmental protection. When there is a mismatch between claims and operations, it damages trust (Ruiz-Blanco, Romero and Fernandez-Feijoo, 2022).</w:t>
      </w:r>
    </w:p>
    <w:p w14:paraId="46BE3C1E" w14:textId="77777777" w:rsidR="0055784A" w:rsidRPr="00D72251" w:rsidRDefault="0055784A" w:rsidP="0055784A">
      <w:pPr>
        <w:pStyle w:val="Heading3"/>
        <w:numPr>
          <w:ilvl w:val="1"/>
          <w:numId w:val="3"/>
        </w:numPr>
        <w:rPr>
          <w:lang w:val="en-US"/>
        </w:rPr>
      </w:pPr>
      <w:bookmarkStart w:id="30" w:name="_Toc236268229"/>
      <w:r w:rsidRPr="00D72251">
        <w:rPr>
          <w:lang w:val="en-US"/>
        </w:rPr>
        <w:lastRenderedPageBreak/>
        <w:t>Unethical practice 2 - finance add-ons and refunds</w:t>
      </w:r>
      <w:bookmarkEnd w:id="30"/>
    </w:p>
    <w:p w14:paraId="0B1536E0" w14:textId="77777777" w:rsidR="0041064C" w:rsidRPr="00D72251" w:rsidRDefault="0041064C" w:rsidP="0041064C">
      <w:pPr>
        <w:rPr>
          <w:lang w:val="en-US"/>
        </w:rPr>
      </w:pPr>
      <w:r w:rsidRPr="00D72251">
        <w:rPr>
          <w:lang w:val="en-US"/>
        </w:rPr>
        <w:t>In 2023, the CFPB issued a consent order that included US$48 million in redress payments and US$12 million in penalties to Toyota Motor Credit for the cancellation, refunds and credit reporting issues (CFPB, 2023). The order was cancelled in May 2025 and compliance was waived, as was the alleged non-compliance, which is to be disclosed (CFPB, 2025). Issues are still pertinent and related to Price, People and Process in case of an optional product as the consent or refund is not certain. In general, Toyota's safety programs are believable, but it needs to set up its dealer financing in an ethical way, which means it needs records that regulators can access and a clear dealer financing system.</w:t>
      </w:r>
    </w:p>
    <w:p w14:paraId="47E6D909" w14:textId="77777777" w:rsidR="0055784A" w:rsidRPr="00D72251" w:rsidRDefault="0055784A" w:rsidP="0055784A">
      <w:pPr>
        <w:pStyle w:val="Caption"/>
        <w:keepNext/>
        <w:jc w:val="center"/>
      </w:pPr>
      <w:r w:rsidRPr="00D72251">
        <w:t xml:space="preserve">Table </w:t>
      </w:r>
      <w:r w:rsidRPr="00D72251">
        <w:fldChar w:fldCharType="begin"/>
      </w:r>
      <w:r w:rsidRPr="00D72251">
        <w:instrText xml:space="preserve"> SEQ Table \* ARABIC </w:instrText>
      </w:r>
      <w:r w:rsidRPr="00D72251">
        <w:fldChar w:fldCharType="separate"/>
      </w:r>
      <w:r w:rsidRPr="00D72251">
        <w:rPr>
          <w:noProof/>
        </w:rPr>
        <w:t>2</w:t>
      </w:r>
      <w:r w:rsidRPr="00D72251">
        <w:fldChar w:fldCharType="end"/>
      </w:r>
      <w:r w:rsidRPr="00D72251">
        <w:t>: Ethical assessment of U.S. marketing-related practices. Source: Own Contribution.</w:t>
      </w:r>
    </w:p>
    <w:tbl>
      <w:tblPr>
        <w:tblStyle w:val="GridTable4-Accent3"/>
        <w:tblW w:w="0" w:type="auto"/>
        <w:tblLook w:val="04A0" w:firstRow="1" w:lastRow="0" w:firstColumn="1" w:lastColumn="0" w:noHBand="0" w:noVBand="1"/>
      </w:tblPr>
      <w:tblGrid>
        <w:gridCol w:w="2164"/>
        <w:gridCol w:w="1839"/>
        <w:gridCol w:w="1892"/>
        <w:gridCol w:w="3455"/>
      </w:tblGrid>
      <w:tr w:rsidR="0055784A" w:rsidRPr="00D72251" w14:paraId="5718A7DD" w14:textId="77777777" w:rsidTr="005578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4" w:type="dxa"/>
          </w:tcPr>
          <w:p w14:paraId="7E2107CE" w14:textId="77777777" w:rsidR="0055784A" w:rsidRPr="00D72251" w:rsidRDefault="0055784A" w:rsidP="0055784A">
            <w:pPr>
              <w:rPr>
                <w:szCs w:val="24"/>
              </w:rPr>
            </w:pPr>
            <w:r w:rsidRPr="00D72251">
              <w:rPr>
                <w:szCs w:val="24"/>
              </w:rPr>
              <w:t>Practice</w:t>
            </w:r>
          </w:p>
        </w:tc>
        <w:tc>
          <w:tcPr>
            <w:tcW w:w="1839" w:type="dxa"/>
          </w:tcPr>
          <w:p w14:paraId="54356C5C" w14:textId="77777777" w:rsidR="0055784A" w:rsidRPr="00D72251" w:rsidRDefault="0055784A" w:rsidP="0055784A">
            <w:pPr>
              <w:cnfStyle w:val="100000000000" w:firstRow="1" w:lastRow="0" w:firstColumn="0" w:lastColumn="0" w:oddVBand="0" w:evenVBand="0" w:oddHBand="0" w:evenHBand="0" w:firstRowFirstColumn="0" w:firstRowLastColumn="0" w:lastRowFirstColumn="0" w:lastRowLastColumn="0"/>
              <w:rPr>
                <w:szCs w:val="24"/>
              </w:rPr>
            </w:pPr>
            <w:r w:rsidRPr="00D72251">
              <w:rPr>
                <w:szCs w:val="24"/>
              </w:rPr>
              <w:t>7P connection</w:t>
            </w:r>
          </w:p>
        </w:tc>
        <w:tc>
          <w:tcPr>
            <w:tcW w:w="1892" w:type="dxa"/>
          </w:tcPr>
          <w:p w14:paraId="208AEF73" w14:textId="77777777" w:rsidR="0055784A" w:rsidRPr="00D72251" w:rsidRDefault="0055784A" w:rsidP="0055784A">
            <w:pPr>
              <w:cnfStyle w:val="100000000000" w:firstRow="1" w:lastRow="0" w:firstColumn="0" w:lastColumn="0" w:oddVBand="0" w:evenVBand="0" w:oddHBand="0" w:evenHBand="0" w:firstRowFirstColumn="0" w:firstRowLastColumn="0" w:lastRowFirstColumn="0" w:lastRowLastColumn="0"/>
              <w:rPr>
                <w:szCs w:val="24"/>
              </w:rPr>
            </w:pPr>
            <w:r w:rsidRPr="00D72251">
              <w:rPr>
                <w:szCs w:val="24"/>
              </w:rPr>
              <w:t>Stakeholders</w:t>
            </w:r>
          </w:p>
        </w:tc>
        <w:tc>
          <w:tcPr>
            <w:tcW w:w="3455" w:type="dxa"/>
          </w:tcPr>
          <w:p w14:paraId="0D10C315" w14:textId="77777777" w:rsidR="0055784A" w:rsidRPr="00D72251" w:rsidRDefault="0055784A" w:rsidP="0055784A">
            <w:pPr>
              <w:cnfStyle w:val="100000000000" w:firstRow="1" w:lastRow="0" w:firstColumn="0" w:lastColumn="0" w:oddVBand="0" w:evenVBand="0" w:oddHBand="0" w:evenHBand="0" w:firstRowFirstColumn="0" w:firstRowLastColumn="0" w:lastRowFirstColumn="0" w:lastRowLastColumn="0"/>
              <w:rPr>
                <w:szCs w:val="24"/>
              </w:rPr>
            </w:pPr>
            <w:r w:rsidRPr="00D72251">
              <w:rPr>
                <w:szCs w:val="24"/>
              </w:rPr>
              <w:t>Judgement</w:t>
            </w:r>
          </w:p>
        </w:tc>
      </w:tr>
      <w:tr w:rsidR="0055784A" w:rsidRPr="00D72251" w14:paraId="11F9D209" w14:textId="77777777" w:rsidTr="0055784A">
        <w:trPr>
          <w:cnfStyle w:val="000000100000" w:firstRow="0" w:lastRow="0" w:firstColumn="0" w:lastColumn="0" w:oddVBand="0" w:evenVBand="0" w:oddHBand="1" w:evenHBand="0" w:firstRowFirstColumn="0" w:firstRowLastColumn="0" w:lastRowFirstColumn="0" w:lastRowLastColumn="0"/>
          <w:trHeight w:val="647"/>
        </w:trPr>
        <w:tc>
          <w:tcPr>
            <w:cnfStyle w:val="001000000000" w:firstRow="0" w:lastRow="0" w:firstColumn="1" w:lastColumn="0" w:oddVBand="0" w:evenVBand="0" w:oddHBand="0" w:evenHBand="0" w:firstRowFirstColumn="0" w:firstRowLastColumn="0" w:lastRowFirstColumn="0" w:lastRowLastColumn="0"/>
            <w:tcW w:w="2164" w:type="dxa"/>
          </w:tcPr>
          <w:p w14:paraId="67EC9BB4" w14:textId="77777777" w:rsidR="0055784A" w:rsidRPr="00D72251" w:rsidRDefault="0055784A" w:rsidP="0055784A">
            <w:pPr>
              <w:rPr>
                <w:szCs w:val="24"/>
              </w:rPr>
            </w:pPr>
            <w:r w:rsidRPr="00D72251">
              <w:rPr>
                <w:b w:val="0"/>
                <w:szCs w:val="24"/>
              </w:rPr>
              <w:t>Toyota Safety Sense / IIHS awards</w:t>
            </w:r>
          </w:p>
        </w:tc>
        <w:tc>
          <w:tcPr>
            <w:tcW w:w="1839" w:type="dxa"/>
          </w:tcPr>
          <w:p w14:paraId="7B1E4119" w14:textId="77777777" w:rsidR="0055784A" w:rsidRPr="00D72251" w:rsidRDefault="0055784A" w:rsidP="0055784A">
            <w:pPr>
              <w:cnfStyle w:val="000000100000" w:firstRow="0" w:lastRow="0" w:firstColumn="0" w:lastColumn="0" w:oddVBand="0" w:evenVBand="0" w:oddHBand="1" w:evenHBand="0" w:firstRowFirstColumn="0" w:firstRowLastColumn="0" w:lastRowFirstColumn="0" w:lastRowLastColumn="0"/>
              <w:rPr>
                <w:szCs w:val="24"/>
              </w:rPr>
            </w:pPr>
            <w:r w:rsidRPr="00D72251">
              <w:rPr>
                <w:szCs w:val="24"/>
              </w:rPr>
              <w:t>Product; Promotion; Process</w:t>
            </w:r>
          </w:p>
        </w:tc>
        <w:tc>
          <w:tcPr>
            <w:tcW w:w="1892" w:type="dxa"/>
          </w:tcPr>
          <w:p w14:paraId="52B44DD3" w14:textId="77777777" w:rsidR="0055784A" w:rsidRPr="00D72251" w:rsidRDefault="0055784A" w:rsidP="0055784A">
            <w:pPr>
              <w:cnfStyle w:val="000000100000" w:firstRow="0" w:lastRow="0" w:firstColumn="0" w:lastColumn="0" w:oddVBand="0" w:evenVBand="0" w:oddHBand="1" w:evenHBand="0" w:firstRowFirstColumn="0" w:firstRowLastColumn="0" w:lastRowFirstColumn="0" w:lastRowLastColumn="0"/>
              <w:rPr>
                <w:szCs w:val="24"/>
              </w:rPr>
            </w:pPr>
            <w:r w:rsidRPr="00D72251">
              <w:rPr>
                <w:szCs w:val="24"/>
              </w:rPr>
              <w:t>Drivers, passengers, road users</w:t>
            </w:r>
          </w:p>
        </w:tc>
        <w:tc>
          <w:tcPr>
            <w:tcW w:w="3455" w:type="dxa"/>
          </w:tcPr>
          <w:p w14:paraId="6A1A674D" w14:textId="77777777" w:rsidR="0055784A" w:rsidRPr="00D72251" w:rsidRDefault="0055784A" w:rsidP="0055784A">
            <w:pPr>
              <w:cnfStyle w:val="000000100000" w:firstRow="0" w:lastRow="0" w:firstColumn="0" w:lastColumn="0" w:oddVBand="0" w:evenVBand="0" w:oddHBand="1" w:evenHBand="0" w:firstRowFirstColumn="0" w:firstRowLastColumn="0" w:lastRowFirstColumn="0" w:lastRowLastColumn="0"/>
              <w:rPr>
                <w:szCs w:val="24"/>
              </w:rPr>
            </w:pPr>
            <w:r w:rsidRPr="00D72251">
              <w:rPr>
                <w:szCs w:val="24"/>
              </w:rPr>
              <w:t>Positive, where capabilities and limits are accurately communicated</w:t>
            </w:r>
          </w:p>
        </w:tc>
      </w:tr>
      <w:tr w:rsidR="0055784A" w:rsidRPr="00D72251" w14:paraId="000E688C" w14:textId="77777777" w:rsidTr="0055784A">
        <w:tc>
          <w:tcPr>
            <w:cnfStyle w:val="001000000000" w:firstRow="0" w:lastRow="0" w:firstColumn="1" w:lastColumn="0" w:oddVBand="0" w:evenVBand="0" w:oddHBand="0" w:evenHBand="0" w:firstRowFirstColumn="0" w:firstRowLastColumn="0" w:lastRowFirstColumn="0" w:lastRowLastColumn="0"/>
            <w:tcW w:w="2164" w:type="dxa"/>
          </w:tcPr>
          <w:p w14:paraId="37FB6DAD" w14:textId="77777777" w:rsidR="0055784A" w:rsidRPr="00D72251" w:rsidRDefault="0055784A" w:rsidP="0055784A">
            <w:pPr>
              <w:rPr>
                <w:szCs w:val="24"/>
              </w:rPr>
            </w:pPr>
            <w:r w:rsidRPr="00D72251">
              <w:rPr>
                <w:b w:val="0"/>
                <w:szCs w:val="24"/>
              </w:rPr>
              <w:t>Buckle Up for Life</w:t>
            </w:r>
          </w:p>
        </w:tc>
        <w:tc>
          <w:tcPr>
            <w:tcW w:w="1839" w:type="dxa"/>
          </w:tcPr>
          <w:p w14:paraId="43AB477C" w14:textId="77777777" w:rsidR="0055784A" w:rsidRPr="00D72251" w:rsidRDefault="0055784A" w:rsidP="0055784A">
            <w:pPr>
              <w:cnfStyle w:val="000000000000" w:firstRow="0" w:lastRow="0" w:firstColumn="0" w:lastColumn="0" w:oddVBand="0" w:evenVBand="0" w:oddHBand="0" w:evenHBand="0" w:firstRowFirstColumn="0" w:firstRowLastColumn="0" w:lastRowFirstColumn="0" w:lastRowLastColumn="0"/>
              <w:rPr>
                <w:szCs w:val="24"/>
              </w:rPr>
            </w:pPr>
            <w:r w:rsidRPr="00D72251">
              <w:rPr>
                <w:szCs w:val="24"/>
              </w:rPr>
              <w:t>Promotion; People; Process</w:t>
            </w:r>
          </w:p>
        </w:tc>
        <w:tc>
          <w:tcPr>
            <w:tcW w:w="1892" w:type="dxa"/>
          </w:tcPr>
          <w:p w14:paraId="1CE23E62" w14:textId="77777777" w:rsidR="0055784A" w:rsidRPr="00D72251" w:rsidRDefault="0055784A" w:rsidP="0055784A">
            <w:pPr>
              <w:cnfStyle w:val="000000000000" w:firstRow="0" w:lastRow="0" w:firstColumn="0" w:lastColumn="0" w:oddVBand="0" w:evenVBand="0" w:oddHBand="0" w:evenHBand="0" w:firstRowFirstColumn="0" w:firstRowLastColumn="0" w:lastRowFirstColumn="0" w:lastRowLastColumn="0"/>
              <w:rPr>
                <w:szCs w:val="24"/>
              </w:rPr>
            </w:pPr>
            <w:r w:rsidRPr="00D72251">
              <w:rPr>
                <w:szCs w:val="24"/>
              </w:rPr>
              <w:t>Families and children</w:t>
            </w:r>
          </w:p>
        </w:tc>
        <w:tc>
          <w:tcPr>
            <w:tcW w:w="3455" w:type="dxa"/>
          </w:tcPr>
          <w:p w14:paraId="2E800361" w14:textId="77777777" w:rsidR="0055784A" w:rsidRPr="00D72251" w:rsidRDefault="0055784A" w:rsidP="0055784A">
            <w:pPr>
              <w:cnfStyle w:val="000000000000" w:firstRow="0" w:lastRow="0" w:firstColumn="0" w:lastColumn="0" w:oddVBand="0" w:evenVBand="0" w:oddHBand="0" w:evenHBand="0" w:firstRowFirstColumn="0" w:firstRowLastColumn="0" w:lastRowFirstColumn="0" w:lastRowLastColumn="0"/>
              <w:rPr>
                <w:szCs w:val="24"/>
              </w:rPr>
            </w:pPr>
            <w:r w:rsidRPr="00D72251">
              <w:rPr>
                <w:szCs w:val="24"/>
              </w:rPr>
              <w:t>Positive, subject to independent impact verification</w:t>
            </w:r>
          </w:p>
        </w:tc>
      </w:tr>
      <w:tr w:rsidR="0055784A" w:rsidRPr="00D72251" w14:paraId="5297C983" w14:textId="77777777" w:rsidTr="005578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4" w:type="dxa"/>
          </w:tcPr>
          <w:p w14:paraId="43CD8133" w14:textId="77777777" w:rsidR="0055784A" w:rsidRPr="00D72251" w:rsidRDefault="0055784A" w:rsidP="0055784A">
            <w:pPr>
              <w:rPr>
                <w:szCs w:val="24"/>
              </w:rPr>
            </w:pPr>
            <w:r w:rsidRPr="00D72251">
              <w:rPr>
                <w:b w:val="0"/>
                <w:szCs w:val="24"/>
              </w:rPr>
              <w:t>Clean Air Act reporting settlement</w:t>
            </w:r>
          </w:p>
        </w:tc>
        <w:tc>
          <w:tcPr>
            <w:tcW w:w="1839" w:type="dxa"/>
          </w:tcPr>
          <w:p w14:paraId="3DE2602A" w14:textId="77777777" w:rsidR="0055784A" w:rsidRPr="00D72251" w:rsidRDefault="0055784A" w:rsidP="0055784A">
            <w:pPr>
              <w:cnfStyle w:val="000000100000" w:firstRow="0" w:lastRow="0" w:firstColumn="0" w:lastColumn="0" w:oddVBand="0" w:evenVBand="0" w:oddHBand="1" w:evenHBand="0" w:firstRowFirstColumn="0" w:firstRowLastColumn="0" w:lastRowFirstColumn="0" w:lastRowLastColumn="0"/>
              <w:rPr>
                <w:szCs w:val="24"/>
              </w:rPr>
            </w:pPr>
            <w:r w:rsidRPr="00D72251">
              <w:rPr>
                <w:szCs w:val="24"/>
              </w:rPr>
              <w:t>Product; Process; Promotion</w:t>
            </w:r>
          </w:p>
        </w:tc>
        <w:tc>
          <w:tcPr>
            <w:tcW w:w="1892" w:type="dxa"/>
          </w:tcPr>
          <w:p w14:paraId="308FFC2E" w14:textId="77777777" w:rsidR="0055784A" w:rsidRPr="00D72251" w:rsidRDefault="0055784A" w:rsidP="0055784A">
            <w:pPr>
              <w:cnfStyle w:val="000000100000" w:firstRow="0" w:lastRow="0" w:firstColumn="0" w:lastColumn="0" w:oddVBand="0" w:evenVBand="0" w:oddHBand="1" w:evenHBand="0" w:firstRowFirstColumn="0" w:firstRowLastColumn="0" w:lastRowFirstColumn="0" w:lastRowLastColumn="0"/>
              <w:rPr>
                <w:szCs w:val="24"/>
              </w:rPr>
            </w:pPr>
            <w:r w:rsidRPr="00D72251">
              <w:rPr>
                <w:szCs w:val="24"/>
              </w:rPr>
              <w:t>Public, regulators, environment</w:t>
            </w:r>
          </w:p>
        </w:tc>
        <w:tc>
          <w:tcPr>
            <w:tcW w:w="3455" w:type="dxa"/>
          </w:tcPr>
          <w:p w14:paraId="1ECA5125" w14:textId="77777777" w:rsidR="0055784A" w:rsidRPr="00D72251" w:rsidRDefault="0055784A" w:rsidP="0055784A">
            <w:pPr>
              <w:cnfStyle w:val="000000100000" w:firstRow="0" w:lastRow="0" w:firstColumn="0" w:lastColumn="0" w:oddVBand="0" w:evenVBand="0" w:oddHBand="1" w:evenHBand="0" w:firstRowFirstColumn="0" w:firstRowLastColumn="0" w:lastRowFirstColumn="0" w:lastRowLastColumn="0"/>
              <w:rPr>
                <w:szCs w:val="24"/>
              </w:rPr>
            </w:pPr>
            <w:r w:rsidRPr="00D72251">
              <w:rPr>
                <w:szCs w:val="24"/>
              </w:rPr>
              <w:t>Negative: procedural transparency and environmental-governance failure</w:t>
            </w:r>
          </w:p>
        </w:tc>
      </w:tr>
      <w:tr w:rsidR="0055784A" w:rsidRPr="00D72251" w14:paraId="7089ED9B" w14:textId="77777777" w:rsidTr="0055784A">
        <w:tc>
          <w:tcPr>
            <w:cnfStyle w:val="001000000000" w:firstRow="0" w:lastRow="0" w:firstColumn="1" w:lastColumn="0" w:oddVBand="0" w:evenVBand="0" w:oddHBand="0" w:evenHBand="0" w:firstRowFirstColumn="0" w:firstRowLastColumn="0" w:lastRowFirstColumn="0" w:lastRowLastColumn="0"/>
            <w:tcW w:w="2164" w:type="dxa"/>
          </w:tcPr>
          <w:p w14:paraId="241A94F6" w14:textId="77777777" w:rsidR="0055784A" w:rsidRPr="00D72251" w:rsidRDefault="0055784A" w:rsidP="0055784A">
            <w:pPr>
              <w:rPr>
                <w:szCs w:val="24"/>
              </w:rPr>
            </w:pPr>
            <w:r w:rsidRPr="00D72251">
              <w:rPr>
                <w:b w:val="0"/>
                <w:szCs w:val="24"/>
              </w:rPr>
              <w:t>Finance add-ons/refunds consent order</w:t>
            </w:r>
          </w:p>
        </w:tc>
        <w:tc>
          <w:tcPr>
            <w:tcW w:w="1839" w:type="dxa"/>
          </w:tcPr>
          <w:p w14:paraId="2AD16A33" w14:textId="77777777" w:rsidR="0055784A" w:rsidRPr="00D72251" w:rsidRDefault="0055784A" w:rsidP="0055784A">
            <w:pPr>
              <w:cnfStyle w:val="000000000000" w:firstRow="0" w:lastRow="0" w:firstColumn="0" w:lastColumn="0" w:oddVBand="0" w:evenVBand="0" w:oddHBand="0" w:evenHBand="0" w:firstRowFirstColumn="0" w:firstRowLastColumn="0" w:lastRowFirstColumn="0" w:lastRowLastColumn="0"/>
              <w:rPr>
                <w:szCs w:val="24"/>
              </w:rPr>
            </w:pPr>
            <w:r w:rsidRPr="00D72251">
              <w:rPr>
                <w:szCs w:val="24"/>
              </w:rPr>
              <w:t>Price; People; Process</w:t>
            </w:r>
          </w:p>
        </w:tc>
        <w:tc>
          <w:tcPr>
            <w:tcW w:w="1892" w:type="dxa"/>
          </w:tcPr>
          <w:p w14:paraId="3EE3EF48" w14:textId="77777777" w:rsidR="0055784A" w:rsidRPr="00D72251" w:rsidRDefault="0055784A" w:rsidP="0055784A">
            <w:pPr>
              <w:cnfStyle w:val="000000000000" w:firstRow="0" w:lastRow="0" w:firstColumn="0" w:lastColumn="0" w:oddVBand="0" w:evenVBand="0" w:oddHBand="0" w:evenHBand="0" w:firstRowFirstColumn="0" w:firstRowLastColumn="0" w:lastRowFirstColumn="0" w:lastRowLastColumn="0"/>
              <w:rPr>
                <w:szCs w:val="24"/>
              </w:rPr>
            </w:pPr>
            <w:r w:rsidRPr="00D72251">
              <w:rPr>
                <w:szCs w:val="24"/>
              </w:rPr>
              <w:t>Borrowers and vehicle buyers</w:t>
            </w:r>
          </w:p>
        </w:tc>
        <w:tc>
          <w:tcPr>
            <w:tcW w:w="3455" w:type="dxa"/>
          </w:tcPr>
          <w:p w14:paraId="495F854E" w14:textId="77777777" w:rsidR="0055784A" w:rsidRPr="00D72251" w:rsidRDefault="0055784A" w:rsidP="0055784A">
            <w:pPr>
              <w:keepNext/>
              <w:cnfStyle w:val="000000000000" w:firstRow="0" w:lastRow="0" w:firstColumn="0" w:lastColumn="0" w:oddVBand="0" w:evenVBand="0" w:oddHBand="0" w:evenHBand="0" w:firstRowFirstColumn="0" w:firstRowLastColumn="0" w:lastRowFirstColumn="0" w:lastRowLastColumn="0"/>
              <w:rPr>
                <w:szCs w:val="24"/>
              </w:rPr>
            </w:pPr>
            <w:r w:rsidRPr="00D72251">
              <w:rPr>
                <w:szCs w:val="24"/>
              </w:rPr>
              <w:t>Negative: consent and refund fairness concerns; order termination disclosed</w:t>
            </w:r>
          </w:p>
        </w:tc>
      </w:tr>
    </w:tbl>
    <w:p w14:paraId="766D3F34" w14:textId="77777777" w:rsidR="0055784A" w:rsidRPr="00D72251" w:rsidRDefault="0055784A">
      <w:pPr>
        <w:spacing w:line="259" w:lineRule="auto"/>
        <w:jc w:val="left"/>
        <w:rPr>
          <w:rFonts w:eastAsiaTheme="majorEastAsia" w:cstheme="majorBidi"/>
          <w:b/>
          <w:color w:val="002060"/>
          <w:sz w:val="32"/>
          <w:szCs w:val="26"/>
        </w:rPr>
      </w:pPr>
      <w:r w:rsidRPr="00D72251">
        <w:br w:type="page"/>
      </w:r>
    </w:p>
    <w:p w14:paraId="581E9D4F" w14:textId="77777777" w:rsidR="0055784A" w:rsidRPr="00D72251" w:rsidRDefault="0055784A" w:rsidP="0055784A">
      <w:pPr>
        <w:pStyle w:val="Heading2"/>
        <w:numPr>
          <w:ilvl w:val="0"/>
          <w:numId w:val="3"/>
        </w:numPr>
      </w:pPr>
      <w:bookmarkStart w:id="31" w:name="_Toc236268230"/>
      <w:r w:rsidRPr="00D72251">
        <w:lastRenderedPageBreak/>
        <w:t>Recommendations</w:t>
      </w:r>
      <w:bookmarkEnd w:id="31"/>
    </w:p>
    <w:p w14:paraId="2985BD70" w14:textId="77777777" w:rsidR="00D72251" w:rsidRPr="00D72251" w:rsidRDefault="00D72251" w:rsidP="00D72251">
      <w:r w:rsidRPr="00D72251">
        <w:t>First, Toyota needs to establish a single auditable U.S. standard for dealer financing. Optional add-ons must be clearly stated, have a total cost in plain language, be automatically cancelled and have tracking so that the customer knows when they are cancelled. Compliment data should be shared amongst corporate and dealer systems. Examples of KPIs are cancellation time, refund time, repeat complaints and audit failures. This aligns with consistency across touchpoints as key to experience, as identified in the CFPB research and as confirmed in the omnichannel research that Toyota has engaged in ( Bijmolt et al., 2021; Mirzabeiki and Saghiri, 2020).</w:t>
      </w:r>
    </w:p>
    <w:p w14:paraId="0AC12E15" w14:textId="77777777" w:rsidR="00D72251" w:rsidRPr="00D72251" w:rsidRDefault="00D72251" w:rsidP="00D72251">
      <w:r w:rsidRPr="00D72251">
        <w:t>Second, the environmental communication should be assured independently and the powertrain specific. Toyota needs to specify what each of these statements is about – whether it is about reducing tailpipe emissions or fuel consumption, lifecycle carbon or manufacturing carbon – rather than using undefined terms like ‘green’. The proportions of verified claims, correction rates and consumer understanding should be added as KPIs. This addresses the issues of inconsistencies that have been noted in greenwashing studies (Cho and Taylor, 2020; Seele and Schultz, 2022).</w:t>
      </w:r>
    </w:p>
    <w:p w14:paraId="30119E8B" w14:textId="77777777" w:rsidR="00D72251" w:rsidRPr="00D72251" w:rsidRDefault="00D72251" w:rsidP="00D72251">
      <w:r w:rsidRPr="00D72251">
        <w:t>Third, Toyota needs to speed up differentiated electrification. Smaller BEV models, hybrids and charging partnerships can solve apartment parking, ageing and urban use in Japan; and BEV choice should be broadened in high demand crossover and regional segments, and hybrids should remain in Japan in areas where charging is limited in the United States. Decisions should be based on adoption and lifecycle outcomes as infrastructure, incentives and heterogeneity have a material impact on the demand for decisions (Kumar and Alok, 2020, Jenn et al., 2020, Wicki, Brückmann and Bernauer, 2022).</w:t>
      </w:r>
    </w:p>
    <w:p w14:paraId="2EFBF5D7" w14:textId="77777777" w:rsidR="00D72251" w:rsidRPr="00D72251" w:rsidRDefault="00D72251" w:rsidP="00D72251">
      <w:r w:rsidRPr="00D72251">
        <w:t xml:space="preserve">Fourth, Toyota needs to integrate digital and physical journeys. Customers need to take a saved configuration, verified price assumptions and finance disclosures and delivery estimate from the corporate site to a dealer. All inventory, service, recall and complaint data should be in one privacy-protected account. The conversion rate, the accuracy of delivery, and the time taken to resolve the delivery, should be part of KPIs. Digital </w:t>
      </w:r>
      <w:r w:rsidRPr="00D72251">
        <w:lastRenderedPageBreak/>
        <w:t>transformation can only create advantages when customer systems and operational fulfilment are linked (Gao et al., 2021; Llopis-Albert, Rubio and Valero, 2021).</w:t>
      </w:r>
    </w:p>
    <w:p w14:paraId="13130D8D" w14:textId="77777777" w:rsidR="0055784A" w:rsidRPr="00D72251" w:rsidRDefault="0055784A" w:rsidP="0055784A">
      <w:pPr>
        <w:pStyle w:val="Caption"/>
        <w:keepNext/>
        <w:jc w:val="center"/>
      </w:pPr>
      <w:r w:rsidRPr="00D72251">
        <w:t xml:space="preserve">Table </w:t>
      </w:r>
      <w:r w:rsidRPr="00D72251">
        <w:fldChar w:fldCharType="begin"/>
      </w:r>
      <w:r w:rsidRPr="00D72251">
        <w:instrText xml:space="preserve"> SEQ Table \* ARABIC </w:instrText>
      </w:r>
      <w:r w:rsidRPr="00D72251">
        <w:fldChar w:fldCharType="separate"/>
      </w:r>
      <w:r w:rsidRPr="00D72251">
        <w:rPr>
          <w:noProof/>
        </w:rPr>
        <w:t>3</w:t>
      </w:r>
      <w:r w:rsidRPr="00D72251">
        <w:fldChar w:fldCharType="end"/>
      </w:r>
      <w:r w:rsidRPr="00D72251">
        <w:t>: Prioritised recommendations. Source: Own Contribution.</w:t>
      </w:r>
    </w:p>
    <w:tbl>
      <w:tblPr>
        <w:tblStyle w:val="GridTable4-Accent3"/>
        <w:tblW w:w="0" w:type="auto"/>
        <w:tblLook w:val="04A0" w:firstRow="1" w:lastRow="0" w:firstColumn="1" w:lastColumn="0" w:noHBand="0" w:noVBand="1"/>
      </w:tblPr>
      <w:tblGrid>
        <w:gridCol w:w="2912"/>
        <w:gridCol w:w="1298"/>
        <w:gridCol w:w="2593"/>
        <w:gridCol w:w="2547"/>
      </w:tblGrid>
      <w:tr w:rsidR="0055784A" w:rsidRPr="00D72251" w14:paraId="7DA765C7" w14:textId="77777777" w:rsidTr="005578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12" w:type="dxa"/>
          </w:tcPr>
          <w:p w14:paraId="5CFBA8E5" w14:textId="77777777" w:rsidR="0055784A" w:rsidRPr="00D72251" w:rsidRDefault="0055784A" w:rsidP="0055784A">
            <w:pPr>
              <w:rPr>
                <w:szCs w:val="24"/>
              </w:rPr>
            </w:pPr>
            <w:r w:rsidRPr="00D72251">
              <w:rPr>
                <w:szCs w:val="24"/>
              </w:rPr>
              <w:t>Recommendation</w:t>
            </w:r>
          </w:p>
        </w:tc>
        <w:tc>
          <w:tcPr>
            <w:tcW w:w="1298" w:type="dxa"/>
          </w:tcPr>
          <w:p w14:paraId="3D8B4EC1" w14:textId="77777777" w:rsidR="0055784A" w:rsidRPr="00D72251" w:rsidRDefault="0055784A" w:rsidP="0055784A">
            <w:pPr>
              <w:cnfStyle w:val="100000000000" w:firstRow="1" w:lastRow="0" w:firstColumn="0" w:lastColumn="0" w:oddVBand="0" w:evenVBand="0" w:oddHBand="0" w:evenHBand="0" w:firstRowFirstColumn="0" w:firstRowLastColumn="0" w:lastRowFirstColumn="0" w:lastRowLastColumn="0"/>
              <w:rPr>
                <w:szCs w:val="24"/>
              </w:rPr>
            </w:pPr>
            <w:r w:rsidRPr="00D72251">
              <w:rPr>
                <w:szCs w:val="24"/>
              </w:rPr>
              <w:t>Timing</w:t>
            </w:r>
          </w:p>
        </w:tc>
        <w:tc>
          <w:tcPr>
            <w:tcW w:w="2593" w:type="dxa"/>
          </w:tcPr>
          <w:p w14:paraId="24591BBB" w14:textId="77777777" w:rsidR="0055784A" w:rsidRPr="00D72251" w:rsidRDefault="0055784A" w:rsidP="0055784A">
            <w:pPr>
              <w:cnfStyle w:val="100000000000" w:firstRow="1" w:lastRow="0" w:firstColumn="0" w:lastColumn="0" w:oddVBand="0" w:evenVBand="0" w:oddHBand="0" w:evenHBand="0" w:firstRowFirstColumn="0" w:firstRowLastColumn="0" w:lastRowFirstColumn="0" w:lastRowLastColumn="0"/>
              <w:rPr>
                <w:szCs w:val="24"/>
              </w:rPr>
            </w:pPr>
            <w:r w:rsidRPr="00D72251">
              <w:rPr>
                <w:szCs w:val="24"/>
              </w:rPr>
              <w:t>Primary owner</w:t>
            </w:r>
          </w:p>
        </w:tc>
        <w:tc>
          <w:tcPr>
            <w:tcW w:w="2547" w:type="dxa"/>
          </w:tcPr>
          <w:p w14:paraId="098991B4" w14:textId="77777777" w:rsidR="0055784A" w:rsidRPr="00D72251" w:rsidRDefault="0055784A" w:rsidP="0055784A">
            <w:pPr>
              <w:cnfStyle w:val="100000000000" w:firstRow="1" w:lastRow="0" w:firstColumn="0" w:lastColumn="0" w:oddVBand="0" w:evenVBand="0" w:oddHBand="0" w:evenHBand="0" w:firstRowFirstColumn="0" w:firstRowLastColumn="0" w:lastRowFirstColumn="0" w:lastRowLastColumn="0"/>
              <w:rPr>
                <w:szCs w:val="24"/>
              </w:rPr>
            </w:pPr>
            <w:r w:rsidRPr="00D72251">
              <w:rPr>
                <w:szCs w:val="24"/>
              </w:rPr>
              <w:t>KPIs</w:t>
            </w:r>
          </w:p>
        </w:tc>
      </w:tr>
      <w:tr w:rsidR="0055784A" w:rsidRPr="00D72251" w14:paraId="04FD0DDC" w14:textId="77777777" w:rsidTr="005578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12" w:type="dxa"/>
          </w:tcPr>
          <w:p w14:paraId="19F876C3" w14:textId="77777777" w:rsidR="0055784A" w:rsidRPr="00D72251" w:rsidRDefault="0055784A" w:rsidP="0055784A">
            <w:pPr>
              <w:rPr>
                <w:szCs w:val="24"/>
              </w:rPr>
            </w:pPr>
            <w:r w:rsidRPr="00D72251">
              <w:rPr>
                <w:b w:val="0"/>
                <w:szCs w:val="24"/>
              </w:rPr>
              <w:t>1. Dealer-finance governance</w:t>
            </w:r>
          </w:p>
        </w:tc>
        <w:tc>
          <w:tcPr>
            <w:tcW w:w="1298" w:type="dxa"/>
          </w:tcPr>
          <w:p w14:paraId="6BF0C6DE" w14:textId="77777777" w:rsidR="0055784A" w:rsidRPr="00D72251" w:rsidRDefault="0055784A" w:rsidP="0055784A">
            <w:pPr>
              <w:cnfStyle w:val="000000100000" w:firstRow="0" w:lastRow="0" w:firstColumn="0" w:lastColumn="0" w:oddVBand="0" w:evenVBand="0" w:oddHBand="1" w:evenHBand="0" w:firstRowFirstColumn="0" w:firstRowLastColumn="0" w:lastRowFirstColumn="0" w:lastRowLastColumn="0"/>
              <w:rPr>
                <w:szCs w:val="24"/>
              </w:rPr>
            </w:pPr>
            <w:r w:rsidRPr="00D72251">
              <w:rPr>
                <w:szCs w:val="24"/>
              </w:rPr>
              <w:t>0–12 months</w:t>
            </w:r>
          </w:p>
        </w:tc>
        <w:tc>
          <w:tcPr>
            <w:tcW w:w="2593" w:type="dxa"/>
          </w:tcPr>
          <w:p w14:paraId="0F0A1D0D" w14:textId="77777777" w:rsidR="0055784A" w:rsidRPr="00D72251" w:rsidRDefault="0055784A" w:rsidP="0055784A">
            <w:pPr>
              <w:cnfStyle w:val="000000100000" w:firstRow="0" w:lastRow="0" w:firstColumn="0" w:lastColumn="0" w:oddVBand="0" w:evenVBand="0" w:oddHBand="1" w:evenHBand="0" w:firstRowFirstColumn="0" w:firstRowLastColumn="0" w:lastRowFirstColumn="0" w:lastRowLastColumn="0"/>
              <w:rPr>
                <w:szCs w:val="24"/>
              </w:rPr>
            </w:pPr>
            <w:r w:rsidRPr="00D72251">
              <w:rPr>
                <w:szCs w:val="24"/>
              </w:rPr>
              <w:t>Toyota Financial Services + dealer network</w:t>
            </w:r>
          </w:p>
        </w:tc>
        <w:tc>
          <w:tcPr>
            <w:tcW w:w="2547" w:type="dxa"/>
          </w:tcPr>
          <w:p w14:paraId="12092C81" w14:textId="77777777" w:rsidR="0055784A" w:rsidRPr="00D72251" w:rsidRDefault="0055784A" w:rsidP="0055784A">
            <w:pPr>
              <w:cnfStyle w:val="000000100000" w:firstRow="0" w:lastRow="0" w:firstColumn="0" w:lastColumn="0" w:oddVBand="0" w:evenVBand="0" w:oddHBand="1" w:evenHBand="0" w:firstRowFirstColumn="0" w:firstRowLastColumn="0" w:lastRowFirstColumn="0" w:lastRowLastColumn="0"/>
              <w:rPr>
                <w:szCs w:val="24"/>
              </w:rPr>
            </w:pPr>
            <w:r w:rsidRPr="00D72251">
              <w:rPr>
                <w:szCs w:val="24"/>
              </w:rPr>
              <w:t>Refund time; complaints; audit failures</w:t>
            </w:r>
          </w:p>
        </w:tc>
      </w:tr>
      <w:tr w:rsidR="0055784A" w:rsidRPr="00D72251" w14:paraId="3FA60EAA" w14:textId="77777777" w:rsidTr="0055784A">
        <w:tc>
          <w:tcPr>
            <w:cnfStyle w:val="001000000000" w:firstRow="0" w:lastRow="0" w:firstColumn="1" w:lastColumn="0" w:oddVBand="0" w:evenVBand="0" w:oddHBand="0" w:evenHBand="0" w:firstRowFirstColumn="0" w:firstRowLastColumn="0" w:lastRowFirstColumn="0" w:lastRowLastColumn="0"/>
            <w:tcW w:w="2912" w:type="dxa"/>
          </w:tcPr>
          <w:p w14:paraId="7B095EDA" w14:textId="77777777" w:rsidR="0055784A" w:rsidRPr="00D72251" w:rsidRDefault="0055784A" w:rsidP="0055784A">
            <w:pPr>
              <w:rPr>
                <w:szCs w:val="24"/>
              </w:rPr>
            </w:pPr>
            <w:r w:rsidRPr="00D72251">
              <w:rPr>
                <w:b w:val="0"/>
                <w:szCs w:val="24"/>
              </w:rPr>
              <w:t>2. Assured environmental claims</w:t>
            </w:r>
          </w:p>
        </w:tc>
        <w:tc>
          <w:tcPr>
            <w:tcW w:w="1298" w:type="dxa"/>
          </w:tcPr>
          <w:p w14:paraId="3188B84C" w14:textId="77777777" w:rsidR="0055784A" w:rsidRPr="00D72251" w:rsidRDefault="0055784A" w:rsidP="0055784A">
            <w:pPr>
              <w:cnfStyle w:val="000000000000" w:firstRow="0" w:lastRow="0" w:firstColumn="0" w:lastColumn="0" w:oddVBand="0" w:evenVBand="0" w:oddHBand="0" w:evenHBand="0" w:firstRowFirstColumn="0" w:firstRowLastColumn="0" w:lastRowFirstColumn="0" w:lastRowLastColumn="0"/>
              <w:rPr>
                <w:szCs w:val="24"/>
              </w:rPr>
            </w:pPr>
            <w:r w:rsidRPr="00D72251">
              <w:rPr>
                <w:szCs w:val="24"/>
              </w:rPr>
              <w:t>0–12 months</w:t>
            </w:r>
          </w:p>
        </w:tc>
        <w:tc>
          <w:tcPr>
            <w:tcW w:w="2593" w:type="dxa"/>
          </w:tcPr>
          <w:p w14:paraId="6513130C" w14:textId="77777777" w:rsidR="0055784A" w:rsidRPr="00D72251" w:rsidRDefault="0055784A" w:rsidP="0055784A">
            <w:pPr>
              <w:cnfStyle w:val="000000000000" w:firstRow="0" w:lastRow="0" w:firstColumn="0" w:lastColumn="0" w:oddVBand="0" w:evenVBand="0" w:oddHBand="0" w:evenHBand="0" w:firstRowFirstColumn="0" w:firstRowLastColumn="0" w:lastRowFirstColumn="0" w:lastRowLastColumn="0"/>
              <w:rPr>
                <w:szCs w:val="24"/>
              </w:rPr>
            </w:pPr>
            <w:r w:rsidRPr="00D72251">
              <w:rPr>
                <w:szCs w:val="24"/>
              </w:rPr>
              <w:t>Sustainability, legal and marketing</w:t>
            </w:r>
          </w:p>
        </w:tc>
        <w:tc>
          <w:tcPr>
            <w:tcW w:w="2547" w:type="dxa"/>
          </w:tcPr>
          <w:p w14:paraId="27CEB297" w14:textId="77777777" w:rsidR="0055784A" w:rsidRPr="00D72251" w:rsidRDefault="0055784A" w:rsidP="0055784A">
            <w:pPr>
              <w:cnfStyle w:val="000000000000" w:firstRow="0" w:lastRow="0" w:firstColumn="0" w:lastColumn="0" w:oddVBand="0" w:evenVBand="0" w:oddHBand="0" w:evenHBand="0" w:firstRowFirstColumn="0" w:firstRowLastColumn="0" w:lastRowFirstColumn="0" w:lastRowLastColumn="0"/>
              <w:rPr>
                <w:szCs w:val="24"/>
              </w:rPr>
            </w:pPr>
            <w:r w:rsidRPr="00D72251">
              <w:rPr>
                <w:szCs w:val="24"/>
              </w:rPr>
              <w:t>Verified claims; correction rate; comprehension</w:t>
            </w:r>
          </w:p>
        </w:tc>
      </w:tr>
      <w:tr w:rsidR="0055784A" w:rsidRPr="00D72251" w14:paraId="4AA9CF4D" w14:textId="77777777" w:rsidTr="005578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12" w:type="dxa"/>
          </w:tcPr>
          <w:p w14:paraId="608D785B" w14:textId="77777777" w:rsidR="0055784A" w:rsidRPr="00D72251" w:rsidRDefault="0055784A" w:rsidP="0055784A">
            <w:pPr>
              <w:rPr>
                <w:szCs w:val="24"/>
              </w:rPr>
            </w:pPr>
            <w:r w:rsidRPr="00D72251">
              <w:rPr>
                <w:b w:val="0"/>
                <w:szCs w:val="24"/>
              </w:rPr>
              <w:t>3. Market-specific electrification</w:t>
            </w:r>
          </w:p>
        </w:tc>
        <w:tc>
          <w:tcPr>
            <w:tcW w:w="1298" w:type="dxa"/>
          </w:tcPr>
          <w:p w14:paraId="2E4F2AC7" w14:textId="77777777" w:rsidR="0055784A" w:rsidRPr="00D72251" w:rsidRDefault="0055784A" w:rsidP="0055784A">
            <w:pPr>
              <w:cnfStyle w:val="000000100000" w:firstRow="0" w:lastRow="0" w:firstColumn="0" w:lastColumn="0" w:oddVBand="0" w:evenVBand="0" w:oddHBand="1" w:evenHBand="0" w:firstRowFirstColumn="0" w:firstRowLastColumn="0" w:lastRowFirstColumn="0" w:lastRowLastColumn="0"/>
              <w:rPr>
                <w:szCs w:val="24"/>
              </w:rPr>
            </w:pPr>
            <w:r w:rsidRPr="00D72251">
              <w:rPr>
                <w:szCs w:val="24"/>
              </w:rPr>
              <w:t>1–5 years</w:t>
            </w:r>
          </w:p>
        </w:tc>
        <w:tc>
          <w:tcPr>
            <w:tcW w:w="2593" w:type="dxa"/>
          </w:tcPr>
          <w:p w14:paraId="2E28E777" w14:textId="77777777" w:rsidR="0055784A" w:rsidRPr="00D72251" w:rsidRDefault="0055784A" w:rsidP="0055784A">
            <w:pPr>
              <w:cnfStyle w:val="000000100000" w:firstRow="0" w:lastRow="0" w:firstColumn="0" w:lastColumn="0" w:oddVBand="0" w:evenVBand="0" w:oddHBand="1" w:evenHBand="0" w:firstRowFirstColumn="0" w:firstRowLastColumn="0" w:lastRowFirstColumn="0" w:lastRowLastColumn="0"/>
              <w:rPr>
                <w:szCs w:val="24"/>
              </w:rPr>
            </w:pPr>
            <w:r w:rsidRPr="00D72251">
              <w:rPr>
                <w:szCs w:val="24"/>
              </w:rPr>
              <w:t>Product planning + regional businesses</w:t>
            </w:r>
          </w:p>
        </w:tc>
        <w:tc>
          <w:tcPr>
            <w:tcW w:w="2547" w:type="dxa"/>
          </w:tcPr>
          <w:p w14:paraId="72448B88" w14:textId="77777777" w:rsidR="0055784A" w:rsidRPr="00D72251" w:rsidRDefault="0055784A" w:rsidP="0055784A">
            <w:pPr>
              <w:cnfStyle w:val="000000100000" w:firstRow="0" w:lastRow="0" w:firstColumn="0" w:lastColumn="0" w:oddVBand="0" w:evenVBand="0" w:oddHBand="1" w:evenHBand="0" w:firstRowFirstColumn="0" w:firstRowLastColumn="0" w:lastRowFirstColumn="0" w:lastRowLastColumn="0"/>
              <w:rPr>
                <w:szCs w:val="24"/>
              </w:rPr>
            </w:pPr>
            <w:r w:rsidRPr="00D72251">
              <w:rPr>
                <w:szCs w:val="24"/>
              </w:rPr>
              <w:t>Segment BEV/HEV adoption; lifecycle outcomes</w:t>
            </w:r>
          </w:p>
        </w:tc>
      </w:tr>
      <w:tr w:rsidR="0055784A" w:rsidRPr="00D72251" w14:paraId="0BE4C9C5" w14:textId="77777777" w:rsidTr="0055784A">
        <w:tc>
          <w:tcPr>
            <w:cnfStyle w:val="001000000000" w:firstRow="0" w:lastRow="0" w:firstColumn="1" w:lastColumn="0" w:oddVBand="0" w:evenVBand="0" w:oddHBand="0" w:evenHBand="0" w:firstRowFirstColumn="0" w:firstRowLastColumn="0" w:lastRowFirstColumn="0" w:lastRowLastColumn="0"/>
            <w:tcW w:w="2912" w:type="dxa"/>
          </w:tcPr>
          <w:p w14:paraId="6F829037" w14:textId="77777777" w:rsidR="0055784A" w:rsidRPr="00D72251" w:rsidRDefault="0055784A" w:rsidP="0055784A">
            <w:pPr>
              <w:rPr>
                <w:szCs w:val="24"/>
              </w:rPr>
            </w:pPr>
            <w:r w:rsidRPr="00D72251">
              <w:rPr>
                <w:b w:val="0"/>
                <w:szCs w:val="24"/>
              </w:rPr>
              <w:t>4. Integrated customer journey</w:t>
            </w:r>
          </w:p>
        </w:tc>
        <w:tc>
          <w:tcPr>
            <w:tcW w:w="1298" w:type="dxa"/>
          </w:tcPr>
          <w:p w14:paraId="7EE3869D" w14:textId="77777777" w:rsidR="0055784A" w:rsidRPr="00D72251" w:rsidRDefault="0055784A" w:rsidP="0055784A">
            <w:pPr>
              <w:cnfStyle w:val="000000000000" w:firstRow="0" w:lastRow="0" w:firstColumn="0" w:lastColumn="0" w:oddVBand="0" w:evenVBand="0" w:oddHBand="0" w:evenHBand="0" w:firstRowFirstColumn="0" w:firstRowLastColumn="0" w:lastRowFirstColumn="0" w:lastRowLastColumn="0"/>
              <w:rPr>
                <w:szCs w:val="24"/>
              </w:rPr>
            </w:pPr>
            <w:r w:rsidRPr="00D72251">
              <w:rPr>
                <w:szCs w:val="24"/>
              </w:rPr>
              <w:t>1–3 years</w:t>
            </w:r>
          </w:p>
        </w:tc>
        <w:tc>
          <w:tcPr>
            <w:tcW w:w="2593" w:type="dxa"/>
          </w:tcPr>
          <w:p w14:paraId="79B01FF4" w14:textId="77777777" w:rsidR="0055784A" w:rsidRPr="00D72251" w:rsidRDefault="0055784A" w:rsidP="0055784A">
            <w:pPr>
              <w:cnfStyle w:val="000000000000" w:firstRow="0" w:lastRow="0" w:firstColumn="0" w:lastColumn="0" w:oddVBand="0" w:evenVBand="0" w:oddHBand="0" w:evenHBand="0" w:firstRowFirstColumn="0" w:firstRowLastColumn="0" w:lastRowFirstColumn="0" w:lastRowLastColumn="0"/>
              <w:rPr>
                <w:szCs w:val="24"/>
              </w:rPr>
            </w:pPr>
            <w:r w:rsidRPr="00D72251">
              <w:rPr>
                <w:szCs w:val="24"/>
              </w:rPr>
              <w:t>Digital, sales, dealers and service</w:t>
            </w:r>
          </w:p>
        </w:tc>
        <w:tc>
          <w:tcPr>
            <w:tcW w:w="2547" w:type="dxa"/>
          </w:tcPr>
          <w:p w14:paraId="74C6DBA2" w14:textId="77777777" w:rsidR="0055784A" w:rsidRPr="00D72251" w:rsidRDefault="0055784A" w:rsidP="0055784A">
            <w:pPr>
              <w:keepNext/>
              <w:cnfStyle w:val="000000000000" w:firstRow="0" w:lastRow="0" w:firstColumn="0" w:lastColumn="0" w:oddVBand="0" w:evenVBand="0" w:oddHBand="0" w:evenHBand="0" w:firstRowFirstColumn="0" w:firstRowLastColumn="0" w:lastRowFirstColumn="0" w:lastRowLastColumn="0"/>
              <w:rPr>
                <w:szCs w:val="24"/>
              </w:rPr>
            </w:pPr>
            <w:r w:rsidRPr="00D72251">
              <w:rPr>
                <w:szCs w:val="24"/>
              </w:rPr>
              <w:t>Conversion; delivery accuracy; resolution time</w:t>
            </w:r>
          </w:p>
        </w:tc>
      </w:tr>
    </w:tbl>
    <w:p w14:paraId="631D3E0A" w14:textId="77777777" w:rsidR="0055784A" w:rsidRPr="00D72251" w:rsidRDefault="0055784A" w:rsidP="0055784A"/>
    <w:p w14:paraId="73E1FDAA" w14:textId="77777777" w:rsidR="0055784A" w:rsidRPr="00D72251" w:rsidRDefault="0055784A" w:rsidP="0055784A">
      <w:r w:rsidRPr="00D72251">
        <w:br w:type="page"/>
      </w:r>
    </w:p>
    <w:p w14:paraId="3FCD6283" w14:textId="77777777" w:rsidR="0055784A" w:rsidRPr="00D72251" w:rsidRDefault="0055784A" w:rsidP="0055784A">
      <w:pPr>
        <w:pStyle w:val="Heading2"/>
        <w:numPr>
          <w:ilvl w:val="0"/>
          <w:numId w:val="3"/>
        </w:numPr>
      </w:pPr>
      <w:bookmarkStart w:id="32" w:name="_Toc236268231"/>
      <w:r w:rsidRPr="00D72251">
        <w:lastRenderedPageBreak/>
        <w:t>Conclusion</w:t>
      </w:r>
      <w:bookmarkEnd w:id="32"/>
    </w:p>
    <w:p w14:paraId="454909E4" w14:textId="77777777" w:rsidR="00D72251" w:rsidRPr="00D72251" w:rsidRDefault="00D72251" w:rsidP="00D72251">
      <w:r w:rsidRPr="00D72251">
        <w:t>In the Japan-U.S. comparison, Toyota has demonstrated that effectiveness in the international arena doesn't demand full standardisation and free adaptation. Toyota benefits from brand equity, quality systems and scalable technologies that are coordinated, and makes adjustments to its product mix, price, communication, channels and service evidence. In Japan, confidence in hybrids and trust in small mobility and long-term alliances is preferred, but limited by the restrictions of ageing and slow growth. Large cars, complex dealer governance, embedded production, and rapid BEV innovation, in addition to scale and diversity, are needed in the United States.</w:t>
      </w:r>
    </w:p>
    <w:p w14:paraId="1E0D428D" w14:textId="77777777" w:rsidR="00D33652" w:rsidRPr="00D72251" w:rsidRDefault="00D72251" w:rsidP="00D72251">
      <w:r w:rsidRPr="00D72251">
        <w:t>Entry was successful for the U.S. and the exports became knowledge and local capabilities, although not without the influence of institutions and economics. Independent safety performance and community programmes generate value for the stakeholders and emissions-reporting and finance cases demonstrate how process failures erode trust. Toyota should stick to its word for reliability, but be more specific, localize environmental measures, increase transparency of finances and enable digital-to-dealer processes.</w:t>
      </w:r>
      <w:r w:rsidR="00D33652" w:rsidRPr="00D72251">
        <w:br w:type="page"/>
      </w:r>
    </w:p>
    <w:p w14:paraId="7DBEE313" w14:textId="77777777" w:rsidR="00D33652" w:rsidRPr="00D72251" w:rsidRDefault="00D33652" w:rsidP="00D33652">
      <w:pPr>
        <w:pStyle w:val="Heading1"/>
      </w:pPr>
      <w:bookmarkStart w:id="33" w:name="_Toc236268232"/>
      <w:r w:rsidRPr="00D72251">
        <w:lastRenderedPageBreak/>
        <w:t>Section 2: Gibbs Reflective Account</w:t>
      </w:r>
      <w:bookmarkEnd w:id="33"/>
    </w:p>
    <w:p w14:paraId="1F1A5786" w14:textId="77777777" w:rsidR="00D33652" w:rsidRDefault="00D33652" w:rsidP="00D33652">
      <w:r w:rsidRPr="00D72251">
        <w:t>The Gibbs' reflective cycle of research, analysis and preparation is applied to the following reflection.</w:t>
      </w:r>
    </w:p>
    <w:p w14:paraId="509C80D4" w14:textId="77777777" w:rsidR="00D72251" w:rsidRDefault="00D72251" w:rsidP="00D72251">
      <w:pPr>
        <w:keepNext/>
      </w:pPr>
      <w:r w:rsidRPr="00180CA4">
        <w:rPr>
          <w:noProof/>
          <w:lang w:val="en-US"/>
        </w:rPr>
        <w:drawing>
          <wp:inline distT="0" distB="0" distL="0" distR="0" wp14:anchorId="36350594" wp14:editId="2B23C5F3">
            <wp:extent cx="5934075" cy="4905375"/>
            <wp:effectExtent l="0" t="0" r="0" b="9525"/>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1F0713FE" w14:textId="77777777" w:rsidR="00D72251" w:rsidRPr="00D72251" w:rsidRDefault="00D72251" w:rsidP="00D72251">
      <w:pPr>
        <w:pStyle w:val="Caption"/>
        <w:jc w:val="center"/>
      </w:pPr>
      <w:r>
        <w:t xml:space="preserve">Figure </w:t>
      </w:r>
      <w:r>
        <w:fldChar w:fldCharType="begin"/>
      </w:r>
      <w:r>
        <w:instrText xml:space="preserve"> SEQ Figure \* ARABIC </w:instrText>
      </w:r>
      <w:r>
        <w:fldChar w:fldCharType="separate"/>
      </w:r>
      <w:r>
        <w:rPr>
          <w:noProof/>
        </w:rPr>
        <w:t>9</w:t>
      </w:r>
      <w:r>
        <w:fldChar w:fldCharType="end"/>
      </w:r>
      <w:r>
        <w:t xml:space="preserve">: </w:t>
      </w:r>
      <w:r w:rsidRPr="009E19BA">
        <w:t>Reflective Account using Gibbs' (1988). Source: Own Contribution.</w:t>
      </w:r>
    </w:p>
    <w:p w14:paraId="6D96BBFB" w14:textId="77777777" w:rsidR="00D33652" w:rsidRPr="00D72251" w:rsidRDefault="00D33652" w:rsidP="00D33652">
      <w:pPr>
        <w:pStyle w:val="Heading3"/>
      </w:pPr>
      <w:bookmarkStart w:id="34" w:name="_Toc236268233"/>
      <w:r w:rsidRPr="00D72251">
        <w:t>Description</w:t>
      </w:r>
      <w:bookmarkEnd w:id="34"/>
    </w:p>
    <w:p w14:paraId="4AB67BAD" w14:textId="77777777" w:rsidR="00D33652" w:rsidRPr="00D72251" w:rsidRDefault="00D33652" w:rsidP="00D33652">
      <w:r w:rsidRPr="00D72251">
        <w:t xml:space="preserve">The assessment was done as a comparative research rather than a company profile. The first was a matrix which covered PESTLE, Hofstede, STP, 7 ps, market entry, ethics, recommendations and reflection for the brief and lecture guidance. The choice of Toyota was made as an example of global coordination and local adaptation, as the Japanese-USA home–host relationship serves as an example of this. Sources were gathered in layers: Toyota's reports and country websites relevant to company claims, World Bank, </w:t>
      </w:r>
      <w:r w:rsidRPr="00D72251">
        <w:lastRenderedPageBreak/>
        <w:t>OECD and IEA data regarding country/industry conditions, U.S. regulators for ethical issues, peer-reviewed articles to aid interpretation. I annotated each source next to the claim it supported and did not write the claims for Japan and the United States separately, but by themes. This decreased repetition and maintained similarity and differences visible.</w:t>
      </w:r>
    </w:p>
    <w:p w14:paraId="55B3807A" w14:textId="77777777" w:rsidR="00D33652" w:rsidRPr="00D72251" w:rsidRDefault="00D33652" w:rsidP="00D33652">
      <w:pPr>
        <w:pStyle w:val="Heading3"/>
      </w:pPr>
      <w:bookmarkStart w:id="35" w:name="_Toc236268234"/>
      <w:r w:rsidRPr="00D72251">
        <w:t>Feelings</w:t>
      </w:r>
      <w:bookmarkEnd w:id="35"/>
    </w:p>
    <w:p w14:paraId="62549FFC" w14:textId="77777777" w:rsidR="00D33652" w:rsidRPr="00D72251" w:rsidRDefault="00D33652" w:rsidP="00D33652">
      <w:r w:rsidRPr="00D72251">
        <w:t>I started out with a nice feeling of confidence in terms of writing about Toyota, but less confidence in terms of producing the necessary critical analysis in 4,700 words. The amount of information generated could be problematic, with the opportunity of gathering interesting information that may not have covered the assessment. Comparing prices was especially awkward as the same names may refer to different trims, taxes and specifications. Also, I feared that the ethical issues might be quoted in an unbalanced way, if there was no comparison between the corporate and corporate accounts. Once the evidence matrix was completed, the increase in confidence was due to the fact that each paragraph had a clear purpose: claim, evidence, comparison, theory, evaluation and implication. It also demonstrated how uncertainty can be a strength as long as it is shared and addressed via triangulation.</w:t>
      </w:r>
    </w:p>
    <w:p w14:paraId="638A7451" w14:textId="77777777" w:rsidR="00D33652" w:rsidRPr="00D72251" w:rsidRDefault="00D33652" w:rsidP="00D33652">
      <w:pPr>
        <w:pStyle w:val="Heading3"/>
      </w:pPr>
      <w:bookmarkStart w:id="36" w:name="_Toc236268235"/>
      <w:r w:rsidRPr="00D72251">
        <w:t>Evaluation</w:t>
      </w:r>
      <w:bookmarkEnd w:id="36"/>
    </w:p>
    <w:p w14:paraId="519D253C" w14:textId="77777777" w:rsidR="00D33652" w:rsidRPr="00D72251" w:rsidRDefault="00D33652" w:rsidP="00D33652">
      <w:r w:rsidRPr="00D72251">
        <w:t xml:space="preserve">There were a number of effective practices. Starting with the marking criteria avoided too much history and official company information provided a solid factual starting point. Regulatory evidence proved more helpful than media summaries in emissions and finance cases, as they helped to defining the scope and quantities of the CFPB order and, later, its expiration. Peer-reviewed literature took the report further than description: Standardisation research laid the groundwork for the 7Ps; EV studies illuminated the findings of the various configurations of EV adoption; and omnichannel research revealed the strategic relevance of integrating the dealer process. The less successful early attempt was to depend too much on Hofstede scores. These were simple to present and they promoted general national stereotypes and lacked an explanation of model demand, charging access or regional variation. I started to compare the website prices as if they were the same. Removing the tax, trim and currency limitations in this approach increased </w:t>
      </w:r>
      <w:r w:rsidRPr="00D72251">
        <w:lastRenderedPageBreak/>
        <w:t>validity. A small amount of corporate sustainability evidence was still self-reported, making a distinction between claimed impact and independent evidence.</w:t>
      </w:r>
    </w:p>
    <w:p w14:paraId="14AA5886" w14:textId="77777777" w:rsidR="00D33652" w:rsidRPr="00D72251" w:rsidRDefault="00D33652" w:rsidP="00D33652">
      <w:pPr>
        <w:pStyle w:val="Heading3"/>
      </w:pPr>
      <w:bookmarkStart w:id="37" w:name="_Toc236268236"/>
      <w:r w:rsidRPr="00D72251">
        <w:t>Analysis</w:t>
      </w:r>
      <w:bookmarkEnd w:id="37"/>
    </w:p>
    <w:p w14:paraId="6612CB78" w14:textId="77777777" w:rsidR="00D33652" w:rsidRPr="00D72251" w:rsidRDefault="00D33652" w:rsidP="00D33652">
      <w:r w:rsidRPr="00D72251">
        <w:t xml:space="preserve">The strongest learning was the notion of source credibility based on purpose. The Integrated Report is authoritative for what Toyota reports, but it does not provide independent proof of its impact on consumers or show its ethical performance. On the other hand, a regulator might be able to outline what will be included in an enforcement action, but cannot provide details of the company's overall strategy. Corporate evidence became indispensable, and so did official evidence and journal literature for interpretation, and so, triangulation. This is an echo of scientific method, which is based on objectivity and evidence, and also lowers the self-reference criterion discussed in lectures. Making comparisons by theme was more analytically effective than writing two national narratives as it required each paragraph to state a strategic consequence. The EV conversation shifted from Japan is slower than the United States to an assessment of the impact of charging access, vehicle size, incentives and political identity on Toyota's portfolio. There was also a need to balance the ethics section. Different practices were explained by cultural relativism and there was a minimum transparency, safety and fair process standard in place which was provided by justice principles. The word limit fostered synthesis, such that only those environmental factors which influenced Toyota's demand, cost, legitimacy, or flexibility were retained. This ensured recommendations based on evidence and not on general advice. The value of Gibbs' cycle is that the process can be broken down into a set of learning steps; in practice, however, the steps are interwoven and cannot be regarded as separate learning boxes (Gibbs, 1988). The other methodological problem was the lack of temporal comparability. The information in Toyota's FY25 financial results, the 2025 product pricing, the 2024 World Bank indicators, and the 2025-26 market reports do not cover the same period. Hence I didn't show them as one tidy data set, but rather applied each one for a specific intent. Financial results set limit and World Bank indicators give a recent broadly comparable macro-economic base and product pages gave examples of how the products were being marketed. I also realised that the content of website pages can change dynamically – a model price or campaign can change without retaining the previous page. It would be great if you could </w:t>
      </w:r>
      <w:r w:rsidRPr="00D72251">
        <w:lastRenderedPageBreak/>
        <w:t>record the dates of access and save screenshots or archived copies of the videos to strengthen the evidence trail. Finally, I was told that just a lot of citations isn't necessarily critical. A source should either establish evidence, explain a relationship, challenge an assumption or justify a judgement. Citations that performed none of these were removed, both to enhance readability and to enhance analysis.</w:t>
      </w:r>
    </w:p>
    <w:p w14:paraId="7A149CAC" w14:textId="77777777" w:rsidR="00D33652" w:rsidRPr="00D72251" w:rsidRDefault="00D33652" w:rsidP="00D33652">
      <w:pPr>
        <w:pStyle w:val="Heading3"/>
      </w:pPr>
      <w:bookmarkStart w:id="38" w:name="_Toc236268237"/>
      <w:r w:rsidRPr="00D72251">
        <w:t>Conclusion</w:t>
      </w:r>
      <w:bookmarkEnd w:id="38"/>
    </w:p>
    <w:p w14:paraId="03CB69C6" w14:textId="77777777" w:rsidR="00D33652" w:rsidRPr="00D72251" w:rsidRDefault="00D33652" w:rsidP="00D33652">
      <w:r w:rsidRPr="00D72251">
        <w:t>The research process enhanced my grasp on international marketing as an imperfectly comparable evidence-based judgement. I learned to distinguish between company facts and company claims, I learned to use cultural frameworks as cues to explore rather than explanations. My strengths lay in being systematic in sourcing organisations, directly comparing countries and willing to qualify uncertain evidence. The issues that I faced were initial over-collection, an early descriptive tendency, and a lack of focus on price comparability. I also learned that moral evaluation ought to be able to find the affected stakeholder, the concerned marketing-mix component, and identify the fairness principle and the remediation is sufficient. The final draft is more coherent as theory, macro-economic evidence, company practice and recommendations are linked and not presented in separate blocks.</w:t>
      </w:r>
    </w:p>
    <w:p w14:paraId="2DA58B00" w14:textId="77777777" w:rsidR="00D33652" w:rsidRPr="00D72251" w:rsidRDefault="00D33652" w:rsidP="00D33652">
      <w:pPr>
        <w:pStyle w:val="Heading3"/>
      </w:pPr>
      <w:bookmarkStart w:id="39" w:name="_Toc236268238"/>
      <w:r w:rsidRPr="00D72251">
        <w:t>Action plan</w:t>
      </w:r>
      <w:bookmarkEnd w:id="39"/>
    </w:p>
    <w:p w14:paraId="42D25013" w14:textId="77777777" w:rsidR="005022F8" w:rsidRDefault="00644796" w:rsidP="00D33652">
      <w:r w:rsidRPr="00D72251">
        <w:t xml:space="preserve">In future assignments, I will be making a matrix of sources and claims before drafting and establish word limits for each claim. Journal searches will be finished early, and DOI, page range and database information will be recorded at the time of the search. Will use at least two sources for conflicts and explicitly identify company-reported outcomes. Similar products and prices will be documented on the same day, using the same trim, tax and delivery assumptions. I will do two reference checks, checking to see that all in-text citations are in the reference list and checking to see that entries that do not have in-text citations are not in the reference list. The first revision will evaluate argument quality to determine if every paragraph makes a difference; the second revision will emphasize grammar, transitions, word reduction. Lastly, I will set aside time to double check all live prices, sales and statuses of regulation right before I send it, as it can change after the </w:t>
      </w:r>
      <w:r w:rsidRPr="00D72251">
        <w:lastRenderedPageBreak/>
        <w:t>writing. These actions should help future work to be more efficient, transparent and defensible.</w:t>
      </w:r>
    </w:p>
    <w:p w14:paraId="1956B0E9" w14:textId="77777777" w:rsidR="005022F8" w:rsidRDefault="005022F8">
      <w:pPr>
        <w:spacing w:line="259" w:lineRule="auto"/>
        <w:jc w:val="left"/>
      </w:pPr>
      <w:r>
        <w:br w:type="page"/>
      </w:r>
    </w:p>
    <w:p w14:paraId="2DCDA37A" w14:textId="77777777" w:rsidR="0055784A" w:rsidRDefault="005022F8" w:rsidP="005022F8">
      <w:pPr>
        <w:pStyle w:val="Heading1"/>
      </w:pPr>
      <w:bookmarkStart w:id="40" w:name="_Toc236268239"/>
      <w:r>
        <w:lastRenderedPageBreak/>
        <w:t>Reference</w:t>
      </w:r>
      <w:bookmarkEnd w:id="40"/>
      <w:r>
        <w:t xml:space="preserve"> </w:t>
      </w:r>
    </w:p>
    <w:p w14:paraId="45054813" w14:textId="77777777" w:rsidR="005022F8" w:rsidRPr="005022F8" w:rsidRDefault="005022F8" w:rsidP="005022F8">
      <w:pPr>
        <w:rPr>
          <w:lang w:val="en-US"/>
        </w:rPr>
      </w:pPr>
      <w:r w:rsidRPr="005022F8">
        <w:rPr>
          <w:lang w:val="en-US"/>
        </w:rPr>
        <w:t>Bartikowski, B. and Berens, G. (2021). Attribute framing in CSR communication: Doing good and spreading the word – but how? </w:t>
      </w:r>
      <w:r w:rsidRPr="005022F8">
        <w:rPr>
          <w:i/>
          <w:iCs/>
          <w:lang w:val="en-US"/>
        </w:rPr>
        <w:t>Journal of Business research</w:t>
      </w:r>
      <w:r w:rsidRPr="005022F8">
        <w:rPr>
          <w:lang w:val="en-US"/>
        </w:rPr>
        <w:t>. doi:10.1016/j.jbusres.2020.12.059.</w:t>
      </w:r>
    </w:p>
    <w:p w14:paraId="76AAE90D" w14:textId="77777777" w:rsidR="005022F8" w:rsidRPr="005022F8" w:rsidRDefault="005022F8" w:rsidP="005022F8">
      <w:pPr>
        <w:rPr>
          <w:lang w:val="en-US"/>
        </w:rPr>
      </w:pPr>
      <w:r w:rsidRPr="005022F8">
        <w:rPr>
          <w:lang w:val="en-US"/>
        </w:rPr>
        <w:t>Belhadi, A., Kamble, S., Jabbour, C.J.C., Gunasekaran, A., Ndubisi, N.O. and Venkatesh, M. (2021). Manufacturing and service supply chain resilience to the covid-19 outbreak: Lessons learned from the automobile and airline industries. </w:t>
      </w:r>
      <w:r w:rsidRPr="005022F8">
        <w:rPr>
          <w:i/>
          <w:iCs/>
          <w:lang w:val="en-US"/>
        </w:rPr>
        <w:t>Technological forecasting and social change</w:t>
      </w:r>
      <w:r w:rsidRPr="005022F8">
        <w:rPr>
          <w:lang w:val="en-US"/>
        </w:rPr>
        <w:t>, 163, p.120447. doi:10.1016/j.techfore.2020.120447.</w:t>
      </w:r>
    </w:p>
    <w:p w14:paraId="15BB83FF" w14:textId="77777777" w:rsidR="005022F8" w:rsidRPr="005022F8" w:rsidRDefault="005022F8" w:rsidP="005022F8">
      <w:pPr>
        <w:rPr>
          <w:lang w:val="en-US"/>
        </w:rPr>
      </w:pPr>
      <w:r w:rsidRPr="005022F8">
        <w:rPr>
          <w:lang w:val="en-US"/>
        </w:rPr>
        <w:t>Bijmolt, T.H.A., Broekhuis, M., de Leeuw, S., Hirche, C., Rooderkerk, R.P., Sousa, R. and Zhu, S.X. (2019). Challenges at the marketing–operations interface in omni-channel retail environments. </w:t>
      </w:r>
      <w:r w:rsidRPr="005022F8">
        <w:rPr>
          <w:i/>
          <w:iCs/>
          <w:lang w:val="en-US"/>
        </w:rPr>
        <w:t>Journal of Business research</w:t>
      </w:r>
      <w:r w:rsidRPr="005022F8">
        <w:rPr>
          <w:lang w:val="en-US"/>
        </w:rPr>
        <w:t>, [online] 122(1), pp.864–874. doi:10.1016/j.jbusres.2019.11.034.</w:t>
      </w:r>
    </w:p>
    <w:p w14:paraId="55C3933E" w14:textId="77777777" w:rsidR="005022F8" w:rsidRPr="005022F8" w:rsidRDefault="005022F8" w:rsidP="005022F8">
      <w:pPr>
        <w:rPr>
          <w:lang w:val="en-US"/>
        </w:rPr>
      </w:pPr>
      <w:r w:rsidRPr="005022F8">
        <w:rPr>
          <w:lang w:val="en-US"/>
        </w:rPr>
        <w:t>Chen, S., Wright, M.J., Gao, H., Liu, H. and Mather, D. (2020). The effects of brand origin and country-of-manufacture on consumers” institutional perceptions and purchase decision-making. </w:t>
      </w:r>
      <w:r w:rsidRPr="005022F8">
        <w:rPr>
          <w:i/>
          <w:iCs/>
          <w:lang w:val="en-US"/>
        </w:rPr>
        <w:t>International marketing review</w:t>
      </w:r>
      <w:r w:rsidRPr="005022F8">
        <w:rPr>
          <w:lang w:val="en-US"/>
        </w:rPr>
        <w:t>, 38(2), pp.343–366. doi:10.1108/imr-08-2019-0205.</w:t>
      </w:r>
    </w:p>
    <w:p w14:paraId="4AF4A7E9" w14:textId="77777777" w:rsidR="005022F8" w:rsidRPr="005022F8" w:rsidRDefault="005022F8" w:rsidP="005022F8">
      <w:pPr>
        <w:rPr>
          <w:lang w:val="en-US"/>
        </w:rPr>
      </w:pPr>
      <w:r w:rsidRPr="005022F8">
        <w:rPr>
          <w:lang w:val="en-US"/>
        </w:rPr>
        <w:t>Cho, E. and Hwang, J. (2020). Drivers of consumer-based brand equity: A two-country analysis of perceived brand origin and identity expressiveness. </w:t>
      </w:r>
      <w:r w:rsidRPr="005022F8">
        <w:rPr>
          <w:i/>
          <w:iCs/>
          <w:lang w:val="en-US"/>
        </w:rPr>
        <w:t>International marketing review</w:t>
      </w:r>
      <w:r w:rsidRPr="005022F8">
        <w:rPr>
          <w:lang w:val="en-US"/>
        </w:rPr>
        <w:t>, ahead-of-print(ahead-of-print). doi:10.1108/imr-12-2018-0351.</w:t>
      </w:r>
    </w:p>
    <w:p w14:paraId="26DA6F30" w14:textId="77777777" w:rsidR="005022F8" w:rsidRPr="005022F8" w:rsidRDefault="005022F8" w:rsidP="005022F8">
      <w:pPr>
        <w:rPr>
          <w:lang w:val="en-US"/>
        </w:rPr>
      </w:pPr>
      <w:r w:rsidRPr="005022F8">
        <w:rPr>
          <w:lang w:val="en-US"/>
        </w:rPr>
        <w:t>Cho, Y.-N. and Taylor, C.R. (2019). The role of ambiguity and skepticism in the effectiveness of sustainability labeling. </w:t>
      </w:r>
      <w:r w:rsidRPr="005022F8">
        <w:rPr>
          <w:i/>
          <w:iCs/>
          <w:lang w:val="en-US"/>
        </w:rPr>
        <w:t>Journal of Business research</w:t>
      </w:r>
      <w:r w:rsidRPr="005022F8">
        <w:rPr>
          <w:lang w:val="en-US"/>
        </w:rPr>
        <w:t>, 120. doi:10.1016/j.jbusres.2019.08.034.</w:t>
      </w:r>
    </w:p>
    <w:p w14:paraId="24E83A3D" w14:textId="77777777" w:rsidR="005022F8" w:rsidRPr="005022F8" w:rsidRDefault="005022F8" w:rsidP="005022F8">
      <w:pPr>
        <w:rPr>
          <w:lang w:val="en-US"/>
        </w:rPr>
      </w:pPr>
      <w:r w:rsidRPr="005022F8">
        <w:rPr>
          <w:lang w:val="en-US"/>
        </w:rPr>
        <w:t xml:space="preserve">Consumer Financial Protection Bureau  -  CFPB (2025) Order terminating Toyota Motor Credit Corporation consent order. </w:t>
      </w:r>
      <w:r w:rsidRPr="005022F8">
        <w:t>[online] </w:t>
      </w:r>
      <w:r w:rsidRPr="005022F8">
        <w:rPr>
          <w:i/>
          <w:iCs/>
        </w:rPr>
        <w:t>Consumer Financial Protection Bureau</w:t>
      </w:r>
      <w:r w:rsidRPr="005022F8">
        <w:rPr>
          <w:lang w:val="en-US"/>
        </w:rPr>
        <w:t xml:space="preserve">. Available at: </w:t>
      </w:r>
      <w:hyperlink r:id="rId39" w:history="1">
        <w:r w:rsidRPr="005022F8">
          <w:rPr>
            <w:rStyle w:val="Hyperlink"/>
            <w:lang w:val="en-US"/>
          </w:rPr>
          <w:t>https://www.consumerfinance.gov/enforcement/actions/toyota-motor-credit-corporation-2023/</w:t>
        </w:r>
      </w:hyperlink>
    </w:p>
    <w:p w14:paraId="7C0EF9AB" w14:textId="77777777" w:rsidR="005022F8" w:rsidRPr="005022F8" w:rsidRDefault="005022F8" w:rsidP="005022F8">
      <w:pPr>
        <w:rPr>
          <w:lang w:val="en-US"/>
        </w:rPr>
      </w:pPr>
      <w:r w:rsidRPr="005022F8">
        <w:rPr>
          <w:lang w:val="en-US"/>
        </w:rPr>
        <w:t xml:space="preserve">Consumer Financial Protection Bureau  - CFPB (2023). Toyota Motor Credit Corporation consent order. </w:t>
      </w:r>
      <w:r w:rsidRPr="005022F8">
        <w:t>[online] </w:t>
      </w:r>
      <w:r w:rsidRPr="005022F8">
        <w:rPr>
          <w:i/>
          <w:iCs/>
        </w:rPr>
        <w:t>Consumer Financial Protection Bureau</w:t>
      </w:r>
      <w:r w:rsidRPr="005022F8">
        <w:rPr>
          <w:lang w:val="en-US"/>
        </w:rPr>
        <w:t xml:space="preserve">. Available at: </w:t>
      </w:r>
      <w:hyperlink r:id="rId40" w:history="1">
        <w:r w:rsidRPr="005022F8">
          <w:rPr>
            <w:rStyle w:val="Hyperlink"/>
            <w:lang w:val="en-US"/>
          </w:rPr>
          <w:t>https://www.consumerfinance.gov/enforcement/actions/toyota-motor-credit-corporation-2023/</w:t>
        </w:r>
      </w:hyperlink>
    </w:p>
    <w:p w14:paraId="658D0835" w14:textId="77777777" w:rsidR="005022F8" w:rsidRPr="005022F8" w:rsidRDefault="005022F8" w:rsidP="005022F8">
      <w:pPr>
        <w:rPr>
          <w:lang w:val="en-US"/>
        </w:rPr>
      </w:pPr>
      <w:r w:rsidRPr="005022F8">
        <w:rPr>
          <w:lang w:val="en-US"/>
        </w:rPr>
        <w:t>Fazli-Salehi, R., Torres, I.M., Madadi, R. and Zúñiga, M.Á. (2021). Multicultural advertising: The impact of consumers’ self-concept clarity and materialism on self-brand connection and communal-brand connection. </w:t>
      </w:r>
      <w:r w:rsidRPr="005022F8">
        <w:rPr>
          <w:i/>
          <w:iCs/>
          <w:lang w:val="en-US"/>
        </w:rPr>
        <w:t>Journal of Business research</w:t>
      </w:r>
      <w:r w:rsidRPr="005022F8">
        <w:rPr>
          <w:lang w:val="en-US"/>
        </w:rPr>
        <w:t>, 137, pp.46–57. doi:10.1016/j.jbusres.2021.08.006.</w:t>
      </w:r>
    </w:p>
    <w:p w14:paraId="6E80D974" w14:textId="77777777" w:rsidR="005022F8" w:rsidRPr="005022F8" w:rsidRDefault="005022F8" w:rsidP="005022F8">
      <w:pPr>
        <w:rPr>
          <w:lang w:val="en-US"/>
        </w:rPr>
      </w:pPr>
      <w:r w:rsidRPr="005022F8">
        <w:rPr>
          <w:lang w:val="en-US"/>
        </w:rPr>
        <w:t>Galalae, C., Kipnis, E. and Demangeot, C. (2020). Reassessing positive dispositions for the consumption of products and services with different cultural meanings: A motivational perspective. </w:t>
      </w:r>
      <w:r w:rsidRPr="005022F8">
        <w:rPr>
          <w:i/>
          <w:iCs/>
          <w:lang w:val="en-US"/>
        </w:rPr>
        <w:t>Journal of Business research</w:t>
      </w:r>
      <w:r w:rsidRPr="005022F8">
        <w:rPr>
          <w:lang w:val="en-US"/>
        </w:rPr>
        <w:t>, 115, pp.160–173. doi:10.1016/j.jbusres.2020.04.043.</w:t>
      </w:r>
    </w:p>
    <w:p w14:paraId="60232F2D" w14:textId="77777777" w:rsidR="005022F8" w:rsidRPr="005022F8" w:rsidRDefault="005022F8" w:rsidP="005022F8">
      <w:pPr>
        <w:rPr>
          <w:lang w:val="en-US"/>
        </w:rPr>
      </w:pPr>
      <w:r w:rsidRPr="005022F8">
        <w:rPr>
          <w:lang w:val="en-US"/>
        </w:rPr>
        <w:t>Gao, W., Fan, H., Li, W. and Wang, H. (2021). Crafting the customer experience in omnichannel contexts: The role of channel integration. </w:t>
      </w:r>
      <w:r w:rsidRPr="005022F8">
        <w:rPr>
          <w:i/>
          <w:iCs/>
          <w:lang w:val="en-US"/>
        </w:rPr>
        <w:t>Journal of Business research</w:t>
      </w:r>
      <w:r w:rsidRPr="005022F8">
        <w:rPr>
          <w:lang w:val="en-US"/>
        </w:rPr>
        <w:t>, [online] 126(1), pp.12–22. doi:10.1016/j.jbusres.2020.12.056.</w:t>
      </w:r>
    </w:p>
    <w:p w14:paraId="40D5AAE3" w14:textId="77777777" w:rsidR="005022F8" w:rsidRPr="005022F8" w:rsidRDefault="005022F8" w:rsidP="005022F8">
      <w:pPr>
        <w:rPr>
          <w:lang w:val="en-US"/>
        </w:rPr>
      </w:pPr>
      <w:r w:rsidRPr="005022F8">
        <w:rPr>
          <w:lang w:val="en-US"/>
        </w:rPr>
        <w:t>Gatti, L., Pizzetti, M. and Seele, P. (2021). Green lies and their effect on intention to invest. </w:t>
      </w:r>
      <w:r w:rsidRPr="005022F8">
        <w:rPr>
          <w:i/>
          <w:iCs/>
          <w:lang w:val="en-US"/>
        </w:rPr>
        <w:t>Journal of Business research</w:t>
      </w:r>
      <w:r w:rsidRPr="005022F8">
        <w:rPr>
          <w:lang w:val="en-US"/>
        </w:rPr>
        <w:t>, 127, pp.228–240. doi:10.1016/j.jbusres.2021.01.028.</w:t>
      </w:r>
    </w:p>
    <w:p w14:paraId="6009A2A0" w14:textId="77777777" w:rsidR="005022F8" w:rsidRPr="005022F8" w:rsidRDefault="005022F8" w:rsidP="005022F8">
      <w:pPr>
        <w:rPr>
          <w:lang w:val="en-US"/>
        </w:rPr>
      </w:pPr>
      <w:r w:rsidRPr="005022F8">
        <w:rPr>
          <w:lang w:val="en-US"/>
        </w:rPr>
        <w:t>Gibbs, G. (1988). </w:t>
      </w:r>
      <w:r w:rsidRPr="005022F8">
        <w:rPr>
          <w:i/>
          <w:iCs/>
          <w:lang w:val="en-US"/>
        </w:rPr>
        <w:t>Learning by doing: A guide to teaching and learning methods</w:t>
      </w:r>
      <w:r w:rsidRPr="005022F8">
        <w:rPr>
          <w:lang w:val="en-US"/>
        </w:rPr>
        <w:t>. Oxford: Further Education Unit.</w:t>
      </w:r>
    </w:p>
    <w:p w14:paraId="6CB0BDFF" w14:textId="77777777" w:rsidR="005022F8" w:rsidRPr="005022F8" w:rsidRDefault="005022F8" w:rsidP="005022F8">
      <w:pPr>
        <w:rPr>
          <w:lang w:val="en-US"/>
        </w:rPr>
      </w:pPr>
      <w:r w:rsidRPr="005022F8">
        <w:rPr>
          <w:lang w:val="en-US"/>
        </w:rPr>
        <w:t>Griffith, D.A. and Yalcinkaya, G. (2022). The power of institutions on international marketing: Reflections on the covid-19 pandemic can inform international marketing activities. </w:t>
      </w:r>
      <w:r w:rsidRPr="005022F8">
        <w:rPr>
          <w:i/>
          <w:iCs/>
          <w:lang w:val="en-US"/>
        </w:rPr>
        <w:t>International marketing review</w:t>
      </w:r>
      <w:r w:rsidRPr="005022F8">
        <w:rPr>
          <w:lang w:val="en-US"/>
        </w:rPr>
        <w:t>. doi:10.1108/imr-11-2021-0340.</w:t>
      </w:r>
    </w:p>
    <w:p w14:paraId="5375D2BA" w14:textId="77777777" w:rsidR="005022F8" w:rsidRPr="005022F8" w:rsidRDefault="005022F8" w:rsidP="005022F8">
      <w:pPr>
        <w:rPr>
          <w:lang w:val="en-US"/>
        </w:rPr>
      </w:pPr>
      <w:r w:rsidRPr="005022F8">
        <w:rPr>
          <w:lang w:val="en-US"/>
        </w:rPr>
        <w:t>Hong, R., Zhang, Z., Zhang, C. and Hu, Z. (2022). Is brand globalness compatible with brand country-of-origin? An investigation of hybrid brand positioning strategies for emerging market brands. </w:t>
      </w:r>
      <w:r w:rsidRPr="005022F8">
        <w:rPr>
          <w:i/>
          <w:iCs/>
          <w:lang w:val="en-US"/>
        </w:rPr>
        <w:t>International marketing review</w:t>
      </w:r>
      <w:r w:rsidRPr="005022F8">
        <w:rPr>
          <w:lang w:val="en-US"/>
        </w:rPr>
        <w:t>, 40(1). doi:10.1108/imr-08-2021-0260.</w:t>
      </w:r>
    </w:p>
    <w:p w14:paraId="6A220368" w14:textId="77777777" w:rsidR="005022F8" w:rsidRPr="005022F8" w:rsidRDefault="005022F8" w:rsidP="005022F8">
      <w:pPr>
        <w:rPr>
          <w:lang w:val="en-US"/>
        </w:rPr>
      </w:pPr>
      <w:r w:rsidRPr="005022F8">
        <w:rPr>
          <w:lang w:val="en-US"/>
        </w:rPr>
        <w:t>Insurance Institute for Highway Safety - IIHS (2025). </w:t>
      </w:r>
      <w:r w:rsidRPr="005022F8">
        <w:rPr>
          <w:i/>
          <w:iCs/>
          <w:lang w:val="en-US"/>
        </w:rPr>
        <w:t>Iihs-hldi: Crash testing &amp; highway safety</w:t>
      </w:r>
      <w:r w:rsidRPr="005022F8">
        <w:rPr>
          <w:lang w:val="en-US"/>
        </w:rPr>
        <w:t xml:space="preserve">. [online] Iihs-hldi crash testing and highway safety. Available at: https://www.iihs.org/ratings/top-safety-picks/2025/all/toyota </w:t>
      </w:r>
    </w:p>
    <w:p w14:paraId="35E9A4D1" w14:textId="77777777" w:rsidR="005022F8" w:rsidRPr="005022F8" w:rsidRDefault="005022F8" w:rsidP="005022F8">
      <w:pPr>
        <w:rPr>
          <w:lang w:val="en-US"/>
        </w:rPr>
      </w:pPr>
      <w:r w:rsidRPr="005022F8">
        <w:rPr>
          <w:lang w:val="en-US"/>
        </w:rPr>
        <w:lastRenderedPageBreak/>
        <w:t>International Energy Agency - IEA (2026). </w:t>
      </w:r>
      <w:r w:rsidRPr="005022F8">
        <w:rPr>
          <w:i/>
          <w:iCs/>
          <w:lang w:val="en-US"/>
        </w:rPr>
        <w:t>Global EV outlook 2026 – analysis - IEA</w:t>
      </w:r>
      <w:r w:rsidRPr="005022F8">
        <w:rPr>
          <w:lang w:val="en-US"/>
        </w:rPr>
        <w:t>. [online] </w:t>
      </w:r>
      <w:r w:rsidRPr="005022F8">
        <w:rPr>
          <w:i/>
          <w:iCs/>
          <w:lang w:val="en-US"/>
        </w:rPr>
        <w:t xml:space="preserve">International Energy Agency. </w:t>
      </w:r>
      <w:r w:rsidRPr="005022F8">
        <w:rPr>
          <w:lang w:val="en-US"/>
        </w:rPr>
        <w:t xml:space="preserve">Available at: </w:t>
      </w:r>
      <w:hyperlink r:id="rId41" w:history="1">
        <w:r w:rsidRPr="005022F8">
          <w:rPr>
            <w:rStyle w:val="Hyperlink"/>
            <w:lang w:val="en-US"/>
          </w:rPr>
          <w:t>https://www.iea.org/reports/global-ev-outlook-2026</w:t>
        </w:r>
      </w:hyperlink>
      <w:r w:rsidRPr="005022F8">
        <w:rPr>
          <w:lang w:val="en-US"/>
        </w:rPr>
        <w:t>.</w:t>
      </w:r>
    </w:p>
    <w:p w14:paraId="5F64BF50" w14:textId="77777777" w:rsidR="005022F8" w:rsidRPr="005022F8" w:rsidRDefault="005022F8" w:rsidP="005022F8">
      <w:pPr>
        <w:rPr>
          <w:lang w:val="en-US"/>
        </w:rPr>
      </w:pPr>
      <w:r w:rsidRPr="005022F8">
        <w:rPr>
          <w:lang w:val="en-US"/>
        </w:rPr>
        <w:t>Jenn, A., Lee, J.H., Hardman, S. and Tal, G. (2020). An in-depth examination of electric vehicle incentives: Consumer heterogeneity and changing response over time. </w:t>
      </w:r>
      <w:r w:rsidRPr="005022F8">
        <w:rPr>
          <w:i/>
          <w:iCs/>
          <w:lang w:val="en-US"/>
        </w:rPr>
        <w:t>Transportation research part a: Policy and practice</w:t>
      </w:r>
      <w:r w:rsidRPr="005022F8">
        <w:rPr>
          <w:lang w:val="en-US"/>
        </w:rPr>
        <w:t>, 132, pp.97–109. doi:10.1016/j.tra.2019.11.004.</w:t>
      </w:r>
    </w:p>
    <w:p w14:paraId="370C54A7" w14:textId="77777777" w:rsidR="005022F8" w:rsidRPr="005022F8" w:rsidRDefault="005022F8" w:rsidP="005022F8">
      <w:pPr>
        <w:rPr>
          <w:lang w:val="en-US"/>
        </w:rPr>
      </w:pPr>
      <w:r w:rsidRPr="005022F8">
        <w:rPr>
          <w:lang w:val="en-US"/>
        </w:rPr>
        <w:t>Johanson, J. and Vahlne, J.-E. (2009). The uppsala internationalization process model revisited: From liability of Foreignness to Liability of Outsidership. </w:t>
      </w:r>
      <w:r w:rsidRPr="005022F8">
        <w:rPr>
          <w:i/>
          <w:iCs/>
          <w:lang w:val="en-US"/>
        </w:rPr>
        <w:t>Journal of International business studies</w:t>
      </w:r>
      <w:r w:rsidRPr="005022F8">
        <w:rPr>
          <w:lang w:val="en-US"/>
        </w:rPr>
        <w:t>, 40(9), pp.1411–1431. doi:10.1057/jibs.2009.24.</w:t>
      </w:r>
    </w:p>
    <w:p w14:paraId="6F18566B" w14:textId="77777777" w:rsidR="005022F8" w:rsidRPr="005022F8" w:rsidRDefault="005022F8" w:rsidP="005022F8">
      <w:pPr>
        <w:rPr>
          <w:lang w:val="en-US"/>
        </w:rPr>
      </w:pPr>
      <w:r w:rsidRPr="005022F8">
        <w:rPr>
          <w:lang w:val="en-US"/>
        </w:rPr>
        <w:t>Khan, U., Yamamoto, T. and Sato, H. (2020). Consumer preferences for hydrogen fuel cell vehicles in Japan. </w:t>
      </w:r>
      <w:r w:rsidRPr="005022F8">
        <w:rPr>
          <w:i/>
          <w:iCs/>
          <w:lang w:val="en-US"/>
        </w:rPr>
        <w:t>Transportation research part d: Transport and environment</w:t>
      </w:r>
      <w:r w:rsidRPr="005022F8">
        <w:rPr>
          <w:lang w:val="en-US"/>
        </w:rPr>
        <w:t>, 87, p.102542. doi:10.1016/j.trd.2020.102542.</w:t>
      </w:r>
    </w:p>
    <w:p w14:paraId="13B83937" w14:textId="77777777" w:rsidR="005022F8" w:rsidRPr="005022F8" w:rsidRDefault="005022F8" w:rsidP="005022F8">
      <w:pPr>
        <w:rPr>
          <w:lang w:val="en-US"/>
        </w:rPr>
      </w:pPr>
      <w:r w:rsidRPr="005022F8">
        <w:rPr>
          <w:lang w:val="en-US"/>
        </w:rPr>
        <w:t>Khattak, Z.H. and Khattak, A.J. (2021). Spatial and unobserved heterogeneity in consumer preferences for adoption of electric and hybrid vehicles: A bayesian hierarchical modeling approach. </w:t>
      </w:r>
      <w:r w:rsidRPr="005022F8">
        <w:rPr>
          <w:i/>
          <w:iCs/>
          <w:lang w:val="en-US"/>
        </w:rPr>
        <w:t>International journal of sustainable transportation</w:t>
      </w:r>
      <w:r w:rsidRPr="005022F8">
        <w:rPr>
          <w:lang w:val="en-US"/>
        </w:rPr>
        <w:t>, pp.1–14. doi:10.1080/15568318.2021.1975327.</w:t>
      </w:r>
    </w:p>
    <w:p w14:paraId="1D77ADA7" w14:textId="77777777" w:rsidR="005022F8" w:rsidRPr="005022F8" w:rsidRDefault="005022F8" w:rsidP="005022F8">
      <w:pPr>
        <w:rPr>
          <w:lang w:val="en-US"/>
        </w:rPr>
      </w:pPr>
      <w:r w:rsidRPr="005022F8">
        <w:rPr>
          <w:lang w:val="en-US"/>
        </w:rPr>
        <w:t>Kim, S., Connerton, T.P. and Park, C. (2021). Exploring the impact of technological disruptions in the automotive retail: A futures studies and systems thinking approach based on causal layered analysis and causal loop diagram. </w:t>
      </w:r>
      <w:r w:rsidRPr="005022F8">
        <w:rPr>
          <w:i/>
          <w:iCs/>
          <w:lang w:val="en-US"/>
        </w:rPr>
        <w:t>Technological forecasting and social change</w:t>
      </w:r>
      <w:r w:rsidRPr="005022F8">
        <w:rPr>
          <w:lang w:val="en-US"/>
        </w:rPr>
        <w:t>, 172, p.121024. doi:10.1016/j.techfore.2021.121024.</w:t>
      </w:r>
    </w:p>
    <w:p w14:paraId="134D9BC3" w14:textId="77777777" w:rsidR="005022F8" w:rsidRPr="005022F8" w:rsidRDefault="005022F8" w:rsidP="005022F8">
      <w:pPr>
        <w:rPr>
          <w:lang w:val="en-US"/>
        </w:rPr>
      </w:pPr>
      <w:r w:rsidRPr="005022F8">
        <w:rPr>
          <w:lang w:val="en-US"/>
        </w:rPr>
        <w:t>Kizgin, H., Jamal, A., Dwivedi, Y.K. and Rana, N.P. (2020). The impact of online vs. offline acculturation on purchase intentions: A multigroup analysis of the role of education. </w:t>
      </w:r>
      <w:r w:rsidRPr="005022F8">
        <w:rPr>
          <w:i/>
          <w:iCs/>
          <w:lang w:val="en-US"/>
        </w:rPr>
        <w:t>Journal of Business research</w:t>
      </w:r>
      <w:r w:rsidRPr="005022F8">
        <w:rPr>
          <w:lang w:val="en-US"/>
        </w:rPr>
        <w:t>. [online] doi:10.1016/j.jbusres.2020.05.011.</w:t>
      </w:r>
    </w:p>
    <w:p w14:paraId="235D553E" w14:textId="77777777" w:rsidR="005022F8" w:rsidRPr="005022F8" w:rsidRDefault="005022F8" w:rsidP="005022F8">
      <w:pPr>
        <w:rPr>
          <w:lang w:val="en-US"/>
        </w:rPr>
      </w:pPr>
      <w:r w:rsidRPr="005022F8">
        <w:rPr>
          <w:lang w:val="en-US"/>
        </w:rPr>
        <w:t>Kumar, R.R. and Alok, K. (2020). Adoption of electric vehicle: A literature review and prospects for sustainability. </w:t>
      </w:r>
      <w:r w:rsidRPr="005022F8">
        <w:rPr>
          <w:i/>
          <w:iCs/>
          <w:lang w:val="en-US"/>
        </w:rPr>
        <w:t>Journal of Cleaner production</w:t>
      </w:r>
      <w:r w:rsidRPr="005022F8">
        <w:rPr>
          <w:lang w:val="en-US"/>
        </w:rPr>
        <w:t>, [online] 253(1), p.119911. doi:10.1016/j.jclepro.2019.119911.</w:t>
      </w:r>
    </w:p>
    <w:p w14:paraId="4E9BF75A" w14:textId="77777777" w:rsidR="005022F8" w:rsidRPr="005022F8" w:rsidRDefault="005022F8" w:rsidP="005022F8">
      <w:pPr>
        <w:rPr>
          <w:lang w:val="en-US"/>
        </w:rPr>
      </w:pPr>
      <w:r w:rsidRPr="005022F8">
        <w:rPr>
          <w:lang w:val="en-US"/>
        </w:rPr>
        <w:lastRenderedPageBreak/>
        <w:t>Liu, R., Ding, Z., Wang, Y., Jiang, X., Jiang, X., Sun, W., Wang, D., Mou, Y. and Liu, M. (2021). The relationship between symbolic meanings and adoption intention of electric vehicles in China: The moderating effects of consumer self-identity and face consciousness. </w:t>
      </w:r>
      <w:r w:rsidRPr="005022F8">
        <w:rPr>
          <w:i/>
          <w:iCs/>
          <w:lang w:val="en-US"/>
        </w:rPr>
        <w:t>Journal of Cleaner production</w:t>
      </w:r>
      <w:r w:rsidRPr="005022F8">
        <w:rPr>
          <w:lang w:val="en-US"/>
        </w:rPr>
        <w:t>, [online] 288, p.125116. doi:10.1016/j.jclepro.2020.125116.</w:t>
      </w:r>
    </w:p>
    <w:p w14:paraId="506D0AA4" w14:textId="77777777" w:rsidR="005022F8" w:rsidRPr="005022F8" w:rsidRDefault="005022F8" w:rsidP="005022F8">
      <w:pPr>
        <w:rPr>
          <w:lang w:val="en-US"/>
        </w:rPr>
      </w:pPr>
      <w:r w:rsidRPr="005022F8">
        <w:rPr>
          <w:lang w:val="en-US"/>
        </w:rPr>
        <w:t>Liu, Y. and Kang, Y. (2019). Adapt to the wild: The effect of dynamic capabilities on international entry mode. </w:t>
      </w:r>
      <w:r w:rsidRPr="005022F8">
        <w:rPr>
          <w:i/>
          <w:iCs/>
          <w:lang w:val="en-US"/>
        </w:rPr>
        <w:t>International studies of Management &amp; organization</w:t>
      </w:r>
      <w:r w:rsidRPr="005022F8">
        <w:rPr>
          <w:lang w:val="en-US"/>
        </w:rPr>
        <w:t>, 50(1), pp.74–90. doi:10.1080/00208825.2019.1703379.</w:t>
      </w:r>
    </w:p>
    <w:p w14:paraId="023E1258" w14:textId="77777777" w:rsidR="005022F8" w:rsidRPr="005022F8" w:rsidRDefault="005022F8" w:rsidP="005022F8">
      <w:pPr>
        <w:rPr>
          <w:lang w:val="en-US"/>
        </w:rPr>
      </w:pPr>
      <w:r w:rsidRPr="005022F8">
        <w:rPr>
          <w:lang w:val="en-US"/>
        </w:rPr>
        <w:t>Llopis-Albert, C.L., Rubio, F. and Valero, F. (2021). Impact of Digital transformation on the automotive industry. </w:t>
      </w:r>
      <w:r w:rsidRPr="005022F8">
        <w:rPr>
          <w:i/>
          <w:iCs/>
          <w:lang w:val="en-US"/>
        </w:rPr>
        <w:t>Technological forecasting and social change</w:t>
      </w:r>
      <w:r w:rsidRPr="005022F8">
        <w:rPr>
          <w:lang w:val="en-US"/>
        </w:rPr>
        <w:t>, 162(120343), p.120343.</w:t>
      </w:r>
    </w:p>
    <w:p w14:paraId="22526880" w14:textId="77777777" w:rsidR="005022F8" w:rsidRPr="005022F8" w:rsidRDefault="005022F8" w:rsidP="005022F8">
      <w:pPr>
        <w:rPr>
          <w:lang w:val="en-US"/>
        </w:rPr>
      </w:pPr>
      <w:r w:rsidRPr="005022F8">
        <w:rPr>
          <w:lang w:val="en-US"/>
        </w:rPr>
        <w:t>Ma, J., Yang, J. and Yoo, B. (2020). The moderating role of personal cultural values on consumer ethnocentrism in developing countries: The case of Brazil and russia. </w:t>
      </w:r>
      <w:r w:rsidRPr="005022F8">
        <w:rPr>
          <w:i/>
          <w:iCs/>
          <w:lang w:val="en-US"/>
        </w:rPr>
        <w:t>Journal of Business research</w:t>
      </w:r>
      <w:r w:rsidRPr="005022F8">
        <w:rPr>
          <w:lang w:val="en-US"/>
        </w:rPr>
        <w:t>, 108, pp.375–389. doi:10.1016/j.jbusres.2019.12.031.</w:t>
      </w:r>
    </w:p>
    <w:p w14:paraId="4E7FC8A0" w14:textId="77777777" w:rsidR="005022F8" w:rsidRPr="005022F8" w:rsidRDefault="005022F8" w:rsidP="005022F8">
      <w:pPr>
        <w:rPr>
          <w:lang w:val="en-US"/>
        </w:rPr>
      </w:pPr>
      <w:r w:rsidRPr="005022F8">
        <w:rPr>
          <w:lang w:val="en-US"/>
        </w:rPr>
        <w:t>Mahmoud, M.A., Adams, M., Abubakari, A., Commey, N.O. and Kastner, A.N.A. (2020). Social media resources and export performance: The role of trust and commitment. </w:t>
      </w:r>
      <w:r w:rsidRPr="005022F8">
        <w:rPr>
          <w:i/>
          <w:iCs/>
          <w:lang w:val="en-US"/>
        </w:rPr>
        <w:t>International marketing review</w:t>
      </w:r>
      <w:r w:rsidRPr="005022F8">
        <w:rPr>
          <w:lang w:val="en-US"/>
        </w:rPr>
        <w:t>, 37(2), pp.273–297. doi:10.1108/imr-02-2019-0084.</w:t>
      </w:r>
    </w:p>
    <w:p w14:paraId="17406F9B" w14:textId="77777777" w:rsidR="005022F8" w:rsidRPr="005022F8" w:rsidRDefault="005022F8" w:rsidP="005022F8">
      <w:pPr>
        <w:rPr>
          <w:lang w:val="en-US"/>
        </w:rPr>
      </w:pPr>
      <w:r w:rsidRPr="005022F8">
        <w:rPr>
          <w:lang w:val="en-US"/>
        </w:rPr>
        <w:t>Mandler, T., Sezen, B., Chen, J. and Özsomer, A. (2021). Performance consequences of marketing standardization/adaptation: A systematic literature review and future research agenda. </w:t>
      </w:r>
      <w:r w:rsidRPr="005022F8">
        <w:rPr>
          <w:i/>
          <w:iCs/>
          <w:lang w:val="en-US"/>
        </w:rPr>
        <w:t>Journal of Business research</w:t>
      </w:r>
      <w:r w:rsidRPr="005022F8">
        <w:rPr>
          <w:lang w:val="en-US"/>
        </w:rPr>
        <w:t>, 125(3), pp.416–435. doi:10.1016/j.jbusres.2020.12.023.</w:t>
      </w:r>
    </w:p>
    <w:p w14:paraId="1E0639BE" w14:textId="77777777" w:rsidR="005022F8" w:rsidRPr="005022F8" w:rsidRDefault="005022F8" w:rsidP="005022F8">
      <w:pPr>
        <w:rPr>
          <w:lang w:val="en-US"/>
        </w:rPr>
      </w:pPr>
      <w:r w:rsidRPr="005022F8">
        <w:rPr>
          <w:lang w:val="en-US"/>
        </w:rPr>
        <w:t>Mirzabeiki, V. and Saghiri, S.S. (2020). From ambition to action: How to achieve integration in omni-channel? </w:t>
      </w:r>
      <w:r w:rsidRPr="005022F8">
        <w:rPr>
          <w:i/>
          <w:iCs/>
          <w:lang w:val="en-US"/>
        </w:rPr>
        <w:t>Journal of Business research</w:t>
      </w:r>
      <w:r w:rsidRPr="005022F8">
        <w:rPr>
          <w:lang w:val="en-US"/>
        </w:rPr>
        <w:t>, 110, pp.1–11. doi:10.1016/j.jbusres.2019.12.028.</w:t>
      </w:r>
    </w:p>
    <w:p w14:paraId="6FE1FCD8" w14:textId="77777777" w:rsidR="005022F8" w:rsidRPr="005022F8" w:rsidRDefault="005022F8" w:rsidP="005022F8">
      <w:pPr>
        <w:rPr>
          <w:lang w:val="en-US"/>
        </w:rPr>
      </w:pPr>
      <w:r w:rsidRPr="005022F8">
        <w:rPr>
          <w:lang w:val="en-US"/>
        </w:rPr>
        <w:t>Moro, S., Pires, G., Rita, P. and Cortez, P. (2020). A cross-cultural case study of consumers” communications about a new technological product. </w:t>
      </w:r>
      <w:r w:rsidRPr="005022F8">
        <w:rPr>
          <w:i/>
          <w:iCs/>
          <w:lang w:val="en-US"/>
        </w:rPr>
        <w:t>Journal of Business research</w:t>
      </w:r>
      <w:r w:rsidRPr="005022F8">
        <w:rPr>
          <w:lang w:val="en-US"/>
        </w:rPr>
        <w:t>, 121. doi:10.1016/j.jbusres.2018.08.009.</w:t>
      </w:r>
    </w:p>
    <w:p w14:paraId="4BADEDF8" w14:textId="77777777" w:rsidR="005022F8" w:rsidRPr="005022F8" w:rsidRDefault="005022F8" w:rsidP="005022F8">
      <w:pPr>
        <w:rPr>
          <w:lang w:val="en-US"/>
        </w:rPr>
      </w:pPr>
      <w:r w:rsidRPr="005022F8">
        <w:rPr>
          <w:lang w:val="en-US"/>
        </w:rPr>
        <w:lastRenderedPageBreak/>
        <w:t>Morris, D., Madzudzo, G. and Garcia-Perez, A. (2020). Cybersecurity threats in the auto industry: Tensions in the knowledge environment. </w:t>
      </w:r>
      <w:r w:rsidRPr="005022F8">
        <w:rPr>
          <w:i/>
          <w:iCs/>
          <w:lang w:val="en-US"/>
        </w:rPr>
        <w:t>Technological forecasting and social change</w:t>
      </w:r>
      <w:r w:rsidRPr="005022F8">
        <w:rPr>
          <w:lang w:val="en-US"/>
        </w:rPr>
        <w:t>, 157, p.120102. doi:10.1016/j.techfore.2020.120102.</w:t>
      </w:r>
    </w:p>
    <w:p w14:paraId="6A8F148A" w14:textId="77777777" w:rsidR="005022F8" w:rsidRPr="005022F8" w:rsidRDefault="005022F8" w:rsidP="005022F8">
      <w:pPr>
        <w:rPr>
          <w:lang w:val="en-US"/>
        </w:rPr>
      </w:pPr>
      <w:r w:rsidRPr="005022F8">
        <w:rPr>
          <w:lang w:val="en-US"/>
        </w:rPr>
        <w:t>OECD (2025). </w:t>
      </w:r>
      <w:r w:rsidRPr="005022F8">
        <w:rPr>
          <w:i/>
          <w:iCs/>
          <w:lang w:val="en-US"/>
        </w:rPr>
        <w:t>Japan: OECD economic outlook, volume 2025 issue 2</w:t>
      </w:r>
      <w:r w:rsidRPr="005022F8">
        <w:rPr>
          <w:lang w:val="en-US"/>
        </w:rPr>
        <w:t>. [online] </w:t>
      </w:r>
      <w:r w:rsidRPr="005022F8">
        <w:rPr>
          <w:i/>
          <w:iCs/>
          <w:lang w:val="en-US"/>
        </w:rPr>
        <w:t>Organisation for Economic Co-operation and Development </w:t>
      </w:r>
      <w:r w:rsidRPr="005022F8">
        <w:rPr>
          <w:lang w:val="en-US"/>
        </w:rPr>
        <w:t xml:space="preserve">. Available at: </w:t>
      </w:r>
      <w:hyperlink r:id="rId42" w:history="1">
        <w:r w:rsidRPr="005022F8">
          <w:rPr>
            <w:rStyle w:val="Hyperlink"/>
            <w:lang w:val="en-US"/>
          </w:rPr>
          <w:t>https://www.oecd.org/en/publications/2025/12/oecd-economic-outlook-volume-2025-issue-2_413f7d0a/full-report/japan_ea7efd0c.html</w:t>
        </w:r>
      </w:hyperlink>
      <w:r w:rsidRPr="005022F8">
        <w:rPr>
          <w:lang w:val="en-US"/>
        </w:rPr>
        <w:t>.</w:t>
      </w:r>
    </w:p>
    <w:p w14:paraId="0E13DCFC" w14:textId="77777777" w:rsidR="005022F8" w:rsidRPr="005022F8" w:rsidRDefault="005022F8" w:rsidP="005022F8">
      <w:pPr>
        <w:rPr>
          <w:lang w:val="en-US"/>
        </w:rPr>
      </w:pPr>
      <w:r w:rsidRPr="005022F8">
        <w:rPr>
          <w:lang w:val="en-US"/>
        </w:rPr>
        <w:t>Park, B.I. and Xiao, S.S. (2020). Is exploring dynamic capabilities important for the performance of emerging market firms? The moderating effects of entrepreneurial orientation and environmental dynamism. </w:t>
      </w:r>
      <w:r w:rsidRPr="005022F8">
        <w:rPr>
          <w:i/>
          <w:iCs/>
          <w:lang w:val="en-US"/>
        </w:rPr>
        <w:t>International studies of Management &amp; organization</w:t>
      </w:r>
      <w:r w:rsidRPr="005022F8">
        <w:rPr>
          <w:lang w:val="en-US"/>
        </w:rPr>
        <w:t>, 50(1), pp.57–73. doi:10.1080/00208825.2019.1703378.</w:t>
      </w:r>
    </w:p>
    <w:p w14:paraId="2B1163C6" w14:textId="77777777" w:rsidR="005022F8" w:rsidRPr="005022F8" w:rsidRDefault="005022F8" w:rsidP="005022F8">
      <w:pPr>
        <w:rPr>
          <w:lang w:val="en-US"/>
        </w:rPr>
      </w:pPr>
      <w:r w:rsidRPr="005022F8">
        <w:rPr>
          <w:lang w:val="en-US"/>
        </w:rPr>
        <w:t>Piotrowska, M.Z. and Piotrowski, J. (2023). Hofstede’s cultural dimensions theory. </w:t>
      </w:r>
      <w:r w:rsidRPr="005022F8">
        <w:rPr>
          <w:i/>
          <w:iCs/>
          <w:lang w:val="en-US"/>
        </w:rPr>
        <w:t>Encyclopedia of sexual psychology and behavior</w:t>
      </w:r>
      <w:r w:rsidRPr="005022F8">
        <w:rPr>
          <w:lang w:val="en-US"/>
        </w:rPr>
        <w:t>, [online] 1(1), pp.1–4. doi:https://doi.org/10.1007/978-3-031-08956-5_1124-1.</w:t>
      </w:r>
    </w:p>
    <w:p w14:paraId="552D6D8F" w14:textId="77777777" w:rsidR="005022F8" w:rsidRPr="005022F8" w:rsidRDefault="005022F8" w:rsidP="005022F8">
      <w:pPr>
        <w:rPr>
          <w:lang w:val="en-US"/>
        </w:rPr>
      </w:pPr>
      <w:r w:rsidRPr="005022F8">
        <w:rPr>
          <w:lang w:val="en-US"/>
        </w:rPr>
        <w:t>Ruiz-Blanco, S., Romero, S. and Fernandez-Feijoo, B. (2021). Green, blue or black, but washing–What company characteristics determine greenwashing? </w:t>
      </w:r>
      <w:r w:rsidRPr="005022F8">
        <w:rPr>
          <w:i/>
          <w:iCs/>
          <w:lang w:val="en-US"/>
        </w:rPr>
        <w:t>Environment, development and sustainability</w:t>
      </w:r>
      <w:r w:rsidRPr="005022F8">
        <w:rPr>
          <w:lang w:val="en-US"/>
        </w:rPr>
        <w:t>, 24(3), pp.4024–4045. doi:10.1007/s10668-021-01602-x.</w:t>
      </w:r>
    </w:p>
    <w:p w14:paraId="4AD0DD7E" w14:textId="77777777" w:rsidR="005022F8" w:rsidRPr="005022F8" w:rsidRDefault="005022F8" w:rsidP="005022F8">
      <w:pPr>
        <w:rPr>
          <w:lang w:val="en-US"/>
        </w:rPr>
      </w:pPr>
      <w:r w:rsidRPr="005022F8">
        <w:rPr>
          <w:lang w:val="en-US"/>
        </w:rPr>
        <w:t>Scuotto, V., Nespoli, C., Palladino, R. and Safraou, I. (2021). Building dynamic capabilities for international marketing knowledge management. </w:t>
      </w:r>
      <w:r w:rsidRPr="005022F8">
        <w:rPr>
          <w:i/>
          <w:iCs/>
          <w:lang w:val="en-US"/>
        </w:rPr>
        <w:t>International marketing review</w:t>
      </w:r>
      <w:r w:rsidRPr="005022F8">
        <w:rPr>
          <w:lang w:val="en-US"/>
        </w:rPr>
        <w:t>, ahead-of-print(ahead-of-print). doi:10.1108/imr-03-2021-0108.</w:t>
      </w:r>
    </w:p>
    <w:p w14:paraId="49CDFCBF" w14:textId="77777777" w:rsidR="005022F8" w:rsidRPr="005022F8" w:rsidRDefault="005022F8" w:rsidP="005022F8">
      <w:pPr>
        <w:rPr>
          <w:lang w:val="en-US"/>
        </w:rPr>
      </w:pPr>
      <w:r w:rsidRPr="005022F8">
        <w:rPr>
          <w:lang w:val="en-US"/>
        </w:rPr>
        <w:t>Seele, P. and Schultz, M.D. (2022). From Greenwashing to machinewashing: A model and future directions derived from Reasoning by Analogy. </w:t>
      </w:r>
      <w:r w:rsidRPr="005022F8">
        <w:rPr>
          <w:i/>
          <w:iCs/>
          <w:lang w:val="en-US"/>
        </w:rPr>
        <w:t>Journal of Business ethics</w:t>
      </w:r>
      <w:r w:rsidRPr="005022F8">
        <w:rPr>
          <w:lang w:val="en-US"/>
        </w:rPr>
        <w:t>. doi:10.1007/s10551-022-05054-9.</w:t>
      </w:r>
    </w:p>
    <w:p w14:paraId="7E65FA48" w14:textId="77777777" w:rsidR="005022F8" w:rsidRPr="005022F8" w:rsidRDefault="005022F8" w:rsidP="005022F8">
      <w:pPr>
        <w:rPr>
          <w:lang w:val="en-US"/>
        </w:rPr>
      </w:pPr>
      <w:r w:rsidRPr="005022F8">
        <w:rPr>
          <w:lang w:val="en-US"/>
        </w:rPr>
        <w:t>Sintov, N.D., Abou-Ghalioum, V. and White, L.V. (2020). The partisan politics of low-carbon transport: Why democrats are more likely to adopt electric vehicles than republicans in the united states. </w:t>
      </w:r>
      <w:r w:rsidRPr="005022F8">
        <w:rPr>
          <w:i/>
          <w:iCs/>
          <w:lang w:val="en-US"/>
        </w:rPr>
        <w:t>Energy research &amp; social science</w:t>
      </w:r>
      <w:r w:rsidRPr="005022F8">
        <w:rPr>
          <w:lang w:val="en-US"/>
        </w:rPr>
        <w:t>, 68, p.101576. doi:10.1016/j.erss.2020.101576.</w:t>
      </w:r>
    </w:p>
    <w:p w14:paraId="293FA6A0" w14:textId="77777777" w:rsidR="005022F8" w:rsidRPr="005022F8" w:rsidRDefault="005022F8" w:rsidP="005022F8">
      <w:pPr>
        <w:rPr>
          <w:lang w:val="en-US"/>
        </w:rPr>
      </w:pPr>
      <w:r w:rsidRPr="005022F8">
        <w:rPr>
          <w:lang w:val="en-US"/>
        </w:rPr>
        <w:lastRenderedPageBreak/>
        <w:t xml:space="preserve">The Culture Factor Group (2026) Country comparison tool: Japan and the United States. Available at: </w:t>
      </w:r>
      <w:hyperlink r:id="rId43" w:history="1">
        <w:r w:rsidRPr="005022F8">
          <w:rPr>
            <w:rStyle w:val="Hyperlink"/>
            <w:lang w:val="en-US"/>
          </w:rPr>
          <w:t>https://www.theculturefactor.com/country-comparison-tool?countries=japan%2Cunited+states</w:t>
        </w:r>
      </w:hyperlink>
    </w:p>
    <w:p w14:paraId="09E81561" w14:textId="77777777" w:rsidR="005022F8" w:rsidRPr="005022F8" w:rsidRDefault="005022F8" w:rsidP="005022F8">
      <w:pPr>
        <w:rPr>
          <w:lang w:val="en-US"/>
        </w:rPr>
      </w:pPr>
      <w:r w:rsidRPr="005022F8">
        <w:rPr>
          <w:lang w:val="en-US"/>
        </w:rPr>
        <w:t xml:space="preserve">Toyota Motor Corporation (2025a) Sustainability Data Book 2025. Toyota City: Toyota Motor Corporation. Available at: </w:t>
      </w:r>
      <w:hyperlink r:id="rId44" w:history="1">
        <w:r w:rsidRPr="005022F8">
          <w:rPr>
            <w:rStyle w:val="Hyperlink"/>
            <w:lang w:val="en-US"/>
          </w:rPr>
          <w:t>https://global.toyota/pages/global_toyota/sustainability/report/sdb/sdb25_en.pdf</w:t>
        </w:r>
      </w:hyperlink>
    </w:p>
    <w:p w14:paraId="2788E822" w14:textId="77777777" w:rsidR="005022F8" w:rsidRPr="005022F8" w:rsidRDefault="005022F8" w:rsidP="005022F8">
      <w:pPr>
        <w:rPr>
          <w:lang w:val="en-US"/>
        </w:rPr>
      </w:pPr>
      <w:r w:rsidRPr="005022F8">
        <w:rPr>
          <w:lang w:val="en-US"/>
        </w:rPr>
        <w:t xml:space="preserve">Toyota Motor Corporation (2025a). Integrated Report 2025. Toyota City: Toyota Motor Corporation. Available at: </w:t>
      </w:r>
      <w:hyperlink r:id="rId45" w:history="1">
        <w:r w:rsidRPr="005022F8">
          <w:rPr>
            <w:rStyle w:val="Hyperlink"/>
            <w:lang w:val="en-US"/>
          </w:rPr>
          <w:t>https://global.toyota/pages/global_toyota/ir/library/annual/2025_001_integrated_en.pdf</w:t>
        </w:r>
      </w:hyperlink>
    </w:p>
    <w:p w14:paraId="4A3E152D" w14:textId="77777777" w:rsidR="005022F8" w:rsidRPr="005022F8" w:rsidRDefault="005022F8" w:rsidP="005022F8">
      <w:pPr>
        <w:rPr>
          <w:lang w:val="en-US"/>
        </w:rPr>
      </w:pPr>
      <w:r w:rsidRPr="005022F8">
        <w:rPr>
          <w:lang w:val="en-US"/>
        </w:rPr>
        <w:t>Toyota Motor Corporation (2026). </w:t>
      </w:r>
      <w:r w:rsidRPr="005022F8">
        <w:rPr>
          <w:i/>
          <w:iCs/>
          <w:lang w:val="en-US"/>
        </w:rPr>
        <w:t>The beginnings | history of Toyota | trajectory of Toyota | company | Toyota motor corporation official global website</w:t>
      </w:r>
      <w:r w:rsidRPr="005022F8">
        <w:rPr>
          <w:lang w:val="en-US"/>
        </w:rPr>
        <w:t>. [online] </w:t>
      </w:r>
      <w:r w:rsidRPr="005022F8">
        <w:rPr>
          <w:i/>
          <w:iCs/>
          <w:lang w:val="en-US"/>
        </w:rPr>
        <w:t>Toyota Motor Corporation Official Global Website</w:t>
      </w:r>
      <w:r w:rsidRPr="005022F8">
        <w:rPr>
          <w:lang w:val="en-US"/>
        </w:rPr>
        <w:t xml:space="preserve">. Available at: </w:t>
      </w:r>
      <w:hyperlink r:id="rId46" w:history="1">
        <w:r w:rsidRPr="005022F8">
          <w:rPr>
            <w:rStyle w:val="Hyperlink"/>
            <w:lang w:val="en-US"/>
          </w:rPr>
          <w:t>https://global.toyota/en/company/trajectory-of-toyota/history/01/</w:t>
        </w:r>
      </w:hyperlink>
    </w:p>
    <w:p w14:paraId="4ABF3B5C" w14:textId="77777777" w:rsidR="005022F8" w:rsidRPr="005022F8" w:rsidRDefault="005022F8" w:rsidP="005022F8">
      <w:pPr>
        <w:rPr>
          <w:lang w:val="en-US"/>
        </w:rPr>
      </w:pPr>
      <w:r w:rsidRPr="005022F8">
        <w:rPr>
          <w:lang w:val="en-US"/>
        </w:rPr>
        <w:t>Toyota Motor Corporation Japan (2025). </w:t>
      </w:r>
      <w:r w:rsidRPr="005022F8">
        <w:rPr>
          <w:i/>
          <w:iCs/>
          <w:lang w:val="en-US"/>
        </w:rPr>
        <w:t>Toyota to Launch All-New corolla cross in Japan | Toyota | global newsroom</w:t>
      </w:r>
      <w:r w:rsidRPr="005022F8">
        <w:rPr>
          <w:lang w:val="en-US"/>
        </w:rPr>
        <w:t>. [online] </w:t>
      </w:r>
      <w:r w:rsidRPr="005022F8">
        <w:rPr>
          <w:i/>
          <w:iCs/>
          <w:lang w:val="en-US"/>
        </w:rPr>
        <w:t>Toyota Motor Corporation Official Global Website</w:t>
      </w:r>
      <w:r w:rsidRPr="005022F8">
        <w:rPr>
          <w:lang w:val="en-US"/>
        </w:rPr>
        <w:t xml:space="preserve">. Available at: </w:t>
      </w:r>
      <w:hyperlink r:id="rId47" w:history="1">
        <w:r w:rsidRPr="005022F8">
          <w:rPr>
            <w:rStyle w:val="Hyperlink"/>
            <w:lang w:val="en-US"/>
          </w:rPr>
          <w:t>https://global.toyota/en/newsroom/toyota/35872105.html</w:t>
        </w:r>
      </w:hyperlink>
      <w:r w:rsidRPr="005022F8">
        <w:rPr>
          <w:lang w:val="en-US"/>
        </w:rPr>
        <w:t>.</w:t>
      </w:r>
    </w:p>
    <w:p w14:paraId="2555145C" w14:textId="77777777" w:rsidR="005022F8" w:rsidRPr="005022F8" w:rsidRDefault="005022F8" w:rsidP="005022F8">
      <w:pPr>
        <w:rPr>
          <w:lang w:val="en-US"/>
        </w:rPr>
      </w:pPr>
      <w:r w:rsidRPr="005022F8">
        <w:rPr>
          <w:lang w:val="en-US"/>
        </w:rPr>
        <w:t>Toyota Motor North America  - Crisler, N. (2026). </w:t>
      </w:r>
      <w:r w:rsidRPr="005022F8">
        <w:rPr>
          <w:i/>
          <w:iCs/>
          <w:lang w:val="en-US"/>
        </w:rPr>
        <w:t>Toyota motor north america reports march, first quarter 2026 U.S. sales results - toyota USA Newsroom</w:t>
      </w:r>
      <w:r w:rsidRPr="005022F8">
        <w:rPr>
          <w:lang w:val="en-US"/>
        </w:rPr>
        <w:t>. [online] </w:t>
      </w:r>
      <w:r w:rsidRPr="005022F8">
        <w:rPr>
          <w:i/>
          <w:iCs/>
          <w:lang w:val="en-US"/>
        </w:rPr>
        <w:t>Toyota USA Newsroom</w:t>
      </w:r>
      <w:r w:rsidRPr="005022F8">
        <w:rPr>
          <w:lang w:val="en-US"/>
        </w:rPr>
        <w:t xml:space="preserve">. Available at: </w:t>
      </w:r>
      <w:hyperlink r:id="rId48" w:history="1">
        <w:r w:rsidRPr="005022F8">
          <w:rPr>
            <w:rStyle w:val="Hyperlink"/>
            <w:lang w:val="en-US"/>
          </w:rPr>
          <w:t>https://pressroom.toyota.com/toyota-motor-north-america-reports-march-first-quarter-2026-u-s-sales-results/</w:t>
        </w:r>
      </w:hyperlink>
      <w:r w:rsidRPr="005022F8">
        <w:rPr>
          <w:lang w:val="en-US"/>
        </w:rPr>
        <w:t>.</w:t>
      </w:r>
    </w:p>
    <w:p w14:paraId="4BFAE264" w14:textId="77777777" w:rsidR="005022F8" w:rsidRPr="005022F8" w:rsidRDefault="005022F8" w:rsidP="005022F8">
      <w:pPr>
        <w:rPr>
          <w:lang w:val="en-US"/>
        </w:rPr>
      </w:pPr>
      <w:r w:rsidRPr="005022F8">
        <w:rPr>
          <w:lang w:val="en-US"/>
        </w:rPr>
        <w:t>Toyota Motor North America - Faulner, M. (2025). </w:t>
      </w:r>
      <w:r w:rsidRPr="005022F8">
        <w:rPr>
          <w:i/>
          <w:iCs/>
          <w:lang w:val="en-US"/>
        </w:rPr>
        <w:t>Toyota releases 2025 north american environmental sustainability report - Toyota USA newsroom</w:t>
      </w:r>
      <w:r w:rsidRPr="005022F8">
        <w:rPr>
          <w:lang w:val="en-US"/>
        </w:rPr>
        <w:t>. [online] </w:t>
      </w:r>
      <w:r w:rsidRPr="005022F8">
        <w:rPr>
          <w:i/>
          <w:iCs/>
          <w:lang w:val="en-US"/>
        </w:rPr>
        <w:t>Toyota USA Newsroom</w:t>
      </w:r>
      <w:r w:rsidRPr="005022F8">
        <w:rPr>
          <w:lang w:val="en-US"/>
        </w:rPr>
        <w:t xml:space="preserve">. Available at: </w:t>
      </w:r>
      <w:hyperlink r:id="rId49" w:history="1">
        <w:r w:rsidRPr="005022F8">
          <w:rPr>
            <w:rStyle w:val="Hyperlink"/>
            <w:lang w:val="en-US"/>
          </w:rPr>
          <w:t>https://pressroom.toyota.com/toyota-releases-2025-north-american-environmental-sustainability-report/</w:t>
        </w:r>
      </w:hyperlink>
      <w:r w:rsidRPr="005022F8">
        <w:rPr>
          <w:lang w:val="en-US"/>
        </w:rPr>
        <w:t>.</w:t>
      </w:r>
    </w:p>
    <w:p w14:paraId="72CBEF6A" w14:textId="77777777" w:rsidR="005022F8" w:rsidRPr="005022F8" w:rsidRDefault="005022F8" w:rsidP="005022F8">
      <w:pPr>
        <w:rPr>
          <w:lang w:val="en-US"/>
        </w:rPr>
      </w:pPr>
      <w:r w:rsidRPr="005022F8">
        <w:rPr>
          <w:lang w:val="en-US"/>
        </w:rPr>
        <w:t>Toyota Motor Sales USA (2025) - Faulner, M. (2026). </w:t>
      </w:r>
      <w:r w:rsidRPr="005022F8">
        <w:rPr>
          <w:i/>
          <w:iCs/>
          <w:lang w:val="en-US"/>
        </w:rPr>
        <w:t>Toyota motor north america reports 2025 U.S. sales results - toyota USA Newsroom</w:t>
      </w:r>
      <w:r w:rsidRPr="005022F8">
        <w:rPr>
          <w:lang w:val="en-US"/>
        </w:rPr>
        <w:t>. [online] </w:t>
      </w:r>
      <w:r w:rsidRPr="005022F8">
        <w:rPr>
          <w:i/>
          <w:iCs/>
          <w:lang w:val="en-US"/>
        </w:rPr>
        <w:t>Toyota USA Newsroom</w:t>
      </w:r>
      <w:r w:rsidRPr="005022F8">
        <w:rPr>
          <w:lang w:val="en-US"/>
        </w:rPr>
        <w:t xml:space="preserve">. Available at: </w:t>
      </w:r>
      <w:hyperlink r:id="rId50" w:history="1">
        <w:r w:rsidRPr="005022F8">
          <w:rPr>
            <w:rStyle w:val="Hyperlink"/>
            <w:lang w:val="en-US"/>
          </w:rPr>
          <w:t>https://pressroom.toyota.com/toyota-motor-north-america-reports-2025-u-s-sales-results/</w:t>
        </w:r>
      </w:hyperlink>
    </w:p>
    <w:p w14:paraId="14ACB497" w14:textId="77777777" w:rsidR="005022F8" w:rsidRPr="005022F8" w:rsidRDefault="005022F8" w:rsidP="005022F8">
      <w:pPr>
        <w:rPr>
          <w:lang w:val="en-US"/>
        </w:rPr>
      </w:pPr>
      <w:r w:rsidRPr="005022F8">
        <w:rPr>
          <w:lang w:val="en-US"/>
        </w:rPr>
        <w:lastRenderedPageBreak/>
        <w:t>U.S. Department of Justice (2021). </w:t>
      </w:r>
      <w:r w:rsidRPr="005022F8">
        <w:rPr>
          <w:i/>
          <w:iCs/>
          <w:lang w:val="en-US"/>
        </w:rPr>
        <w:t>Toyota motor company to pay $180 million in settlement for Decade-Long noncompliance with clean air act reporting requirements</w:t>
      </w:r>
      <w:r w:rsidRPr="005022F8">
        <w:rPr>
          <w:lang w:val="en-US"/>
        </w:rPr>
        <w:t>. [online] </w:t>
      </w:r>
      <w:r w:rsidRPr="005022F8">
        <w:rPr>
          <w:i/>
          <w:iCs/>
          <w:lang w:val="en-US"/>
        </w:rPr>
        <w:t>Justice.gov</w:t>
      </w:r>
      <w:r w:rsidRPr="005022F8">
        <w:rPr>
          <w:lang w:val="en-US"/>
        </w:rPr>
        <w:t>. Available at: https://www.justice.gov/archives/opa/pr/toyota-motor-company-pay-180-million-settlement-decade-long-noncompliance-clean-air-act.</w:t>
      </w:r>
    </w:p>
    <w:p w14:paraId="4098BABB" w14:textId="77777777" w:rsidR="005022F8" w:rsidRPr="005022F8" w:rsidRDefault="005022F8" w:rsidP="005022F8">
      <w:pPr>
        <w:rPr>
          <w:lang w:val="en-US"/>
        </w:rPr>
      </w:pPr>
      <w:r w:rsidRPr="005022F8">
        <w:rPr>
          <w:lang w:val="en-US"/>
        </w:rPr>
        <w:t>Vadana, I.-I., Torkkeli, L., Kuivalainen, O. and Saarenketo, S. (2019). Digitalization of companies in international entrepreneurship and marketing. </w:t>
      </w:r>
      <w:r w:rsidRPr="005022F8">
        <w:rPr>
          <w:i/>
          <w:iCs/>
          <w:lang w:val="en-US"/>
        </w:rPr>
        <w:t>International marketing review</w:t>
      </w:r>
      <w:r w:rsidRPr="005022F8">
        <w:rPr>
          <w:lang w:val="en-US"/>
        </w:rPr>
        <w:t>, 37(3). doi:10.1108/imr-04-2018-0129.</w:t>
      </w:r>
    </w:p>
    <w:p w14:paraId="3E40626A" w14:textId="77777777" w:rsidR="005022F8" w:rsidRPr="005022F8" w:rsidRDefault="005022F8" w:rsidP="005022F8">
      <w:pPr>
        <w:rPr>
          <w:lang w:val="en-US"/>
        </w:rPr>
      </w:pPr>
      <w:r w:rsidRPr="005022F8">
        <w:rPr>
          <w:lang w:val="en-US"/>
        </w:rPr>
        <w:t>Wang, F. (2020). Digital marketing capabilities in international firms: A relational perspective. </w:t>
      </w:r>
      <w:r w:rsidRPr="005022F8">
        <w:rPr>
          <w:i/>
          <w:iCs/>
          <w:lang w:val="en-US"/>
        </w:rPr>
        <w:t>International marketing review</w:t>
      </w:r>
      <w:r w:rsidRPr="005022F8">
        <w:rPr>
          <w:lang w:val="en-US"/>
        </w:rPr>
        <w:t>, 37(3), pp.559–577. doi:10.1108/imr-04-2018-0128.</w:t>
      </w:r>
    </w:p>
    <w:p w14:paraId="470C451D" w14:textId="77777777" w:rsidR="005022F8" w:rsidRPr="005022F8" w:rsidRDefault="005022F8" w:rsidP="005022F8">
      <w:pPr>
        <w:rPr>
          <w:lang w:val="en-US"/>
        </w:rPr>
      </w:pPr>
      <w:r w:rsidRPr="005022F8">
        <w:rPr>
          <w:lang w:val="en-US"/>
        </w:rPr>
        <w:t>Wicki, M., Brückmann, G. and Bernauer, T. (2022). How to accelerate the uptake of electric cars? Insights from a choice experiment. </w:t>
      </w:r>
      <w:r w:rsidRPr="005022F8">
        <w:rPr>
          <w:i/>
          <w:iCs/>
          <w:lang w:val="en-US"/>
        </w:rPr>
        <w:t>Journal of Cleaner production</w:t>
      </w:r>
      <w:r w:rsidRPr="005022F8">
        <w:rPr>
          <w:lang w:val="en-US"/>
        </w:rPr>
        <w:t>, 355, p.131774. doi:10.1016/j.jclepro.2022.131774.</w:t>
      </w:r>
    </w:p>
    <w:p w14:paraId="3CC443C0" w14:textId="77777777" w:rsidR="005022F8" w:rsidRPr="005022F8" w:rsidRDefault="005022F8" w:rsidP="005022F8">
      <w:pPr>
        <w:rPr>
          <w:lang w:val="en-US"/>
        </w:rPr>
      </w:pPr>
      <w:r w:rsidRPr="005022F8">
        <w:rPr>
          <w:lang w:val="en-US"/>
        </w:rPr>
        <w:t xml:space="preserve">World Bank (2026) World Development Indicators: Japan and United States country comparison. Available at: </w:t>
      </w:r>
      <w:hyperlink r:id="rId51" w:history="1">
        <w:r w:rsidRPr="005022F8">
          <w:rPr>
            <w:rStyle w:val="Hyperlink"/>
            <w:lang w:val="en-US"/>
          </w:rPr>
          <w:t>https://data.worldbank.org/?locations=JP-US</w:t>
        </w:r>
      </w:hyperlink>
    </w:p>
    <w:p w14:paraId="5067EAE6" w14:textId="77777777" w:rsidR="005022F8" w:rsidRPr="005022F8" w:rsidRDefault="005022F8" w:rsidP="005022F8">
      <w:pPr>
        <w:rPr>
          <w:lang w:val="en-US"/>
        </w:rPr>
      </w:pPr>
      <w:r w:rsidRPr="005022F8">
        <w:rPr>
          <w:lang w:val="en-US"/>
        </w:rPr>
        <w:t>World Bank (2026). </w:t>
      </w:r>
      <w:r w:rsidRPr="005022F8">
        <w:rPr>
          <w:i/>
          <w:iCs/>
          <w:lang w:val="en-US"/>
        </w:rPr>
        <w:t xml:space="preserve">World development indicators | </w:t>
      </w:r>
      <w:r w:rsidRPr="005022F8">
        <w:rPr>
          <w:lang w:val="en-US"/>
        </w:rPr>
        <w:t>Japan and United States country comparison. [online] </w:t>
      </w:r>
      <w:r w:rsidRPr="005022F8">
        <w:rPr>
          <w:i/>
          <w:iCs/>
          <w:lang w:val="en-US"/>
        </w:rPr>
        <w:t>Worldbank.org</w:t>
      </w:r>
      <w:r w:rsidRPr="005022F8">
        <w:rPr>
          <w:lang w:val="en-US"/>
        </w:rPr>
        <w:t xml:space="preserve">. The World Bank. Available at: </w:t>
      </w:r>
      <w:hyperlink r:id="rId52" w:history="1">
        <w:r w:rsidRPr="005022F8">
          <w:rPr>
            <w:rStyle w:val="Hyperlink"/>
            <w:lang w:val="en-US"/>
          </w:rPr>
          <w:t>https://databank.worldbank.org/source/world-development-indicators#</w:t>
        </w:r>
      </w:hyperlink>
    </w:p>
    <w:p w14:paraId="3DAB64B4" w14:textId="77777777" w:rsidR="005022F8" w:rsidRPr="005022F8" w:rsidRDefault="005022F8" w:rsidP="005022F8">
      <w:pPr>
        <w:rPr>
          <w:lang w:val="en-US"/>
        </w:rPr>
      </w:pPr>
      <w:r w:rsidRPr="005022F8">
        <w:rPr>
          <w:lang w:val="en-US"/>
        </w:rPr>
        <w:t>Yang, M., Fu, M. and Zhang, Z. (2021). The adoption of Digital technologies in Supply chains: Drivers, process and impact. </w:t>
      </w:r>
      <w:r w:rsidRPr="005022F8">
        <w:rPr>
          <w:i/>
          <w:iCs/>
          <w:lang w:val="en-US"/>
        </w:rPr>
        <w:t>Technological forecasting and social change</w:t>
      </w:r>
      <w:r w:rsidRPr="005022F8">
        <w:rPr>
          <w:lang w:val="en-US"/>
        </w:rPr>
        <w:t>, [online] 169, p.120795. doi:https://doi.org/10.1016/j.techfore.2021.120795.</w:t>
      </w:r>
    </w:p>
    <w:sectPr w:rsidR="005022F8" w:rsidRPr="005022F8">
      <w:footerReference w:type="default" r:id="rId5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65E25A" w14:textId="77777777" w:rsidR="00E54FB2" w:rsidRDefault="00E54FB2" w:rsidP="00D72251">
      <w:pPr>
        <w:spacing w:after="0" w:line="240" w:lineRule="auto"/>
      </w:pPr>
      <w:r>
        <w:separator/>
      </w:r>
    </w:p>
  </w:endnote>
  <w:endnote w:type="continuationSeparator" w:id="0">
    <w:p w14:paraId="769CFCF7" w14:textId="77777777" w:rsidR="00E54FB2" w:rsidRDefault="00E54FB2" w:rsidP="00D722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243891"/>
      <w:docPartObj>
        <w:docPartGallery w:val="Page Numbers (Bottom of Page)"/>
        <w:docPartUnique/>
      </w:docPartObj>
    </w:sdtPr>
    <w:sdtEndPr>
      <w:rPr>
        <w:noProof/>
      </w:rPr>
    </w:sdtEndPr>
    <w:sdtContent>
      <w:p w14:paraId="49914852" w14:textId="77777777" w:rsidR="00D72251" w:rsidRDefault="00D72251">
        <w:pPr>
          <w:pStyle w:val="Footer"/>
          <w:jc w:val="right"/>
        </w:pPr>
        <w:r>
          <w:fldChar w:fldCharType="begin"/>
        </w:r>
        <w:r>
          <w:instrText xml:space="preserve"> PAGE   \* MERGEFORMAT </w:instrText>
        </w:r>
        <w:r>
          <w:fldChar w:fldCharType="separate"/>
        </w:r>
        <w:r w:rsidR="005022F8">
          <w:rPr>
            <w:noProof/>
          </w:rPr>
          <w:t>7</w:t>
        </w:r>
        <w:r>
          <w:rPr>
            <w:noProof/>
          </w:rPr>
          <w:fldChar w:fldCharType="end"/>
        </w:r>
      </w:p>
    </w:sdtContent>
  </w:sdt>
  <w:p w14:paraId="65904AF4" w14:textId="77777777" w:rsidR="00D72251" w:rsidRDefault="00D722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2D3179" w14:textId="77777777" w:rsidR="00E54FB2" w:rsidRDefault="00E54FB2" w:rsidP="00D72251">
      <w:pPr>
        <w:spacing w:after="0" w:line="240" w:lineRule="auto"/>
      </w:pPr>
      <w:r>
        <w:separator/>
      </w:r>
    </w:p>
  </w:footnote>
  <w:footnote w:type="continuationSeparator" w:id="0">
    <w:p w14:paraId="72462393" w14:textId="77777777" w:rsidR="00E54FB2" w:rsidRDefault="00E54FB2" w:rsidP="00D722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77795"/>
    <w:multiLevelType w:val="multilevel"/>
    <w:tmpl w:val="C7E08D2C"/>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0EA0FCE"/>
    <w:multiLevelType w:val="multilevel"/>
    <w:tmpl w:val="A510F2A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A652DF4"/>
    <w:multiLevelType w:val="multilevel"/>
    <w:tmpl w:val="66180362"/>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738862837">
    <w:abstractNumId w:val="0"/>
  </w:num>
  <w:num w:numId="2" w16cid:durableId="1647513028">
    <w:abstractNumId w:val="2"/>
  </w:num>
  <w:num w:numId="3" w16cid:durableId="11365264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27F1"/>
    <w:rsid w:val="00006588"/>
    <w:rsid w:val="00020323"/>
    <w:rsid w:val="0005417B"/>
    <w:rsid w:val="00346465"/>
    <w:rsid w:val="00351AAB"/>
    <w:rsid w:val="00386DE0"/>
    <w:rsid w:val="003A5093"/>
    <w:rsid w:val="003E27F1"/>
    <w:rsid w:val="003F1BB8"/>
    <w:rsid w:val="0041064C"/>
    <w:rsid w:val="00466CCF"/>
    <w:rsid w:val="00485B79"/>
    <w:rsid w:val="005022F8"/>
    <w:rsid w:val="0055784A"/>
    <w:rsid w:val="005A2D24"/>
    <w:rsid w:val="00605B7D"/>
    <w:rsid w:val="0062789F"/>
    <w:rsid w:val="006407F0"/>
    <w:rsid w:val="00644796"/>
    <w:rsid w:val="006B3BDA"/>
    <w:rsid w:val="006F344B"/>
    <w:rsid w:val="007247F5"/>
    <w:rsid w:val="0074260B"/>
    <w:rsid w:val="00763064"/>
    <w:rsid w:val="008522D2"/>
    <w:rsid w:val="00877CCE"/>
    <w:rsid w:val="00877D6E"/>
    <w:rsid w:val="008B6F3B"/>
    <w:rsid w:val="008F2A5C"/>
    <w:rsid w:val="008F2CAC"/>
    <w:rsid w:val="0091781F"/>
    <w:rsid w:val="00924FA7"/>
    <w:rsid w:val="00956EB6"/>
    <w:rsid w:val="009D3614"/>
    <w:rsid w:val="009F3E18"/>
    <w:rsid w:val="00A311E1"/>
    <w:rsid w:val="00A374B9"/>
    <w:rsid w:val="00A8286B"/>
    <w:rsid w:val="00BB76CA"/>
    <w:rsid w:val="00BC73DB"/>
    <w:rsid w:val="00C13C37"/>
    <w:rsid w:val="00D33652"/>
    <w:rsid w:val="00D72251"/>
    <w:rsid w:val="00D867CA"/>
    <w:rsid w:val="00E54FB2"/>
    <w:rsid w:val="00EC60BF"/>
    <w:rsid w:val="00FF1E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C221D"/>
  <w15:chartTrackingRefBased/>
  <w15:docId w15:val="{0F8F6B92-9CCC-492A-97D5-EB6F33862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323"/>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BC73DB"/>
    <w:pPr>
      <w:keepNext/>
      <w:keepLines/>
      <w:spacing w:before="240" w:after="0"/>
      <w:outlineLvl w:val="0"/>
    </w:pPr>
    <w:rPr>
      <w:rFonts w:eastAsiaTheme="majorEastAsia" w:cstheme="majorBidi"/>
      <w:b/>
      <w:color w:val="000000" w:themeColor="text1"/>
      <w:sz w:val="36"/>
      <w:szCs w:val="32"/>
    </w:rPr>
  </w:style>
  <w:style w:type="paragraph" w:styleId="Heading2">
    <w:name w:val="heading 2"/>
    <w:basedOn w:val="Normal"/>
    <w:next w:val="Normal"/>
    <w:link w:val="Heading2Char"/>
    <w:autoRedefine/>
    <w:uiPriority w:val="9"/>
    <w:unhideWhenUsed/>
    <w:qFormat/>
    <w:rsid w:val="00BC73DB"/>
    <w:pPr>
      <w:keepNext/>
      <w:keepLines/>
      <w:spacing w:before="40" w:after="0"/>
      <w:outlineLvl w:val="1"/>
    </w:pPr>
    <w:rPr>
      <w:rFonts w:eastAsiaTheme="majorEastAsia" w:cstheme="majorBidi"/>
      <w:b/>
      <w:color w:val="002060"/>
      <w:sz w:val="32"/>
      <w:szCs w:val="26"/>
    </w:rPr>
  </w:style>
  <w:style w:type="paragraph" w:styleId="Heading3">
    <w:name w:val="heading 3"/>
    <w:basedOn w:val="Normal"/>
    <w:next w:val="Normal"/>
    <w:link w:val="Heading3Char"/>
    <w:uiPriority w:val="9"/>
    <w:unhideWhenUsed/>
    <w:qFormat/>
    <w:rsid w:val="00BC73DB"/>
    <w:pPr>
      <w:keepNext/>
      <w:keepLines/>
      <w:spacing w:before="40" w:after="0"/>
      <w:outlineLvl w:val="2"/>
    </w:pPr>
    <w:rPr>
      <w:rFonts w:eastAsiaTheme="majorEastAsia" w:cstheme="majorBidi"/>
      <w:b/>
      <w:color w:val="000000" w:themeColor="text1"/>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3DB"/>
    <w:rPr>
      <w:rFonts w:ascii="Arial" w:eastAsiaTheme="majorEastAsia" w:hAnsi="Arial" w:cstheme="majorBidi"/>
      <w:b/>
      <w:color w:val="000000" w:themeColor="text1"/>
      <w:sz w:val="36"/>
      <w:szCs w:val="32"/>
      <w:lang w:val="en-GB"/>
    </w:rPr>
  </w:style>
  <w:style w:type="character" w:customStyle="1" w:styleId="Heading2Char">
    <w:name w:val="Heading 2 Char"/>
    <w:basedOn w:val="DefaultParagraphFont"/>
    <w:link w:val="Heading2"/>
    <w:uiPriority w:val="9"/>
    <w:rsid w:val="00BC73DB"/>
    <w:rPr>
      <w:rFonts w:ascii="Arial" w:eastAsiaTheme="majorEastAsia" w:hAnsi="Arial" w:cstheme="majorBidi"/>
      <w:b/>
      <w:color w:val="002060"/>
      <w:sz w:val="32"/>
      <w:szCs w:val="26"/>
      <w:lang w:val="en-GB"/>
    </w:rPr>
  </w:style>
  <w:style w:type="paragraph" w:styleId="Caption">
    <w:name w:val="caption"/>
    <w:basedOn w:val="Normal"/>
    <w:next w:val="Normal"/>
    <w:uiPriority w:val="35"/>
    <w:unhideWhenUsed/>
    <w:qFormat/>
    <w:rsid w:val="00BC73DB"/>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BC73DB"/>
    <w:rPr>
      <w:rFonts w:ascii="Arial" w:eastAsiaTheme="majorEastAsia" w:hAnsi="Arial" w:cstheme="majorBidi"/>
      <w:b/>
      <w:color w:val="000000" w:themeColor="text1"/>
      <w:sz w:val="28"/>
      <w:szCs w:val="24"/>
      <w:lang w:val="en-GB"/>
    </w:rPr>
  </w:style>
  <w:style w:type="paragraph" w:styleId="ListParagraph">
    <w:name w:val="List Paragraph"/>
    <w:basedOn w:val="Normal"/>
    <w:uiPriority w:val="34"/>
    <w:qFormat/>
    <w:rsid w:val="00BC73DB"/>
    <w:pPr>
      <w:ind w:left="720"/>
      <w:contextualSpacing/>
    </w:pPr>
  </w:style>
  <w:style w:type="table" w:styleId="TableGrid">
    <w:name w:val="Table Grid"/>
    <w:basedOn w:val="TableNormal"/>
    <w:uiPriority w:val="59"/>
    <w:rsid w:val="00A374B9"/>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A374B9"/>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3">
    <w:name w:val="Grid Table 2 Accent 3"/>
    <w:basedOn w:val="TableNormal"/>
    <w:uiPriority w:val="47"/>
    <w:rsid w:val="00956EB6"/>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D72251"/>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72251"/>
    <w:pPr>
      <w:spacing w:after="100"/>
    </w:pPr>
  </w:style>
  <w:style w:type="paragraph" w:styleId="TOC2">
    <w:name w:val="toc 2"/>
    <w:basedOn w:val="Normal"/>
    <w:next w:val="Normal"/>
    <w:autoRedefine/>
    <w:uiPriority w:val="39"/>
    <w:unhideWhenUsed/>
    <w:rsid w:val="00D72251"/>
    <w:pPr>
      <w:spacing w:after="100"/>
      <w:ind w:left="240"/>
    </w:pPr>
  </w:style>
  <w:style w:type="paragraph" w:styleId="TOC3">
    <w:name w:val="toc 3"/>
    <w:basedOn w:val="Normal"/>
    <w:next w:val="Normal"/>
    <w:autoRedefine/>
    <w:uiPriority w:val="39"/>
    <w:unhideWhenUsed/>
    <w:rsid w:val="00D72251"/>
    <w:pPr>
      <w:spacing w:after="100"/>
      <w:ind w:left="480"/>
    </w:pPr>
  </w:style>
  <w:style w:type="character" w:styleId="Hyperlink">
    <w:name w:val="Hyperlink"/>
    <w:basedOn w:val="DefaultParagraphFont"/>
    <w:uiPriority w:val="99"/>
    <w:unhideWhenUsed/>
    <w:rsid w:val="00D72251"/>
    <w:rPr>
      <w:color w:val="0563C1" w:themeColor="hyperlink"/>
      <w:u w:val="single"/>
    </w:rPr>
  </w:style>
  <w:style w:type="paragraph" w:styleId="Header">
    <w:name w:val="header"/>
    <w:basedOn w:val="Normal"/>
    <w:link w:val="HeaderChar"/>
    <w:uiPriority w:val="99"/>
    <w:unhideWhenUsed/>
    <w:rsid w:val="00D722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2251"/>
    <w:rPr>
      <w:rFonts w:ascii="Arial" w:hAnsi="Arial"/>
      <w:sz w:val="24"/>
      <w:lang w:val="en-GB"/>
    </w:rPr>
  </w:style>
  <w:style w:type="paragraph" w:styleId="Footer">
    <w:name w:val="footer"/>
    <w:basedOn w:val="Normal"/>
    <w:link w:val="FooterChar"/>
    <w:uiPriority w:val="99"/>
    <w:unhideWhenUsed/>
    <w:rsid w:val="00D722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2251"/>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10.png"/><Relationship Id="rId26" Type="http://schemas.openxmlformats.org/officeDocument/2006/relationships/diagramQuickStyle" Target="diagrams/quickStyle3.xml"/><Relationship Id="rId39" Type="http://schemas.openxmlformats.org/officeDocument/2006/relationships/hyperlink" Target="https://www.consumerfinance.gov/enforcement/actions/toyota-motor-credit-corporation-2023/" TargetMode="External"/><Relationship Id="rId21" Type="http://schemas.openxmlformats.org/officeDocument/2006/relationships/diagramQuickStyle" Target="diagrams/quickStyle2.xml"/><Relationship Id="rId34" Type="http://schemas.openxmlformats.org/officeDocument/2006/relationships/diagramData" Target="diagrams/data5.xml"/><Relationship Id="rId42" Type="http://schemas.openxmlformats.org/officeDocument/2006/relationships/hyperlink" Target="https://www.oecd.org/en/publications/2025/12/oecd-economic-outlook-volume-2025-issue-2_413f7d0a/full-report/japan_ea7efd0c.html" TargetMode="External"/><Relationship Id="rId47" Type="http://schemas.openxmlformats.org/officeDocument/2006/relationships/hyperlink" Target="https://global.toyota/en/newsroom/toyota/35872105.html" TargetMode="External"/><Relationship Id="rId50" Type="http://schemas.openxmlformats.org/officeDocument/2006/relationships/hyperlink" Target="https://pressroom.toyota.com/toyota-motor-north-america-reports-2025-u-s-sales-results/"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diagramData" Target="diagrams/data4.xml"/><Relationship Id="rId11" Type="http://schemas.openxmlformats.org/officeDocument/2006/relationships/image" Target="media/image4.jpeg"/><Relationship Id="rId24" Type="http://schemas.openxmlformats.org/officeDocument/2006/relationships/diagramData" Target="diagrams/data3.xml"/><Relationship Id="rId32" Type="http://schemas.openxmlformats.org/officeDocument/2006/relationships/diagramColors" Target="diagrams/colors4.xml"/><Relationship Id="rId37" Type="http://schemas.openxmlformats.org/officeDocument/2006/relationships/diagramColors" Target="diagrams/colors5.xml"/><Relationship Id="rId40" Type="http://schemas.openxmlformats.org/officeDocument/2006/relationships/hyperlink" Target="https://www.consumerfinance.gov/enforcement/actions/toyota-motor-credit-corporation-2023/" TargetMode="External"/><Relationship Id="rId45" Type="http://schemas.openxmlformats.org/officeDocument/2006/relationships/hyperlink" Target="https://global.toyota/pages/global_toyota/ir/library/annual/2025_001_integrated_en.pdf"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diagramData" Target="diagrams/data2.xml"/><Relationship Id="rId31" Type="http://schemas.openxmlformats.org/officeDocument/2006/relationships/diagramQuickStyle" Target="diagrams/quickStyle4.xml"/><Relationship Id="rId44" Type="http://schemas.openxmlformats.org/officeDocument/2006/relationships/hyperlink" Target="https://global.toyota/pages/global_toyota/sustainability/report/sdb/sdb25_en.pdf" TargetMode="External"/><Relationship Id="rId52" Type="http://schemas.openxmlformats.org/officeDocument/2006/relationships/hyperlink" Target="https://databank.worldbank.org/source/world-development-indicator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QuickStyle" Target="diagrams/quickStyle1.xml"/><Relationship Id="rId22" Type="http://schemas.openxmlformats.org/officeDocument/2006/relationships/diagramColors" Target="diagrams/colors2.xml"/><Relationship Id="rId27" Type="http://schemas.openxmlformats.org/officeDocument/2006/relationships/diagramColors" Target="diagrams/colors3.xml"/><Relationship Id="rId30" Type="http://schemas.openxmlformats.org/officeDocument/2006/relationships/diagramLayout" Target="diagrams/layout4.xml"/><Relationship Id="rId35" Type="http://schemas.openxmlformats.org/officeDocument/2006/relationships/diagramLayout" Target="diagrams/layout5.xml"/><Relationship Id="rId43" Type="http://schemas.openxmlformats.org/officeDocument/2006/relationships/hyperlink" Target="https://www.theculturefactor.com/country-comparison-tool?countries=japan%2Cunited+states" TargetMode="External"/><Relationship Id="rId48" Type="http://schemas.openxmlformats.org/officeDocument/2006/relationships/hyperlink" Target="https://pressroom.toyota.com/toyota-motor-north-america-reports-march-first-quarter-2026-u-s-sales-results/" TargetMode="External"/><Relationship Id="rId8" Type="http://schemas.openxmlformats.org/officeDocument/2006/relationships/image" Target="media/image1.png"/><Relationship Id="rId51" Type="http://schemas.openxmlformats.org/officeDocument/2006/relationships/hyperlink" Target="https://data.worldbank.org/?locations=JP-US" TargetMode="Externa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image" Target="media/image9.png"/><Relationship Id="rId25" Type="http://schemas.openxmlformats.org/officeDocument/2006/relationships/diagramLayout" Target="diagrams/layout3.xml"/><Relationship Id="rId33" Type="http://schemas.microsoft.com/office/2007/relationships/diagramDrawing" Target="diagrams/drawing4.xml"/><Relationship Id="rId38" Type="http://schemas.microsoft.com/office/2007/relationships/diagramDrawing" Target="diagrams/drawing5.xml"/><Relationship Id="rId46" Type="http://schemas.openxmlformats.org/officeDocument/2006/relationships/hyperlink" Target="https://global.toyota/en/company/trajectory-of-toyota/history/01/" TargetMode="External"/><Relationship Id="rId20" Type="http://schemas.openxmlformats.org/officeDocument/2006/relationships/diagramLayout" Target="diagrams/layout2.xml"/><Relationship Id="rId41" Type="http://schemas.openxmlformats.org/officeDocument/2006/relationships/hyperlink" Target="https://www.iea.org/reports/global-ev-outlook-2026"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microsoft.com/office/2007/relationships/diagramDrawing" Target="diagrams/drawing2.xml"/><Relationship Id="rId28" Type="http://schemas.microsoft.com/office/2007/relationships/diagramDrawing" Target="diagrams/drawing3.xml"/><Relationship Id="rId36" Type="http://schemas.openxmlformats.org/officeDocument/2006/relationships/diagramQuickStyle" Target="diagrams/quickStyle5.xml"/><Relationship Id="rId49" Type="http://schemas.openxmlformats.org/officeDocument/2006/relationships/hyperlink" Target="https://pressroom.toyota.com/toyota-releases-2025-north-american-environmental-sustainability-report/" TargetMode="External"/></Relationships>
</file>

<file path=word/diagrams/_rels/data1.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png"/><Relationship Id="rId1" Type="http://schemas.openxmlformats.org/officeDocument/2006/relationships/image" Target="../media/image5.png"/><Relationship Id="rId4" Type="http://schemas.openxmlformats.org/officeDocument/2006/relationships/image" Target="../media/image8.png"/></Relationships>
</file>

<file path=word/diagrams/_rels/data2.xml.rels><?xml version="1.0" encoding="UTF-8" standalone="yes"?>
<Relationships xmlns="http://schemas.openxmlformats.org/package/2006/relationships"><Relationship Id="rId2" Type="http://schemas.openxmlformats.org/officeDocument/2006/relationships/image" Target="../media/image12.png"/><Relationship Id="rId1" Type="http://schemas.openxmlformats.org/officeDocument/2006/relationships/image" Target="../media/image11.png"/></Relationships>
</file>

<file path=word/diagrams/_rels/data3.xml.rels><?xml version="1.0" encoding="UTF-8" standalone="yes"?>
<Relationships xmlns="http://schemas.openxmlformats.org/package/2006/relationships"><Relationship Id="rId3" Type="http://schemas.openxmlformats.org/officeDocument/2006/relationships/image" Target="../media/image15.png"/><Relationship Id="rId2" Type="http://schemas.openxmlformats.org/officeDocument/2006/relationships/image" Target="../media/image14.png"/><Relationship Id="rId1" Type="http://schemas.openxmlformats.org/officeDocument/2006/relationships/image" Target="../media/image13.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png"/><Relationship Id="rId1" Type="http://schemas.openxmlformats.org/officeDocument/2006/relationships/image" Target="../media/image5.png"/><Relationship Id="rId4" Type="http://schemas.openxmlformats.org/officeDocument/2006/relationships/image" Target="../media/image8.png"/></Relationships>
</file>

<file path=word/diagrams/_rels/drawing2.xml.rels><?xml version="1.0" encoding="UTF-8" standalone="yes"?>
<Relationships xmlns="http://schemas.openxmlformats.org/package/2006/relationships"><Relationship Id="rId2" Type="http://schemas.openxmlformats.org/officeDocument/2006/relationships/image" Target="../media/image12.png"/><Relationship Id="rId1" Type="http://schemas.openxmlformats.org/officeDocument/2006/relationships/image" Target="../media/image11.png"/></Relationships>
</file>

<file path=word/diagrams/_rels/drawing3.xml.rels><?xml version="1.0" encoding="UTF-8" standalone="yes"?>
<Relationships xmlns="http://schemas.openxmlformats.org/package/2006/relationships"><Relationship Id="rId3" Type="http://schemas.openxmlformats.org/officeDocument/2006/relationships/image" Target="../media/image15.png"/><Relationship Id="rId2" Type="http://schemas.openxmlformats.org/officeDocument/2006/relationships/image" Target="../media/image14.png"/><Relationship Id="rId1" Type="http://schemas.openxmlformats.org/officeDocument/2006/relationships/image" Target="../media/image13.png"/></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33F8F71-F323-47EA-A0AF-FD115A5F8176}" type="doc">
      <dgm:prSet loTypeId="urn:microsoft.com/office/officeart/2008/layout/BendingPictureCaption" loCatId="picture" qsTypeId="urn:microsoft.com/office/officeart/2005/8/quickstyle/simple1" qsCatId="simple" csTypeId="urn:microsoft.com/office/officeart/2005/8/colors/accent0_3" csCatId="mainScheme" phldr="1"/>
      <dgm:spPr/>
      <dgm:t>
        <a:bodyPr/>
        <a:lstStyle/>
        <a:p>
          <a:endParaRPr lang="en-US"/>
        </a:p>
      </dgm:t>
    </dgm:pt>
    <dgm:pt modelId="{1BE5E140-C530-40F7-80C6-9F886DCCCED3}">
      <dgm:prSet phldrT="[Text]" custT="1"/>
      <dgm:spPr/>
      <dgm:t>
        <a:bodyPr/>
        <a:lstStyle/>
        <a:p>
          <a:r>
            <a:rPr lang="en-US" sz="1400">
              <a:latin typeface="Arial" panose="020B0604020202020204" pitchFamily="34" charset="0"/>
              <a:cs typeface="Arial" panose="020B0604020202020204" pitchFamily="34" charset="0"/>
            </a:rPr>
            <a:t>Population</a:t>
          </a:r>
        </a:p>
      </dgm:t>
    </dgm:pt>
    <dgm:pt modelId="{26C08D60-5E00-476B-9F27-EA95CF791766}" type="parTrans" cxnId="{DD1937D3-903B-4F48-999B-7A02DD0651AA}">
      <dgm:prSet/>
      <dgm:spPr/>
      <dgm:t>
        <a:bodyPr/>
        <a:lstStyle/>
        <a:p>
          <a:endParaRPr lang="en-US" sz="1400">
            <a:latin typeface="Arial" panose="020B0604020202020204" pitchFamily="34" charset="0"/>
            <a:cs typeface="Arial" panose="020B0604020202020204" pitchFamily="34" charset="0"/>
          </a:endParaRPr>
        </a:p>
      </dgm:t>
    </dgm:pt>
    <dgm:pt modelId="{DADAC936-D2B1-4E30-9784-45B1C552FEA0}" type="sibTrans" cxnId="{DD1937D3-903B-4F48-999B-7A02DD0651AA}">
      <dgm:prSet/>
      <dgm:spPr/>
      <dgm:t>
        <a:bodyPr/>
        <a:lstStyle/>
        <a:p>
          <a:endParaRPr lang="en-US" sz="1400">
            <a:latin typeface="Arial" panose="020B0604020202020204" pitchFamily="34" charset="0"/>
            <a:cs typeface="Arial" panose="020B0604020202020204" pitchFamily="34" charset="0"/>
          </a:endParaRPr>
        </a:p>
      </dgm:t>
    </dgm:pt>
    <dgm:pt modelId="{E190A611-D33F-4110-8526-D0A3EEEC3C05}">
      <dgm:prSet phldrT="[Text]" custT="1"/>
      <dgm:spPr/>
      <dgm:t>
        <a:bodyPr/>
        <a:lstStyle/>
        <a:p>
          <a:r>
            <a:rPr lang="en-US" sz="1400">
              <a:latin typeface="Arial" panose="020B0604020202020204" pitchFamily="34" charset="0"/>
              <a:cs typeface="Arial" panose="020B0604020202020204" pitchFamily="34" charset="0"/>
            </a:rPr>
            <a:t>GDP per capita</a:t>
          </a:r>
        </a:p>
      </dgm:t>
    </dgm:pt>
    <dgm:pt modelId="{C8D516DF-C2FE-48AE-B4B2-1519E8772BC4}" type="parTrans" cxnId="{49E6BBE2-46F9-4FE3-BD57-881D54FC4908}">
      <dgm:prSet/>
      <dgm:spPr/>
      <dgm:t>
        <a:bodyPr/>
        <a:lstStyle/>
        <a:p>
          <a:endParaRPr lang="en-US" sz="1400">
            <a:latin typeface="Arial" panose="020B0604020202020204" pitchFamily="34" charset="0"/>
            <a:cs typeface="Arial" panose="020B0604020202020204" pitchFamily="34" charset="0"/>
          </a:endParaRPr>
        </a:p>
      </dgm:t>
    </dgm:pt>
    <dgm:pt modelId="{21492E17-BA12-4629-885D-AFA8A8B9627F}" type="sibTrans" cxnId="{49E6BBE2-46F9-4FE3-BD57-881D54FC4908}">
      <dgm:prSet/>
      <dgm:spPr/>
      <dgm:t>
        <a:bodyPr/>
        <a:lstStyle/>
        <a:p>
          <a:endParaRPr lang="en-US" sz="1400">
            <a:latin typeface="Arial" panose="020B0604020202020204" pitchFamily="34" charset="0"/>
            <a:cs typeface="Arial" panose="020B0604020202020204" pitchFamily="34" charset="0"/>
          </a:endParaRPr>
        </a:p>
      </dgm:t>
    </dgm:pt>
    <dgm:pt modelId="{0E4ECA0C-3D1C-46AA-93E3-E398E5789BFD}">
      <dgm:prSet phldrT="[Text]" custT="1"/>
      <dgm:spPr/>
      <dgm:t>
        <a:bodyPr/>
        <a:lstStyle/>
        <a:p>
          <a:r>
            <a:rPr lang="en-US" sz="1400">
              <a:latin typeface="Arial" panose="020B0604020202020204" pitchFamily="34" charset="0"/>
              <a:cs typeface="Arial" panose="020B0604020202020204" pitchFamily="34" charset="0"/>
            </a:rPr>
            <a:t>GDP</a:t>
          </a:r>
        </a:p>
      </dgm:t>
    </dgm:pt>
    <dgm:pt modelId="{DCD54376-538D-4614-B7C3-681BF3416CA1}" type="sibTrans" cxnId="{60CB4AFA-F8E8-484C-B448-E3A295493663}">
      <dgm:prSet/>
      <dgm:spPr/>
      <dgm:t>
        <a:bodyPr/>
        <a:lstStyle/>
        <a:p>
          <a:endParaRPr lang="en-US" sz="1400">
            <a:latin typeface="Arial" panose="020B0604020202020204" pitchFamily="34" charset="0"/>
            <a:cs typeface="Arial" panose="020B0604020202020204" pitchFamily="34" charset="0"/>
          </a:endParaRPr>
        </a:p>
      </dgm:t>
    </dgm:pt>
    <dgm:pt modelId="{67543FC1-03F3-462D-A839-F6F03268D64A}" type="parTrans" cxnId="{60CB4AFA-F8E8-484C-B448-E3A295493663}">
      <dgm:prSet/>
      <dgm:spPr/>
      <dgm:t>
        <a:bodyPr/>
        <a:lstStyle/>
        <a:p>
          <a:endParaRPr lang="en-US" sz="1400">
            <a:latin typeface="Arial" panose="020B0604020202020204" pitchFamily="34" charset="0"/>
            <a:cs typeface="Arial" panose="020B0604020202020204" pitchFamily="34" charset="0"/>
          </a:endParaRPr>
        </a:p>
      </dgm:t>
    </dgm:pt>
    <dgm:pt modelId="{E5898E2A-DBA2-41A4-9A7E-2BFD5B0927C9}">
      <dgm:prSet phldrT="[Text]" custT="1"/>
      <dgm:spPr/>
      <dgm:t>
        <a:bodyPr/>
        <a:lstStyle/>
        <a:p>
          <a:r>
            <a:rPr lang="en-US" sz="1400">
              <a:latin typeface="Arial" panose="020B0604020202020204" pitchFamily="34" charset="0"/>
              <a:cs typeface="Arial" panose="020B0604020202020204" pitchFamily="34" charset="0"/>
            </a:rPr>
            <a:t>Inflation</a:t>
          </a:r>
        </a:p>
      </dgm:t>
    </dgm:pt>
    <dgm:pt modelId="{B6DA583E-A1FF-4D0A-91DB-A94AF78E128A}" type="parTrans" cxnId="{0117EEF5-15A0-45E7-83F0-8D1CF9DF88DC}">
      <dgm:prSet/>
      <dgm:spPr/>
      <dgm:t>
        <a:bodyPr/>
        <a:lstStyle/>
        <a:p>
          <a:endParaRPr lang="en-US" sz="1400"/>
        </a:p>
      </dgm:t>
    </dgm:pt>
    <dgm:pt modelId="{AFAEDCAD-195C-413C-A819-E70B92AD6BC1}" type="sibTrans" cxnId="{0117EEF5-15A0-45E7-83F0-8D1CF9DF88DC}">
      <dgm:prSet/>
      <dgm:spPr/>
      <dgm:t>
        <a:bodyPr/>
        <a:lstStyle/>
        <a:p>
          <a:endParaRPr lang="en-US" sz="1400"/>
        </a:p>
      </dgm:t>
    </dgm:pt>
    <dgm:pt modelId="{C8F01BE7-28FD-4607-8523-F4DB82D75F8E}" type="pres">
      <dgm:prSet presAssocID="{F33F8F71-F323-47EA-A0AF-FD115A5F8176}" presName="diagram" presStyleCnt="0">
        <dgm:presLayoutVars>
          <dgm:dir/>
        </dgm:presLayoutVars>
      </dgm:prSet>
      <dgm:spPr/>
    </dgm:pt>
    <dgm:pt modelId="{C0580D56-B723-4155-876C-9D27B0910EDE}" type="pres">
      <dgm:prSet presAssocID="{1BE5E140-C530-40F7-80C6-9F886DCCCED3}" presName="composite" presStyleCnt="0"/>
      <dgm:spPr/>
    </dgm:pt>
    <dgm:pt modelId="{EE2B0DE2-4F40-42DE-B0FD-42D9B90A4E5C}" type="pres">
      <dgm:prSet presAssocID="{1BE5E140-C530-40F7-80C6-9F886DCCCED3}" presName="Image" presStyleLbl="bgShp" presStyleIdx="0" presStyleCnt="4"/>
      <dgm:spPr>
        <a:blipFill rotWithShape="1">
          <a:blip xmlns:r="http://schemas.openxmlformats.org/officeDocument/2006/relationships" r:embed="rId1"/>
          <a:stretch>
            <a:fillRect/>
          </a:stretch>
        </a:blipFill>
      </dgm:spPr>
    </dgm:pt>
    <dgm:pt modelId="{0F838132-2251-498C-BE86-6D2EE94F25C0}" type="pres">
      <dgm:prSet presAssocID="{1BE5E140-C530-40F7-80C6-9F886DCCCED3}" presName="Parent" presStyleLbl="node0" presStyleIdx="0" presStyleCnt="4" custScaleY="59280">
        <dgm:presLayoutVars>
          <dgm:bulletEnabled val="1"/>
        </dgm:presLayoutVars>
      </dgm:prSet>
      <dgm:spPr/>
    </dgm:pt>
    <dgm:pt modelId="{2A932DB9-8536-4253-BBC4-C03A511EFA61}" type="pres">
      <dgm:prSet presAssocID="{DADAC936-D2B1-4E30-9784-45B1C552FEA0}" presName="sibTrans" presStyleCnt="0"/>
      <dgm:spPr/>
    </dgm:pt>
    <dgm:pt modelId="{7C5C486D-6134-4ED2-BE2A-4DB553BC7837}" type="pres">
      <dgm:prSet presAssocID="{0E4ECA0C-3D1C-46AA-93E3-E398E5789BFD}" presName="composite" presStyleCnt="0"/>
      <dgm:spPr/>
    </dgm:pt>
    <dgm:pt modelId="{ECB94BF0-C8E2-468D-9C87-6FDFD241AC4D}" type="pres">
      <dgm:prSet presAssocID="{0E4ECA0C-3D1C-46AA-93E3-E398E5789BFD}" presName="Image" presStyleLbl="bgShp" presStyleIdx="1" presStyleCnt="4"/>
      <dgm:spPr>
        <a:blipFill rotWithShape="1">
          <a:blip xmlns:r="http://schemas.openxmlformats.org/officeDocument/2006/relationships" r:embed="rId2"/>
          <a:stretch>
            <a:fillRect/>
          </a:stretch>
        </a:blipFill>
      </dgm:spPr>
    </dgm:pt>
    <dgm:pt modelId="{7BA41F44-9FA1-47D2-8302-5749E0F7738D}" type="pres">
      <dgm:prSet presAssocID="{0E4ECA0C-3D1C-46AA-93E3-E398E5789BFD}" presName="Parent" presStyleLbl="node0" presStyleIdx="1" presStyleCnt="4" custScaleY="59280">
        <dgm:presLayoutVars>
          <dgm:bulletEnabled val="1"/>
        </dgm:presLayoutVars>
      </dgm:prSet>
      <dgm:spPr/>
    </dgm:pt>
    <dgm:pt modelId="{38CA23AC-67D0-4EFE-A401-8DB41F140AB8}" type="pres">
      <dgm:prSet presAssocID="{DCD54376-538D-4614-B7C3-681BF3416CA1}" presName="sibTrans" presStyleCnt="0"/>
      <dgm:spPr/>
    </dgm:pt>
    <dgm:pt modelId="{CC106F2E-17DE-4235-BBBA-F81807D2AC33}" type="pres">
      <dgm:prSet presAssocID="{E190A611-D33F-4110-8526-D0A3EEEC3C05}" presName="composite" presStyleCnt="0"/>
      <dgm:spPr/>
    </dgm:pt>
    <dgm:pt modelId="{036D5125-17A1-4904-93ED-ADB58B1F87CD}" type="pres">
      <dgm:prSet presAssocID="{E190A611-D33F-4110-8526-D0A3EEEC3C05}" presName="Image" presStyleLbl="bgShp" presStyleIdx="2" presStyleCnt="4"/>
      <dgm:spPr>
        <a:blipFill rotWithShape="1">
          <a:blip xmlns:r="http://schemas.openxmlformats.org/officeDocument/2006/relationships" r:embed="rId3"/>
          <a:stretch>
            <a:fillRect/>
          </a:stretch>
        </a:blipFill>
      </dgm:spPr>
    </dgm:pt>
    <dgm:pt modelId="{BA4EC1B0-2A06-4A11-8C3D-187FCE1BA4AE}" type="pres">
      <dgm:prSet presAssocID="{E190A611-D33F-4110-8526-D0A3EEEC3C05}" presName="Parent" presStyleLbl="node0" presStyleIdx="2" presStyleCnt="4" custScaleY="59280">
        <dgm:presLayoutVars>
          <dgm:bulletEnabled val="1"/>
        </dgm:presLayoutVars>
      </dgm:prSet>
      <dgm:spPr/>
    </dgm:pt>
    <dgm:pt modelId="{75EE65B8-98D9-44EA-8D60-8E3E3E9EB110}" type="pres">
      <dgm:prSet presAssocID="{21492E17-BA12-4629-885D-AFA8A8B9627F}" presName="sibTrans" presStyleCnt="0"/>
      <dgm:spPr/>
    </dgm:pt>
    <dgm:pt modelId="{00DA30F3-E7ED-474A-BE9B-A146DF46E2E9}" type="pres">
      <dgm:prSet presAssocID="{E5898E2A-DBA2-41A4-9A7E-2BFD5B0927C9}" presName="composite" presStyleCnt="0"/>
      <dgm:spPr/>
    </dgm:pt>
    <dgm:pt modelId="{DD5BE3E2-4DF8-44EE-9B83-368D52F81E78}" type="pres">
      <dgm:prSet presAssocID="{E5898E2A-DBA2-41A4-9A7E-2BFD5B0927C9}" presName="Image" presStyleLbl="bgShp" presStyleIdx="3" presStyleCnt="4"/>
      <dgm:spPr>
        <a:blipFill rotWithShape="1">
          <a:blip xmlns:r="http://schemas.openxmlformats.org/officeDocument/2006/relationships" r:embed="rId4"/>
          <a:stretch>
            <a:fillRect/>
          </a:stretch>
        </a:blipFill>
      </dgm:spPr>
    </dgm:pt>
    <dgm:pt modelId="{FED2FFA4-D5C3-41C1-9922-726C201539AB}" type="pres">
      <dgm:prSet presAssocID="{E5898E2A-DBA2-41A4-9A7E-2BFD5B0927C9}" presName="Parent" presStyleLbl="node0" presStyleIdx="3" presStyleCnt="4" custScaleY="59280">
        <dgm:presLayoutVars>
          <dgm:bulletEnabled val="1"/>
        </dgm:presLayoutVars>
      </dgm:prSet>
      <dgm:spPr/>
    </dgm:pt>
  </dgm:ptLst>
  <dgm:cxnLst>
    <dgm:cxn modelId="{4844D321-FBE2-43DD-961E-5E69134C363B}" type="presOf" srcId="{0E4ECA0C-3D1C-46AA-93E3-E398E5789BFD}" destId="{7BA41F44-9FA1-47D2-8302-5749E0F7738D}" srcOrd="0" destOrd="0" presId="urn:microsoft.com/office/officeart/2008/layout/BendingPictureCaption"/>
    <dgm:cxn modelId="{91EE1663-B46D-40C8-B622-BA9DFCABE8C5}" type="presOf" srcId="{1BE5E140-C530-40F7-80C6-9F886DCCCED3}" destId="{0F838132-2251-498C-BE86-6D2EE94F25C0}" srcOrd="0" destOrd="0" presId="urn:microsoft.com/office/officeart/2008/layout/BendingPictureCaption"/>
    <dgm:cxn modelId="{CF03888E-9186-4DBA-972C-A34340CB8822}" type="presOf" srcId="{E5898E2A-DBA2-41A4-9A7E-2BFD5B0927C9}" destId="{FED2FFA4-D5C3-41C1-9922-726C201539AB}" srcOrd="0" destOrd="0" presId="urn:microsoft.com/office/officeart/2008/layout/BendingPictureCaption"/>
    <dgm:cxn modelId="{C8B3AE94-AC6D-40F9-A94C-163376176327}" type="presOf" srcId="{E190A611-D33F-4110-8526-D0A3EEEC3C05}" destId="{BA4EC1B0-2A06-4A11-8C3D-187FCE1BA4AE}" srcOrd="0" destOrd="0" presId="urn:microsoft.com/office/officeart/2008/layout/BendingPictureCaption"/>
    <dgm:cxn modelId="{DD1937D3-903B-4F48-999B-7A02DD0651AA}" srcId="{F33F8F71-F323-47EA-A0AF-FD115A5F8176}" destId="{1BE5E140-C530-40F7-80C6-9F886DCCCED3}" srcOrd="0" destOrd="0" parTransId="{26C08D60-5E00-476B-9F27-EA95CF791766}" sibTransId="{DADAC936-D2B1-4E30-9784-45B1C552FEA0}"/>
    <dgm:cxn modelId="{49E6BBE2-46F9-4FE3-BD57-881D54FC4908}" srcId="{F33F8F71-F323-47EA-A0AF-FD115A5F8176}" destId="{E190A611-D33F-4110-8526-D0A3EEEC3C05}" srcOrd="2" destOrd="0" parTransId="{C8D516DF-C2FE-48AE-B4B2-1519E8772BC4}" sibTransId="{21492E17-BA12-4629-885D-AFA8A8B9627F}"/>
    <dgm:cxn modelId="{C45448E5-0284-40EA-8361-244CE6E180DB}" type="presOf" srcId="{F33F8F71-F323-47EA-A0AF-FD115A5F8176}" destId="{C8F01BE7-28FD-4607-8523-F4DB82D75F8E}" srcOrd="0" destOrd="0" presId="urn:microsoft.com/office/officeart/2008/layout/BendingPictureCaption"/>
    <dgm:cxn modelId="{0117EEF5-15A0-45E7-83F0-8D1CF9DF88DC}" srcId="{F33F8F71-F323-47EA-A0AF-FD115A5F8176}" destId="{E5898E2A-DBA2-41A4-9A7E-2BFD5B0927C9}" srcOrd="3" destOrd="0" parTransId="{B6DA583E-A1FF-4D0A-91DB-A94AF78E128A}" sibTransId="{AFAEDCAD-195C-413C-A819-E70B92AD6BC1}"/>
    <dgm:cxn modelId="{60CB4AFA-F8E8-484C-B448-E3A295493663}" srcId="{F33F8F71-F323-47EA-A0AF-FD115A5F8176}" destId="{0E4ECA0C-3D1C-46AA-93E3-E398E5789BFD}" srcOrd="1" destOrd="0" parTransId="{67543FC1-03F3-462D-A839-F6F03268D64A}" sibTransId="{DCD54376-538D-4614-B7C3-681BF3416CA1}"/>
    <dgm:cxn modelId="{91C9611E-9DAB-4997-8EBE-DE063DF68449}" type="presParOf" srcId="{C8F01BE7-28FD-4607-8523-F4DB82D75F8E}" destId="{C0580D56-B723-4155-876C-9D27B0910EDE}" srcOrd="0" destOrd="0" presId="urn:microsoft.com/office/officeart/2008/layout/BendingPictureCaption"/>
    <dgm:cxn modelId="{8448EAF3-84A3-41DC-8F35-85A26EC63E38}" type="presParOf" srcId="{C0580D56-B723-4155-876C-9D27B0910EDE}" destId="{EE2B0DE2-4F40-42DE-B0FD-42D9B90A4E5C}" srcOrd="0" destOrd="0" presId="urn:microsoft.com/office/officeart/2008/layout/BendingPictureCaption"/>
    <dgm:cxn modelId="{970D8470-F785-480B-A3F8-042CB08AD6E4}" type="presParOf" srcId="{C0580D56-B723-4155-876C-9D27B0910EDE}" destId="{0F838132-2251-498C-BE86-6D2EE94F25C0}" srcOrd="1" destOrd="0" presId="urn:microsoft.com/office/officeart/2008/layout/BendingPictureCaption"/>
    <dgm:cxn modelId="{A2C98A89-F449-42AF-86BC-3056504B1E15}" type="presParOf" srcId="{C8F01BE7-28FD-4607-8523-F4DB82D75F8E}" destId="{2A932DB9-8536-4253-BBC4-C03A511EFA61}" srcOrd="1" destOrd="0" presId="urn:microsoft.com/office/officeart/2008/layout/BendingPictureCaption"/>
    <dgm:cxn modelId="{031E1732-4952-4DEC-8223-ED6C210AB463}" type="presParOf" srcId="{C8F01BE7-28FD-4607-8523-F4DB82D75F8E}" destId="{7C5C486D-6134-4ED2-BE2A-4DB553BC7837}" srcOrd="2" destOrd="0" presId="urn:microsoft.com/office/officeart/2008/layout/BendingPictureCaption"/>
    <dgm:cxn modelId="{62DE61B0-D822-4538-86CE-AEE8C54C1FB9}" type="presParOf" srcId="{7C5C486D-6134-4ED2-BE2A-4DB553BC7837}" destId="{ECB94BF0-C8E2-468D-9C87-6FDFD241AC4D}" srcOrd="0" destOrd="0" presId="urn:microsoft.com/office/officeart/2008/layout/BendingPictureCaption"/>
    <dgm:cxn modelId="{1B351DD4-2F62-44B2-86D8-8A4678F013D2}" type="presParOf" srcId="{7C5C486D-6134-4ED2-BE2A-4DB553BC7837}" destId="{7BA41F44-9FA1-47D2-8302-5749E0F7738D}" srcOrd="1" destOrd="0" presId="urn:microsoft.com/office/officeart/2008/layout/BendingPictureCaption"/>
    <dgm:cxn modelId="{F3F2C85B-CDCC-45BA-9DEB-9B62B7450C91}" type="presParOf" srcId="{C8F01BE7-28FD-4607-8523-F4DB82D75F8E}" destId="{38CA23AC-67D0-4EFE-A401-8DB41F140AB8}" srcOrd="3" destOrd="0" presId="urn:microsoft.com/office/officeart/2008/layout/BendingPictureCaption"/>
    <dgm:cxn modelId="{25F3CB5E-0B3E-4161-AE07-635A6E53CA5F}" type="presParOf" srcId="{C8F01BE7-28FD-4607-8523-F4DB82D75F8E}" destId="{CC106F2E-17DE-4235-BBBA-F81807D2AC33}" srcOrd="4" destOrd="0" presId="urn:microsoft.com/office/officeart/2008/layout/BendingPictureCaption"/>
    <dgm:cxn modelId="{1A89EEA3-D590-4680-AC2A-975F2AA67D4B}" type="presParOf" srcId="{CC106F2E-17DE-4235-BBBA-F81807D2AC33}" destId="{036D5125-17A1-4904-93ED-ADB58B1F87CD}" srcOrd="0" destOrd="0" presId="urn:microsoft.com/office/officeart/2008/layout/BendingPictureCaption"/>
    <dgm:cxn modelId="{500DD2F3-D1BC-4888-8D5E-7A539A1368FB}" type="presParOf" srcId="{CC106F2E-17DE-4235-BBBA-F81807D2AC33}" destId="{BA4EC1B0-2A06-4A11-8C3D-187FCE1BA4AE}" srcOrd="1" destOrd="0" presId="urn:microsoft.com/office/officeart/2008/layout/BendingPictureCaption"/>
    <dgm:cxn modelId="{0F3AF244-C230-427A-A894-00AE8687CFD4}" type="presParOf" srcId="{C8F01BE7-28FD-4607-8523-F4DB82D75F8E}" destId="{75EE65B8-98D9-44EA-8D60-8E3E3E9EB110}" srcOrd="5" destOrd="0" presId="urn:microsoft.com/office/officeart/2008/layout/BendingPictureCaption"/>
    <dgm:cxn modelId="{F9F76EEB-AA12-4073-97C4-FC4D3988AB01}" type="presParOf" srcId="{C8F01BE7-28FD-4607-8523-F4DB82D75F8E}" destId="{00DA30F3-E7ED-474A-BE9B-A146DF46E2E9}" srcOrd="6" destOrd="0" presId="urn:microsoft.com/office/officeart/2008/layout/BendingPictureCaption"/>
    <dgm:cxn modelId="{355D654F-FDE3-49A3-AB0B-BB91B3B63C77}" type="presParOf" srcId="{00DA30F3-E7ED-474A-BE9B-A146DF46E2E9}" destId="{DD5BE3E2-4DF8-44EE-9B83-368D52F81E78}" srcOrd="0" destOrd="0" presId="urn:microsoft.com/office/officeart/2008/layout/BendingPictureCaption"/>
    <dgm:cxn modelId="{E57A4CF7-366D-439E-A09A-2C08D3204027}" type="presParOf" srcId="{00DA30F3-E7ED-474A-BE9B-A146DF46E2E9}" destId="{FED2FFA4-D5C3-41C1-9922-726C201539AB}" srcOrd="1" destOrd="0" presId="urn:microsoft.com/office/officeart/2008/layout/BendingPictureCaption"/>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7671FB1-F74D-462C-8D6B-F39739F69D9E}" type="doc">
      <dgm:prSet loTypeId="urn:microsoft.com/office/officeart/2008/layout/PictureGrid" loCatId="picture" qsTypeId="urn:microsoft.com/office/officeart/2005/8/quickstyle/simple1" qsCatId="simple" csTypeId="urn:microsoft.com/office/officeart/2005/8/colors/accent0_3" csCatId="mainScheme" phldr="1"/>
      <dgm:spPr/>
      <dgm:t>
        <a:bodyPr/>
        <a:lstStyle/>
        <a:p>
          <a:endParaRPr lang="en-US"/>
        </a:p>
      </dgm:t>
    </dgm:pt>
    <dgm:pt modelId="{FE3A81DA-981A-49ED-A739-32D2794C6D03}">
      <dgm:prSet phldrT="[Text]" custT="1"/>
      <dgm:spPr/>
      <dgm:t>
        <a:bodyPr/>
        <a:lstStyle/>
        <a:p>
          <a:r>
            <a:rPr lang="en-US" sz="1400">
              <a:latin typeface="Arial" panose="020B0604020202020204" pitchFamily="34" charset="0"/>
              <a:cs typeface="Arial" panose="020B0604020202020204" pitchFamily="34" charset="0"/>
            </a:rPr>
            <a:t>Japan</a:t>
          </a:r>
        </a:p>
      </dgm:t>
    </dgm:pt>
    <dgm:pt modelId="{6E910534-5470-49E1-AFB6-1BBFE54309E6}" type="parTrans" cxnId="{9990CE88-9A41-43DE-B43A-FF9F5BF000CC}">
      <dgm:prSet/>
      <dgm:spPr/>
      <dgm:t>
        <a:bodyPr/>
        <a:lstStyle/>
        <a:p>
          <a:endParaRPr lang="en-US" sz="1400">
            <a:latin typeface="Arial" panose="020B0604020202020204" pitchFamily="34" charset="0"/>
            <a:cs typeface="Arial" panose="020B0604020202020204" pitchFamily="34" charset="0"/>
          </a:endParaRPr>
        </a:p>
      </dgm:t>
    </dgm:pt>
    <dgm:pt modelId="{88EEE133-31A7-4809-8259-5042FB653D19}" type="sibTrans" cxnId="{9990CE88-9A41-43DE-B43A-FF9F5BF000CC}">
      <dgm:prSet/>
      <dgm:spPr/>
      <dgm:t>
        <a:bodyPr/>
        <a:lstStyle/>
        <a:p>
          <a:endParaRPr lang="en-US" sz="1400">
            <a:latin typeface="Arial" panose="020B0604020202020204" pitchFamily="34" charset="0"/>
            <a:cs typeface="Arial" panose="020B0604020202020204" pitchFamily="34" charset="0"/>
          </a:endParaRPr>
        </a:p>
      </dgm:t>
    </dgm:pt>
    <dgm:pt modelId="{217749D3-33DC-4A33-A6D9-F956494DFCBB}">
      <dgm:prSet phldrT="[Text]" custT="1"/>
      <dgm:spPr/>
      <dgm:t>
        <a:bodyPr/>
        <a:lstStyle/>
        <a:p>
          <a:r>
            <a:rPr lang="en-US" sz="1400">
              <a:latin typeface="Arial" panose="020B0604020202020204" pitchFamily="34" charset="0"/>
              <a:cs typeface="Arial" panose="020B0604020202020204" pitchFamily="34" charset="0"/>
            </a:rPr>
            <a:t>USA</a:t>
          </a:r>
        </a:p>
      </dgm:t>
    </dgm:pt>
    <dgm:pt modelId="{183DF14C-1018-4D72-AAB4-000AB0595CBC}" type="parTrans" cxnId="{EDF49FFE-37A7-45CE-962A-7608F7D9A0CD}">
      <dgm:prSet/>
      <dgm:spPr/>
      <dgm:t>
        <a:bodyPr/>
        <a:lstStyle/>
        <a:p>
          <a:endParaRPr lang="en-US" sz="1400">
            <a:latin typeface="Arial" panose="020B0604020202020204" pitchFamily="34" charset="0"/>
            <a:cs typeface="Arial" panose="020B0604020202020204" pitchFamily="34" charset="0"/>
          </a:endParaRPr>
        </a:p>
      </dgm:t>
    </dgm:pt>
    <dgm:pt modelId="{830CEAC5-C256-491E-A164-07117566DC10}" type="sibTrans" cxnId="{EDF49FFE-37A7-45CE-962A-7608F7D9A0CD}">
      <dgm:prSet/>
      <dgm:spPr/>
      <dgm:t>
        <a:bodyPr/>
        <a:lstStyle/>
        <a:p>
          <a:endParaRPr lang="en-US" sz="1400">
            <a:latin typeface="Arial" panose="020B0604020202020204" pitchFamily="34" charset="0"/>
            <a:cs typeface="Arial" panose="020B0604020202020204" pitchFamily="34" charset="0"/>
          </a:endParaRPr>
        </a:p>
      </dgm:t>
    </dgm:pt>
    <dgm:pt modelId="{332F175E-FB22-49A6-8DDC-C6A183FCEE04}" type="pres">
      <dgm:prSet presAssocID="{27671FB1-F74D-462C-8D6B-F39739F69D9E}" presName="Name0" presStyleCnt="0">
        <dgm:presLayoutVars>
          <dgm:dir/>
        </dgm:presLayoutVars>
      </dgm:prSet>
      <dgm:spPr/>
    </dgm:pt>
    <dgm:pt modelId="{F984A687-BEDC-42F2-9155-A514478F8402}" type="pres">
      <dgm:prSet presAssocID="{FE3A81DA-981A-49ED-A739-32D2794C6D03}" presName="composite" presStyleCnt="0"/>
      <dgm:spPr/>
    </dgm:pt>
    <dgm:pt modelId="{86BA59A7-9A70-4C6E-99D6-72D5D14284C3}" type="pres">
      <dgm:prSet presAssocID="{FE3A81DA-981A-49ED-A739-32D2794C6D03}" presName="rect2" presStyleLbl="revTx" presStyleIdx="0" presStyleCnt="2">
        <dgm:presLayoutVars>
          <dgm:bulletEnabled val="1"/>
        </dgm:presLayoutVars>
      </dgm:prSet>
      <dgm:spPr/>
    </dgm:pt>
    <dgm:pt modelId="{27426975-6062-4EB9-9035-EA92C93DBA29}" type="pres">
      <dgm:prSet presAssocID="{FE3A81DA-981A-49ED-A739-32D2794C6D03}" presName="rect1" presStyleLbl="alignImgPlace1" presStyleIdx="0" presStyleCnt="2"/>
      <dgm:spPr>
        <a:blipFill rotWithShape="1">
          <a:blip xmlns:r="http://schemas.openxmlformats.org/officeDocument/2006/relationships" r:embed="rId1"/>
          <a:stretch>
            <a:fillRect/>
          </a:stretch>
        </a:blipFill>
      </dgm:spPr>
    </dgm:pt>
    <dgm:pt modelId="{6D1EF4CF-9D9E-43DF-995A-3A9EE4DCD732}" type="pres">
      <dgm:prSet presAssocID="{88EEE133-31A7-4809-8259-5042FB653D19}" presName="sibTrans" presStyleCnt="0"/>
      <dgm:spPr/>
    </dgm:pt>
    <dgm:pt modelId="{BD887AF5-BF20-4F9A-A973-99093FBFBE26}" type="pres">
      <dgm:prSet presAssocID="{217749D3-33DC-4A33-A6D9-F956494DFCBB}" presName="composite" presStyleCnt="0"/>
      <dgm:spPr/>
    </dgm:pt>
    <dgm:pt modelId="{7A9119C1-EF19-4E71-BA24-C6C79245CBBD}" type="pres">
      <dgm:prSet presAssocID="{217749D3-33DC-4A33-A6D9-F956494DFCBB}" presName="rect2" presStyleLbl="revTx" presStyleIdx="1" presStyleCnt="2">
        <dgm:presLayoutVars>
          <dgm:bulletEnabled val="1"/>
        </dgm:presLayoutVars>
      </dgm:prSet>
      <dgm:spPr/>
    </dgm:pt>
    <dgm:pt modelId="{15625642-372F-4619-BC8B-8551730B151F}" type="pres">
      <dgm:prSet presAssocID="{217749D3-33DC-4A33-A6D9-F956494DFCBB}" presName="rect1" presStyleLbl="alignImgPlace1" presStyleIdx="1" presStyleCnt="2"/>
      <dgm:spPr>
        <a:blipFill rotWithShape="1">
          <a:blip xmlns:r="http://schemas.openxmlformats.org/officeDocument/2006/relationships" r:embed="rId2"/>
          <a:stretch>
            <a:fillRect/>
          </a:stretch>
        </a:blipFill>
      </dgm:spPr>
    </dgm:pt>
  </dgm:ptLst>
  <dgm:cxnLst>
    <dgm:cxn modelId="{11B30B43-520F-4B6A-8070-DA03FCFE32D6}" type="presOf" srcId="{FE3A81DA-981A-49ED-A739-32D2794C6D03}" destId="{86BA59A7-9A70-4C6E-99D6-72D5D14284C3}" srcOrd="0" destOrd="0" presId="urn:microsoft.com/office/officeart/2008/layout/PictureGrid"/>
    <dgm:cxn modelId="{9990CE88-9A41-43DE-B43A-FF9F5BF000CC}" srcId="{27671FB1-F74D-462C-8D6B-F39739F69D9E}" destId="{FE3A81DA-981A-49ED-A739-32D2794C6D03}" srcOrd="0" destOrd="0" parTransId="{6E910534-5470-49E1-AFB6-1BBFE54309E6}" sibTransId="{88EEE133-31A7-4809-8259-5042FB653D19}"/>
    <dgm:cxn modelId="{A25337B0-45B2-4BFA-940D-6A1E8EE47C65}" type="presOf" srcId="{217749D3-33DC-4A33-A6D9-F956494DFCBB}" destId="{7A9119C1-EF19-4E71-BA24-C6C79245CBBD}" srcOrd="0" destOrd="0" presId="urn:microsoft.com/office/officeart/2008/layout/PictureGrid"/>
    <dgm:cxn modelId="{29C693C9-0B54-410C-912B-86DD0F8E1FC1}" type="presOf" srcId="{27671FB1-F74D-462C-8D6B-F39739F69D9E}" destId="{332F175E-FB22-49A6-8DDC-C6A183FCEE04}" srcOrd="0" destOrd="0" presId="urn:microsoft.com/office/officeart/2008/layout/PictureGrid"/>
    <dgm:cxn modelId="{EDF49FFE-37A7-45CE-962A-7608F7D9A0CD}" srcId="{27671FB1-F74D-462C-8D6B-F39739F69D9E}" destId="{217749D3-33DC-4A33-A6D9-F956494DFCBB}" srcOrd="1" destOrd="0" parTransId="{183DF14C-1018-4D72-AAB4-000AB0595CBC}" sibTransId="{830CEAC5-C256-491E-A164-07117566DC10}"/>
    <dgm:cxn modelId="{C93B64A4-5082-4C93-91A3-05534540C14D}" type="presParOf" srcId="{332F175E-FB22-49A6-8DDC-C6A183FCEE04}" destId="{F984A687-BEDC-42F2-9155-A514478F8402}" srcOrd="0" destOrd="0" presId="urn:microsoft.com/office/officeart/2008/layout/PictureGrid"/>
    <dgm:cxn modelId="{14118F70-3165-4D20-B4E5-A471347A5D15}" type="presParOf" srcId="{F984A687-BEDC-42F2-9155-A514478F8402}" destId="{86BA59A7-9A70-4C6E-99D6-72D5D14284C3}" srcOrd="0" destOrd="0" presId="urn:microsoft.com/office/officeart/2008/layout/PictureGrid"/>
    <dgm:cxn modelId="{80DF1000-9A47-42B7-884B-94307CE0E99A}" type="presParOf" srcId="{F984A687-BEDC-42F2-9155-A514478F8402}" destId="{27426975-6062-4EB9-9035-EA92C93DBA29}" srcOrd="1" destOrd="0" presId="urn:microsoft.com/office/officeart/2008/layout/PictureGrid"/>
    <dgm:cxn modelId="{191C6531-AF6A-4577-819C-D97E19E55166}" type="presParOf" srcId="{332F175E-FB22-49A6-8DDC-C6A183FCEE04}" destId="{6D1EF4CF-9D9E-43DF-995A-3A9EE4DCD732}" srcOrd="1" destOrd="0" presId="urn:microsoft.com/office/officeart/2008/layout/PictureGrid"/>
    <dgm:cxn modelId="{D19A12FB-6A7C-4F2A-B6FF-A0ED1A226DBD}" type="presParOf" srcId="{332F175E-FB22-49A6-8DDC-C6A183FCEE04}" destId="{BD887AF5-BF20-4F9A-A973-99093FBFBE26}" srcOrd="2" destOrd="0" presId="urn:microsoft.com/office/officeart/2008/layout/PictureGrid"/>
    <dgm:cxn modelId="{11D85DB1-2ADF-4C57-B0D8-8BB30EA4A809}" type="presParOf" srcId="{BD887AF5-BF20-4F9A-A973-99093FBFBE26}" destId="{7A9119C1-EF19-4E71-BA24-C6C79245CBBD}" srcOrd="0" destOrd="0" presId="urn:microsoft.com/office/officeart/2008/layout/PictureGrid"/>
    <dgm:cxn modelId="{F3B2BF02-7321-4D9D-8E4C-FCCF6CA5E53C}" type="presParOf" srcId="{BD887AF5-BF20-4F9A-A973-99093FBFBE26}" destId="{15625642-372F-4619-BC8B-8551730B151F}" srcOrd="1" destOrd="0" presId="urn:microsoft.com/office/officeart/2008/layout/PictureGrid"/>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288CDA1-4C37-4CEB-971C-F89B1125443C}" type="doc">
      <dgm:prSet loTypeId="urn:microsoft.com/office/officeart/2005/8/layout/hList2" loCatId="list" qsTypeId="urn:microsoft.com/office/officeart/2005/8/quickstyle/simple1" qsCatId="simple" csTypeId="urn:microsoft.com/office/officeart/2005/8/colors/accent0_3" csCatId="mainScheme" phldr="1"/>
      <dgm:spPr/>
      <dgm:t>
        <a:bodyPr/>
        <a:lstStyle/>
        <a:p>
          <a:endParaRPr lang="en-US"/>
        </a:p>
      </dgm:t>
    </dgm:pt>
    <dgm:pt modelId="{443E2AC4-EAAD-4083-9AF7-6E151C3EF2F5}">
      <dgm:prSet phldrT="[Text]"/>
      <dgm:spPr/>
      <dgm:t>
        <a:bodyPr/>
        <a:lstStyle/>
        <a:p>
          <a:r>
            <a:rPr lang="en-US">
              <a:latin typeface="Arial" panose="020B0604020202020204" pitchFamily="34" charset="0"/>
              <a:cs typeface="Arial" panose="020B0604020202020204" pitchFamily="34" charset="0"/>
            </a:rPr>
            <a:t>Segmentation</a:t>
          </a:r>
        </a:p>
      </dgm:t>
    </dgm:pt>
    <dgm:pt modelId="{5F68A134-A191-4017-A6F9-F4E4DC6541A7}" type="parTrans" cxnId="{8EA29E2C-A51F-4747-B0D2-E96A14A0B0DA}">
      <dgm:prSet/>
      <dgm:spPr/>
      <dgm:t>
        <a:bodyPr/>
        <a:lstStyle/>
        <a:p>
          <a:endParaRPr lang="en-US">
            <a:latin typeface="Arial" panose="020B0604020202020204" pitchFamily="34" charset="0"/>
            <a:cs typeface="Arial" panose="020B0604020202020204" pitchFamily="34" charset="0"/>
          </a:endParaRPr>
        </a:p>
      </dgm:t>
    </dgm:pt>
    <dgm:pt modelId="{FA5CFC0B-FA90-4F41-9675-A97BCFA08F1D}" type="sibTrans" cxnId="{8EA29E2C-A51F-4747-B0D2-E96A14A0B0DA}">
      <dgm:prSet/>
      <dgm:spPr/>
      <dgm:t>
        <a:bodyPr/>
        <a:lstStyle/>
        <a:p>
          <a:endParaRPr lang="en-US">
            <a:latin typeface="Arial" panose="020B0604020202020204" pitchFamily="34" charset="0"/>
            <a:cs typeface="Arial" panose="020B0604020202020204" pitchFamily="34" charset="0"/>
          </a:endParaRPr>
        </a:p>
      </dgm:t>
    </dgm:pt>
    <dgm:pt modelId="{19816E84-5334-455A-BE4E-F42DEDA91E91}">
      <dgm:prSet phldrT="[Text]"/>
      <dgm:spPr/>
      <dgm:t>
        <a:bodyPr/>
        <a:lstStyle/>
        <a:p>
          <a:r>
            <a:rPr lang="en-US">
              <a:latin typeface="Arial" panose="020B0604020202020204" pitchFamily="34" charset="0"/>
              <a:cs typeface="Arial" panose="020B0604020202020204" pitchFamily="34" charset="0"/>
            </a:rPr>
            <a:t>Toyota divides the Japanese and U.S. markets into distinct demographic, geographic, psychographic and benefit-based customer groups.</a:t>
          </a:r>
        </a:p>
      </dgm:t>
    </dgm:pt>
    <dgm:pt modelId="{CB69C418-1F95-45D7-8BE6-7269D502C7C3}" type="parTrans" cxnId="{0B3AEF30-9382-4D40-91FA-3FD158FB1862}">
      <dgm:prSet/>
      <dgm:spPr/>
      <dgm:t>
        <a:bodyPr/>
        <a:lstStyle/>
        <a:p>
          <a:endParaRPr lang="en-US">
            <a:latin typeface="Arial" panose="020B0604020202020204" pitchFamily="34" charset="0"/>
            <a:cs typeface="Arial" panose="020B0604020202020204" pitchFamily="34" charset="0"/>
          </a:endParaRPr>
        </a:p>
      </dgm:t>
    </dgm:pt>
    <dgm:pt modelId="{4C136852-600C-4A8B-990A-DDC2769EA18B}" type="sibTrans" cxnId="{0B3AEF30-9382-4D40-91FA-3FD158FB1862}">
      <dgm:prSet/>
      <dgm:spPr/>
      <dgm:t>
        <a:bodyPr/>
        <a:lstStyle/>
        <a:p>
          <a:endParaRPr lang="en-US">
            <a:latin typeface="Arial" panose="020B0604020202020204" pitchFamily="34" charset="0"/>
            <a:cs typeface="Arial" panose="020B0604020202020204" pitchFamily="34" charset="0"/>
          </a:endParaRPr>
        </a:p>
      </dgm:t>
    </dgm:pt>
    <dgm:pt modelId="{A6597EB8-3F25-4C8E-B84D-4A4714D49E8C}">
      <dgm:prSet phldrT="[Text]"/>
      <dgm:spPr/>
      <dgm:t>
        <a:bodyPr/>
        <a:lstStyle/>
        <a:p>
          <a:r>
            <a:rPr lang="en-US">
              <a:latin typeface="Arial" panose="020B0604020202020204" pitchFamily="34" charset="0"/>
              <a:cs typeface="Arial" panose="020B0604020202020204" pitchFamily="34" charset="0"/>
            </a:rPr>
            <a:t>Targeting</a:t>
          </a:r>
        </a:p>
      </dgm:t>
    </dgm:pt>
    <dgm:pt modelId="{96885117-169F-4446-8BD0-848817E805EB}" type="parTrans" cxnId="{73E142EA-7CC9-4808-80BB-6CFFF4BCA673}">
      <dgm:prSet/>
      <dgm:spPr/>
      <dgm:t>
        <a:bodyPr/>
        <a:lstStyle/>
        <a:p>
          <a:endParaRPr lang="en-US">
            <a:latin typeface="Arial" panose="020B0604020202020204" pitchFamily="34" charset="0"/>
            <a:cs typeface="Arial" panose="020B0604020202020204" pitchFamily="34" charset="0"/>
          </a:endParaRPr>
        </a:p>
      </dgm:t>
    </dgm:pt>
    <dgm:pt modelId="{E7FA0C89-E8EF-47E4-89AD-F9373A4AB97D}" type="sibTrans" cxnId="{73E142EA-7CC9-4808-80BB-6CFFF4BCA673}">
      <dgm:prSet/>
      <dgm:spPr/>
      <dgm:t>
        <a:bodyPr/>
        <a:lstStyle/>
        <a:p>
          <a:endParaRPr lang="en-US">
            <a:latin typeface="Arial" panose="020B0604020202020204" pitchFamily="34" charset="0"/>
            <a:cs typeface="Arial" panose="020B0604020202020204" pitchFamily="34" charset="0"/>
          </a:endParaRPr>
        </a:p>
      </dgm:t>
    </dgm:pt>
    <dgm:pt modelId="{126A573C-6C47-4D6B-8A6C-E25407572638}">
      <dgm:prSet phldrT="[Text]"/>
      <dgm:spPr/>
      <dgm:t>
        <a:bodyPr/>
        <a:lstStyle/>
        <a:p>
          <a:r>
            <a:rPr lang="en-US">
              <a:latin typeface="Arial" panose="020B0604020202020204" pitchFamily="34" charset="0"/>
              <a:cs typeface="Arial" panose="020B0604020202020204" pitchFamily="34" charset="0"/>
            </a:rPr>
            <a:t>Positioning</a:t>
          </a:r>
        </a:p>
      </dgm:t>
    </dgm:pt>
    <dgm:pt modelId="{47DB6F3D-83F1-48D7-A7E0-4D3DFEB6427E}" type="parTrans" cxnId="{CA385EE2-0A24-4234-8216-19EF9358BC1E}">
      <dgm:prSet/>
      <dgm:spPr/>
      <dgm:t>
        <a:bodyPr/>
        <a:lstStyle/>
        <a:p>
          <a:endParaRPr lang="en-US">
            <a:latin typeface="Arial" panose="020B0604020202020204" pitchFamily="34" charset="0"/>
            <a:cs typeface="Arial" panose="020B0604020202020204" pitchFamily="34" charset="0"/>
          </a:endParaRPr>
        </a:p>
      </dgm:t>
    </dgm:pt>
    <dgm:pt modelId="{F13ED918-4729-45B8-8855-A55FC7593659}" type="sibTrans" cxnId="{CA385EE2-0A24-4234-8216-19EF9358BC1E}">
      <dgm:prSet/>
      <dgm:spPr/>
      <dgm:t>
        <a:bodyPr/>
        <a:lstStyle/>
        <a:p>
          <a:endParaRPr lang="en-US">
            <a:latin typeface="Arial" panose="020B0604020202020204" pitchFamily="34" charset="0"/>
            <a:cs typeface="Arial" panose="020B0604020202020204" pitchFamily="34" charset="0"/>
          </a:endParaRPr>
        </a:p>
      </dgm:t>
    </dgm:pt>
    <dgm:pt modelId="{491A6C10-77CF-489A-BE14-03FA6C643245}">
      <dgm:prSet phldrT="[Text]"/>
      <dgm:spPr/>
      <dgm:t>
        <a:bodyPr/>
        <a:lstStyle/>
        <a:p>
          <a:r>
            <a:rPr lang="en-US">
              <a:latin typeface="Arial" panose="020B0604020202020204" pitchFamily="34" charset="0"/>
              <a:cs typeface="Arial" panose="020B0604020202020204" pitchFamily="34" charset="0"/>
            </a:rPr>
            <a:t>Toyota positions itself in both markets as a reliable, high-quality, safe and fuel-efficient brand, while adapting its innovation and value emphasis to local competition and consumer expectations</a:t>
          </a:r>
        </a:p>
      </dgm:t>
    </dgm:pt>
    <dgm:pt modelId="{4932CAE0-A324-4C6F-A251-C5B26895DB88}" type="parTrans" cxnId="{CD19A7B0-D08E-46AA-A943-783AF659A168}">
      <dgm:prSet/>
      <dgm:spPr/>
      <dgm:t>
        <a:bodyPr/>
        <a:lstStyle/>
        <a:p>
          <a:endParaRPr lang="en-US">
            <a:latin typeface="Arial" panose="020B0604020202020204" pitchFamily="34" charset="0"/>
            <a:cs typeface="Arial" panose="020B0604020202020204" pitchFamily="34" charset="0"/>
          </a:endParaRPr>
        </a:p>
      </dgm:t>
    </dgm:pt>
    <dgm:pt modelId="{7B488D2F-189A-465A-A063-4F3EEB0EA2F9}" type="sibTrans" cxnId="{CD19A7B0-D08E-46AA-A943-783AF659A168}">
      <dgm:prSet/>
      <dgm:spPr/>
      <dgm:t>
        <a:bodyPr/>
        <a:lstStyle/>
        <a:p>
          <a:endParaRPr lang="en-US">
            <a:latin typeface="Arial" panose="020B0604020202020204" pitchFamily="34" charset="0"/>
            <a:cs typeface="Arial" panose="020B0604020202020204" pitchFamily="34" charset="0"/>
          </a:endParaRPr>
        </a:p>
      </dgm:t>
    </dgm:pt>
    <dgm:pt modelId="{2641478A-93D3-467C-927A-69119C9C9E21}">
      <dgm:prSet phldrT="[Text]"/>
      <dgm:spPr/>
      <dgm:t>
        <a:bodyPr/>
        <a:lstStyle/>
        <a:p>
          <a:r>
            <a:rPr lang="en-US">
              <a:latin typeface="Arial" panose="020B0604020202020204" pitchFamily="34" charset="0"/>
              <a:cs typeface="Arial" panose="020B0604020202020204" pitchFamily="34" charset="0"/>
            </a:rPr>
            <a:t>Toyota uses differentiated targeting by selecting attractive segments such as urban hybrid users in Japan and family, SUV, pickup and environmentally conscious buyers in the United States.</a:t>
          </a:r>
        </a:p>
      </dgm:t>
    </dgm:pt>
    <dgm:pt modelId="{9519D47F-0201-47F5-B725-67EAD8AF0340}" type="parTrans" cxnId="{95FF0CE2-E0E7-4FD1-9915-73E609FDCD53}">
      <dgm:prSet/>
      <dgm:spPr/>
      <dgm:t>
        <a:bodyPr/>
        <a:lstStyle/>
        <a:p>
          <a:endParaRPr lang="en-US">
            <a:latin typeface="Arial" panose="020B0604020202020204" pitchFamily="34" charset="0"/>
            <a:cs typeface="Arial" panose="020B0604020202020204" pitchFamily="34" charset="0"/>
          </a:endParaRPr>
        </a:p>
      </dgm:t>
    </dgm:pt>
    <dgm:pt modelId="{CB8DF027-FDD3-4877-83A1-C2AC690089D0}" type="sibTrans" cxnId="{95FF0CE2-E0E7-4FD1-9915-73E609FDCD53}">
      <dgm:prSet/>
      <dgm:spPr/>
      <dgm:t>
        <a:bodyPr/>
        <a:lstStyle/>
        <a:p>
          <a:endParaRPr lang="en-US">
            <a:latin typeface="Arial" panose="020B0604020202020204" pitchFamily="34" charset="0"/>
            <a:cs typeface="Arial" panose="020B0604020202020204" pitchFamily="34" charset="0"/>
          </a:endParaRPr>
        </a:p>
      </dgm:t>
    </dgm:pt>
    <dgm:pt modelId="{BA8F18D8-086C-4116-A634-72C03A0A3552}" type="pres">
      <dgm:prSet presAssocID="{D288CDA1-4C37-4CEB-971C-F89B1125443C}" presName="linearFlow" presStyleCnt="0">
        <dgm:presLayoutVars>
          <dgm:dir/>
          <dgm:animLvl val="lvl"/>
          <dgm:resizeHandles/>
        </dgm:presLayoutVars>
      </dgm:prSet>
      <dgm:spPr/>
    </dgm:pt>
    <dgm:pt modelId="{B24DA91E-5BC7-4F7D-A717-33040EFAEE68}" type="pres">
      <dgm:prSet presAssocID="{443E2AC4-EAAD-4083-9AF7-6E151C3EF2F5}" presName="compositeNode" presStyleCnt="0">
        <dgm:presLayoutVars>
          <dgm:bulletEnabled val="1"/>
        </dgm:presLayoutVars>
      </dgm:prSet>
      <dgm:spPr/>
    </dgm:pt>
    <dgm:pt modelId="{692CE5C0-81DA-419D-9497-7CB7CE6707BD}" type="pres">
      <dgm:prSet presAssocID="{443E2AC4-EAAD-4083-9AF7-6E151C3EF2F5}" presName="image" presStyleLbl="fgImgPlace1" presStyleIdx="0" presStyleCnt="3"/>
      <dgm:spPr>
        <a:blipFill rotWithShape="1">
          <a:blip xmlns:r="http://schemas.openxmlformats.org/officeDocument/2006/relationships" r:embed="rId1"/>
          <a:stretch>
            <a:fillRect/>
          </a:stretch>
        </a:blipFill>
      </dgm:spPr>
    </dgm:pt>
    <dgm:pt modelId="{7790295E-FF22-4A69-9827-29DCEC64D076}" type="pres">
      <dgm:prSet presAssocID="{443E2AC4-EAAD-4083-9AF7-6E151C3EF2F5}" presName="childNode" presStyleLbl="node1" presStyleIdx="0" presStyleCnt="3">
        <dgm:presLayoutVars>
          <dgm:bulletEnabled val="1"/>
        </dgm:presLayoutVars>
      </dgm:prSet>
      <dgm:spPr/>
    </dgm:pt>
    <dgm:pt modelId="{26D97568-07E6-47B0-89CB-1DEF0D0E7017}" type="pres">
      <dgm:prSet presAssocID="{443E2AC4-EAAD-4083-9AF7-6E151C3EF2F5}" presName="parentNode" presStyleLbl="revTx" presStyleIdx="0" presStyleCnt="3">
        <dgm:presLayoutVars>
          <dgm:chMax val="0"/>
          <dgm:bulletEnabled val="1"/>
        </dgm:presLayoutVars>
      </dgm:prSet>
      <dgm:spPr/>
    </dgm:pt>
    <dgm:pt modelId="{A5CFE4A9-AB21-4FED-AD10-F1F609CF3DCC}" type="pres">
      <dgm:prSet presAssocID="{FA5CFC0B-FA90-4F41-9675-A97BCFA08F1D}" presName="sibTrans" presStyleCnt="0"/>
      <dgm:spPr/>
    </dgm:pt>
    <dgm:pt modelId="{94DDAE31-D104-4714-9DA4-A21162E1F1F0}" type="pres">
      <dgm:prSet presAssocID="{A6597EB8-3F25-4C8E-B84D-4A4714D49E8C}" presName="compositeNode" presStyleCnt="0">
        <dgm:presLayoutVars>
          <dgm:bulletEnabled val="1"/>
        </dgm:presLayoutVars>
      </dgm:prSet>
      <dgm:spPr/>
    </dgm:pt>
    <dgm:pt modelId="{04FDC149-FB76-4734-B727-76A5E5DE0FFE}" type="pres">
      <dgm:prSet presAssocID="{A6597EB8-3F25-4C8E-B84D-4A4714D49E8C}" presName="image" presStyleLbl="fgImgPlace1" presStyleIdx="1" presStyleCnt="3"/>
      <dgm:spPr>
        <a:blipFill rotWithShape="1">
          <a:blip xmlns:r="http://schemas.openxmlformats.org/officeDocument/2006/relationships" r:embed="rId2"/>
          <a:stretch>
            <a:fillRect/>
          </a:stretch>
        </a:blipFill>
      </dgm:spPr>
    </dgm:pt>
    <dgm:pt modelId="{4858F2AA-27CF-4D98-B6BE-A8857C5F2E15}" type="pres">
      <dgm:prSet presAssocID="{A6597EB8-3F25-4C8E-B84D-4A4714D49E8C}" presName="childNode" presStyleLbl="node1" presStyleIdx="1" presStyleCnt="3">
        <dgm:presLayoutVars>
          <dgm:bulletEnabled val="1"/>
        </dgm:presLayoutVars>
      </dgm:prSet>
      <dgm:spPr/>
    </dgm:pt>
    <dgm:pt modelId="{AA0DC4BF-1144-42C4-A606-1FB4539A4C12}" type="pres">
      <dgm:prSet presAssocID="{A6597EB8-3F25-4C8E-B84D-4A4714D49E8C}" presName="parentNode" presStyleLbl="revTx" presStyleIdx="1" presStyleCnt="3">
        <dgm:presLayoutVars>
          <dgm:chMax val="0"/>
          <dgm:bulletEnabled val="1"/>
        </dgm:presLayoutVars>
      </dgm:prSet>
      <dgm:spPr/>
    </dgm:pt>
    <dgm:pt modelId="{7CDBF22C-A6E0-4664-9797-CB99C629471F}" type="pres">
      <dgm:prSet presAssocID="{E7FA0C89-E8EF-47E4-89AD-F9373A4AB97D}" presName="sibTrans" presStyleCnt="0"/>
      <dgm:spPr/>
    </dgm:pt>
    <dgm:pt modelId="{9342AB0B-8000-4584-9260-4C20597E311E}" type="pres">
      <dgm:prSet presAssocID="{126A573C-6C47-4D6B-8A6C-E25407572638}" presName="compositeNode" presStyleCnt="0">
        <dgm:presLayoutVars>
          <dgm:bulletEnabled val="1"/>
        </dgm:presLayoutVars>
      </dgm:prSet>
      <dgm:spPr/>
    </dgm:pt>
    <dgm:pt modelId="{F867E2E8-438C-414C-9413-F75AAB4E6D84}" type="pres">
      <dgm:prSet presAssocID="{126A573C-6C47-4D6B-8A6C-E25407572638}" presName="image" presStyleLbl="fgImgPlace1" presStyleIdx="2" presStyleCnt="3"/>
      <dgm:spPr>
        <a:blipFill rotWithShape="1">
          <a:blip xmlns:r="http://schemas.openxmlformats.org/officeDocument/2006/relationships" r:embed="rId3"/>
          <a:stretch>
            <a:fillRect/>
          </a:stretch>
        </a:blipFill>
      </dgm:spPr>
    </dgm:pt>
    <dgm:pt modelId="{CA9909F0-13B1-463C-8D57-DEBF1E89B866}" type="pres">
      <dgm:prSet presAssocID="{126A573C-6C47-4D6B-8A6C-E25407572638}" presName="childNode" presStyleLbl="node1" presStyleIdx="2" presStyleCnt="3">
        <dgm:presLayoutVars>
          <dgm:bulletEnabled val="1"/>
        </dgm:presLayoutVars>
      </dgm:prSet>
      <dgm:spPr/>
    </dgm:pt>
    <dgm:pt modelId="{E2C29AF6-6076-40C4-9044-A3C864329DE2}" type="pres">
      <dgm:prSet presAssocID="{126A573C-6C47-4D6B-8A6C-E25407572638}" presName="parentNode" presStyleLbl="revTx" presStyleIdx="2" presStyleCnt="3">
        <dgm:presLayoutVars>
          <dgm:chMax val="0"/>
          <dgm:bulletEnabled val="1"/>
        </dgm:presLayoutVars>
      </dgm:prSet>
      <dgm:spPr/>
    </dgm:pt>
  </dgm:ptLst>
  <dgm:cxnLst>
    <dgm:cxn modelId="{8EA29E2C-A51F-4747-B0D2-E96A14A0B0DA}" srcId="{D288CDA1-4C37-4CEB-971C-F89B1125443C}" destId="{443E2AC4-EAAD-4083-9AF7-6E151C3EF2F5}" srcOrd="0" destOrd="0" parTransId="{5F68A134-A191-4017-A6F9-F4E4DC6541A7}" sibTransId="{FA5CFC0B-FA90-4F41-9675-A97BCFA08F1D}"/>
    <dgm:cxn modelId="{0B3AEF30-9382-4D40-91FA-3FD158FB1862}" srcId="{443E2AC4-EAAD-4083-9AF7-6E151C3EF2F5}" destId="{19816E84-5334-455A-BE4E-F42DEDA91E91}" srcOrd="0" destOrd="0" parTransId="{CB69C418-1F95-45D7-8BE6-7269D502C7C3}" sibTransId="{4C136852-600C-4A8B-990A-DDC2769EA18B}"/>
    <dgm:cxn modelId="{4C8B6A36-8D8C-4D92-B586-C325F3206D74}" type="presOf" srcId="{443E2AC4-EAAD-4083-9AF7-6E151C3EF2F5}" destId="{26D97568-07E6-47B0-89CB-1DEF0D0E7017}" srcOrd="0" destOrd="0" presId="urn:microsoft.com/office/officeart/2005/8/layout/hList2"/>
    <dgm:cxn modelId="{B57B6C4C-3CBA-43C7-A0BB-018989038697}" type="presOf" srcId="{19816E84-5334-455A-BE4E-F42DEDA91E91}" destId="{7790295E-FF22-4A69-9827-29DCEC64D076}" srcOrd="0" destOrd="0" presId="urn:microsoft.com/office/officeart/2005/8/layout/hList2"/>
    <dgm:cxn modelId="{91E0C175-B511-4177-94F8-3C5C33B6EB86}" type="presOf" srcId="{D288CDA1-4C37-4CEB-971C-F89B1125443C}" destId="{BA8F18D8-086C-4116-A634-72C03A0A3552}" srcOrd="0" destOrd="0" presId="urn:microsoft.com/office/officeart/2005/8/layout/hList2"/>
    <dgm:cxn modelId="{FE630289-B165-46FA-81FF-BC94FB7D8C3B}" type="presOf" srcId="{2641478A-93D3-467C-927A-69119C9C9E21}" destId="{4858F2AA-27CF-4D98-B6BE-A8857C5F2E15}" srcOrd="0" destOrd="0" presId="urn:microsoft.com/office/officeart/2005/8/layout/hList2"/>
    <dgm:cxn modelId="{CD19A7B0-D08E-46AA-A943-783AF659A168}" srcId="{126A573C-6C47-4D6B-8A6C-E25407572638}" destId="{491A6C10-77CF-489A-BE14-03FA6C643245}" srcOrd="0" destOrd="0" parTransId="{4932CAE0-A324-4C6F-A251-C5B26895DB88}" sibTransId="{7B488D2F-189A-465A-A063-4F3EEB0EA2F9}"/>
    <dgm:cxn modelId="{45F94CB3-B8AA-4660-9F3D-925798DACF5E}" type="presOf" srcId="{A6597EB8-3F25-4C8E-B84D-4A4714D49E8C}" destId="{AA0DC4BF-1144-42C4-A606-1FB4539A4C12}" srcOrd="0" destOrd="0" presId="urn:microsoft.com/office/officeart/2005/8/layout/hList2"/>
    <dgm:cxn modelId="{B6A08ECD-FB5F-4F38-B4B2-77469D1A66C7}" type="presOf" srcId="{491A6C10-77CF-489A-BE14-03FA6C643245}" destId="{CA9909F0-13B1-463C-8D57-DEBF1E89B866}" srcOrd="0" destOrd="0" presId="urn:microsoft.com/office/officeart/2005/8/layout/hList2"/>
    <dgm:cxn modelId="{95FF0CE2-E0E7-4FD1-9915-73E609FDCD53}" srcId="{A6597EB8-3F25-4C8E-B84D-4A4714D49E8C}" destId="{2641478A-93D3-467C-927A-69119C9C9E21}" srcOrd="0" destOrd="0" parTransId="{9519D47F-0201-47F5-B725-67EAD8AF0340}" sibTransId="{CB8DF027-FDD3-4877-83A1-C2AC690089D0}"/>
    <dgm:cxn modelId="{CA385EE2-0A24-4234-8216-19EF9358BC1E}" srcId="{D288CDA1-4C37-4CEB-971C-F89B1125443C}" destId="{126A573C-6C47-4D6B-8A6C-E25407572638}" srcOrd="2" destOrd="0" parTransId="{47DB6F3D-83F1-48D7-A7E0-4D3DFEB6427E}" sibTransId="{F13ED918-4729-45B8-8855-A55FC7593659}"/>
    <dgm:cxn modelId="{73E142EA-7CC9-4808-80BB-6CFFF4BCA673}" srcId="{D288CDA1-4C37-4CEB-971C-F89B1125443C}" destId="{A6597EB8-3F25-4C8E-B84D-4A4714D49E8C}" srcOrd="1" destOrd="0" parTransId="{96885117-169F-4446-8BD0-848817E805EB}" sibTransId="{E7FA0C89-E8EF-47E4-89AD-F9373A4AB97D}"/>
    <dgm:cxn modelId="{8599CAFF-CFC9-47D2-B38F-949D5983C9B2}" type="presOf" srcId="{126A573C-6C47-4D6B-8A6C-E25407572638}" destId="{E2C29AF6-6076-40C4-9044-A3C864329DE2}" srcOrd="0" destOrd="0" presId="urn:microsoft.com/office/officeart/2005/8/layout/hList2"/>
    <dgm:cxn modelId="{84D94701-263A-49B2-8C19-00CD53E7F499}" type="presParOf" srcId="{BA8F18D8-086C-4116-A634-72C03A0A3552}" destId="{B24DA91E-5BC7-4F7D-A717-33040EFAEE68}" srcOrd="0" destOrd="0" presId="urn:microsoft.com/office/officeart/2005/8/layout/hList2"/>
    <dgm:cxn modelId="{F7F77756-6F80-4206-AD77-DF6339EF7BB3}" type="presParOf" srcId="{B24DA91E-5BC7-4F7D-A717-33040EFAEE68}" destId="{692CE5C0-81DA-419D-9497-7CB7CE6707BD}" srcOrd="0" destOrd="0" presId="urn:microsoft.com/office/officeart/2005/8/layout/hList2"/>
    <dgm:cxn modelId="{0BB2870F-A888-4A88-8159-3AE81A1577D9}" type="presParOf" srcId="{B24DA91E-5BC7-4F7D-A717-33040EFAEE68}" destId="{7790295E-FF22-4A69-9827-29DCEC64D076}" srcOrd="1" destOrd="0" presId="urn:microsoft.com/office/officeart/2005/8/layout/hList2"/>
    <dgm:cxn modelId="{60ED5A66-75FD-4F57-AB15-4586ACAA10CA}" type="presParOf" srcId="{B24DA91E-5BC7-4F7D-A717-33040EFAEE68}" destId="{26D97568-07E6-47B0-89CB-1DEF0D0E7017}" srcOrd="2" destOrd="0" presId="urn:microsoft.com/office/officeart/2005/8/layout/hList2"/>
    <dgm:cxn modelId="{3B6DA5CD-8A7B-40BD-AFAD-E07A6FE8291F}" type="presParOf" srcId="{BA8F18D8-086C-4116-A634-72C03A0A3552}" destId="{A5CFE4A9-AB21-4FED-AD10-F1F609CF3DCC}" srcOrd="1" destOrd="0" presId="urn:microsoft.com/office/officeart/2005/8/layout/hList2"/>
    <dgm:cxn modelId="{C07868EC-C2F4-4C13-9C64-FBF4D534F4EA}" type="presParOf" srcId="{BA8F18D8-086C-4116-A634-72C03A0A3552}" destId="{94DDAE31-D104-4714-9DA4-A21162E1F1F0}" srcOrd="2" destOrd="0" presId="urn:microsoft.com/office/officeart/2005/8/layout/hList2"/>
    <dgm:cxn modelId="{E46353B3-18F2-43A4-AD09-CB2C2FA4CF73}" type="presParOf" srcId="{94DDAE31-D104-4714-9DA4-A21162E1F1F0}" destId="{04FDC149-FB76-4734-B727-76A5E5DE0FFE}" srcOrd="0" destOrd="0" presId="urn:microsoft.com/office/officeart/2005/8/layout/hList2"/>
    <dgm:cxn modelId="{57ABCD98-0970-43E0-9FA4-4D7C26C60C02}" type="presParOf" srcId="{94DDAE31-D104-4714-9DA4-A21162E1F1F0}" destId="{4858F2AA-27CF-4D98-B6BE-A8857C5F2E15}" srcOrd="1" destOrd="0" presId="urn:microsoft.com/office/officeart/2005/8/layout/hList2"/>
    <dgm:cxn modelId="{D3A119BE-E90A-4C4B-81FF-62A2E84E4C07}" type="presParOf" srcId="{94DDAE31-D104-4714-9DA4-A21162E1F1F0}" destId="{AA0DC4BF-1144-42C4-A606-1FB4539A4C12}" srcOrd="2" destOrd="0" presId="urn:microsoft.com/office/officeart/2005/8/layout/hList2"/>
    <dgm:cxn modelId="{C9BAA62E-25EB-462F-89FD-1AA9978C5739}" type="presParOf" srcId="{BA8F18D8-086C-4116-A634-72C03A0A3552}" destId="{7CDBF22C-A6E0-4664-9797-CB99C629471F}" srcOrd="3" destOrd="0" presId="urn:microsoft.com/office/officeart/2005/8/layout/hList2"/>
    <dgm:cxn modelId="{BD5E5F18-E160-428F-84E6-D186B2DA178D}" type="presParOf" srcId="{BA8F18D8-086C-4116-A634-72C03A0A3552}" destId="{9342AB0B-8000-4584-9260-4C20597E311E}" srcOrd="4" destOrd="0" presId="urn:microsoft.com/office/officeart/2005/8/layout/hList2"/>
    <dgm:cxn modelId="{D0256350-1607-4985-94D4-63A7AB639D82}" type="presParOf" srcId="{9342AB0B-8000-4584-9260-4C20597E311E}" destId="{F867E2E8-438C-414C-9413-F75AAB4E6D84}" srcOrd="0" destOrd="0" presId="urn:microsoft.com/office/officeart/2005/8/layout/hList2"/>
    <dgm:cxn modelId="{39E60C9E-D39B-4358-A0DE-358DFF7FFD6A}" type="presParOf" srcId="{9342AB0B-8000-4584-9260-4C20597E311E}" destId="{CA9909F0-13B1-463C-8D57-DEBF1E89B866}" srcOrd="1" destOrd="0" presId="urn:microsoft.com/office/officeart/2005/8/layout/hList2"/>
    <dgm:cxn modelId="{F3C06F28-82F3-4A74-BAEF-554CC5CC5C3E}" type="presParOf" srcId="{9342AB0B-8000-4584-9260-4C20597E311E}" destId="{E2C29AF6-6076-40C4-9044-A3C864329DE2}" srcOrd="2" destOrd="0" presId="urn:microsoft.com/office/officeart/2005/8/layout/hList2"/>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CA4D6532-119C-4790-84C2-5967B5C28F1A}" type="doc">
      <dgm:prSet loTypeId="urn:microsoft.com/office/officeart/2009/3/layout/IncreasingArrowsProcess" loCatId="process" qsTypeId="urn:microsoft.com/office/officeart/2005/8/quickstyle/simple1" qsCatId="simple" csTypeId="urn:microsoft.com/office/officeart/2005/8/colors/accent0_3" csCatId="mainScheme" phldr="1"/>
      <dgm:spPr/>
      <dgm:t>
        <a:bodyPr/>
        <a:lstStyle/>
        <a:p>
          <a:endParaRPr lang="en-US"/>
        </a:p>
      </dgm:t>
    </dgm:pt>
    <dgm:pt modelId="{CE3A61F4-78B3-487E-BFC0-C369E378025C}">
      <dgm:prSet phldrT="[Text]" custT="1"/>
      <dgm:spPr>
        <a:xfrm>
          <a:off x="50166" y="51771"/>
          <a:ext cx="5605142" cy="816024"/>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sz="1400" b="1">
              <a:solidFill>
                <a:sysClr val="window" lastClr="FFFFFF"/>
              </a:solidFill>
              <a:latin typeface="Arial" panose="020B0604020202020204" pitchFamily="34" charset="0"/>
              <a:ea typeface="+mn-ea"/>
              <a:cs typeface="Arial" panose="020B0604020202020204" pitchFamily="34" charset="0"/>
            </a:rPr>
            <a:t>Exports (1957)</a:t>
          </a:r>
        </a:p>
      </dgm:t>
    </dgm:pt>
    <dgm:pt modelId="{54ACB846-4E90-455B-86FC-B5AD47444EE0}" type="parTrans" cxnId="{02697A3A-50EB-41B1-AB37-8515CCF7167E}">
      <dgm:prSet/>
      <dgm:spPr/>
      <dgm:t>
        <a:bodyPr/>
        <a:lstStyle/>
        <a:p>
          <a:endParaRPr lang="en-US">
            <a:latin typeface="Arial" panose="020B0604020202020204" pitchFamily="34" charset="0"/>
            <a:cs typeface="Arial" panose="020B0604020202020204" pitchFamily="34" charset="0"/>
          </a:endParaRPr>
        </a:p>
      </dgm:t>
    </dgm:pt>
    <dgm:pt modelId="{8B844E07-E8EA-4792-B0CA-309D05514D93}" type="sibTrans" cxnId="{02697A3A-50EB-41B1-AB37-8515CCF7167E}">
      <dgm:prSet/>
      <dgm:spPr/>
      <dgm:t>
        <a:bodyPr/>
        <a:lstStyle/>
        <a:p>
          <a:endParaRPr lang="en-US">
            <a:latin typeface="Arial" panose="020B0604020202020204" pitchFamily="34" charset="0"/>
            <a:cs typeface="Arial" panose="020B0604020202020204" pitchFamily="34" charset="0"/>
          </a:endParaRPr>
        </a:p>
      </dgm:t>
    </dgm:pt>
    <dgm:pt modelId="{DBB9E99B-E24C-432A-9D3F-C9DC987189CD}">
      <dgm:prSet phldrT="[Text]"/>
      <dgm:spPr>
        <a:xfrm>
          <a:off x="50166" y="682375"/>
          <a:ext cx="1291985" cy="1509399"/>
        </a:xfrm>
        <a:solidFill>
          <a:srgbClr val="E7E6E6">
            <a:hueOff val="0"/>
            <a:satOff val="0"/>
            <a:lumOff val="0"/>
            <a:alphaOff val="0"/>
          </a:srgbClr>
        </a:solidFill>
        <a:ln w="12700" cap="flat" cmpd="sng" algn="ctr">
          <a:solidFill>
            <a:srgbClr val="44546A">
              <a:hueOff val="0"/>
              <a:satOff val="0"/>
              <a:lumOff val="0"/>
              <a:alphaOff val="0"/>
            </a:srgbClr>
          </a:solidFill>
          <a:prstDash val="solid"/>
          <a:miter lim="800000"/>
        </a:ln>
        <a:effectLst/>
      </dgm:spPr>
      <dgm:t>
        <a:bodyPr/>
        <a:lstStyle/>
        <a:p>
          <a:r>
            <a:rPr lang="en-US"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Strategic purpose: </a:t>
          </a:r>
          <a:r>
            <a:rPr lang="en-US">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Test demand and learn at relatively low commitment</a:t>
          </a:r>
        </a:p>
      </dgm:t>
    </dgm:pt>
    <dgm:pt modelId="{29496752-0AF0-41D3-99FB-D158E7EEB92D}" type="parTrans" cxnId="{6C616494-5F71-48F2-AAF7-F6BF7CB1A8DA}">
      <dgm:prSet/>
      <dgm:spPr/>
      <dgm:t>
        <a:bodyPr/>
        <a:lstStyle/>
        <a:p>
          <a:endParaRPr lang="en-US">
            <a:latin typeface="Arial" panose="020B0604020202020204" pitchFamily="34" charset="0"/>
            <a:cs typeface="Arial" panose="020B0604020202020204" pitchFamily="34" charset="0"/>
          </a:endParaRPr>
        </a:p>
      </dgm:t>
    </dgm:pt>
    <dgm:pt modelId="{389BDC24-92CF-4225-8510-0172F6CAD4F8}" type="sibTrans" cxnId="{6C616494-5F71-48F2-AAF7-F6BF7CB1A8DA}">
      <dgm:prSet/>
      <dgm:spPr/>
      <dgm:t>
        <a:bodyPr/>
        <a:lstStyle/>
        <a:p>
          <a:endParaRPr lang="en-US">
            <a:latin typeface="Arial" panose="020B0604020202020204" pitchFamily="34" charset="0"/>
            <a:cs typeface="Arial" panose="020B0604020202020204" pitchFamily="34" charset="0"/>
          </a:endParaRPr>
        </a:p>
      </dgm:t>
    </dgm:pt>
    <dgm:pt modelId="{17EC80CB-9476-4B4B-AAF8-B1B1E4B6F8AD}">
      <dgm:prSet phldrT="[Text]" custT="1"/>
      <dgm:spPr>
        <a:xfrm>
          <a:off x="1342151" y="323683"/>
          <a:ext cx="4313157" cy="816024"/>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sz="1400" b="1">
              <a:solidFill>
                <a:sysClr val="window" lastClr="FFFFFF"/>
              </a:solidFill>
              <a:latin typeface="Arial" panose="020B0604020202020204" pitchFamily="34" charset="0"/>
              <a:ea typeface="+mn-ea"/>
              <a:cs typeface="Arial" panose="020B0604020202020204" pitchFamily="34" charset="0"/>
            </a:rPr>
            <a:t>Sales subsidiary</a:t>
          </a:r>
        </a:p>
      </dgm:t>
    </dgm:pt>
    <dgm:pt modelId="{7E00F874-0321-4C33-802B-94F35D40400F}" type="parTrans" cxnId="{B17EF758-D448-4AE7-8ECD-CF9148ACAF71}">
      <dgm:prSet/>
      <dgm:spPr/>
      <dgm:t>
        <a:bodyPr/>
        <a:lstStyle/>
        <a:p>
          <a:endParaRPr lang="en-US">
            <a:latin typeface="Arial" panose="020B0604020202020204" pitchFamily="34" charset="0"/>
            <a:cs typeface="Arial" panose="020B0604020202020204" pitchFamily="34" charset="0"/>
          </a:endParaRPr>
        </a:p>
      </dgm:t>
    </dgm:pt>
    <dgm:pt modelId="{9EF2FF81-DDE1-4645-8558-75655FD7BF60}" type="sibTrans" cxnId="{B17EF758-D448-4AE7-8ECD-CF9148ACAF71}">
      <dgm:prSet/>
      <dgm:spPr/>
      <dgm:t>
        <a:bodyPr/>
        <a:lstStyle/>
        <a:p>
          <a:endParaRPr lang="en-US">
            <a:latin typeface="Arial" panose="020B0604020202020204" pitchFamily="34" charset="0"/>
            <a:cs typeface="Arial" panose="020B0604020202020204" pitchFamily="34" charset="0"/>
          </a:endParaRPr>
        </a:p>
      </dgm:t>
    </dgm:pt>
    <dgm:pt modelId="{28925B2D-98E4-4DD3-BF14-6D3D10122670}">
      <dgm:prSet phldrT="[Text]"/>
      <dgm:spPr>
        <a:xfrm>
          <a:off x="1342151" y="954286"/>
          <a:ext cx="1291985" cy="1470926"/>
        </a:xfrm>
        <a:solidFill>
          <a:srgbClr val="E7E6E6">
            <a:hueOff val="0"/>
            <a:satOff val="0"/>
            <a:lumOff val="0"/>
            <a:alphaOff val="0"/>
          </a:srgbClr>
        </a:solidFill>
        <a:ln w="12700" cap="flat" cmpd="sng" algn="ctr">
          <a:solidFill>
            <a:srgbClr val="44546A">
              <a:hueOff val="0"/>
              <a:satOff val="0"/>
              <a:lumOff val="0"/>
              <a:alphaOff val="0"/>
            </a:srgbClr>
          </a:solidFill>
          <a:prstDash val="solid"/>
          <a:miter lim="800000"/>
        </a:ln>
        <a:effectLst/>
      </dgm:spPr>
      <dgm:t>
        <a:bodyPr/>
        <a:lstStyle/>
        <a:p>
          <a:r>
            <a:rPr lang="en-US"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Strategic purpose:</a:t>
          </a:r>
          <a:endParaRPr lang="en-US">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CBC200E6-29D7-463C-93E4-2C1871C29A03}" type="parTrans" cxnId="{AE921014-E3A7-4E35-803B-DD8A8603F5FA}">
      <dgm:prSet/>
      <dgm:spPr/>
      <dgm:t>
        <a:bodyPr/>
        <a:lstStyle/>
        <a:p>
          <a:endParaRPr lang="en-US">
            <a:latin typeface="Arial" panose="020B0604020202020204" pitchFamily="34" charset="0"/>
            <a:cs typeface="Arial" panose="020B0604020202020204" pitchFamily="34" charset="0"/>
          </a:endParaRPr>
        </a:p>
      </dgm:t>
    </dgm:pt>
    <dgm:pt modelId="{7F8EA23A-09E2-482A-BB7C-4945FDDBF5D8}" type="sibTrans" cxnId="{AE921014-E3A7-4E35-803B-DD8A8603F5FA}">
      <dgm:prSet/>
      <dgm:spPr/>
      <dgm:t>
        <a:bodyPr/>
        <a:lstStyle/>
        <a:p>
          <a:endParaRPr lang="en-US">
            <a:latin typeface="Arial" panose="020B0604020202020204" pitchFamily="34" charset="0"/>
            <a:cs typeface="Arial" panose="020B0604020202020204" pitchFamily="34" charset="0"/>
          </a:endParaRPr>
        </a:p>
      </dgm:t>
    </dgm:pt>
    <dgm:pt modelId="{26FEE9BE-E426-4917-A58A-1AD34C296654}">
      <dgm:prSet phldrT="[Text]" custT="1"/>
      <dgm:spPr>
        <a:xfrm>
          <a:off x="2634136" y="595594"/>
          <a:ext cx="3021172" cy="816024"/>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sz="1400" b="1">
              <a:solidFill>
                <a:sysClr val="window" lastClr="FFFFFF"/>
              </a:solidFill>
              <a:latin typeface="Arial" panose="020B0604020202020204" pitchFamily="34" charset="0"/>
              <a:ea typeface="+mn-ea"/>
              <a:cs typeface="Arial" panose="020B0604020202020204" pitchFamily="34" charset="0"/>
            </a:rPr>
            <a:t>Local manufacturing</a:t>
          </a:r>
        </a:p>
      </dgm:t>
    </dgm:pt>
    <dgm:pt modelId="{DF6714DA-C127-4F73-9E70-2CDD1AD69BA8}" type="parTrans" cxnId="{DC51DE38-ACBA-4DB5-8E50-B3A6D53311E3}">
      <dgm:prSet/>
      <dgm:spPr/>
      <dgm:t>
        <a:bodyPr/>
        <a:lstStyle/>
        <a:p>
          <a:endParaRPr lang="en-US">
            <a:latin typeface="Arial" panose="020B0604020202020204" pitchFamily="34" charset="0"/>
            <a:cs typeface="Arial" panose="020B0604020202020204" pitchFamily="34" charset="0"/>
          </a:endParaRPr>
        </a:p>
      </dgm:t>
    </dgm:pt>
    <dgm:pt modelId="{46ECDC8A-CBAA-4959-B1B5-F198E99570D5}" type="sibTrans" cxnId="{DC51DE38-ACBA-4DB5-8E50-B3A6D53311E3}">
      <dgm:prSet/>
      <dgm:spPr/>
      <dgm:t>
        <a:bodyPr/>
        <a:lstStyle/>
        <a:p>
          <a:endParaRPr lang="en-US">
            <a:latin typeface="Arial" panose="020B0604020202020204" pitchFamily="34" charset="0"/>
            <a:cs typeface="Arial" panose="020B0604020202020204" pitchFamily="34" charset="0"/>
          </a:endParaRPr>
        </a:p>
      </dgm:t>
    </dgm:pt>
    <dgm:pt modelId="{51C05FFC-0043-4D0F-A1E9-30092AB7B71E}">
      <dgm:prSet phldrT="[Text]"/>
      <dgm:spPr>
        <a:xfrm>
          <a:off x="2634136" y="1226198"/>
          <a:ext cx="1291985" cy="1480762"/>
        </a:xfrm>
        <a:solidFill>
          <a:srgbClr val="E7E6E6">
            <a:hueOff val="0"/>
            <a:satOff val="0"/>
            <a:lumOff val="0"/>
            <a:alphaOff val="0"/>
          </a:srgbClr>
        </a:solidFill>
        <a:ln w="12700" cap="flat" cmpd="sng" algn="ctr">
          <a:solidFill>
            <a:srgbClr val="44546A">
              <a:hueOff val="0"/>
              <a:satOff val="0"/>
              <a:lumOff val="0"/>
              <a:alphaOff val="0"/>
            </a:srgbClr>
          </a:solidFill>
          <a:prstDash val="solid"/>
          <a:miter lim="800000"/>
        </a:ln>
        <a:effectLst/>
      </dgm:spPr>
      <dgm:t>
        <a:bodyPr/>
        <a:lstStyle/>
        <a:p>
          <a:r>
            <a:rPr lang="en-US"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Strategic purpose: </a:t>
          </a:r>
          <a:r>
            <a:rPr lang="en-US"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Adapt products, reduce logistics exposure and build legitimacy</a:t>
          </a:r>
        </a:p>
      </dgm:t>
    </dgm:pt>
    <dgm:pt modelId="{984E569C-6395-4C42-AA7C-5822F88C0520}" type="parTrans" cxnId="{B41C487B-4F6B-426C-9F44-70BB9A97E36E}">
      <dgm:prSet/>
      <dgm:spPr/>
      <dgm:t>
        <a:bodyPr/>
        <a:lstStyle/>
        <a:p>
          <a:endParaRPr lang="en-US">
            <a:latin typeface="Arial" panose="020B0604020202020204" pitchFamily="34" charset="0"/>
            <a:cs typeface="Arial" panose="020B0604020202020204" pitchFamily="34" charset="0"/>
          </a:endParaRPr>
        </a:p>
      </dgm:t>
    </dgm:pt>
    <dgm:pt modelId="{78980C20-0C74-4919-ACE7-A0EEB6CD7491}" type="sibTrans" cxnId="{B41C487B-4F6B-426C-9F44-70BB9A97E36E}">
      <dgm:prSet/>
      <dgm:spPr/>
      <dgm:t>
        <a:bodyPr/>
        <a:lstStyle/>
        <a:p>
          <a:endParaRPr lang="en-US">
            <a:latin typeface="Arial" panose="020B0604020202020204" pitchFamily="34" charset="0"/>
            <a:cs typeface="Arial" panose="020B0604020202020204" pitchFamily="34" charset="0"/>
          </a:endParaRPr>
        </a:p>
      </dgm:t>
    </dgm:pt>
    <dgm:pt modelId="{2FE78C44-58B4-4111-ADFC-DD45805E8E32}">
      <dgm:prSet phldrT="[Text]"/>
      <dgm:spPr>
        <a:xfrm>
          <a:off x="50166" y="682375"/>
          <a:ext cx="1291985" cy="1509399"/>
        </a:xfrm>
        <a:solidFill>
          <a:srgbClr val="E7E6E6">
            <a:hueOff val="0"/>
            <a:satOff val="0"/>
            <a:lumOff val="0"/>
            <a:alphaOff val="0"/>
          </a:srgbClr>
        </a:solidFill>
        <a:ln w="12700" cap="flat" cmpd="sng" algn="ctr">
          <a:solidFill>
            <a:srgbClr val="44546A">
              <a:hueOff val="0"/>
              <a:satOff val="0"/>
              <a:lumOff val="0"/>
              <a:alphaOff val="0"/>
            </a:srgbClr>
          </a:solidFill>
          <a:prstDash val="solid"/>
          <a:miter lim="800000"/>
        </a:ln>
        <a:effectLst/>
      </dgm:spPr>
      <dgm:t>
        <a:bodyPr/>
        <a:lstStyle/>
        <a:p>
          <a:r>
            <a:rPr lang="en-US"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Commitment implication</a:t>
          </a:r>
          <a:r>
            <a:rPr lang="en-US">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High foreignness and delivery exposure</a:t>
          </a:r>
        </a:p>
      </dgm:t>
    </dgm:pt>
    <dgm:pt modelId="{78B2E3A8-45B7-4E8B-B071-584ED5185E49}" type="parTrans" cxnId="{B061140B-7DE0-476A-BFB0-57C2D8AE5EA6}">
      <dgm:prSet/>
      <dgm:spPr/>
      <dgm:t>
        <a:bodyPr/>
        <a:lstStyle/>
        <a:p>
          <a:endParaRPr lang="en-US">
            <a:latin typeface="Arial" panose="020B0604020202020204" pitchFamily="34" charset="0"/>
            <a:cs typeface="Arial" panose="020B0604020202020204" pitchFamily="34" charset="0"/>
          </a:endParaRPr>
        </a:p>
      </dgm:t>
    </dgm:pt>
    <dgm:pt modelId="{C5E3DD69-EA69-4A03-B5FF-65CF189B83F1}" type="sibTrans" cxnId="{B061140B-7DE0-476A-BFB0-57C2D8AE5EA6}">
      <dgm:prSet/>
      <dgm:spPr/>
      <dgm:t>
        <a:bodyPr/>
        <a:lstStyle/>
        <a:p>
          <a:endParaRPr lang="en-US">
            <a:latin typeface="Arial" panose="020B0604020202020204" pitchFamily="34" charset="0"/>
            <a:cs typeface="Arial" panose="020B0604020202020204" pitchFamily="34" charset="0"/>
          </a:endParaRPr>
        </a:p>
      </dgm:t>
    </dgm:pt>
    <dgm:pt modelId="{E05E8A5A-C667-49CE-8445-186F55D85722}">
      <dgm:prSet phldrT="[Text]"/>
      <dgm:spPr>
        <a:xfrm>
          <a:off x="1342151" y="954286"/>
          <a:ext cx="1291985" cy="1470926"/>
        </a:xfrm>
        <a:solidFill>
          <a:srgbClr val="E7E6E6">
            <a:hueOff val="0"/>
            <a:satOff val="0"/>
            <a:lumOff val="0"/>
            <a:alphaOff val="0"/>
          </a:srgbClr>
        </a:solidFill>
        <a:ln w="12700" cap="flat" cmpd="sng" algn="ctr">
          <a:solidFill>
            <a:srgbClr val="44546A">
              <a:hueOff val="0"/>
              <a:satOff val="0"/>
              <a:lumOff val="0"/>
              <a:alphaOff val="0"/>
            </a:srgbClr>
          </a:solidFill>
          <a:prstDash val="solid"/>
          <a:miter lim="800000"/>
        </a:ln>
        <a:effectLst/>
      </dgm:spPr>
      <dgm:t>
        <a:bodyPr/>
        <a:lstStyle/>
        <a:p>
          <a:r>
            <a:rPr lang="en-US"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Commitment implication: </a:t>
          </a:r>
          <a:r>
            <a:rPr lang="en-US"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Greater local control and relationships</a:t>
          </a:r>
        </a:p>
      </dgm:t>
    </dgm:pt>
    <dgm:pt modelId="{9BDF653E-6DE7-495E-AA1F-6E4F4F2E75CF}" type="parTrans" cxnId="{EC40F902-7CC2-4E9C-863A-9186C2BDC481}">
      <dgm:prSet/>
      <dgm:spPr/>
      <dgm:t>
        <a:bodyPr/>
        <a:lstStyle/>
        <a:p>
          <a:endParaRPr lang="en-US"/>
        </a:p>
      </dgm:t>
    </dgm:pt>
    <dgm:pt modelId="{66EB9031-591B-4CA3-B78B-2E66A020EF30}" type="sibTrans" cxnId="{EC40F902-7CC2-4E9C-863A-9186C2BDC481}">
      <dgm:prSet/>
      <dgm:spPr/>
      <dgm:t>
        <a:bodyPr/>
        <a:lstStyle/>
        <a:p>
          <a:endParaRPr lang="en-US"/>
        </a:p>
      </dgm:t>
    </dgm:pt>
    <dgm:pt modelId="{C3361FAB-2415-46BD-9569-67281DED5590}">
      <dgm:prSet/>
      <dgm:spPr>
        <a:xfrm>
          <a:off x="3926122" y="1498110"/>
          <a:ext cx="1303756" cy="1498118"/>
        </a:xfrm>
        <a:solidFill>
          <a:srgbClr val="E7E6E6">
            <a:hueOff val="0"/>
            <a:satOff val="0"/>
            <a:lumOff val="0"/>
            <a:alphaOff val="0"/>
          </a:srgbClr>
        </a:solidFill>
        <a:ln w="12700" cap="flat" cmpd="sng" algn="ctr">
          <a:solidFill>
            <a:srgbClr val="44546A">
              <a:hueOff val="0"/>
              <a:satOff val="0"/>
              <a:lumOff val="0"/>
              <a:alphaOff val="0"/>
            </a:srgbClr>
          </a:solidFill>
          <a:prstDash val="solid"/>
          <a:miter lim="800000"/>
        </a:ln>
        <a:effectLst/>
      </dgm:spPr>
      <dgm:t>
        <a:bodyPr/>
        <a:lstStyle/>
        <a:p>
          <a:r>
            <a:rPr lang="en-US"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Strategic purpose:</a:t>
          </a:r>
          <a:r>
            <a:rPr lang="en-US">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Compete in electrified and connected mobility</a:t>
          </a:r>
        </a:p>
      </dgm:t>
    </dgm:pt>
    <dgm:pt modelId="{8B2F4127-9D3A-4F73-913A-105B10249833}" type="parTrans" cxnId="{F3668DFA-DFEA-47AB-9B5E-06AAADC00BF3}">
      <dgm:prSet/>
      <dgm:spPr/>
      <dgm:t>
        <a:bodyPr/>
        <a:lstStyle/>
        <a:p>
          <a:endParaRPr lang="en-US"/>
        </a:p>
      </dgm:t>
    </dgm:pt>
    <dgm:pt modelId="{6BB21A20-A413-4C6E-8E5D-084F4FBD3C00}" type="sibTrans" cxnId="{F3668DFA-DFEA-47AB-9B5E-06AAADC00BF3}">
      <dgm:prSet/>
      <dgm:spPr/>
      <dgm:t>
        <a:bodyPr/>
        <a:lstStyle/>
        <a:p>
          <a:endParaRPr lang="en-US"/>
        </a:p>
      </dgm:t>
    </dgm:pt>
    <dgm:pt modelId="{D441E11E-61DA-4CCB-B6F1-37CE375B1333}">
      <dgm:prSet phldrT="[Text]"/>
      <dgm:spPr>
        <a:xfrm>
          <a:off x="2634136" y="1226198"/>
          <a:ext cx="1291985" cy="1480762"/>
        </a:xfrm>
        <a:solidFill>
          <a:srgbClr val="E7E6E6">
            <a:hueOff val="0"/>
            <a:satOff val="0"/>
            <a:lumOff val="0"/>
            <a:alphaOff val="0"/>
          </a:srgbClr>
        </a:solidFill>
        <a:ln w="12700" cap="flat" cmpd="sng" algn="ctr">
          <a:solidFill>
            <a:srgbClr val="44546A">
              <a:hueOff val="0"/>
              <a:satOff val="0"/>
              <a:lumOff val="0"/>
              <a:alphaOff val="0"/>
            </a:srgbClr>
          </a:solidFill>
          <a:prstDash val="solid"/>
          <a:miter lim="800000"/>
        </a:ln>
        <a:effectLst/>
      </dgm:spPr>
      <dgm:t>
        <a:bodyPr/>
        <a:lstStyle/>
        <a:p>
          <a:r>
            <a:rPr lang="en-US"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Commitment implication: </a:t>
          </a:r>
          <a:r>
            <a:rPr lang="en-US"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High capital and operational commitment</a:t>
          </a:r>
        </a:p>
      </dgm:t>
    </dgm:pt>
    <dgm:pt modelId="{D7E5A3EC-5038-41C2-A388-FEA973E76DE5}" type="parTrans" cxnId="{DFF66F0A-D235-4C2D-9609-6B783132C0A4}">
      <dgm:prSet/>
      <dgm:spPr/>
      <dgm:t>
        <a:bodyPr/>
        <a:lstStyle/>
        <a:p>
          <a:endParaRPr lang="en-US"/>
        </a:p>
      </dgm:t>
    </dgm:pt>
    <dgm:pt modelId="{A257B1F6-1176-4DDD-A340-9E8A94C66FD4}" type="sibTrans" cxnId="{DFF66F0A-D235-4C2D-9609-6B783132C0A4}">
      <dgm:prSet/>
      <dgm:spPr/>
      <dgm:t>
        <a:bodyPr/>
        <a:lstStyle/>
        <a:p>
          <a:endParaRPr lang="en-US"/>
        </a:p>
      </dgm:t>
    </dgm:pt>
    <dgm:pt modelId="{C64F9FD7-15B1-49A1-B678-B04C29482349}">
      <dgm:prSet phldrT="[Text]" custT="1"/>
      <dgm:spPr>
        <a:xfrm>
          <a:off x="3926122" y="867506"/>
          <a:ext cx="1729186" cy="816024"/>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sz="1400" b="1">
              <a:solidFill>
                <a:sysClr val="window" lastClr="FFFFFF"/>
              </a:solidFill>
              <a:latin typeface="Arial" panose="020B0604020202020204" pitchFamily="34" charset="0"/>
              <a:ea typeface="+mn-ea"/>
              <a:cs typeface="Arial" panose="020B0604020202020204" pitchFamily="34" charset="0"/>
            </a:rPr>
            <a:t>Ecosystem</a:t>
          </a:r>
        </a:p>
      </dgm:t>
    </dgm:pt>
    <dgm:pt modelId="{A5C6ED61-CC3A-4D8F-9C09-9A94107AAE22}" type="parTrans" cxnId="{F761EEB2-E166-483F-998B-A565C9641E3F}">
      <dgm:prSet/>
      <dgm:spPr/>
      <dgm:t>
        <a:bodyPr/>
        <a:lstStyle/>
        <a:p>
          <a:endParaRPr lang="en-US"/>
        </a:p>
      </dgm:t>
    </dgm:pt>
    <dgm:pt modelId="{03033F9C-E263-4563-96E9-9F11C76AD626}" type="sibTrans" cxnId="{F761EEB2-E166-483F-998B-A565C9641E3F}">
      <dgm:prSet/>
      <dgm:spPr/>
      <dgm:t>
        <a:bodyPr/>
        <a:lstStyle/>
        <a:p>
          <a:endParaRPr lang="en-US"/>
        </a:p>
      </dgm:t>
    </dgm:pt>
    <dgm:pt modelId="{CDA9100A-D005-46B8-84AC-0B141C29A0AB}">
      <dgm:prSet/>
      <dgm:spPr>
        <a:xfrm>
          <a:off x="3926122" y="1498110"/>
          <a:ext cx="1303756" cy="1498118"/>
        </a:xfrm>
        <a:solidFill>
          <a:srgbClr val="E7E6E6">
            <a:hueOff val="0"/>
            <a:satOff val="0"/>
            <a:lumOff val="0"/>
            <a:alphaOff val="0"/>
          </a:srgbClr>
        </a:solidFill>
        <a:ln w="12700" cap="flat" cmpd="sng" algn="ctr">
          <a:solidFill>
            <a:srgbClr val="44546A">
              <a:hueOff val="0"/>
              <a:satOff val="0"/>
              <a:lumOff val="0"/>
              <a:alphaOff val="0"/>
            </a:srgbClr>
          </a:solidFill>
          <a:prstDash val="solid"/>
          <a:miter lim="800000"/>
        </a:ln>
        <a:effectLst/>
      </dgm:spPr>
      <dgm:t>
        <a:bodyPr/>
        <a:lstStyle/>
        <a:p>
          <a:r>
            <a:rPr lang="en-US"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Commitment implication: </a:t>
          </a:r>
          <a:r>
            <a:rPr lang="en-US">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New capabilities and technology risk</a:t>
          </a:r>
        </a:p>
      </dgm:t>
    </dgm:pt>
    <dgm:pt modelId="{637186CE-8973-4A25-A296-6EF834684300}" type="parTrans" cxnId="{5F919DD0-8C85-4770-8786-BAFDBD05823A}">
      <dgm:prSet/>
      <dgm:spPr/>
      <dgm:t>
        <a:bodyPr/>
        <a:lstStyle/>
        <a:p>
          <a:endParaRPr lang="en-US"/>
        </a:p>
      </dgm:t>
    </dgm:pt>
    <dgm:pt modelId="{E5F087A7-C5A3-4EC3-AA1D-CFA09B9B0946}" type="sibTrans" cxnId="{5F919DD0-8C85-4770-8786-BAFDBD05823A}">
      <dgm:prSet/>
      <dgm:spPr/>
      <dgm:t>
        <a:bodyPr/>
        <a:lstStyle/>
        <a:p>
          <a:endParaRPr lang="en-US"/>
        </a:p>
      </dgm:t>
    </dgm:pt>
    <dgm:pt modelId="{9829210D-3913-4DDB-ADE7-0B1DD7CD9DB1}">
      <dgm:prSet/>
      <dgm:spPr/>
      <dgm:t>
        <a:bodyPr/>
        <a:lstStyle/>
        <a:p>
          <a:r>
            <a:rPr lang="en-US">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Build market knowledge and manage distribution</a:t>
          </a:r>
          <a:endParaRPr lang="en-US"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dgm:t>
    </dgm:pt>
    <dgm:pt modelId="{F87F106E-5BE6-4965-883A-C29F1E3C9159}" type="parTrans" cxnId="{149A3BF9-D33B-4C0E-87FF-EB9BC0AA9366}">
      <dgm:prSet/>
      <dgm:spPr/>
      <dgm:t>
        <a:bodyPr/>
        <a:lstStyle/>
        <a:p>
          <a:endParaRPr lang="en-US"/>
        </a:p>
      </dgm:t>
    </dgm:pt>
    <dgm:pt modelId="{AFBAD7CF-F639-42E1-8DF1-4804A51ADF3E}" type="sibTrans" cxnId="{149A3BF9-D33B-4C0E-87FF-EB9BC0AA9366}">
      <dgm:prSet/>
      <dgm:spPr/>
      <dgm:t>
        <a:bodyPr/>
        <a:lstStyle/>
        <a:p>
          <a:endParaRPr lang="en-US"/>
        </a:p>
      </dgm:t>
    </dgm:pt>
    <dgm:pt modelId="{42DCD103-A704-4633-AAE8-9DC7B9B5DFC3}" type="pres">
      <dgm:prSet presAssocID="{CA4D6532-119C-4790-84C2-5967B5C28F1A}" presName="Name0" presStyleCnt="0">
        <dgm:presLayoutVars>
          <dgm:chMax val="5"/>
          <dgm:chPref val="5"/>
          <dgm:dir/>
          <dgm:animLvl val="lvl"/>
        </dgm:presLayoutVars>
      </dgm:prSet>
      <dgm:spPr/>
    </dgm:pt>
    <dgm:pt modelId="{831B6C72-504F-462F-8F6D-5EDAE56F6EA4}" type="pres">
      <dgm:prSet presAssocID="{CE3A61F4-78B3-487E-BFC0-C369E378025C}" presName="parentText1" presStyleLbl="node1" presStyleIdx="0" presStyleCnt="4">
        <dgm:presLayoutVars>
          <dgm:chMax/>
          <dgm:chPref val="3"/>
          <dgm:bulletEnabled val="1"/>
        </dgm:presLayoutVars>
      </dgm:prSet>
      <dgm:spPr>
        <a:prstGeom prst="rightArrow">
          <a:avLst>
            <a:gd name="adj1" fmla="val 50000"/>
            <a:gd name="adj2" fmla="val 50000"/>
          </a:avLst>
        </a:prstGeom>
      </dgm:spPr>
    </dgm:pt>
    <dgm:pt modelId="{6C33F4F6-AE2B-4581-BFC1-1B305FF5349E}" type="pres">
      <dgm:prSet presAssocID="{CE3A61F4-78B3-487E-BFC0-C369E378025C}" presName="childText1" presStyleLbl="solidAlignAcc1" presStyleIdx="0" presStyleCnt="4">
        <dgm:presLayoutVars>
          <dgm:chMax val="0"/>
          <dgm:chPref val="0"/>
          <dgm:bulletEnabled val="1"/>
        </dgm:presLayoutVars>
      </dgm:prSet>
      <dgm:spPr>
        <a:prstGeom prst="rect">
          <a:avLst/>
        </a:prstGeom>
      </dgm:spPr>
    </dgm:pt>
    <dgm:pt modelId="{98833929-B1E5-423A-ADAB-AF46F04AB1FB}" type="pres">
      <dgm:prSet presAssocID="{17EC80CB-9476-4B4B-AAF8-B1B1E4B6F8AD}" presName="parentText2" presStyleLbl="node1" presStyleIdx="1" presStyleCnt="4">
        <dgm:presLayoutVars>
          <dgm:chMax/>
          <dgm:chPref val="3"/>
          <dgm:bulletEnabled val="1"/>
        </dgm:presLayoutVars>
      </dgm:prSet>
      <dgm:spPr>
        <a:prstGeom prst="rightArrow">
          <a:avLst>
            <a:gd name="adj1" fmla="val 50000"/>
            <a:gd name="adj2" fmla="val 50000"/>
          </a:avLst>
        </a:prstGeom>
      </dgm:spPr>
    </dgm:pt>
    <dgm:pt modelId="{CE531121-34C8-4B83-9AC8-E8C59C75D3BB}" type="pres">
      <dgm:prSet presAssocID="{17EC80CB-9476-4B4B-AAF8-B1B1E4B6F8AD}" presName="childText2" presStyleLbl="solidAlignAcc1" presStyleIdx="1" presStyleCnt="4">
        <dgm:presLayoutVars>
          <dgm:chMax val="0"/>
          <dgm:chPref val="0"/>
          <dgm:bulletEnabled val="1"/>
        </dgm:presLayoutVars>
      </dgm:prSet>
      <dgm:spPr>
        <a:prstGeom prst="rect">
          <a:avLst/>
        </a:prstGeom>
      </dgm:spPr>
    </dgm:pt>
    <dgm:pt modelId="{8D382702-D094-48A2-A966-429E39289CD3}" type="pres">
      <dgm:prSet presAssocID="{26FEE9BE-E426-4917-A58A-1AD34C296654}" presName="parentText3" presStyleLbl="node1" presStyleIdx="2" presStyleCnt="4">
        <dgm:presLayoutVars>
          <dgm:chMax/>
          <dgm:chPref val="3"/>
          <dgm:bulletEnabled val="1"/>
        </dgm:presLayoutVars>
      </dgm:prSet>
      <dgm:spPr>
        <a:prstGeom prst="rightArrow">
          <a:avLst>
            <a:gd name="adj1" fmla="val 50000"/>
            <a:gd name="adj2" fmla="val 50000"/>
          </a:avLst>
        </a:prstGeom>
      </dgm:spPr>
    </dgm:pt>
    <dgm:pt modelId="{2F8C2210-529A-4DD7-B782-177C5D9C0556}" type="pres">
      <dgm:prSet presAssocID="{26FEE9BE-E426-4917-A58A-1AD34C296654}" presName="childText3" presStyleLbl="solidAlignAcc1" presStyleIdx="2" presStyleCnt="4">
        <dgm:presLayoutVars>
          <dgm:chMax val="0"/>
          <dgm:chPref val="0"/>
          <dgm:bulletEnabled val="1"/>
        </dgm:presLayoutVars>
      </dgm:prSet>
      <dgm:spPr>
        <a:prstGeom prst="rect">
          <a:avLst/>
        </a:prstGeom>
      </dgm:spPr>
    </dgm:pt>
    <dgm:pt modelId="{611E42CA-3626-42B9-B26C-6445503855E1}" type="pres">
      <dgm:prSet presAssocID="{C64F9FD7-15B1-49A1-B678-B04C29482349}" presName="parentText4" presStyleLbl="node1" presStyleIdx="3" presStyleCnt="4">
        <dgm:presLayoutVars>
          <dgm:chMax/>
          <dgm:chPref val="3"/>
          <dgm:bulletEnabled val="1"/>
        </dgm:presLayoutVars>
      </dgm:prSet>
      <dgm:spPr>
        <a:prstGeom prst="rightArrow">
          <a:avLst>
            <a:gd name="adj1" fmla="val 50000"/>
            <a:gd name="adj2" fmla="val 50000"/>
          </a:avLst>
        </a:prstGeom>
      </dgm:spPr>
    </dgm:pt>
    <dgm:pt modelId="{893C5F00-7BA4-4B2E-BA14-229564349320}" type="pres">
      <dgm:prSet presAssocID="{C64F9FD7-15B1-49A1-B678-B04C29482349}" presName="childText4" presStyleLbl="solidAlignAcc1" presStyleIdx="3" presStyleCnt="4">
        <dgm:presLayoutVars>
          <dgm:chMax val="0"/>
          <dgm:chPref val="0"/>
          <dgm:bulletEnabled val="1"/>
        </dgm:presLayoutVars>
      </dgm:prSet>
      <dgm:spPr>
        <a:prstGeom prst="rect">
          <a:avLst/>
        </a:prstGeom>
      </dgm:spPr>
    </dgm:pt>
  </dgm:ptLst>
  <dgm:cxnLst>
    <dgm:cxn modelId="{AD1BDE01-818E-4CC5-9348-754BB4661092}" type="presOf" srcId="{17EC80CB-9476-4B4B-AAF8-B1B1E4B6F8AD}" destId="{98833929-B1E5-423A-ADAB-AF46F04AB1FB}" srcOrd="0" destOrd="0" presId="urn:microsoft.com/office/officeart/2009/3/layout/IncreasingArrowsProcess"/>
    <dgm:cxn modelId="{EC40F902-7CC2-4E9C-863A-9186C2BDC481}" srcId="{9829210D-3913-4DDB-ADE7-0B1DD7CD9DB1}" destId="{E05E8A5A-C667-49CE-8445-186F55D85722}" srcOrd="0" destOrd="0" parTransId="{9BDF653E-6DE7-495E-AA1F-6E4F4F2E75CF}" sibTransId="{66EB9031-591B-4CA3-B78B-2E66A020EF30}"/>
    <dgm:cxn modelId="{DFF66F0A-D235-4C2D-9609-6B783132C0A4}" srcId="{51C05FFC-0043-4D0F-A1E9-30092AB7B71E}" destId="{D441E11E-61DA-4CCB-B6F1-37CE375B1333}" srcOrd="0" destOrd="0" parTransId="{D7E5A3EC-5038-41C2-A388-FEA973E76DE5}" sibTransId="{A257B1F6-1176-4DDD-A340-9E8A94C66FD4}"/>
    <dgm:cxn modelId="{B061140B-7DE0-476A-BFB0-57C2D8AE5EA6}" srcId="{DBB9E99B-E24C-432A-9D3F-C9DC987189CD}" destId="{2FE78C44-58B4-4111-ADFC-DD45805E8E32}" srcOrd="0" destOrd="0" parTransId="{78B2E3A8-45B7-4E8B-B071-584ED5185E49}" sibTransId="{C5E3DD69-EA69-4A03-B5FF-65CF189B83F1}"/>
    <dgm:cxn modelId="{54C92411-5779-48B8-A78D-20712AD716CB}" type="presOf" srcId="{CDA9100A-D005-46B8-84AC-0B141C29A0AB}" destId="{893C5F00-7BA4-4B2E-BA14-229564349320}" srcOrd="0" destOrd="1" presId="urn:microsoft.com/office/officeart/2009/3/layout/IncreasingArrowsProcess"/>
    <dgm:cxn modelId="{AE921014-E3A7-4E35-803B-DD8A8603F5FA}" srcId="{17EC80CB-9476-4B4B-AAF8-B1B1E4B6F8AD}" destId="{28925B2D-98E4-4DD3-BF14-6D3D10122670}" srcOrd="0" destOrd="0" parTransId="{CBC200E6-29D7-463C-93E4-2C1871C29A03}" sibTransId="{7F8EA23A-09E2-482A-BB7C-4945FDDBF5D8}"/>
    <dgm:cxn modelId="{DC345733-B312-4852-9328-1F1348E8A91F}" type="presOf" srcId="{C3361FAB-2415-46BD-9569-67281DED5590}" destId="{893C5F00-7BA4-4B2E-BA14-229564349320}" srcOrd="0" destOrd="0" presId="urn:microsoft.com/office/officeart/2009/3/layout/IncreasingArrowsProcess"/>
    <dgm:cxn modelId="{DC51DE38-ACBA-4DB5-8E50-B3A6D53311E3}" srcId="{CA4D6532-119C-4790-84C2-5967B5C28F1A}" destId="{26FEE9BE-E426-4917-A58A-1AD34C296654}" srcOrd="2" destOrd="0" parTransId="{DF6714DA-C127-4F73-9E70-2CDD1AD69BA8}" sibTransId="{46ECDC8A-CBAA-4959-B1B5-F198E99570D5}"/>
    <dgm:cxn modelId="{02697A3A-50EB-41B1-AB37-8515CCF7167E}" srcId="{CA4D6532-119C-4790-84C2-5967B5C28F1A}" destId="{CE3A61F4-78B3-487E-BFC0-C369E378025C}" srcOrd="0" destOrd="0" parTransId="{54ACB846-4E90-455B-86FC-B5AD47444EE0}" sibTransId="{8B844E07-E8EA-4792-B0CA-309D05514D93}"/>
    <dgm:cxn modelId="{41A4795B-0394-47BB-8415-CE6E2510C60F}" type="presOf" srcId="{DBB9E99B-E24C-432A-9D3F-C9DC987189CD}" destId="{6C33F4F6-AE2B-4581-BFC1-1B305FF5349E}" srcOrd="0" destOrd="0" presId="urn:microsoft.com/office/officeart/2009/3/layout/IncreasingArrowsProcess"/>
    <dgm:cxn modelId="{B81A5D42-796D-40D2-BE3E-1616BDFBA58B}" type="presOf" srcId="{C64F9FD7-15B1-49A1-B678-B04C29482349}" destId="{611E42CA-3626-42B9-B26C-6445503855E1}" srcOrd="0" destOrd="0" presId="urn:microsoft.com/office/officeart/2009/3/layout/IncreasingArrowsProcess"/>
    <dgm:cxn modelId="{B17EF758-D448-4AE7-8ECD-CF9148ACAF71}" srcId="{CA4D6532-119C-4790-84C2-5967B5C28F1A}" destId="{17EC80CB-9476-4B4B-AAF8-B1B1E4B6F8AD}" srcOrd="1" destOrd="0" parTransId="{7E00F874-0321-4C33-802B-94F35D40400F}" sibTransId="{9EF2FF81-DDE1-4645-8558-75655FD7BF60}"/>
    <dgm:cxn modelId="{B41C487B-4F6B-426C-9F44-70BB9A97E36E}" srcId="{26FEE9BE-E426-4917-A58A-1AD34C296654}" destId="{51C05FFC-0043-4D0F-A1E9-30092AB7B71E}" srcOrd="0" destOrd="0" parTransId="{984E569C-6395-4C42-AA7C-5822F88C0520}" sibTransId="{78980C20-0C74-4919-ACE7-A0EEB6CD7491}"/>
    <dgm:cxn modelId="{2063C880-1A0E-4389-B2B7-FDE026D519CF}" type="presOf" srcId="{51C05FFC-0043-4D0F-A1E9-30092AB7B71E}" destId="{2F8C2210-529A-4DD7-B782-177C5D9C0556}" srcOrd="0" destOrd="0" presId="urn:microsoft.com/office/officeart/2009/3/layout/IncreasingArrowsProcess"/>
    <dgm:cxn modelId="{A8ADAB8F-3C8B-440B-A99E-88A510E26E6E}" type="presOf" srcId="{E05E8A5A-C667-49CE-8445-186F55D85722}" destId="{CE531121-34C8-4B83-9AC8-E8C59C75D3BB}" srcOrd="0" destOrd="2" presId="urn:microsoft.com/office/officeart/2009/3/layout/IncreasingArrowsProcess"/>
    <dgm:cxn modelId="{6C616494-5F71-48F2-AAF7-F6BF7CB1A8DA}" srcId="{CE3A61F4-78B3-487E-BFC0-C369E378025C}" destId="{DBB9E99B-E24C-432A-9D3F-C9DC987189CD}" srcOrd="0" destOrd="0" parTransId="{29496752-0AF0-41D3-99FB-D158E7EEB92D}" sibTransId="{389BDC24-92CF-4225-8510-0172F6CAD4F8}"/>
    <dgm:cxn modelId="{E49311A4-F75B-4EC8-AC9A-7E8CFCC5F4CB}" type="presOf" srcId="{2FE78C44-58B4-4111-ADFC-DD45805E8E32}" destId="{6C33F4F6-AE2B-4581-BFC1-1B305FF5349E}" srcOrd="0" destOrd="1" presId="urn:microsoft.com/office/officeart/2009/3/layout/IncreasingArrowsProcess"/>
    <dgm:cxn modelId="{F761EEB2-E166-483F-998B-A565C9641E3F}" srcId="{CA4D6532-119C-4790-84C2-5967B5C28F1A}" destId="{C64F9FD7-15B1-49A1-B678-B04C29482349}" srcOrd="3" destOrd="0" parTransId="{A5C6ED61-CC3A-4D8F-9C09-9A94107AAE22}" sibTransId="{03033F9C-E263-4563-96E9-9F11C76AD626}"/>
    <dgm:cxn modelId="{1CA2DEB5-1314-4A72-B1EA-150A07BD4FEC}" type="presOf" srcId="{CE3A61F4-78B3-487E-BFC0-C369E378025C}" destId="{831B6C72-504F-462F-8F6D-5EDAE56F6EA4}" srcOrd="0" destOrd="0" presId="urn:microsoft.com/office/officeart/2009/3/layout/IncreasingArrowsProcess"/>
    <dgm:cxn modelId="{95F170BC-CA76-4B7B-BF55-6ED0206BB32C}" type="presOf" srcId="{9829210D-3913-4DDB-ADE7-0B1DD7CD9DB1}" destId="{CE531121-34C8-4B83-9AC8-E8C59C75D3BB}" srcOrd="0" destOrd="1" presId="urn:microsoft.com/office/officeart/2009/3/layout/IncreasingArrowsProcess"/>
    <dgm:cxn modelId="{CCA04AC1-5E65-45FE-AB6D-33F9BA781B9B}" type="presOf" srcId="{28925B2D-98E4-4DD3-BF14-6D3D10122670}" destId="{CE531121-34C8-4B83-9AC8-E8C59C75D3BB}" srcOrd="0" destOrd="0" presId="urn:microsoft.com/office/officeart/2009/3/layout/IncreasingArrowsProcess"/>
    <dgm:cxn modelId="{B7709ACC-B0B4-4D58-A838-CD5FA920E81B}" type="presOf" srcId="{26FEE9BE-E426-4917-A58A-1AD34C296654}" destId="{8D382702-D094-48A2-A966-429E39289CD3}" srcOrd="0" destOrd="0" presId="urn:microsoft.com/office/officeart/2009/3/layout/IncreasingArrowsProcess"/>
    <dgm:cxn modelId="{5F919DD0-8C85-4770-8786-BAFDBD05823A}" srcId="{C3361FAB-2415-46BD-9569-67281DED5590}" destId="{CDA9100A-D005-46B8-84AC-0B141C29A0AB}" srcOrd="0" destOrd="0" parTransId="{637186CE-8973-4A25-A296-6EF834684300}" sibTransId="{E5F087A7-C5A3-4EC3-AA1D-CFA09B9B0946}"/>
    <dgm:cxn modelId="{832BAED2-A7AD-46EC-9257-EC010B65C05D}" type="presOf" srcId="{D441E11E-61DA-4CCB-B6F1-37CE375B1333}" destId="{2F8C2210-529A-4DD7-B782-177C5D9C0556}" srcOrd="0" destOrd="1" presId="urn:microsoft.com/office/officeart/2009/3/layout/IncreasingArrowsProcess"/>
    <dgm:cxn modelId="{149A3BF9-D33B-4C0E-87FF-EB9BC0AA9366}" srcId="{17EC80CB-9476-4B4B-AAF8-B1B1E4B6F8AD}" destId="{9829210D-3913-4DDB-ADE7-0B1DD7CD9DB1}" srcOrd="1" destOrd="0" parTransId="{F87F106E-5BE6-4965-883A-C29F1E3C9159}" sibTransId="{AFBAD7CF-F639-42E1-8DF1-4804A51ADF3E}"/>
    <dgm:cxn modelId="{F3668DFA-DFEA-47AB-9B5E-06AAADC00BF3}" srcId="{C64F9FD7-15B1-49A1-B678-B04C29482349}" destId="{C3361FAB-2415-46BD-9569-67281DED5590}" srcOrd="0" destOrd="0" parTransId="{8B2F4127-9D3A-4F73-913A-105B10249833}" sibTransId="{6BB21A20-A413-4C6E-8E5D-084F4FBD3C00}"/>
    <dgm:cxn modelId="{E1BCBEFF-2249-4C67-BF61-653E1D92D53B}" type="presOf" srcId="{CA4D6532-119C-4790-84C2-5967B5C28F1A}" destId="{42DCD103-A704-4633-AAE8-9DC7B9B5DFC3}" srcOrd="0" destOrd="0" presId="urn:microsoft.com/office/officeart/2009/3/layout/IncreasingArrowsProcess"/>
    <dgm:cxn modelId="{8501CF30-8A82-4D02-9E8F-CE79E172F380}" type="presParOf" srcId="{42DCD103-A704-4633-AAE8-9DC7B9B5DFC3}" destId="{831B6C72-504F-462F-8F6D-5EDAE56F6EA4}" srcOrd="0" destOrd="0" presId="urn:microsoft.com/office/officeart/2009/3/layout/IncreasingArrowsProcess"/>
    <dgm:cxn modelId="{EFCBD8BF-4447-445A-9549-FF9079B00766}" type="presParOf" srcId="{42DCD103-A704-4633-AAE8-9DC7B9B5DFC3}" destId="{6C33F4F6-AE2B-4581-BFC1-1B305FF5349E}" srcOrd="1" destOrd="0" presId="urn:microsoft.com/office/officeart/2009/3/layout/IncreasingArrowsProcess"/>
    <dgm:cxn modelId="{7B03BEC2-3BFA-4802-AA34-7EEC6A26BE12}" type="presParOf" srcId="{42DCD103-A704-4633-AAE8-9DC7B9B5DFC3}" destId="{98833929-B1E5-423A-ADAB-AF46F04AB1FB}" srcOrd="2" destOrd="0" presId="urn:microsoft.com/office/officeart/2009/3/layout/IncreasingArrowsProcess"/>
    <dgm:cxn modelId="{26C5F0F2-8D39-4DAB-BDD6-7A8A30C4F423}" type="presParOf" srcId="{42DCD103-A704-4633-AAE8-9DC7B9B5DFC3}" destId="{CE531121-34C8-4B83-9AC8-E8C59C75D3BB}" srcOrd="3" destOrd="0" presId="urn:microsoft.com/office/officeart/2009/3/layout/IncreasingArrowsProcess"/>
    <dgm:cxn modelId="{1F34EB2A-8B84-4EA0-A2A4-873F68AFB17D}" type="presParOf" srcId="{42DCD103-A704-4633-AAE8-9DC7B9B5DFC3}" destId="{8D382702-D094-48A2-A966-429E39289CD3}" srcOrd="4" destOrd="0" presId="urn:microsoft.com/office/officeart/2009/3/layout/IncreasingArrowsProcess"/>
    <dgm:cxn modelId="{E2DBEEDA-9975-4DCD-BDE7-E3C62AA48A0F}" type="presParOf" srcId="{42DCD103-A704-4633-AAE8-9DC7B9B5DFC3}" destId="{2F8C2210-529A-4DD7-B782-177C5D9C0556}" srcOrd="5" destOrd="0" presId="urn:microsoft.com/office/officeart/2009/3/layout/IncreasingArrowsProcess"/>
    <dgm:cxn modelId="{0AD40A8B-841E-4D89-9B26-EE6BC28899EE}" type="presParOf" srcId="{42DCD103-A704-4633-AAE8-9DC7B9B5DFC3}" destId="{611E42CA-3626-42B9-B26C-6445503855E1}" srcOrd="6" destOrd="0" presId="urn:microsoft.com/office/officeart/2009/3/layout/IncreasingArrowsProcess"/>
    <dgm:cxn modelId="{CFE8DC10-3157-4D6C-A951-E294ED913842}" type="presParOf" srcId="{42DCD103-A704-4633-AAE8-9DC7B9B5DFC3}" destId="{893C5F00-7BA4-4B2E-BA14-229564349320}" srcOrd="7" destOrd="0" presId="urn:microsoft.com/office/officeart/2009/3/layout/IncreasingArrowsProcess"/>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B6313CD-7D8C-415C-AAE5-8FBFD837F561}" type="doc">
      <dgm:prSet loTypeId="urn:microsoft.com/office/officeart/2005/8/layout/cycle3" loCatId="cycle" qsTypeId="urn:microsoft.com/office/officeart/2005/8/quickstyle/simple1" qsCatId="simple" csTypeId="urn:microsoft.com/office/officeart/2005/8/colors/accent0_3" csCatId="mainScheme" phldr="1"/>
      <dgm:spPr/>
      <dgm:t>
        <a:bodyPr/>
        <a:lstStyle/>
        <a:p>
          <a:endParaRPr lang="en-US"/>
        </a:p>
      </dgm:t>
    </dgm:pt>
    <dgm:pt modelId="{7273C508-FF52-4526-860C-1041FAF54290}">
      <dgm:prSet phldrT="[Text]" custT="1"/>
      <dgm:spPr>
        <a:xfrm>
          <a:off x="2054325" y="1180"/>
          <a:ext cx="1825423" cy="912711"/>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sz="900">
              <a:solidFill>
                <a:sysClr val="window" lastClr="FFFFFF"/>
              </a:solidFill>
              <a:latin typeface="Arial" panose="020B0604020202020204" pitchFamily="34" charset="0"/>
              <a:ea typeface="+mn-ea"/>
              <a:cs typeface="Arial" panose="020B0604020202020204" pitchFamily="34" charset="0"/>
            </a:rPr>
            <a:t>Description</a:t>
          </a:r>
        </a:p>
      </dgm:t>
    </dgm:pt>
    <dgm:pt modelId="{EC226B9B-1657-45D3-ACC0-B98BFA4FB771}" type="parTrans" cxnId="{154C130C-BFB5-45DA-BD96-3D87337D0C30}">
      <dgm:prSet/>
      <dgm:spPr/>
      <dgm:t>
        <a:bodyPr/>
        <a:lstStyle/>
        <a:p>
          <a:endParaRPr lang="en-US" sz="2000">
            <a:latin typeface="Arial" panose="020B0604020202020204" pitchFamily="34" charset="0"/>
            <a:cs typeface="Arial" panose="020B0604020202020204" pitchFamily="34" charset="0"/>
          </a:endParaRPr>
        </a:p>
      </dgm:t>
    </dgm:pt>
    <dgm:pt modelId="{5AA57F02-5816-4C3E-9373-FC0D72E7BB10}" type="sibTrans" cxnId="{154C130C-BFB5-45DA-BD96-3D87337D0C30}">
      <dgm:prSet/>
      <dgm:spPr>
        <a:xfrm>
          <a:off x="508013" y="-5612"/>
          <a:ext cx="4918048" cy="4918048"/>
        </a:xfrm>
        <a:solidFill>
          <a:srgbClr val="44546A">
            <a:tint val="40000"/>
            <a:hueOff val="0"/>
            <a:satOff val="0"/>
            <a:lumOff val="0"/>
            <a:alphaOff val="0"/>
          </a:srgbClr>
        </a:solidFill>
        <a:ln>
          <a:noFill/>
        </a:ln>
        <a:effectLst/>
      </dgm:spPr>
      <dgm:t>
        <a:bodyPr/>
        <a:lstStyle/>
        <a:p>
          <a:endParaRPr lang="en-US" sz="2000">
            <a:latin typeface="Arial" panose="020B0604020202020204" pitchFamily="34" charset="0"/>
            <a:cs typeface="Arial" panose="020B0604020202020204" pitchFamily="34" charset="0"/>
          </a:endParaRPr>
        </a:p>
      </dgm:t>
    </dgm:pt>
    <dgm:pt modelId="{F586D2EF-8CAD-425B-8ADA-F774B42FC52F}">
      <dgm:prSet phldrT="[Text]" custT="1"/>
      <dgm:spPr>
        <a:xfrm>
          <a:off x="3782177" y="998755"/>
          <a:ext cx="1825423" cy="912711"/>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sz="900">
              <a:solidFill>
                <a:sysClr val="window" lastClr="FFFFFF"/>
              </a:solidFill>
              <a:latin typeface="Arial" panose="020B0604020202020204" pitchFamily="34" charset="0"/>
              <a:ea typeface="+mn-ea"/>
              <a:cs typeface="Arial" panose="020B0604020202020204" pitchFamily="34" charset="0"/>
            </a:rPr>
            <a:t>Feelings</a:t>
          </a:r>
        </a:p>
      </dgm:t>
    </dgm:pt>
    <dgm:pt modelId="{AA6BB4E0-354C-4251-ABD1-D3ACA563F8DB}" type="parTrans" cxnId="{45E739D1-5CED-46E4-96BC-6ACDB183F361}">
      <dgm:prSet/>
      <dgm:spPr/>
      <dgm:t>
        <a:bodyPr/>
        <a:lstStyle/>
        <a:p>
          <a:endParaRPr lang="en-US" sz="2000">
            <a:latin typeface="Arial" panose="020B0604020202020204" pitchFamily="34" charset="0"/>
            <a:cs typeface="Arial" panose="020B0604020202020204" pitchFamily="34" charset="0"/>
          </a:endParaRPr>
        </a:p>
      </dgm:t>
    </dgm:pt>
    <dgm:pt modelId="{8CCBAAA5-DE6C-4C20-AC00-EB8D044B458D}" type="sibTrans" cxnId="{45E739D1-5CED-46E4-96BC-6ACDB183F361}">
      <dgm:prSet/>
      <dgm:spPr/>
      <dgm:t>
        <a:bodyPr/>
        <a:lstStyle/>
        <a:p>
          <a:endParaRPr lang="en-US" sz="2000">
            <a:latin typeface="Arial" panose="020B0604020202020204" pitchFamily="34" charset="0"/>
            <a:cs typeface="Arial" panose="020B0604020202020204" pitchFamily="34" charset="0"/>
          </a:endParaRPr>
        </a:p>
      </dgm:t>
    </dgm:pt>
    <dgm:pt modelId="{096C7F0C-F634-47A4-9327-27ACDC17C1C4}">
      <dgm:prSet phldrT="[Text]" custT="1"/>
      <dgm:spPr>
        <a:xfrm>
          <a:off x="3782177" y="2993907"/>
          <a:ext cx="1825423" cy="912711"/>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sz="900">
              <a:solidFill>
                <a:sysClr val="window" lastClr="FFFFFF"/>
              </a:solidFill>
              <a:latin typeface="Arial" panose="020B0604020202020204" pitchFamily="34" charset="0"/>
              <a:ea typeface="+mn-ea"/>
              <a:cs typeface="Arial" panose="020B0604020202020204" pitchFamily="34" charset="0"/>
            </a:rPr>
            <a:t>Evaluation</a:t>
          </a:r>
        </a:p>
      </dgm:t>
    </dgm:pt>
    <dgm:pt modelId="{3447B670-240F-407A-BEA9-71A6DA0391FF}" type="parTrans" cxnId="{712FA880-9CB9-4478-96AB-E357D938E6A7}">
      <dgm:prSet/>
      <dgm:spPr/>
      <dgm:t>
        <a:bodyPr/>
        <a:lstStyle/>
        <a:p>
          <a:endParaRPr lang="en-US" sz="2000">
            <a:latin typeface="Arial" panose="020B0604020202020204" pitchFamily="34" charset="0"/>
            <a:cs typeface="Arial" panose="020B0604020202020204" pitchFamily="34" charset="0"/>
          </a:endParaRPr>
        </a:p>
      </dgm:t>
    </dgm:pt>
    <dgm:pt modelId="{4FDDFF04-6438-49D8-AA3B-7AB24EDA38B4}" type="sibTrans" cxnId="{712FA880-9CB9-4478-96AB-E357D938E6A7}">
      <dgm:prSet/>
      <dgm:spPr/>
      <dgm:t>
        <a:bodyPr/>
        <a:lstStyle/>
        <a:p>
          <a:endParaRPr lang="en-US" sz="2000">
            <a:latin typeface="Arial" panose="020B0604020202020204" pitchFamily="34" charset="0"/>
            <a:cs typeface="Arial" panose="020B0604020202020204" pitchFamily="34" charset="0"/>
          </a:endParaRPr>
        </a:p>
      </dgm:t>
    </dgm:pt>
    <dgm:pt modelId="{6E0FFB7A-30BB-48D1-AA99-5887B5C185EF}">
      <dgm:prSet phldrT="[Text]" custT="1"/>
      <dgm:spPr>
        <a:xfrm>
          <a:off x="2054325" y="3991483"/>
          <a:ext cx="1825423" cy="912711"/>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sz="900">
              <a:solidFill>
                <a:sysClr val="window" lastClr="FFFFFF"/>
              </a:solidFill>
              <a:latin typeface="Arial" panose="020B0604020202020204" pitchFamily="34" charset="0"/>
              <a:ea typeface="+mn-ea"/>
              <a:cs typeface="Arial" panose="020B0604020202020204" pitchFamily="34" charset="0"/>
            </a:rPr>
            <a:t>Analysis</a:t>
          </a:r>
        </a:p>
      </dgm:t>
    </dgm:pt>
    <dgm:pt modelId="{87D68623-8BF2-4004-AA30-4645D899B31D}" type="parTrans" cxnId="{7B973DA1-6331-4FD8-A4EA-A30350F6F8C2}">
      <dgm:prSet/>
      <dgm:spPr/>
      <dgm:t>
        <a:bodyPr/>
        <a:lstStyle/>
        <a:p>
          <a:endParaRPr lang="en-US" sz="2000">
            <a:latin typeface="Arial" panose="020B0604020202020204" pitchFamily="34" charset="0"/>
            <a:cs typeface="Arial" panose="020B0604020202020204" pitchFamily="34" charset="0"/>
          </a:endParaRPr>
        </a:p>
      </dgm:t>
    </dgm:pt>
    <dgm:pt modelId="{2DE65D20-14E6-43F1-A284-B07C255F5938}" type="sibTrans" cxnId="{7B973DA1-6331-4FD8-A4EA-A30350F6F8C2}">
      <dgm:prSet/>
      <dgm:spPr/>
      <dgm:t>
        <a:bodyPr/>
        <a:lstStyle/>
        <a:p>
          <a:endParaRPr lang="en-US" sz="2000">
            <a:latin typeface="Arial" panose="020B0604020202020204" pitchFamily="34" charset="0"/>
            <a:cs typeface="Arial" panose="020B0604020202020204" pitchFamily="34" charset="0"/>
          </a:endParaRPr>
        </a:p>
      </dgm:t>
    </dgm:pt>
    <dgm:pt modelId="{F89D5FA6-BA7C-403D-BFD3-F0E39377A786}">
      <dgm:prSet phldrT="[Text]" custT="1"/>
      <dgm:spPr>
        <a:xfrm>
          <a:off x="2054325" y="1180"/>
          <a:ext cx="1825423" cy="912711"/>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sz="700">
              <a:solidFill>
                <a:sysClr val="window" lastClr="FFFFFF"/>
              </a:solidFill>
              <a:latin typeface="Arial" panose="020B0604020202020204" pitchFamily="34" charset="0"/>
              <a:ea typeface="+mn-ea"/>
              <a:cs typeface="Arial" panose="020B0604020202020204" pitchFamily="34" charset="0"/>
            </a:rPr>
            <a:t>I selected Toyota, Japan and the United States and used academic, corporate and regulatory sources to compare the company’s international marketing strategies.</a:t>
          </a:r>
        </a:p>
      </dgm:t>
    </dgm:pt>
    <dgm:pt modelId="{1294E8EB-7BDF-44EC-A2D7-4B30FE81D66F}" type="parTrans" cxnId="{E5103272-E637-4F6A-A86C-5594D90A4535}">
      <dgm:prSet/>
      <dgm:spPr/>
      <dgm:t>
        <a:bodyPr/>
        <a:lstStyle/>
        <a:p>
          <a:endParaRPr lang="en-US" sz="2000">
            <a:latin typeface="Arial" panose="020B0604020202020204" pitchFamily="34" charset="0"/>
            <a:cs typeface="Arial" panose="020B0604020202020204" pitchFamily="34" charset="0"/>
          </a:endParaRPr>
        </a:p>
      </dgm:t>
    </dgm:pt>
    <dgm:pt modelId="{400B136E-8DF4-457A-9C80-6CB5099E0A80}" type="sibTrans" cxnId="{E5103272-E637-4F6A-A86C-5594D90A4535}">
      <dgm:prSet/>
      <dgm:spPr/>
      <dgm:t>
        <a:bodyPr/>
        <a:lstStyle/>
        <a:p>
          <a:endParaRPr lang="en-US" sz="2000">
            <a:latin typeface="Arial" panose="020B0604020202020204" pitchFamily="34" charset="0"/>
            <a:cs typeface="Arial" panose="020B0604020202020204" pitchFamily="34" charset="0"/>
          </a:endParaRPr>
        </a:p>
      </dgm:t>
    </dgm:pt>
    <dgm:pt modelId="{D61D1CF3-0205-44EA-A8F4-588C7AF439BC}">
      <dgm:prSet phldrT="[Text]" custT="1"/>
      <dgm:spPr>
        <a:xfrm>
          <a:off x="3782177" y="998755"/>
          <a:ext cx="1825423" cy="912711"/>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sz="700">
              <a:solidFill>
                <a:sysClr val="window" lastClr="FFFFFF"/>
              </a:solidFill>
              <a:latin typeface="Arial" panose="020B0604020202020204" pitchFamily="34" charset="0"/>
              <a:ea typeface="+mn-ea"/>
              <a:cs typeface="Arial" panose="020B0604020202020204" pitchFamily="34" charset="0"/>
            </a:rPr>
            <a:t>I initially felt overwhelmed by the volume and complexity of evidence, but became more confident after organising the research into a structured comparison matrix.</a:t>
          </a:r>
        </a:p>
      </dgm:t>
    </dgm:pt>
    <dgm:pt modelId="{33EA0BE4-21B8-4CF2-B7EC-333C0A8B1986}" type="parTrans" cxnId="{82490BD5-7E50-433E-B768-870802C46662}">
      <dgm:prSet/>
      <dgm:spPr/>
      <dgm:t>
        <a:bodyPr/>
        <a:lstStyle/>
        <a:p>
          <a:endParaRPr lang="en-US" sz="2000">
            <a:latin typeface="Arial" panose="020B0604020202020204" pitchFamily="34" charset="0"/>
            <a:cs typeface="Arial" panose="020B0604020202020204" pitchFamily="34" charset="0"/>
          </a:endParaRPr>
        </a:p>
      </dgm:t>
    </dgm:pt>
    <dgm:pt modelId="{67F4A2A7-4C4B-4234-AA2D-A61828BDD664}" type="sibTrans" cxnId="{82490BD5-7E50-433E-B768-870802C46662}">
      <dgm:prSet/>
      <dgm:spPr/>
      <dgm:t>
        <a:bodyPr/>
        <a:lstStyle/>
        <a:p>
          <a:endParaRPr lang="en-US" sz="2000">
            <a:latin typeface="Arial" panose="020B0604020202020204" pitchFamily="34" charset="0"/>
            <a:cs typeface="Arial" panose="020B0604020202020204" pitchFamily="34" charset="0"/>
          </a:endParaRPr>
        </a:p>
      </dgm:t>
    </dgm:pt>
    <dgm:pt modelId="{A26F2460-ED8D-44CE-BC32-E301F50F8FBD}">
      <dgm:prSet phldrT="[Text]" custT="1"/>
      <dgm:spPr>
        <a:xfrm>
          <a:off x="3782177" y="2993907"/>
          <a:ext cx="1825423" cy="912711"/>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sz="700">
              <a:solidFill>
                <a:sysClr val="window" lastClr="FFFFFF"/>
              </a:solidFill>
              <a:latin typeface="Arial" panose="020B0604020202020204" pitchFamily="34" charset="0"/>
              <a:ea typeface="+mn-ea"/>
              <a:cs typeface="Arial" panose="020B0604020202020204" pitchFamily="34" charset="0"/>
            </a:rPr>
            <a:t>Using credible and triangulated sources strengthened the report, although comparing vehicle prices, specifications and cultural evidence was challenging.</a:t>
          </a:r>
        </a:p>
      </dgm:t>
    </dgm:pt>
    <dgm:pt modelId="{F82701F5-AE57-403A-80ED-0B3F58874563}" type="parTrans" cxnId="{CB4ED482-B903-44DA-A30B-79ECBB4F7A6F}">
      <dgm:prSet/>
      <dgm:spPr/>
      <dgm:t>
        <a:bodyPr/>
        <a:lstStyle/>
        <a:p>
          <a:endParaRPr lang="en-US" sz="2000">
            <a:latin typeface="Arial" panose="020B0604020202020204" pitchFamily="34" charset="0"/>
            <a:cs typeface="Arial" panose="020B0604020202020204" pitchFamily="34" charset="0"/>
          </a:endParaRPr>
        </a:p>
      </dgm:t>
    </dgm:pt>
    <dgm:pt modelId="{630CC0A5-A126-4A29-AC14-1D44828A4D1E}" type="sibTrans" cxnId="{CB4ED482-B903-44DA-A30B-79ECBB4F7A6F}">
      <dgm:prSet/>
      <dgm:spPr/>
      <dgm:t>
        <a:bodyPr/>
        <a:lstStyle/>
        <a:p>
          <a:endParaRPr lang="en-US" sz="2000">
            <a:latin typeface="Arial" panose="020B0604020202020204" pitchFamily="34" charset="0"/>
            <a:cs typeface="Arial" panose="020B0604020202020204" pitchFamily="34" charset="0"/>
          </a:endParaRPr>
        </a:p>
      </dgm:t>
    </dgm:pt>
    <dgm:pt modelId="{4383D8A6-A574-4076-A8D5-9CD10A2245B4}">
      <dgm:prSet phldrT="[Text]" custT="1"/>
      <dgm:spPr>
        <a:xfrm>
          <a:off x="2054325" y="3991483"/>
          <a:ext cx="1825423" cy="912711"/>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sz="700">
              <a:solidFill>
                <a:sysClr val="window" lastClr="FFFFFF"/>
              </a:solidFill>
              <a:latin typeface="Arial" panose="020B0604020202020204" pitchFamily="34" charset="0"/>
              <a:ea typeface="+mn-ea"/>
              <a:cs typeface="Arial" panose="020B0604020202020204" pitchFamily="34" charset="0"/>
            </a:rPr>
            <a:t>The research showed that combining theory with company and independent evidence produced stronger analysis than relying on descriptive information or national cultural scores alone.</a:t>
          </a:r>
        </a:p>
      </dgm:t>
    </dgm:pt>
    <dgm:pt modelId="{CD3B0F6A-46D8-4012-A648-56E0D8119901}" type="parTrans" cxnId="{53FC8622-D04C-45CE-81B5-88E254F38D97}">
      <dgm:prSet/>
      <dgm:spPr/>
      <dgm:t>
        <a:bodyPr/>
        <a:lstStyle/>
        <a:p>
          <a:endParaRPr lang="en-US" sz="2000">
            <a:latin typeface="Arial" panose="020B0604020202020204" pitchFamily="34" charset="0"/>
            <a:cs typeface="Arial" panose="020B0604020202020204" pitchFamily="34" charset="0"/>
          </a:endParaRPr>
        </a:p>
      </dgm:t>
    </dgm:pt>
    <dgm:pt modelId="{C067CD1B-F1C8-4C0E-893F-FBACA34ACEB8}" type="sibTrans" cxnId="{53FC8622-D04C-45CE-81B5-88E254F38D97}">
      <dgm:prSet/>
      <dgm:spPr/>
      <dgm:t>
        <a:bodyPr/>
        <a:lstStyle/>
        <a:p>
          <a:endParaRPr lang="en-US" sz="2000">
            <a:latin typeface="Arial" panose="020B0604020202020204" pitchFamily="34" charset="0"/>
            <a:cs typeface="Arial" panose="020B0604020202020204" pitchFamily="34" charset="0"/>
          </a:endParaRPr>
        </a:p>
      </dgm:t>
    </dgm:pt>
    <dgm:pt modelId="{0A927E8B-5AA3-4F22-BF28-EE8D53894E3A}">
      <dgm:prSet phldrT="[Text]" custT="1"/>
      <dgm:spPr>
        <a:xfrm>
          <a:off x="326473" y="998755"/>
          <a:ext cx="1825423" cy="912711"/>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sz="900">
              <a:solidFill>
                <a:sysClr val="window" lastClr="FFFFFF"/>
              </a:solidFill>
              <a:latin typeface="Arial" panose="020B0604020202020204" pitchFamily="34" charset="0"/>
              <a:ea typeface="+mn-ea"/>
              <a:cs typeface="Arial" panose="020B0604020202020204" pitchFamily="34" charset="0"/>
            </a:rPr>
            <a:t>Action Plan</a:t>
          </a:r>
        </a:p>
      </dgm:t>
    </dgm:pt>
    <dgm:pt modelId="{3F4DB0B1-F0BC-44BD-9614-15DE49332A29}" type="parTrans" cxnId="{F02286D3-2FA8-4F86-A030-2EF186A2284A}">
      <dgm:prSet/>
      <dgm:spPr/>
      <dgm:t>
        <a:bodyPr/>
        <a:lstStyle/>
        <a:p>
          <a:endParaRPr lang="en-US" sz="2000">
            <a:latin typeface="Arial" panose="020B0604020202020204" pitchFamily="34" charset="0"/>
            <a:cs typeface="Arial" panose="020B0604020202020204" pitchFamily="34" charset="0"/>
          </a:endParaRPr>
        </a:p>
      </dgm:t>
    </dgm:pt>
    <dgm:pt modelId="{E14EC74A-A73F-4A06-8700-7A1AAC7E73C9}" type="sibTrans" cxnId="{F02286D3-2FA8-4F86-A030-2EF186A2284A}">
      <dgm:prSet/>
      <dgm:spPr/>
      <dgm:t>
        <a:bodyPr/>
        <a:lstStyle/>
        <a:p>
          <a:endParaRPr lang="en-US" sz="2000">
            <a:latin typeface="Arial" panose="020B0604020202020204" pitchFamily="34" charset="0"/>
            <a:cs typeface="Arial" panose="020B0604020202020204" pitchFamily="34" charset="0"/>
          </a:endParaRPr>
        </a:p>
      </dgm:t>
    </dgm:pt>
    <dgm:pt modelId="{FB80DB16-1CB4-4554-8B5E-85EDFC9FA30E}">
      <dgm:prSet phldrT="[Text]" custT="1"/>
      <dgm:spPr>
        <a:xfrm>
          <a:off x="326473" y="998755"/>
          <a:ext cx="1825423" cy="912711"/>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sz="700">
              <a:solidFill>
                <a:sysClr val="window" lastClr="FFFFFF"/>
              </a:solidFill>
              <a:latin typeface="Arial" panose="020B0604020202020204" pitchFamily="34" charset="0"/>
              <a:ea typeface="+mn-ea"/>
              <a:cs typeface="Arial" panose="020B0604020202020204" pitchFamily="34" charset="0"/>
            </a:rPr>
            <a:t>In future, I will begin research earlier, maintain a source-and-claim matrix, verify corporate evidence independently and complete separate argument, reference and language reviews.</a:t>
          </a:r>
        </a:p>
      </dgm:t>
    </dgm:pt>
    <dgm:pt modelId="{139048F5-CAAE-45A8-A206-BF5A4ED05450}" type="parTrans" cxnId="{39E40378-D051-4E5F-9061-5E2C08E6726C}">
      <dgm:prSet/>
      <dgm:spPr/>
      <dgm:t>
        <a:bodyPr/>
        <a:lstStyle/>
        <a:p>
          <a:endParaRPr lang="en-US" sz="2000">
            <a:latin typeface="Arial" panose="020B0604020202020204" pitchFamily="34" charset="0"/>
            <a:cs typeface="Arial" panose="020B0604020202020204" pitchFamily="34" charset="0"/>
          </a:endParaRPr>
        </a:p>
      </dgm:t>
    </dgm:pt>
    <dgm:pt modelId="{584F1753-4585-4CC7-A7A9-12139B269C5D}" type="sibTrans" cxnId="{39E40378-D051-4E5F-9061-5E2C08E6726C}">
      <dgm:prSet/>
      <dgm:spPr/>
      <dgm:t>
        <a:bodyPr/>
        <a:lstStyle/>
        <a:p>
          <a:endParaRPr lang="en-US" sz="2000">
            <a:latin typeface="Arial" panose="020B0604020202020204" pitchFamily="34" charset="0"/>
            <a:cs typeface="Arial" panose="020B0604020202020204" pitchFamily="34" charset="0"/>
          </a:endParaRPr>
        </a:p>
      </dgm:t>
    </dgm:pt>
    <dgm:pt modelId="{38500B4F-5366-480D-B0C3-B0F5CBEA6FE0}">
      <dgm:prSet phldrT="[Text]" custT="1"/>
      <dgm:spPr>
        <a:xfrm>
          <a:off x="326473" y="2993907"/>
          <a:ext cx="1825423" cy="912711"/>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sz="700">
              <a:solidFill>
                <a:sysClr val="window" lastClr="FFFFFF"/>
              </a:solidFill>
              <a:latin typeface="Arial" panose="020B0604020202020204" pitchFamily="34" charset="0"/>
              <a:ea typeface="+mn-ea"/>
              <a:cs typeface="Arial" panose="020B0604020202020204" pitchFamily="34" charset="0"/>
            </a:rPr>
            <a:t>I learned that effective international marketing analysis requires critical comparison, reliable evidence, cultural awareness and balanced evaluation of corporate claims.</a:t>
          </a:r>
        </a:p>
      </dgm:t>
    </dgm:pt>
    <dgm:pt modelId="{849373FD-70F9-4DA0-B1C0-07108AFFFC41}" type="parTrans" cxnId="{6DCCF30C-BA2F-4DC1-BF3F-66349485ECED}">
      <dgm:prSet/>
      <dgm:spPr/>
      <dgm:t>
        <a:bodyPr/>
        <a:lstStyle/>
        <a:p>
          <a:endParaRPr lang="en-US"/>
        </a:p>
      </dgm:t>
    </dgm:pt>
    <dgm:pt modelId="{3442AAC6-7858-4A05-AA9D-7C79BAB57B13}" type="sibTrans" cxnId="{6DCCF30C-BA2F-4DC1-BF3F-66349485ECED}">
      <dgm:prSet/>
      <dgm:spPr/>
      <dgm:t>
        <a:bodyPr/>
        <a:lstStyle/>
        <a:p>
          <a:endParaRPr lang="en-US"/>
        </a:p>
      </dgm:t>
    </dgm:pt>
    <dgm:pt modelId="{D08FCC6D-1266-47A3-831F-2403E95BEB80}">
      <dgm:prSet phldrT="[Text]" custT="1"/>
      <dgm:spPr>
        <a:xfrm>
          <a:off x="326473" y="2993907"/>
          <a:ext cx="1825423" cy="912711"/>
        </a:xfr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r>
            <a:rPr lang="en-US" sz="700">
              <a:solidFill>
                <a:sysClr val="window" lastClr="FFFFFF"/>
              </a:solidFill>
              <a:latin typeface="Arial" panose="020B0604020202020204" pitchFamily="34" charset="0"/>
              <a:ea typeface="+mn-ea"/>
              <a:cs typeface="Arial" panose="020B0604020202020204" pitchFamily="34" charset="0"/>
            </a:rPr>
            <a:t>Conclusion</a:t>
          </a:r>
        </a:p>
      </dgm:t>
    </dgm:pt>
    <dgm:pt modelId="{DDB89849-E5DC-49A0-A322-B64A0BA3CDF0}" type="parTrans" cxnId="{D356E664-D3A2-4E5D-8539-E19BDC3866D9}">
      <dgm:prSet/>
      <dgm:spPr/>
      <dgm:t>
        <a:bodyPr/>
        <a:lstStyle/>
        <a:p>
          <a:endParaRPr lang="en-US"/>
        </a:p>
      </dgm:t>
    </dgm:pt>
    <dgm:pt modelId="{90D40968-9EC3-4BA3-82C7-0BC34C8A8649}" type="sibTrans" cxnId="{D356E664-D3A2-4E5D-8539-E19BDC3866D9}">
      <dgm:prSet/>
      <dgm:spPr/>
      <dgm:t>
        <a:bodyPr/>
        <a:lstStyle/>
        <a:p>
          <a:endParaRPr lang="en-US"/>
        </a:p>
      </dgm:t>
    </dgm:pt>
    <dgm:pt modelId="{32A9CF64-850F-48DB-B4FC-9C80C877EDE3}" type="pres">
      <dgm:prSet presAssocID="{FB6313CD-7D8C-415C-AAE5-8FBFD837F561}" presName="Name0" presStyleCnt="0">
        <dgm:presLayoutVars>
          <dgm:dir/>
          <dgm:resizeHandles val="exact"/>
        </dgm:presLayoutVars>
      </dgm:prSet>
      <dgm:spPr/>
    </dgm:pt>
    <dgm:pt modelId="{DCCFA3C5-8CA6-4182-B01A-8ADF1FFA8ECA}" type="pres">
      <dgm:prSet presAssocID="{FB6313CD-7D8C-415C-AAE5-8FBFD837F561}" presName="cycle" presStyleCnt="0"/>
      <dgm:spPr/>
    </dgm:pt>
    <dgm:pt modelId="{4613E86E-E6F5-4602-BEC0-EC1AF8CA2052}" type="pres">
      <dgm:prSet presAssocID="{7273C508-FF52-4526-860C-1041FAF54290}" presName="nodeFirstNode" presStyleLbl="node1" presStyleIdx="0" presStyleCnt="6">
        <dgm:presLayoutVars>
          <dgm:bulletEnabled val="1"/>
        </dgm:presLayoutVars>
      </dgm:prSet>
      <dgm:spPr>
        <a:prstGeom prst="roundRect">
          <a:avLst/>
        </a:prstGeom>
      </dgm:spPr>
    </dgm:pt>
    <dgm:pt modelId="{B5D7F18F-698D-477B-83DA-662BF74F4BA0}" type="pres">
      <dgm:prSet presAssocID="{5AA57F02-5816-4C3E-9373-FC0D72E7BB10}" presName="sibTransFirstNode" presStyleLbl="bgShp" presStyleIdx="0" presStyleCnt="1"/>
      <dgm:spPr>
        <a:prstGeom prst="circularArrow">
          <a:avLst>
            <a:gd name="adj1" fmla="val 5274"/>
            <a:gd name="adj2" fmla="val 312630"/>
            <a:gd name="adj3" fmla="val 14269928"/>
            <a:gd name="adj4" fmla="val 17102602"/>
            <a:gd name="adj5" fmla="val 5477"/>
          </a:avLst>
        </a:prstGeom>
      </dgm:spPr>
    </dgm:pt>
    <dgm:pt modelId="{C65A8DF4-162D-4F4A-A910-A9BC8E2BBA27}" type="pres">
      <dgm:prSet presAssocID="{F586D2EF-8CAD-425B-8ADA-F774B42FC52F}" presName="nodeFollowingNodes" presStyleLbl="node1" presStyleIdx="1" presStyleCnt="6">
        <dgm:presLayoutVars>
          <dgm:bulletEnabled val="1"/>
        </dgm:presLayoutVars>
      </dgm:prSet>
      <dgm:spPr>
        <a:prstGeom prst="roundRect">
          <a:avLst/>
        </a:prstGeom>
      </dgm:spPr>
    </dgm:pt>
    <dgm:pt modelId="{B40B70ED-2F79-41A4-BB79-62F283BBBB4B}" type="pres">
      <dgm:prSet presAssocID="{096C7F0C-F634-47A4-9327-27ACDC17C1C4}" presName="nodeFollowingNodes" presStyleLbl="node1" presStyleIdx="2" presStyleCnt="6">
        <dgm:presLayoutVars>
          <dgm:bulletEnabled val="1"/>
        </dgm:presLayoutVars>
      </dgm:prSet>
      <dgm:spPr>
        <a:prstGeom prst="roundRect">
          <a:avLst/>
        </a:prstGeom>
      </dgm:spPr>
    </dgm:pt>
    <dgm:pt modelId="{39350A6D-E5AA-4641-AB23-0C0731A646B0}" type="pres">
      <dgm:prSet presAssocID="{6E0FFB7A-30BB-48D1-AA99-5887B5C185EF}" presName="nodeFollowingNodes" presStyleLbl="node1" presStyleIdx="3" presStyleCnt="6">
        <dgm:presLayoutVars>
          <dgm:bulletEnabled val="1"/>
        </dgm:presLayoutVars>
      </dgm:prSet>
      <dgm:spPr>
        <a:prstGeom prst="roundRect">
          <a:avLst/>
        </a:prstGeom>
      </dgm:spPr>
    </dgm:pt>
    <dgm:pt modelId="{2C6A3241-B8A0-4A50-B751-0048B187345A}" type="pres">
      <dgm:prSet presAssocID="{D08FCC6D-1266-47A3-831F-2403E95BEB80}" presName="nodeFollowingNodes" presStyleLbl="node1" presStyleIdx="4" presStyleCnt="6">
        <dgm:presLayoutVars>
          <dgm:bulletEnabled val="1"/>
        </dgm:presLayoutVars>
      </dgm:prSet>
      <dgm:spPr>
        <a:prstGeom prst="roundRect">
          <a:avLst/>
        </a:prstGeom>
      </dgm:spPr>
    </dgm:pt>
    <dgm:pt modelId="{46D1CAFD-7872-4690-9D53-407078720519}" type="pres">
      <dgm:prSet presAssocID="{0A927E8B-5AA3-4F22-BF28-EE8D53894E3A}" presName="nodeFollowingNodes" presStyleLbl="node1" presStyleIdx="5" presStyleCnt="6">
        <dgm:presLayoutVars>
          <dgm:bulletEnabled val="1"/>
        </dgm:presLayoutVars>
      </dgm:prSet>
      <dgm:spPr>
        <a:prstGeom prst="roundRect">
          <a:avLst/>
        </a:prstGeom>
      </dgm:spPr>
    </dgm:pt>
  </dgm:ptLst>
  <dgm:cxnLst>
    <dgm:cxn modelId="{154C130C-BFB5-45DA-BD96-3D87337D0C30}" srcId="{FB6313CD-7D8C-415C-AAE5-8FBFD837F561}" destId="{7273C508-FF52-4526-860C-1041FAF54290}" srcOrd="0" destOrd="0" parTransId="{EC226B9B-1657-45D3-ACC0-B98BFA4FB771}" sibTransId="{5AA57F02-5816-4C3E-9373-FC0D72E7BB10}"/>
    <dgm:cxn modelId="{6DCCF30C-BA2F-4DC1-BF3F-66349485ECED}" srcId="{D08FCC6D-1266-47A3-831F-2403E95BEB80}" destId="{38500B4F-5366-480D-B0C3-B0F5CBEA6FE0}" srcOrd="0" destOrd="0" parTransId="{849373FD-70F9-4DA0-B1C0-07108AFFFC41}" sibTransId="{3442AAC6-7858-4A05-AA9D-7C79BAB57B13}"/>
    <dgm:cxn modelId="{A35E1C11-6955-46F0-8B5A-900686544366}" type="presOf" srcId="{D61D1CF3-0205-44EA-A8F4-588C7AF439BC}" destId="{C65A8DF4-162D-4F4A-A910-A9BC8E2BBA27}" srcOrd="0" destOrd="1" presId="urn:microsoft.com/office/officeart/2005/8/layout/cycle3"/>
    <dgm:cxn modelId="{B4DF3F1F-A69C-4FB8-AE26-30137DFD3E58}" type="presOf" srcId="{0A927E8B-5AA3-4F22-BF28-EE8D53894E3A}" destId="{46D1CAFD-7872-4690-9D53-407078720519}" srcOrd="0" destOrd="0" presId="urn:microsoft.com/office/officeart/2005/8/layout/cycle3"/>
    <dgm:cxn modelId="{B1D0A720-EAA9-419C-9791-9E7DAE9D952E}" type="presOf" srcId="{6E0FFB7A-30BB-48D1-AA99-5887B5C185EF}" destId="{39350A6D-E5AA-4641-AB23-0C0731A646B0}" srcOrd="0" destOrd="0" presId="urn:microsoft.com/office/officeart/2005/8/layout/cycle3"/>
    <dgm:cxn modelId="{53FC8622-D04C-45CE-81B5-88E254F38D97}" srcId="{6E0FFB7A-30BB-48D1-AA99-5887B5C185EF}" destId="{4383D8A6-A574-4076-A8D5-9CD10A2245B4}" srcOrd="0" destOrd="0" parTransId="{CD3B0F6A-46D8-4012-A648-56E0D8119901}" sibTransId="{C067CD1B-F1C8-4C0E-893F-FBACA34ACEB8}"/>
    <dgm:cxn modelId="{833ADD32-66B9-4C88-A5CE-2B70FBFE7151}" type="presOf" srcId="{D08FCC6D-1266-47A3-831F-2403E95BEB80}" destId="{2C6A3241-B8A0-4A50-B751-0048B187345A}" srcOrd="0" destOrd="0" presId="urn:microsoft.com/office/officeart/2005/8/layout/cycle3"/>
    <dgm:cxn modelId="{5F221D36-6736-4BFE-B1C9-3D92AF7E7D40}" type="presOf" srcId="{A26F2460-ED8D-44CE-BC32-E301F50F8FBD}" destId="{B40B70ED-2F79-41A4-BB79-62F283BBBB4B}" srcOrd="0" destOrd="1" presId="urn:microsoft.com/office/officeart/2005/8/layout/cycle3"/>
    <dgm:cxn modelId="{8F921962-5130-420A-8BAC-8C6A6C297AA9}" type="presOf" srcId="{FB6313CD-7D8C-415C-AAE5-8FBFD837F561}" destId="{32A9CF64-850F-48DB-B4FC-9C80C877EDE3}" srcOrd="0" destOrd="0" presId="urn:microsoft.com/office/officeart/2005/8/layout/cycle3"/>
    <dgm:cxn modelId="{92A53462-336A-47AE-8059-30B28FD06699}" type="presOf" srcId="{5AA57F02-5816-4C3E-9373-FC0D72E7BB10}" destId="{B5D7F18F-698D-477B-83DA-662BF74F4BA0}" srcOrd="0" destOrd="0" presId="urn:microsoft.com/office/officeart/2005/8/layout/cycle3"/>
    <dgm:cxn modelId="{D356E664-D3A2-4E5D-8539-E19BDC3866D9}" srcId="{FB6313CD-7D8C-415C-AAE5-8FBFD837F561}" destId="{D08FCC6D-1266-47A3-831F-2403E95BEB80}" srcOrd="4" destOrd="0" parTransId="{DDB89849-E5DC-49A0-A322-B64A0BA3CDF0}" sibTransId="{90D40968-9EC3-4BA3-82C7-0BC34C8A8649}"/>
    <dgm:cxn modelId="{C1E55A4B-ACFA-450C-971C-F1C0A78E33EF}" type="presOf" srcId="{F89D5FA6-BA7C-403D-BFD3-F0E39377A786}" destId="{4613E86E-E6F5-4602-BEC0-EC1AF8CA2052}" srcOrd="0" destOrd="1" presId="urn:microsoft.com/office/officeart/2005/8/layout/cycle3"/>
    <dgm:cxn modelId="{E5103272-E637-4F6A-A86C-5594D90A4535}" srcId="{7273C508-FF52-4526-860C-1041FAF54290}" destId="{F89D5FA6-BA7C-403D-BFD3-F0E39377A786}" srcOrd="0" destOrd="0" parTransId="{1294E8EB-7BDF-44EC-A2D7-4B30FE81D66F}" sibTransId="{400B136E-8DF4-457A-9C80-6CB5099E0A80}"/>
    <dgm:cxn modelId="{39E40378-D051-4E5F-9061-5E2C08E6726C}" srcId="{0A927E8B-5AA3-4F22-BF28-EE8D53894E3A}" destId="{FB80DB16-1CB4-4554-8B5E-85EDFC9FA30E}" srcOrd="0" destOrd="0" parTransId="{139048F5-CAAE-45A8-A206-BF5A4ED05450}" sibTransId="{584F1753-4585-4CC7-A7A9-12139B269C5D}"/>
    <dgm:cxn modelId="{712FA880-9CB9-4478-96AB-E357D938E6A7}" srcId="{FB6313CD-7D8C-415C-AAE5-8FBFD837F561}" destId="{096C7F0C-F634-47A4-9327-27ACDC17C1C4}" srcOrd="2" destOrd="0" parTransId="{3447B670-240F-407A-BEA9-71A6DA0391FF}" sibTransId="{4FDDFF04-6438-49D8-AA3B-7AB24EDA38B4}"/>
    <dgm:cxn modelId="{CB4ED482-B903-44DA-A30B-79ECBB4F7A6F}" srcId="{096C7F0C-F634-47A4-9327-27ACDC17C1C4}" destId="{A26F2460-ED8D-44CE-BC32-E301F50F8FBD}" srcOrd="0" destOrd="0" parTransId="{F82701F5-AE57-403A-80ED-0B3F58874563}" sibTransId="{630CC0A5-A126-4A29-AC14-1D44828A4D1E}"/>
    <dgm:cxn modelId="{1EFA0995-EA2B-4480-AB70-1D1548DA3530}" type="presOf" srcId="{F586D2EF-8CAD-425B-8ADA-F774B42FC52F}" destId="{C65A8DF4-162D-4F4A-A910-A9BC8E2BBA27}" srcOrd="0" destOrd="0" presId="urn:microsoft.com/office/officeart/2005/8/layout/cycle3"/>
    <dgm:cxn modelId="{7B973DA1-6331-4FD8-A4EA-A30350F6F8C2}" srcId="{FB6313CD-7D8C-415C-AAE5-8FBFD837F561}" destId="{6E0FFB7A-30BB-48D1-AA99-5887B5C185EF}" srcOrd="3" destOrd="0" parTransId="{87D68623-8BF2-4004-AA30-4645D899B31D}" sibTransId="{2DE65D20-14E6-43F1-A284-B07C255F5938}"/>
    <dgm:cxn modelId="{D388F9A2-460C-4C52-88E5-E09AA345D1BB}" type="presOf" srcId="{7273C508-FF52-4526-860C-1041FAF54290}" destId="{4613E86E-E6F5-4602-BEC0-EC1AF8CA2052}" srcOrd="0" destOrd="0" presId="urn:microsoft.com/office/officeart/2005/8/layout/cycle3"/>
    <dgm:cxn modelId="{3130DFBE-6D9D-44AE-9390-70B1DE0993C3}" type="presOf" srcId="{096C7F0C-F634-47A4-9327-27ACDC17C1C4}" destId="{B40B70ED-2F79-41A4-BB79-62F283BBBB4B}" srcOrd="0" destOrd="0" presId="urn:microsoft.com/office/officeart/2005/8/layout/cycle3"/>
    <dgm:cxn modelId="{45E739D1-5CED-46E4-96BC-6ACDB183F361}" srcId="{FB6313CD-7D8C-415C-AAE5-8FBFD837F561}" destId="{F586D2EF-8CAD-425B-8ADA-F774B42FC52F}" srcOrd="1" destOrd="0" parTransId="{AA6BB4E0-354C-4251-ABD1-D3ACA563F8DB}" sibTransId="{8CCBAAA5-DE6C-4C20-AC00-EB8D044B458D}"/>
    <dgm:cxn modelId="{19DA82D1-D759-47CE-9352-63D1B4397D5B}" type="presOf" srcId="{4383D8A6-A574-4076-A8D5-9CD10A2245B4}" destId="{39350A6D-E5AA-4641-AB23-0C0731A646B0}" srcOrd="0" destOrd="1" presId="urn:microsoft.com/office/officeart/2005/8/layout/cycle3"/>
    <dgm:cxn modelId="{F02286D3-2FA8-4F86-A030-2EF186A2284A}" srcId="{FB6313CD-7D8C-415C-AAE5-8FBFD837F561}" destId="{0A927E8B-5AA3-4F22-BF28-EE8D53894E3A}" srcOrd="5" destOrd="0" parTransId="{3F4DB0B1-F0BC-44BD-9614-15DE49332A29}" sibTransId="{E14EC74A-A73F-4A06-8700-7A1AAC7E73C9}"/>
    <dgm:cxn modelId="{82490BD5-7E50-433E-B768-870802C46662}" srcId="{F586D2EF-8CAD-425B-8ADA-F774B42FC52F}" destId="{D61D1CF3-0205-44EA-A8F4-588C7AF439BC}" srcOrd="0" destOrd="0" parTransId="{33EA0BE4-21B8-4CF2-B7EC-333C0A8B1986}" sibTransId="{67F4A2A7-4C4B-4234-AA2D-A61828BDD664}"/>
    <dgm:cxn modelId="{DF1CEADF-9041-4A03-8463-99148F13E96F}" type="presOf" srcId="{FB80DB16-1CB4-4554-8B5E-85EDFC9FA30E}" destId="{46D1CAFD-7872-4690-9D53-407078720519}" srcOrd="0" destOrd="1" presId="urn:microsoft.com/office/officeart/2005/8/layout/cycle3"/>
    <dgm:cxn modelId="{40B520E4-B590-45E8-8CC2-72FFA0A4AE6E}" type="presOf" srcId="{38500B4F-5366-480D-B0C3-B0F5CBEA6FE0}" destId="{2C6A3241-B8A0-4A50-B751-0048B187345A}" srcOrd="0" destOrd="1" presId="urn:microsoft.com/office/officeart/2005/8/layout/cycle3"/>
    <dgm:cxn modelId="{684366E9-465E-477C-8B8F-C17865D9CEA9}" type="presParOf" srcId="{32A9CF64-850F-48DB-B4FC-9C80C877EDE3}" destId="{DCCFA3C5-8CA6-4182-B01A-8ADF1FFA8ECA}" srcOrd="0" destOrd="0" presId="urn:microsoft.com/office/officeart/2005/8/layout/cycle3"/>
    <dgm:cxn modelId="{0D9CC24D-4F07-4023-A57C-0E812FCA7B99}" type="presParOf" srcId="{DCCFA3C5-8CA6-4182-B01A-8ADF1FFA8ECA}" destId="{4613E86E-E6F5-4602-BEC0-EC1AF8CA2052}" srcOrd="0" destOrd="0" presId="urn:microsoft.com/office/officeart/2005/8/layout/cycle3"/>
    <dgm:cxn modelId="{4E76646B-AE9A-4E76-92B7-5E68A2909DA2}" type="presParOf" srcId="{DCCFA3C5-8CA6-4182-B01A-8ADF1FFA8ECA}" destId="{B5D7F18F-698D-477B-83DA-662BF74F4BA0}" srcOrd="1" destOrd="0" presId="urn:microsoft.com/office/officeart/2005/8/layout/cycle3"/>
    <dgm:cxn modelId="{CA0B9007-C644-4880-AE54-C1155507299A}" type="presParOf" srcId="{DCCFA3C5-8CA6-4182-B01A-8ADF1FFA8ECA}" destId="{C65A8DF4-162D-4F4A-A910-A9BC8E2BBA27}" srcOrd="2" destOrd="0" presId="urn:microsoft.com/office/officeart/2005/8/layout/cycle3"/>
    <dgm:cxn modelId="{6CB520B2-7D20-41EB-9620-D4D2FE3C15A9}" type="presParOf" srcId="{DCCFA3C5-8CA6-4182-B01A-8ADF1FFA8ECA}" destId="{B40B70ED-2F79-41A4-BB79-62F283BBBB4B}" srcOrd="3" destOrd="0" presId="urn:microsoft.com/office/officeart/2005/8/layout/cycle3"/>
    <dgm:cxn modelId="{5076AA54-2249-45FD-8DC6-DA73D8033CEA}" type="presParOf" srcId="{DCCFA3C5-8CA6-4182-B01A-8ADF1FFA8ECA}" destId="{39350A6D-E5AA-4641-AB23-0C0731A646B0}" srcOrd="4" destOrd="0" presId="urn:microsoft.com/office/officeart/2005/8/layout/cycle3"/>
    <dgm:cxn modelId="{6DAEEFF5-1FA9-4365-9706-E2AEDD3DBAC7}" type="presParOf" srcId="{DCCFA3C5-8CA6-4182-B01A-8ADF1FFA8ECA}" destId="{2C6A3241-B8A0-4A50-B751-0048B187345A}" srcOrd="5" destOrd="0" presId="urn:microsoft.com/office/officeart/2005/8/layout/cycle3"/>
    <dgm:cxn modelId="{AF9CFB17-9359-4711-8BB8-E234E6743029}" type="presParOf" srcId="{DCCFA3C5-8CA6-4182-B01A-8ADF1FFA8ECA}" destId="{46D1CAFD-7872-4690-9D53-407078720519}" srcOrd="6" destOrd="0" presId="urn:microsoft.com/office/officeart/2005/8/layout/cycle3"/>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2B0DE2-4F40-42DE-B0FD-42D9B90A4E5C}">
      <dsp:nvSpPr>
        <dsp:cNvPr id="0" name=""/>
        <dsp:cNvSpPr/>
      </dsp:nvSpPr>
      <dsp:spPr>
        <a:xfrm>
          <a:off x="739" y="264114"/>
          <a:ext cx="2710969" cy="2003396"/>
        </a:xfrm>
        <a:prstGeom prst="rect">
          <a:avLst/>
        </a:prstGeom>
        <a:blipFill rotWithShape="1">
          <a:blip xmlns:r="http://schemas.openxmlformats.org/officeDocument/2006/relationships" r:embed="rId1"/>
          <a:stretch>
            <a:fillRect/>
          </a:stretch>
        </a:blipFill>
        <a:ln>
          <a:noFill/>
        </a:ln>
        <a:effectLst/>
      </dsp:spPr>
      <dsp:style>
        <a:lnRef idx="0">
          <a:scrgbClr r="0" g="0" b="0"/>
        </a:lnRef>
        <a:fillRef idx="1">
          <a:scrgbClr r="0" g="0" b="0"/>
        </a:fillRef>
        <a:effectRef idx="0">
          <a:scrgbClr r="0" g="0" b="0"/>
        </a:effectRef>
        <a:fontRef idx="minor"/>
      </dsp:style>
    </dsp:sp>
    <dsp:sp modelId="{0F838132-2251-498C-BE86-6D2EE94F25C0}">
      <dsp:nvSpPr>
        <dsp:cNvPr id="0" name=""/>
        <dsp:cNvSpPr/>
      </dsp:nvSpPr>
      <dsp:spPr>
        <a:xfrm>
          <a:off x="548701" y="2018556"/>
          <a:ext cx="2336048" cy="332792"/>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5000"/>
            </a:spcAft>
            <a:buNone/>
          </a:pPr>
          <a:r>
            <a:rPr lang="en-US" sz="1400" kern="1200">
              <a:latin typeface="Arial" panose="020B0604020202020204" pitchFamily="34" charset="0"/>
              <a:cs typeface="Arial" panose="020B0604020202020204" pitchFamily="34" charset="0"/>
            </a:rPr>
            <a:t>Population</a:t>
          </a:r>
        </a:p>
      </dsp:txBody>
      <dsp:txXfrm>
        <a:off x="548701" y="2018556"/>
        <a:ext cx="2336048" cy="332792"/>
      </dsp:txXfrm>
    </dsp:sp>
    <dsp:sp modelId="{ECB94BF0-C8E2-468D-9C87-6FDFD241AC4D}">
      <dsp:nvSpPr>
        <dsp:cNvPr id="0" name=""/>
        <dsp:cNvSpPr/>
      </dsp:nvSpPr>
      <dsp:spPr>
        <a:xfrm>
          <a:off x="3173150" y="264114"/>
          <a:ext cx="2710969" cy="2003396"/>
        </a:xfrm>
        <a:prstGeom prst="rect">
          <a:avLst/>
        </a:prstGeom>
        <a:blipFill rotWithShape="1">
          <a:blip xmlns:r="http://schemas.openxmlformats.org/officeDocument/2006/relationships" r:embed="rId2"/>
          <a:stretch>
            <a:fillRect/>
          </a:stretch>
        </a:blipFill>
        <a:ln>
          <a:noFill/>
        </a:ln>
        <a:effectLst/>
      </dsp:spPr>
      <dsp:style>
        <a:lnRef idx="0">
          <a:scrgbClr r="0" g="0" b="0"/>
        </a:lnRef>
        <a:fillRef idx="1">
          <a:scrgbClr r="0" g="0" b="0"/>
        </a:fillRef>
        <a:effectRef idx="0">
          <a:scrgbClr r="0" g="0" b="0"/>
        </a:effectRef>
        <a:fontRef idx="minor"/>
      </dsp:style>
    </dsp:sp>
    <dsp:sp modelId="{7BA41F44-9FA1-47D2-8302-5749E0F7738D}">
      <dsp:nvSpPr>
        <dsp:cNvPr id="0" name=""/>
        <dsp:cNvSpPr/>
      </dsp:nvSpPr>
      <dsp:spPr>
        <a:xfrm>
          <a:off x="3721112" y="2018556"/>
          <a:ext cx="2336048" cy="332792"/>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5000"/>
            </a:spcAft>
            <a:buNone/>
          </a:pPr>
          <a:r>
            <a:rPr lang="en-US" sz="1400" kern="1200">
              <a:latin typeface="Arial" panose="020B0604020202020204" pitchFamily="34" charset="0"/>
              <a:cs typeface="Arial" panose="020B0604020202020204" pitchFamily="34" charset="0"/>
            </a:rPr>
            <a:t>GDP</a:t>
          </a:r>
        </a:p>
      </dsp:txBody>
      <dsp:txXfrm>
        <a:off x="3721112" y="2018556"/>
        <a:ext cx="2336048" cy="332792"/>
      </dsp:txXfrm>
    </dsp:sp>
    <dsp:sp modelId="{036D5125-17A1-4904-93ED-ADB58B1F87CD}">
      <dsp:nvSpPr>
        <dsp:cNvPr id="0" name=""/>
        <dsp:cNvSpPr/>
      </dsp:nvSpPr>
      <dsp:spPr>
        <a:xfrm>
          <a:off x="739" y="2639750"/>
          <a:ext cx="2710969" cy="2003396"/>
        </a:xfrm>
        <a:prstGeom prst="rect">
          <a:avLst/>
        </a:prstGeom>
        <a:blipFill rotWithShape="1">
          <a:blip xmlns:r="http://schemas.openxmlformats.org/officeDocument/2006/relationships" r:embed="rId3"/>
          <a:stretch>
            <a:fillRect/>
          </a:stretch>
        </a:blipFill>
        <a:ln>
          <a:noFill/>
        </a:ln>
        <a:effectLst/>
      </dsp:spPr>
      <dsp:style>
        <a:lnRef idx="0">
          <a:scrgbClr r="0" g="0" b="0"/>
        </a:lnRef>
        <a:fillRef idx="1">
          <a:scrgbClr r="0" g="0" b="0"/>
        </a:fillRef>
        <a:effectRef idx="0">
          <a:scrgbClr r="0" g="0" b="0"/>
        </a:effectRef>
        <a:fontRef idx="minor"/>
      </dsp:style>
    </dsp:sp>
    <dsp:sp modelId="{BA4EC1B0-2A06-4A11-8C3D-187FCE1BA4AE}">
      <dsp:nvSpPr>
        <dsp:cNvPr id="0" name=""/>
        <dsp:cNvSpPr/>
      </dsp:nvSpPr>
      <dsp:spPr>
        <a:xfrm>
          <a:off x="548701" y="4394192"/>
          <a:ext cx="2336048" cy="332792"/>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5000"/>
            </a:spcAft>
            <a:buNone/>
          </a:pPr>
          <a:r>
            <a:rPr lang="en-US" sz="1400" kern="1200">
              <a:latin typeface="Arial" panose="020B0604020202020204" pitchFamily="34" charset="0"/>
              <a:cs typeface="Arial" panose="020B0604020202020204" pitchFamily="34" charset="0"/>
            </a:rPr>
            <a:t>GDP per capita</a:t>
          </a:r>
        </a:p>
      </dsp:txBody>
      <dsp:txXfrm>
        <a:off x="548701" y="4394192"/>
        <a:ext cx="2336048" cy="332792"/>
      </dsp:txXfrm>
    </dsp:sp>
    <dsp:sp modelId="{DD5BE3E2-4DF8-44EE-9B83-368D52F81E78}">
      <dsp:nvSpPr>
        <dsp:cNvPr id="0" name=""/>
        <dsp:cNvSpPr/>
      </dsp:nvSpPr>
      <dsp:spPr>
        <a:xfrm>
          <a:off x="3173150" y="2639750"/>
          <a:ext cx="2710969" cy="2003396"/>
        </a:xfrm>
        <a:prstGeom prst="rect">
          <a:avLst/>
        </a:prstGeom>
        <a:blipFill rotWithShape="1">
          <a:blip xmlns:r="http://schemas.openxmlformats.org/officeDocument/2006/relationships" r:embed="rId4"/>
          <a:stretch>
            <a:fillRect/>
          </a:stretch>
        </a:blipFill>
        <a:ln>
          <a:noFill/>
        </a:ln>
        <a:effectLst/>
      </dsp:spPr>
      <dsp:style>
        <a:lnRef idx="0">
          <a:scrgbClr r="0" g="0" b="0"/>
        </a:lnRef>
        <a:fillRef idx="1">
          <a:scrgbClr r="0" g="0" b="0"/>
        </a:fillRef>
        <a:effectRef idx="0">
          <a:scrgbClr r="0" g="0" b="0"/>
        </a:effectRef>
        <a:fontRef idx="minor"/>
      </dsp:style>
    </dsp:sp>
    <dsp:sp modelId="{FED2FFA4-D5C3-41C1-9922-726C201539AB}">
      <dsp:nvSpPr>
        <dsp:cNvPr id="0" name=""/>
        <dsp:cNvSpPr/>
      </dsp:nvSpPr>
      <dsp:spPr>
        <a:xfrm>
          <a:off x="3721112" y="4394192"/>
          <a:ext cx="2336048" cy="332792"/>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5000"/>
            </a:spcAft>
            <a:buNone/>
          </a:pPr>
          <a:r>
            <a:rPr lang="en-US" sz="1400" kern="1200">
              <a:latin typeface="Arial" panose="020B0604020202020204" pitchFamily="34" charset="0"/>
              <a:cs typeface="Arial" panose="020B0604020202020204" pitchFamily="34" charset="0"/>
            </a:rPr>
            <a:t>Inflation</a:t>
          </a:r>
        </a:p>
      </dsp:txBody>
      <dsp:txXfrm>
        <a:off x="3721112" y="4394192"/>
        <a:ext cx="2336048" cy="33279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BA59A7-9A70-4C6E-99D6-72D5D14284C3}">
      <dsp:nvSpPr>
        <dsp:cNvPr id="0" name=""/>
        <dsp:cNvSpPr/>
      </dsp:nvSpPr>
      <dsp:spPr>
        <a:xfrm>
          <a:off x="62134" y="165489"/>
          <a:ext cx="2687604" cy="4031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53340" rIns="53340" bIns="0" numCol="1" spcCol="1270" anchor="b" anchorCtr="0">
          <a:noAutofit/>
        </a:bodyPr>
        <a:lstStyle/>
        <a:p>
          <a:pPr marL="0" lvl="0" indent="0" algn="l" defTabSz="622300">
            <a:lnSpc>
              <a:spcPct val="90000"/>
            </a:lnSpc>
            <a:spcBef>
              <a:spcPct val="0"/>
            </a:spcBef>
            <a:spcAft>
              <a:spcPct val="35000"/>
            </a:spcAft>
            <a:buNone/>
          </a:pPr>
          <a:r>
            <a:rPr lang="en-US" sz="1400" kern="1200">
              <a:latin typeface="Arial" panose="020B0604020202020204" pitchFamily="34" charset="0"/>
              <a:cs typeface="Arial" panose="020B0604020202020204" pitchFamily="34" charset="0"/>
            </a:rPr>
            <a:t>Japan</a:t>
          </a:r>
        </a:p>
      </dsp:txBody>
      <dsp:txXfrm>
        <a:off x="62134" y="165489"/>
        <a:ext cx="2687604" cy="403140"/>
      </dsp:txXfrm>
    </dsp:sp>
    <dsp:sp modelId="{27426975-6062-4EB9-9035-EA92C93DBA29}">
      <dsp:nvSpPr>
        <dsp:cNvPr id="0" name=""/>
        <dsp:cNvSpPr/>
      </dsp:nvSpPr>
      <dsp:spPr>
        <a:xfrm>
          <a:off x="62134" y="698180"/>
          <a:ext cx="2687604" cy="2687604"/>
        </a:xfrm>
        <a:prstGeom prst="rect">
          <a:avLst/>
        </a:prstGeom>
        <a:blipFill rotWithShape="1">
          <a:blip xmlns:r="http://schemas.openxmlformats.org/officeDocument/2006/relationships" r:embed="rId1"/>
          <a:stretch>
            <a:fillRect/>
          </a:stretch>
        </a:blip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A9119C1-EF19-4E71-BA24-C6C79245CBBD}">
      <dsp:nvSpPr>
        <dsp:cNvPr id="0" name=""/>
        <dsp:cNvSpPr/>
      </dsp:nvSpPr>
      <dsp:spPr>
        <a:xfrm>
          <a:off x="3033840" y="165489"/>
          <a:ext cx="2687604" cy="4031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53340" rIns="53340" bIns="0" numCol="1" spcCol="1270" anchor="b" anchorCtr="0">
          <a:noAutofit/>
        </a:bodyPr>
        <a:lstStyle/>
        <a:p>
          <a:pPr marL="0" lvl="0" indent="0" algn="l" defTabSz="622300">
            <a:lnSpc>
              <a:spcPct val="90000"/>
            </a:lnSpc>
            <a:spcBef>
              <a:spcPct val="0"/>
            </a:spcBef>
            <a:spcAft>
              <a:spcPct val="35000"/>
            </a:spcAft>
            <a:buNone/>
          </a:pPr>
          <a:r>
            <a:rPr lang="en-US" sz="1400" kern="1200">
              <a:latin typeface="Arial" panose="020B0604020202020204" pitchFamily="34" charset="0"/>
              <a:cs typeface="Arial" panose="020B0604020202020204" pitchFamily="34" charset="0"/>
            </a:rPr>
            <a:t>USA</a:t>
          </a:r>
        </a:p>
      </dsp:txBody>
      <dsp:txXfrm>
        <a:off x="3033840" y="165489"/>
        <a:ext cx="2687604" cy="403140"/>
      </dsp:txXfrm>
    </dsp:sp>
    <dsp:sp modelId="{15625642-372F-4619-BC8B-8551730B151F}">
      <dsp:nvSpPr>
        <dsp:cNvPr id="0" name=""/>
        <dsp:cNvSpPr/>
      </dsp:nvSpPr>
      <dsp:spPr>
        <a:xfrm>
          <a:off x="3033840" y="698180"/>
          <a:ext cx="2687604" cy="2687604"/>
        </a:xfrm>
        <a:prstGeom prst="rect">
          <a:avLst/>
        </a:prstGeom>
        <a:blipFill rotWithShape="1">
          <a:blip xmlns:r="http://schemas.openxmlformats.org/officeDocument/2006/relationships" r:embed="rId2"/>
          <a:stretch>
            <a:fillRect/>
          </a:stretch>
        </a:blip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D97568-07E6-47B0-89CB-1DEF0D0E7017}">
      <dsp:nvSpPr>
        <dsp:cNvPr id="0" name=""/>
        <dsp:cNvSpPr/>
      </dsp:nvSpPr>
      <dsp:spPr>
        <a:xfrm rot="16200000">
          <a:off x="-1214369" y="1832447"/>
          <a:ext cx="2786581" cy="2886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54539" bIns="0" numCol="1" spcCol="1270" anchor="t" anchorCtr="0">
          <a:noAutofit/>
        </a:bodyPr>
        <a:lstStyle/>
        <a:p>
          <a:pPr marL="0" lvl="0" indent="0" algn="r" defTabSz="933450">
            <a:lnSpc>
              <a:spcPct val="90000"/>
            </a:lnSpc>
            <a:spcBef>
              <a:spcPct val="0"/>
            </a:spcBef>
            <a:spcAft>
              <a:spcPct val="35000"/>
            </a:spcAft>
            <a:buNone/>
          </a:pPr>
          <a:r>
            <a:rPr lang="en-US" sz="2100" kern="1200">
              <a:latin typeface="Arial" panose="020B0604020202020204" pitchFamily="34" charset="0"/>
              <a:cs typeface="Arial" panose="020B0604020202020204" pitchFamily="34" charset="0"/>
            </a:rPr>
            <a:t>Segmentation</a:t>
          </a:r>
        </a:p>
      </dsp:txBody>
      <dsp:txXfrm>
        <a:off x="-1214369" y="1832447"/>
        <a:ext cx="2786581" cy="288611"/>
      </dsp:txXfrm>
    </dsp:sp>
    <dsp:sp modelId="{7790295E-FF22-4A69-9827-29DCEC64D076}">
      <dsp:nvSpPr>
        <dsp:cNvPr id="0" name=""/>
        <dsp:cNvSpPr/>
      </dsp:nvSpPr>
      <dsp:spPr>
        <a:xfrm>
          <a:off x="323226" y="583463"/>
          <a:ext cx="1437592" cy="2786581"/>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254539" rIns="113792" bIns="113792" numCol="1" spcCol="1270" anchor="t" anchorCtr="0">
          <a:noAutofit/>
        </a:bodyPr>
        <a:lstStyle/>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Toyota divides the Japanese and U.S. markets into distinct demographic, geographic, psychographic and benefit-based customer groups.</a:t>
          </a:r>
        </a:p>
      </dsp:txBody>
      <dsp:txXfrm>
        <a:off x="323226" y="583463"/>
        <a:ext cx="1437592" cy="2786581"/>
      </dsp:txXfrm>
    </dsp:sp>
    <dsp:sp modelId="{692CE5C0-81DA-419D-9497-7CB7CE6707BD}">
      <dsp:nvSpPr>
        <dsp:cNvPr id="0" name=""/>
        <dsp:cNvSpPr/>
      </dsp:nvSpPr>
      <dsp:spPr>
        <a:xfrm>
          <a:off x="34615" y="202495"/>
          <a:ext cx="577223" cy="577223"/>
        </a:xfrm>
        <a:prstGeom prst="rect">
          <a:avLst/>
        </a:prstGeom>
        <a:blipFill rotWithShape="1">
          <a:blip xmlns:r="http://schemas.openxmlformats.org/officeDocument/2006/relationships" r:embed="rId1"/>
          <a:stretch>
            <a:fillRect/>
          </a:stretch>
        </a:blip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A0DC4BF-1144-42C4-A606-1FB4539A4C12}">
      <dsp:nvSpPr>
        <dsp:cNvPr id="0" name=""/>
        <dsp:cNvSpPr/>
      </dsp:nvSpPr>
      <dsp:spPr>
        <a:xfrm rot="16200000">
          <a:off x="880668" y="1832447"/>
          <a:ext cx="2786581" cy="2886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54539" bIns="0" numCol="1" spcCol="1270" anchor="t" anchorCtr="0">
          <a:noAutofit/>
        </a:bodyPr>
        <a:lstStyle/>
        <a:p>
          <a:pPr marL="0" lvl="0" indent="0" algn="r" defTabSz="933450">
            <a:lnSpc>
              <a:spcPct val="90000"/>
            </a:lnSpc>
            <a:spcBef>
              <a:spcPct val="0"/>
            </a:spcBef>
            <a:spcAft>
              <a:spcPct val="35000"/>
            </a:spcAft>
            <a:buNone/>
          </a:pPr>
          <a:r>
            <a:rPr lang="en-US" sz="2100" kern="1200">
              <a:latin typeface="Arial" panose="020B0604020202020204" pitchFamily="34" charset="0"/>
              <a:cs typeface="Arial" panose="020B0604020202020204" pitchFamily="34" charset="0"/>
            </a:rPr>
            <a:t>Targeting</a:t>
          </a:r>
        </a:p>
      </dsp:txBody>
      <dsp:txXfrm>
        <a:off x="880668" y="1832447"/>
        <a:ext cx="2786581" cy="288611"/>
      </dsp:txXfrm>
    </dsp:sp>
    <dsp:sp modelId="{4858F2AA-27CF-4D98-B6BE-A8857C5F2E15}">
      <dsp:nvSpPr>
        <dsp:cNvPr id="0" name=""/>
        <dsp:cNvSpPr/>
      </dsp:nvSpPr>
      <dsp:spPr>
        <a:xfrm>
          <a:off x="2418264" y="583463"/>
          <a:ext cx="1437592" cy="2786581"/>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254539" rIns="113792" bIns="113792" numCol="1" spcCol="1270" anchor="t" anchorCtr="0">
          <a:noAutofit/>
        </a:bodyPr>
        <a:lstStyle/>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Toyota uses differentiated targeting by selecting attractive segments such as urban hybrid users in Japan and family, SUV, pickup and environmentally conscious buyers in the United States.</a:t>
          </a:r>
        </a:p>
      </dsp:txBody>
      <dsp:txXfrm>
        <a:off x="2418264" y="583463"/>
        <a:ext cx="1437592" cy="2786581"/>
      </dsp:txXfrm>
    </dsp:sp>
    <dsp:sp modelId="{04FDC149-FB76-4734-B727-76A5E5DE0FFE}">
      <dsp:nvSpPr>
        <dsp:cNvPr id="0" name=""/>
        <dsp:cNvSpPr/>
      </dsp:nvSpPr>
      <dsp:spPr>
        <a:xfrm>
          <a:off x="2129652" y="202495"/>
          <a:ext cx="577223" cy="577223"/>
        </a:xfrm>
        <a:prstGeom prst="rect">
          <a:avLst/>
        </a:prstGeom>
        <a:blipFill rotWithShape="1">
          <a:blip xmlns:r="http://schemas.openxmlformats.org/officeDocument/2006/relationships" r:embed="rId2"/>
          <a:stretch>
            <a:fillRect/>
          </a:stretch>
        </a:blip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2C29AF6-6076-40C4-9044-A3C864329DE2}">
      <dsp:nvSpPr>
        <dsp:cNvPr id="0" name=""/>
        <dsp:cNvSpPr/>
      </dsp:nvSpPr>
      <dsp:spPr>
        <a:xfrm rot="16200000">
          <a:off x="2975705" y="1832447"/>
          <a:ext cx="2786581" cy="2886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54539" bIns="0" numCol="1" spcCol="1270" anchor="t" anchorCtr="0">
          <a:noAutofit/>
        </a:bodyPr>
        <a:lstStyle/>
        <a:p>
          <a:pPr marL="0" lvl="0" indent="0" algn="r" defTabSz="933450">
            <a:lnSpc>
              <a:spcPct val="90000"/>
            </a:lnSpc>
            <a:spcBef>
              <a:spcPct val="0"/>
            </a:spcBef>
            <a:spcAft>
              <a:spcPct val="35000"/>
            </a:spcAft>
            <a:buNone/>
          </a:pPr>
          <a:r>
            <a:rPr lang="en-US" sz="2100" kern="1200">
              <a:latin typeface="Arial" panose="020B0604020202020204" pitchFamily="34" charset="0"/>
              <a:cs typeface="Arial" panose="020B0604020202020204" pitchFamily="34" charset="0"/>
            </a:rPr>
            <a:t>Positioning</a:t>
          </a:r>
        </a:p>
      </dsp:txBody>
      <dsp:txXfrm>
        <a:off x="2975705" y="1832447"/>
        <a:ext cx="2786581" cy="288611"/>
      </dsp:txXfrm>
    </dsp:sp>
    <dsp:sp modelId="{CA9909F0-13B1-463C-8D57-DEBF1E89B866}">
      <dsp:nvSpPr>
        <dsp:cNvPr id="0" name=""/>
        <dsp:cNvSpPr/>
      </dsp:nvSpPr>
      <dsp:spPr>
        <a:xfrm>
          <a:off x="4513302" y="583463"/>
          <a:ext cx="1437592" cy="2786581"/>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254539" rIns="113792" bIns="113792" numCol="1" spcCol="1270" anchor="t" anchorCtr="0">
          <a:noAutofit/>
        </a:bodyPr>
        <a:lstStyle/>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Toyota positions itself in both markets as a reliable, high-quality, safe and fuel-efficient brand, while adapting its innovation and value emphasis to local competition and consumer expectations</a:t>
          </a:r>
        </a:p>
      </dsp:txBody>
      <dsp:txXfrm>
        <a:off x="4513302" y="583463"/>
        <a:ext cx="1437592" cy="2786581"/>
      </dsp:txXfrm>
    </dsp:sp>
    <dsp:sp modelId="{F867E2E8-438C-414C-9413-F75AAB4E6D84}">
      <dsp:nvSpPr>
        <dsp:cNvPr id="0" name=""/>
        <dsp:cNvSpPr/>
      </dsp:nvSpPr>
      <dsp:spPr>
        <a:xfrm>
          <a:off x="4224690" y="202495"/>
          <a:ext cx="577223" cy="577223"/>
        </a:xfrm>
        <a:prstGeom prst="rect">
          <a:avLst/>
        </a:prstGeom>
        <a:blipFill rotWithShape="1">
          <a:blip xmlns:r="http://schemas.openxmlformats.org/officeDocument/2006/relationships" r:embed="rId3"/>
          <a:stretch>
            <a:fillRect/>
          </a:stretch>
        </a:blip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1B6C72-504F-462F-8F6D-5EDAE56F6EA4}">
      <dsp:nvSpPr>
        <dsp:cNvPr id="0" name=""/>
        <dsp:cNvSpPr/>
      </dsp:nvSpPr>
      <dsp:spPr>
        <a:xfrm>
          <a:off x="501049" y="21926"/>
          <a:ext cx="4703376" cy="684740"/>
        </a:xfrm>
        <a:prstGeom prst="rightArrow">
          <a:avLst>
            <a:gd name="adj1" fmla="val 50000"/>
            <a:gd name="adj2" fmla="val 50000"/>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254000" bIns="108703" numCol="1" spcCol="1270" anchor="ctr" anchorCtr="0">
          <a:noAutofit/>
        </a:bodyPr>
        <a:lstStyle/>
        <a:p>
          <a:pPr marL="0" lvl="0" indent="0" algn="l" defTabSz="622300">
            <a:lnSpc>
              <a:spcPct val="90000"/>
            </a:lnSpc>
            <a:spcBef>
              <a:spcPct val="0"/>
            </a:spcBef>
            <a:spcAft>
              <a:spcPct val="35000"/>
            </a:spcAft>
            <a:buNone/>
          </a:pPr>
          <a:r>
            <a:rPr lang="en-US" sz="1400" b="1" kern="1200">
              <a:solidFill>
                <a:sysClr val="window" lastClr="FFFFFF"/>
              </a:solidFill>
              <a:latin typeface="Arial" panose="020B0604020202020204" pitchFamily="34" charset="0"/>
              <a:ea typeface="+mn-ea"/>
              <a:cs typeface="Arial" panose="020B0604020202020204" pitchFamily="34" charset="0"/>
            </a:rPr>
            <a:t>Exports (1957)</a:t>
          </a:r>
        </a:p>
      </dsp:txBody>
      <dsp:txXfrm>
        <a:off x="501049" y="193111"/>
        <a:ext cx="4532191" cy="342370"/>
      </dsp:txXfrm>
    </dsp:sp>
    <dsp:sp modelId="{6C33F4F6-AE2B-4581-BFC1-1B305FF5349E}">
      <dsp:nvSpPr>
        <dsp:cNvPr id="0" name=""/>
        <dsp:cNvSpPr/>
      </dsp:nvSpPr>
      <dsp:spPr>
        <a:xfrm>
          <a:off x="501049" y="551077"/>
          <a:ext cx="1084128" cy="1266564"/>
        </a:xfrm>
        <a:prstGeom prst="rect">
          <a:avLst/>
        </a:prstGeom>
        <a:solidFill>
          <a:srgbClr val="E7E6E6">
            <a:hueOff val="0"/>
            <a:satOff val="0"/>
            <a:lumOff val="0"/>
            <a:alphaOff val="0"/>
          </a:srgbClr>
        </a:solidFill>
        <a:ln w="12700" cap="flat" cmpd="sng" algn="ctr">
          <a:solidFill>
            <a:srgbClr val="44546A">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Strategic purpose: </a:t>
          </a:r>
          <a:r>
            <a:rPr lang="en-US"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Test demand and learn at relatively low commitment</a:t>
          </a:r>
        </a:p>
        <a:p>
          <a:pPr marL="57150" lvl="1" indent="-57150" algn="l" defTabSz="311150">
            <a:lnSpc>
              <a:spcPct val="90000"/>
            </a:lnSpc>
            <a:spcBef>
              <a:spcPct val="0"/>
            </a:spcBef>
            <a:spcAft>
              <a:spcPct val="15000"/>
            </a:spcAft>
            <a:buChar char="•"/>
          </a:pPr>
          <a:r>
            <a:rPr lang="en-US" sz="7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Commitment implication</a:t>
          </a:r>
          <a:r>
            <a:rPr lang="en-US" sz="7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High foreignness and delivery exposure</a:t>
          </a:r>
        </a:p>
      </dsp:txBody>
      <dsp:txXfrm>
        <a:off x="501049" y="551077"/>
        <a:ext cx="1084128" cy="1266564"/>
      </dsp:txXfrm>
    </dsp:sp>
    <dsp:sp modelId="{98833929-B1E5-423A-ADAB-AF46F04AB1FB}">
      <dsp:nvSpPr>
        <dsp:cNvPr id="0" name=""/>
        <dsp:cNvSpPr/>
      </dsp:nvSpPr>
      <dsp:spPr>
        <a:xfrm>
          <a:off x="1585177" y="250092"/>
          <a:ext cx="3619248" cy="684740"/>
        </a:xfrm>
        <a:prstGeom prst="rightArrow">
          <a:avLst>
            <a:gd name="adj1" fmla="val 50000"/>
            <a:gd name="adj2" fmla="val 50000"/>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254000" bIns="108703" numCol="1" spcCol="1270" anchor="ctr" anchorCtr="0">
          <a:noAutofit/>
        </a:bodyPr>
        <a:lstStyle/>
        <a:p>
          <a:pPr marL="0" lvl="0" indent="0" algn="l" defTabSz="622300">
            <a:lnSpc>
              <a:spcPct val="90000"/>
            </a:lnSpc>
            <a:spcBef>
              <a:spcPct val="0"/>
            </a:spcBef>
            <a:spcAft>
              <a:spcPct val="35000"/>
            </a:spcAft>
            <a:buNone/>
          </a:pPr>
          <a:r>
            <a:rPr lang="en-US" sz="1400" b="1" kern="1200">
              <a:solidFill>
                <a:sysClr val="window" lastClr="FFFFFF"/>
              </a:solidFill>
              <a:latin typeface="Arial" panose="020B0604020202020204" pitchFamily="34" charset="0"/>
              <a:ea typeface="+mn-ea"/>
              <a:cs typeface="Arial" panose="020B0604020202020204" pitchFamily="34" charset="0"/>
            </a:rPr>
            <a:t>Sales subsidiary</a:t>
          </a:r>
        </a:p>
      </dsp:txBody>
      <dsp:txXfrm>
        <a:off x="1585177" y="421277"/>
        <a:ext cx="3448063" cy="342370"/>
      </dsp:txXfrm>
    </dsp:sp>
    <dsp:sp modelId="{CE531121-34C8-4B83-9AC8-E8C59C75D3BB}">
      <dsp:nvSpPr>
        <dsp:cNvPr id="0" name=""/>
        <dsp:cNvSpPr/>
      </dsp:nvSpPr>
      <dsp:spPr>
        <a:xfrm>
          <a:off x="1585177" y="779243"/>
          <a:ext cx="1084128" cy="1234281"/>
        </a:xfrm>
        <a:prstGeom prst="rect">
          <a:avLst/>
        </a:prstGeom>
        <a:solidFill>
          <a:srgbClr val="E7E6E6">
            <a:hueOff val="0"/>
            <a:satOff val="0"/>
            <a:lumOff val="0"/>
            <a:alphaOff val="0"/>
          </a:srgbClr>
        </a:solidFill>
        <a:ln w="12700" cap="flat" cmpd="sng" algn="ctr">
          <a:solidFill>
            <a:srgbClr val="44546A">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Strategic purpose:</a:t>
          </a:r>
          <a:endParaRPr lang="en-US"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a:p>
          <a:pPr marL="0" lvl="0" indent="0" algn="l" defTabSz="400050">
            <a:lnSpc>
              <a:spcPct val="90000"/>
            </a:lnSpc>
            <a:spcBef>
              <a:spcPct val="0"/>
            </a:spcBef>
            <a:spcAft>
              <a:spcPct val="35000"/>
            </a:spcAft>
            <a:buNone/>
          </a:pPr>
          <a:r>
            <a:rPr lang="en-US"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Build market knowledge and manage distribution</a:t>
          </a:r>
          <a:endParaRPr lang="en-US" sz="9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endParaRPr>
        </a:p>
        <a:p>
          <a:pPr marL="57150" lvl="1" indent="-57150" algn="l" defTabSz="311150">
            <a:lnSpc>
              <a:spcPct val="90000"/>
            </a:lnSpc>
            <a:spcBef>
              <a:spcPct val="0"/>
            </a:spcBef>
            <a:spcAft>
              <a:spcPct val="15000"/>
            </a:spcAft>
            <a:buChar char="•"/>
          </a:pPr>
          <a:r>
            <a:rPr lang="en-US" sz="7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Commitment implication: </a:t>
          </a:r>
          <a:r>
            <a:rPr lang="en-US" sz="7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Greater local control and relationships</a:t>
          </a:r>
        </a:p>
      </dsp:txBody>
      <dsp:txXfrm>
        <a:off x="1585177" y="779243"/>
        <a:ext cx="1084128" cy="1234281"/>
      </dsp:txXfrm>
    </dsp:sp>
    <dsp:sp modelId="{8D382702-D094-48A2-A966-429E39289CD3}">
      <dsp:nvSpPr>
        <dsp:cNvPr id="0" name=""/>
        <dsp:cNvSpPr/>
      </dsp:nvSpPr>
      <dsp:spPr>
        <a:xfrm>
          <a:off x="2669305" y="478258"/>
          <a:ext cx="2535120" cy="684740"/>
        </a:xfrm>
        <a:prstGeom prst="rightArrow">
          <a:avLst>
            <a:gd name="adj1" fmla="val 50000"/>
            <a:gd name="adj2" fmla="val 50000"/>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254000" bIns="108703" numCol="1" spcCol="1270" anchor="ctr" anchorCtr="0">
          <a:noAutofit/>
        </a:bodyPr>
        <a:lstStyle/>
        <a:p>
          <a:pPr marL="0" lvl="0" indent="0" algn="l" defTabSz="622300">
            <a:lnSpc>
              <a:spcPct val="90000"/>
            </a:lnSpc>
            <a:spcBef>
              <a:spcPct val="0"/>
            </a:spcBef>
            <a:spcAft>
              <a:spcPct val="35000"/>
            </a:spcAft>
            <a:buNone/>
          </a:pPr>
          <a:r>
            <a:rPr lang="en-US" sz="1400" b="1" kern="1200">
              <a:solidFill>
                <a:sysClr val="window" lastClr="FFFFFF"/>
              </a:solidFill>
              <a:latin typeface="Arial" panose="020B0604020202020204" pitchFamily="34" charset="0"/>
              <a:ea typeface="+mn-ea"/>
              <a:cs typeface="Arial" panose="020B0604020202020204" pitchFamily="34" charset="0"/>
            </a:rPr>
            <a:t>Local manufacturing</a:t>
          </a:r>
        </a:p>
      </dsp:txBody>
      <dsp:txXfrm>
        <a:off x="2669305" y="649443"/>
        <a:ext cx="2363935" cy="342370"/>
      </dsp:txXfrm>
    </dsp:sp>
    <dsp:sp modelId="{2F8C2210-529A-4DD7-B782-177C5D9C0556}">
      <dsp:nvSpPr>
        <dsp:cNvPr id="0" name=""/>
        <dsp:cNvSpPr/>
      </dsp:nvSpPr>
      <dsp:spPr>
        <a:xfrm>
          <a:off x="2669305" y="1007409"/>
          <a:ext cx="1084128" cy="1242534"/>
        </a:xfrm>
        <a:prstGeom prst="rect">
          <a:avLst/>
        </a:prstGeom>
        <a:solidFill>
          <a:srgbClr val="E7E6E6">
            <a:hueOff val="0"/>
            <a:satOff val="0"/>
            <a:lumOff val="0"/>
            <a:alphaOff val="0"/>
          </a:srgbClr>
        </a:solidFill>
        <a:ln w="12700" cap="flat" cmpd="sng" algn="ctr">
          <a:solidFill>
            <a:srgbClr val="44546A">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Strategic purpose: </a:t>
          </a:r>
          <a:r>
            <a:rPr lang="en-US" sz="9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Adapt products, reduce logistics exposure and build legitimacy</a:t>
          </a:r>
        </a:p>
        <a:p>
          <a:pPr marL="57150" lvl="1" indent="-57150" algn="l" defTabSz="311150">
            <a:lnSpc>
              <a:spcPct val="90000"/>
            </a:lnSpc>
            <a:spcBef>
              <a:spcPct val="0"/>
            </a:spcBef>
            <a:spcAft>
              <a:spcPct val="15000"/>
            </a:spcAft>
            <a:buChar char="•"/>
          </a:pPr>
          <a:r>
            <a:rPr lang="en-US" sz="7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Commitment implication: </a:t>
          </a:r>
          <a:r>
            <a:rPr lang="en-US" sz="7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High capital and operational commitment</a:t>
          </a:r>
        </a:p>
      </dsp:txBody>
      <dsp:txXfrm>
        <a:off x="2669305" y="1007409"/>
        <a:ext cx="1084128" cy="1242534"/>
      </dsp:txXfrm>
    </dsp:sp>
    <dsp:sp modelId="{611E42CA-3626-42B9-B26C-6445503855E1}">
      <dsp:nvSpPr>
        <dsp:cNvPr id="0" name=""/>
        <dsp:cNvSpPr/>
      </dsp:nvSpPr>
      <dsp:spPr>
        <a:xfrm>
          <a:off x="3753434" y="706424"/>
          <a:ext cx="1450991" cy="684740"/>
        </a:xfrm>
        <a:prstGeom prst="rightArrow">
          <a:avLst>
            <a:gd name="adj1" fmla="val 50000"/>
            <a:gd name="adj2" fmla="val 50000"/>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254000" bIns="108703" numCol="1" spcCol="1270" anchor="ctr" anchorCtr="0">
          <a:noAutofit/>
        </a:bodyPr>
        <a:lstStyle/>
        <a:p>
          <a:pPr marL="0" lvl="0" indent="0" algn="l" defTabSz="622300">
            <a:lnSpc>
              <a:spcPct val="90000"/>
            </a:lnSpc>
            <a:spcBef>
              <a:spcPct val="0"/>
            </a:spcBef>
            <a:spcAft>
              <a:spcPct val="35000"/>
            </a:spcAft>
            <a:buNone/>
          </a:pPr>
          <a:r>
            <a:rPr lang="en-US" sz="1400" b="1" kern="1200">
              <a:solidFill>
                <a:sysClr val="window" lastClr="FFFFFF"/>
              </a:solidFill>
              <a:latin typeface="Arial" panose="020B0604020202020204" pitchFamily="34" charset="0"/>
              <a:ea typeface="+mn-ea"/>
              <a:cs typeface="Arial" panose="020B0604020202020204" pitchFamily="34" charset="0"/>
            </a:rPr>
            <a:t>Ecosystem</a:t>
          </a:r>
        </a:p>
      </dsp:txBody>
      <dsp:txXfrm>
        <a:off x="3753434" y="877609"/>
        <a:ext cx="1279806" cy="342370"/>
      </dsp:txXfrm>
    </dsp:sp>
    <dsp:sp modelId="{893C5F00-7BA4-4B2E-BA14-229564349320}">
      <dsp:nvSpPr>
        <dsp:cNvPr id="0" name=""/>
        <dsp:cNvSpPr/>
      </dsp:nvSpPr>
      <dsp:spPr>
        <a:xfrm>
          <a:off x="3753434" y="1235575"/>
          <a:ext cx="1094005" cy="1257098"/>
        </a:xfrm>
        <a:prstGeom prst="rect">
          <a:avLst/>
        </a:prstGeom>
        <a:solidFill>
          <a:srgbClr val="E7E6E6">
            <a:hueOff val="0"/>
            <a:satOff val="0"/>
            <a:lumOff val="0"/>
            <a:alphaOff val="0"/>
          </a:srgbClr>
        </a:solidFill>
        <a:ln w="12700" cap="flat" cmpd="sng" algn="ctr">
          <a:solidFill>
            <a:srgbClr val="44546A">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Strategic purpose:</a:t>
          </a:r>
          <a:r>
            <a:rPr lang="en-US" sz="9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Compete in electrified and connected mobility</a:t>
          </a:r>
        </a:p>
        <a:p>
          <a:pPr marL="57150" lvl="1" indent="-57150" algn="l" defTabSz="311150">
            <a:lnSpc>
              <a:spcPct val="90000"/>
            </a:lnSpc>
            <a:spcBef>
              <a:spcPct val="0"/>
            </a:spcBef>
            <a:spcAft>
              <a:spcPct val="15000"/>
            </a:spcAft>
            <a:buChar char="•"/>
          </a:pPr>
          <a:r>
            <a:rPr lang="en-US" sz="7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Commitment implication: </a:t>
          </a:r>
          <a:r>
            <a:rPr lang="en-US" sz="7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New capabilities and technology risk</a:t>
          </a:r>
        </a:p>
      </dsp:txBody>
      <dsp:txXfrm>
        <a:off x="3753434" y="1235575"/>
        <a:ext cx="1094005" cy="1257098"/>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D7F18F-698D-477B-83DA-662BF74F4BA0}">
      <dsp:nvSpPr>
        <dsp:cNvPr id="0" name=""/>
        <dsp:cNvSpPr/>
      </dsp:nvSpPr>
      <dsp:spPr>
        <a:xfrm>
          <a:off x="508013" y="-5612"/>
          <a:ext cx="4918048" cy="4918048"/>
        </a:xfrm>
        <a:prstGeom prst="circularArrow">
          <a:avLst>
            <a:gd name="adj1" fmla="val 5274"/>
            <a:gd name="adj2" fmla="val 312630"/>
            <a:gd name="adj3" fmla="val 14269928"/>
            <a:gd name="adj4" fmla="val 17102602"/>
            <a:gd name="adj5" fmla="val 5477"/>
          </a:avLst>
        </a:prstGeom>
        <a:solidFill>
          <a:srgbClr val="44546A">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4613E86E-E6F5-4602-BEC0-EC1AF8CA2052}">
      <dsp:nvSpPr>
        <dsp:cNvPr id="0" name=""/>
        <dsp:cNvSpPr/>
      </dsp:nvSpPr>
      <dsp:spPr>
        <a:xfrm>
          <a:off x="2054325" y="1180"/>
          <a:ext cx="1825423" cy="912711"/>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solidFill>
                <a:sysClr val="window" lastClr="FFFFFF"/>
              </a:solidFill>
              <a:latin typeface="Arial" panose="020B0604020202020204" pitchFamily="34" charset="0"/>
              <a:ea typeface="+mn-ea"/>
              <a:cs typeface="Arial" panose="020B0604020202020204" pitchFamily="34" charset="0"/>
            </a:rPr>
            <a:t>Description</a:t>
          </a:r>
        </a:p>
        <a:p>
          <a:pPr marL="57150" lvl="1" indent="-57150" algn="l" defTabSz="311150">
            <a:lnSpc>
              <a:spcPct val="90000"/>
            </a:lnSpc>
            <a:spcBef>
              <a:spcPct val="0"/>
            </a:spcBef>
            <a:spcAft>
              <a:spcPct val="15000"/>
            </a:spcAft>
            <a:buChar char="•"/>
          </a:pPr>
          <a:r>
            <a:rPr lang="en-US" sz="700" kern="1200">
              <a:solidFill>
                <a:sysClr val="window" lastClr="FFFFFF"/>
              </a:solidFill>
              <a:latin typeface="Arial" panose="020B0604020202020204" pitchFamily="34" charset="0"/>
              <a:ea typeface="+mn-ea"/>
              <a:cs typeface="Arial" panose="020B0604020202020204" pitchFamily="34" charset="0"/>
            </a:rPr>
            <a:t>I selected Toyota, Japan and the United States and used academic, corporate and regulatory sources to compare the company’s international marketing strategies.</a:t>
          </a:r>
        </a:p>
      </dsp:txBody>
      <dsp:txXfrm>
        <a:off x="2098880" y="45735"/>
        <a:ext cx="1736313" cy="823601"/>
      </dsp:txXfrm>
    </dsp:sp>
    <dsp:sp modelId="{C65A8DF4-162D-4F4A-A910-A9BC8E2BBA27}">
      <dsp:nvSpPr>
        <dsp:cNvPr id="0" name=""/>
        <dsp:cNvSpPr/>
      </dsp:nvSpPr>
      <dsp:spPr>
        <a:xfrm>
          <a:off x="3782177" y="998755"/>
          <a:ext cx="1825423" cy="912711"/>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solidFill>
                <a:sysClr val="window" lastClr="FFFFFF"/>
              </a:solidFill>
              <a:latin typeface="Arial" panose="020B0604020202020204" pitchFamily="34" charset="0"/>
              <a:ea typeface="+mn-ea"/>
              <a:cs typeface="Arial" panose="020B0604020202020204" pitchFamily="34" charset="0"/>
            </a:rPr>
            <a:t>Feelings</a:t>
          </a:r>
        </a:p>
        <a:p>
          <a:pPr marL="57150" lvl="1" indent="-57150" algn="l" defTabSz="311150">
            <a:lnSpc>
              <a:spcPct val="90000"/>
            </a:lnSpc>
            <a:spcBef>
              <a:spcPct val="0"/>
            </a:spcBef>
            <a:spcAft>
              <a:spcPct val="15000"/>
            </a:spcAft>
            <a:buChar char="•"/>
          </a:pPr>
          <a:r>
            <a:rPr lang="en-US" sz="700" kern="1200">
              <a:solidFill>
                <a:sysClr val="window" lastClr="FFFFFF"/>
              </a:solidFill>
              <a:latin typeface="Arial" panose="020B0604020202020204" pitchFamily="34" charset="0"/>
              <a:ea typeface="+mn-ea"/>
              <a:cs typeface="Arial" panose="020B0604020202020204" pitchFamily="34" charset="0"/>
            </a:rPr>
            <a:t>I initially felt overwhelmed by the volume and complexity of evidence, but became more confident after organising the research into a structured comparison matrix.</a:t>
          </a:r>
        </a:p>
      </dsp:txBody>
      <dsp:txXfrm>
        <a:off x="3826732" y="1043310"/>
        <a:ext cx="1736313" cy="823601"/>
      </dsp:txXfrm>
    </dsp:sp>
    <dsp:sp modelId="{B40B70ED-2F79-41A4-BB79-62F283BBBB4B}">
      <dsp:nvSpPr>
        <dsp:cNvPr id="0" name=""/>
        <dsp:cNvSpPr/>
      </dsp:nvSpPr>
      <dsp:spPr>
        <a:xfrm>
          <a:off x="3782177" y="2993907"/>
          <a:ext cx="1825423" cy="912711"/>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solidFill>
                <a:sysClr val="window" lastClr="FFFFFF"/>
              </a:solidFill>
              <a:latin typeface="Arial" panose="020B0604020202020204" pitchFamily="34" charset="0"/>
              <a:ea typeface="+mn-ea"/>
              <a:cs typeface="Arial" panose="020B0604020202020204" pitchFamily="34" charset="0"/>
            </a:rPr>
            <a:t>Evaluation</a:t>
          </a:r>
        </a:p>
        <a:p>
          <a:pPr marL="57150" lvl="1" indent="-57150" algn="l" defTabSz="311150">
            <a:lnSpc>
              <a:spcPct val="90000"/>
            </a:lnSpc>
            <a:spcBef>
              <a:spcPct val="0"/>
            </a:spcBef>
            <a:spcAft>
              <a:spcPct val="15000"/>
            </a:spcAft>
            <a:buChar char="•"/>
          </a:pPr>
          <a:r>
            <a:rPr lang="en-US" sz="700" kern="1200">
              <a:solidFill>
                <a:sysClr val="window" lastClr="FFFFFF"/>
              </a:solidFill>
              <a:latin typeface="Arial" panose="020B0604020202020204" pitchFamily="34" charset="0"/>
              <a:ea typeface="+mn-ea"/>
              <a:cs typeface="Arial" panose="020B0604020202020204" pitchFamily="34" charset="0"/>
            </a:rPr>
            <a:t>Using credible and triangulated sources strengthened the report, although comparing vehicle prices, specifications and cultural evidence was challenging.</a:t>
          </a:r>
        </a:p>
      </dsp:txBody>
      <dsp:txXfrm>
        <a:off x="3826732" y="3038462"/>
        <a:ext cx="1736313" cy="823601"/>
      </dsp:txXfrm>
    </dsp:sp>
    <dsp:sp modelId="{39350A6D-E5AA-4641-AB23-0C0731A646B0}">
      <dsp:nvSpPr>
        <dsp:cNvPr id="0" name=""/>
        <dsp:cNvSpPr/>
      </dsp:nvSpPr>
      <dsp:spPr>
        <a:xfrm>
          <a:off x="2054325" y="3991483"/>
          <a:ext cx="1825423" cy="912711"/>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solidFill>
                <a:sysClr val="window" lastClr="FFFFFF"/>
              </a:solidFill>
              <a:latin typeface="Arial" panose="020B0604020202020204" pitchFamily="34" charset="0"/>
              <a:ea typeface="+mn-ea"/>
              <a:cs typeface="Arial" panose="020B0604020202020204" pitchFamily="34" charset="0"/>
            </a:rPr>
            <a:t>Analysis</a:t>
          </a:r>
        </a:p>
        <a:p>
          <a:pPr marL="57150" lvl="1" indent="-57150" algn="l" defTabSz="311150">
            <a:lnSpc>
              <a:spcPct val="90000"/>
            </a:lnSpc>
            <a:spcBef>
              <a:spcPct val="0"/>
            </a:spcBef>
            <a:spcAft>
              <a:spcPct val="15000"/>
            </a:spcAft>
            <a:buChar char="•"/>
          </a:pPr>
          <a:r>
            <a:rPr lang="en-US" sz="700" kern="1200">
              <a:solidFill>
                <a:sysClr val="window" lastClr="FFFFFF"/>
              </a:solidFill>
              <a:latin typeface="Arial" panose="020B0604020202020204" pitchFamily="34" charset="0"/>
              <a:ea typeface="+mn-ea"/>
              <a:cs typeface="Arial" panose="020B0604020202020204" pitchFamily="34" charset="0"/>
            </a:rPr>
            <a:t>The research showed that combining theory with company and independent evidence produced stronger analysis than relying on descriptive information or national cultural scores alone.</a:t>
          </a:r>
        </a:p>
      </dsp:txBody>
      <dsp:txXfrm>
        <a:off x="2098880" y="4036038"/>
        <a:ext cx="1736313" cy="823601"/>
      </dsp:txXfrm>
    </dsp:sp>
    <dsp:sp modelId="{2C6A3241-B8A0-4A50-B751-0048B187345A}">
      <dsp:nvSpPr>
        <dsp:cNvPr id="0" name=""/>
        <dsp:cNvSpPr/>
      </dsp:nvSpPr>
      <dsp:spPr>
        <a:xfrm>
          <a:off x="326473" y="2993907"/>
          <a:ext cx="1825423" cy="912711"/>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t" anchorCtr="0">
          <a:noAutofit/>
        </a:bodyPr>
        <a:lstStyle/>
        <a:p>
          <a:pPr marL="0" lvl="0" indent="0" algn="l" defTabSz="311150">
            <a:lnSpc>
              <a:spcPct val="90000"/>
            </a:lnSpc>
            <a:spcBef>
              <a:spcPct val="0"/>
            </a:spcBef>
            <a:spcAft>
              <a:spcPct val="35000"/>
            </a:spcAft>
            <a:buNone/>
          </a:pPr>
          <a:r>
            <a:rPr lang="en-US" sz="700" kern="1200">
              <a:solidFill>
                <a:sysClr val="window" lastClr="FFFFFF"/>
              </a:solidFill>
              <a:latin typeface="Arial" panose="020B0604020202020204" pitchFamily="34" charset="0"/>
              <a:ea typeface="+mn-ea"/>
              <a:cs typeface="Arial" panose="020B0604020202020204" pitchFamily="34" charset="0"/>
            </a:rPr>
            <a:t>Conclusion</a:t>
          </a:r>
        </a:p>
        <a:p>
          <a:pPr marL="57150" lvl="1" indent="-57150" algn="l" defTabSz="311150">
            <a:lnSpc>
              <a:spcPct val="90000"/>
            </a:lnSpc>
            <a:spcBef>
              <a:spcPct val="0"/>
            </a:spcBef>
            <a:spcAft>
              <a:spcPct val="15000"/>
            </a:spcAft>
            <a:buChar char="•"/>
          </a:pPr>
          <a:r>
            <a:rPr lang="en-US" sz="700" kern="1200">
              <a:solidFill>
                <a:sysClr val="window" lastClr="FFFFFF"/>
              </a:solidFill>
              <a:latin typeface="Arial" panose="020B0604020202020204" pitchFamily="34" charset="0"/>
              <a:ea typeface="+mn-ea"/>
              <a:cs typeface="Arial" panose="020B0604020202020204" pitchFamily="34" charset="0"/>
            </a:rPr>
            <a:t>I learned that effective international marketing analysis requires critical comparison, reliable evidence, cultural awareness and balanced evaluation of corporate claims.</a:t>
          </a:r>
        </a:p>
      </dsp:txBody>
      <dsp:txXfrm>
        <a:off x="371028" y="3038462"/>
        <a:ext cx="1736313" cy="823601"/>
      </dsp:txXfrm>
    </dsp:sp>
    <dsp:sp modelId="{46D1CAFD-7872-4690-9D53-407078720519}">
      <dsp:nvSpPr>
        <dsp:cNvPr id="0" name=""/>
        <dsp:cNvSpPr/>
      </dsp:nvSpPr>
      <dsp:spPr>
        <a:xfrm>
          <a:off x="326473" y="998755"/>
          <a:ext cx="1825423" cy="912711"/>
        </a:xfrm>
        <a:prstGeom prst="round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solidFill>
                <a:sysClr val="window" lastClr="FFFFFF"/>
              </a:solidFill>
              <a:latin typeface="Arial" panose="020B0604020202020204" pitchFamily="34" charset="0"/>
              <a:ea typeface="+mn-ea"/>
              <a:cs typeface="Arial" panose="020B0604020202020204" pitchFamily="34" charset="0"/>
            </a:rPr>
            <a:t>Action Plan</a:t>
          </a:r>
        </a:p>
        <a:p>
          <a:pPr marL="57150" lvl="1" indent="-57150" algn="l" defTabSz="311150">
            <a:lnSpc>
              <a:spcPct val="90000"/>
            </a:lnSpc>
            <a:spcBef>
              <a:spcPct val="0"/>
            </a:spcBef>
            <a:spcAft>
              <a:spcPct val="15000"/>
            </a:spcAft>
            <a:buChar char="•"/>
          </a:pPr>
          <a:r>
            <a:rPr lang="en-US" sz="700" kern="1200">
              <a:solidFill>
                <a:sysClr val="window" lastClr="FFFFFF"/>
              </a:solidFill>
              <a:latin typeface="Arial" panose="020B0604020202020204" pitchFamily="34" charset="0"/>
              <a:ea typeface="+mn-ea"/>
              <a:cs typeface="Arial" panose="020B0604020202020204" pitchFamily="34" charset="0"/>
            </a:rPr>
            <a:t>In future, I will begin research earlier, maintain a source-and-claim matrix, verify corporate evidence independently and complete separate argument, reference and language reviews.</a:t>
          </a:r>
        </a:p>
      </dsp:txBody>
      <dsp:txXfrm>
        <a:off x="371028" y="1043310"/>
        <a:ext cx="1736313" cy="823601"/>
      </dsp:txXfrm>
    </dsp:sp>
  </dsp:spTree>
</dsp:drawing>
</file>

<file path=word/diagrams/layout1.xml><?xml version="1.0" encoding="utf-8"?>
<dgm:layoutDef xmlns:dgm="http://schemas.openxmlformats.org/drawingml/2006/diagram" xmlns:a="http://schemas.openxmlformats.org/drawingml/2006/main" uniqueId="urn:microsoft.com/office/officeart/2008/layout/BendingPictureCaption">
  <dgm:title val=""/>
  <dgm:desc val=""/>
  <dgm:catLst>
    <dgm:cat type="picture" pri="6000"/>
    <dgm:cat type="pictureconvert" pri="6000"/>
  </dgm:catLst>
  <dgm:sampData>
    <dgm:dataModel>
      <dgm:ptLst>
        <dgm:pt modelId="0" type="doc"/>
        <dgm:pt modelId="1">
          <dgm:prSet phldr="1"/>
        </dgm:pt>
        <dgm:pt modelId="2">
          <dgm:prSet phldr="1"/>
        </dgm:pt>
      </dgm:ptLst>
      <dgm:cxnLst>
        <dgm:cxn modelId="7" srcId="0" destId="1" srcOrd="0" destOrd="0"/>
        <dgm:cxn modelId="8" srcId="0" destId="2" srcOrd="1"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diagram">
    <dgm:varLst>
      <dgm:dir/>
    </dgm:varLst>
    <dgm:choose name="Name0">
      <dgm:if name="Name1" func="var" arg="dir" op="equ" val="norm">
        <dgm:alg type="snake">
          <dgm:param type="off" val="ctr"/>
        </dgm:alg>
      </dgm:if>
      <dgm:else name="Name2">
        <dgm:alg type="snake">
          <dgm:param type="grDir" val="tR"/>
          <dgm:param type="off" val="c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w" refFor="ch" refForName="composite" op="equ" fact="0.1"/>
      <dgm:constr type="w" for="ch" forName="sibTrans" refType="w" refFor="ch" refForName="composite" op="equ" fact="0.1"/>
      <dgm:constr type="h" for="ch" forName="sibTrans" refType="w" refFor="ch" refForName="sibTrans" op="equ"/>
    </dgm:constrLst>
    <dgm:forEach name="nodesForEach" axis="ch" ptType="node">
      <dgm:layoutNode name="composite">
        <dgm:alg type="composite">
          <dgm:param type="ar" val="1.31"/>
        </dgm:alg>
        <dgm:shape xmlns:r="http://schemas.openxmlformats.org/officeDocument/2006/relationships" r:blip="">
          <dgm:adjLst/>
        </dgm:shape>
        <dgm:choose name="Name3">
          <dgm:if name="Name4" func="var" arg="dir" op="equ" val="norm">
            <dgm:constrLst>
              <dgm:constr type="l" for="ch" forName="Image" refType="w" fact="0"/>
              <dgm:constr type="t" for="ch" forName="Image" refType="h" fact="0"/>
              <dgm:constr type="w" for="ch" forName="Image" refType="w" fact="0.94"/>
              <dgm:constr type="h" for="ch" forName="Image" refType="h" fact="0.91"/>
              <dgm:constr type="l" for="ch" forName="Parent" refType="w" fact="0.19"/>
              <dgm:constr type="t" for="ch" forName="Parent" refType="h" fact="0.745"/>
              <dgm:constr type="w" for="ch" forName="Parent" refType="w" fact="0.81"/>
              <dgm:constr type="h" for="ch" forName="Parent" refType="h" fact="0.255"/>
            </dgm:constrLst>
          </dgm:if>
          <dgm:else name="Name5">
            <dgm:constrLst>
              <dgm:constr type="l" for="ch" forName="Image" refType="w" fact="0.06"/>
              <dgm:constr type="t" for="ch" forName="Image" refType="h" fact="0"/>
              <dgm:constr type="w" for="ch" forName="Image" refType="w" fact="0.94"/>
              <dgm:constr type="h" for="ch" forName="Image" refType="h" fact="0.91"/>
              <dgm:constr type="l" for="ch" forName="Parent" refType="w" fact="0"/>
              <dgm:constr type="t" for="ch" forName="Parent" refType="h" fact="0.745"/>
              <dgm:constr type="w" for="ch" forName="Parent" refType="w" fact="0.81"/>
              <dgm:constr type="h" for="ch" forName="Parent" refType="h" fact="0.255"/>
            </dgm:constrLst>
          </dgm:else>
        </dgm:choose>
        <dgm:layoutNode name="Image" styleLbl="bgShp">
          <dgm:alg type="sp"/>
          <dgm:shape xmlns:r="http://schemas.openxmlformats.org/officeDocument/2006/relationships" type="rect" r:blip="" blipPhldr="1">
            <dgm:adjLst/>
          </dgm:shape>
          <dgm:presOf/>
        </dgm:layoutNode>
        <dgm:layoutNode name="Parent" styleLbl="node0">
          <dgm:varLst>
            <dgm:bulletEnabled val="1"/>
          </dgm:varLst>
          <dgm:alg type="tx">
            <dgm:param type="txAnchorVertCh" val="mid"/>
            <dgm:param type="shpTxRTLAlignCh" val="r"/>
            <dgm:param type="lnSpAfParP" val="5"/>
          </dgm:alg>
          <dgm:shape xmlns:r="http://schemas.openxmlformats.org/officeDocument/2006/relationships" type="rect" r:blip="">
            <dgm:adjLst/>
          </dgm:shape>
          <dgm:presOf axis="desOr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PictureGrid">
  <dgm:title val=""/>
  <dgm:desc val=""/>
  <dgm:catLst>
    <dgm:cat type="picture" pri="11000"/>
    <dgm:cat type="pictureconvert" pri="11000"/>
  </dgm:catLst>
  <dgm:samp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dir/>
    </dgm:varLst>
    <dgm:choose name="Name1">
      <dgm:if name="Name2" axis="ch" ptType="node" func="cnt" op="lte" val="4">
        <dgm:choose name="Name3">
          <dgm:if name="Name4" func="var" arg="dir" op="equ" val="norm">
            <dgm:alg type="snake">
              <dgm:param type="off" val="ctr"/>
              <dgm:param type="bkpt" val="fixed"/>
              <dgm:param type="bkPtFixedVal" val="2"/>
            </dgm:alg>
          </dgm:if>
          <dgm:else name="Name5">
            <dgm:alg type="snake">
              <dgm:param type="off" val="ctr"/>
              <dgm:param type="grDir" val="tR"/>
              <dgm:param type="bkpt" val="fixed"/>
              <dgm:param type="bkPtFixedVal" val="2"/>
            </dgm:alg>
          </dgm:else>
        </dgm:choose>
      </dgm:if>
      <dgm:else name="Name6">
        <dgm:choose name="Name7">
          <dgm:if name="Name8" axis="ch" ptType="node" func="cnt" op="lte" val="9">
            <dgm:choose name="Name9">
              <dgm:if name="Name10" func="var" arg="dir" op="equ" val="norm">
                <dgm:alg type="snake">
                  <dgm:param type="off" val="ctr"/>
                  <dgm:param type="bkpt" val="fixed"/>
                  <dgm:param type="bkPtFixedVal" val="3"/>
                </dgm:alg>
              </dgm:if>
              <dgm:else name="Name11">
                <dgm:alg type="snake">
                  <dgm:param type="off" val="ctr"/>
                  <dgm:param type="grDir" val="tR"/>
                  <dgm:param type="bkpt" val="fixed"/>
                  <dgm:param type="bkPtFixedVal" val="3"/>
                </dgm:alg>
              </dgm:else>
            </dgm:choose>
          </dgm:if>
          <dgm:else name="Name12">
            <dgm:choose name="Name13">
              <dgm:if name="Name14" axis="ch" ptType="node" func="cnt" op="lte" val="16">
                <dgm:choose name="Name15">
                  <dgm:if name="Name16" func="var" arg="dir" op="equ" val="norm">
                    <dgm:alg type="snake">
                      <dgm:param type="off" val="ctr"/>
                      <dgm:param type="bkpt" val="fixed"/>
                      <dgm:param type="bkPtFixedVal" val="4"/>
                    </dgm:alg>
                  </dgm:if>
                  <dgm:else name="Name17">
                    <dgm:alg type="snake">
                      <dgm:param type="off" val="ctr"/>
                      <dgm:param type="grDir" val="tR"/>
                      <dgm:param type="bkpt" val="fixed"/>
                      <dgm:param type="bkPtFixedVal" val="4"/>
                    </dgm:alg>
                  </dgm:else>
                </dgm:choose>
              </dgm:if>
              <dgm:else name="Name18">
                <dgm:choose name="Name19">
                  <dgm:if name="Name20" axis="ch" ptType="node" func="cnt" op="lte" val="25">
                    <dgm:choose name="Name21">
                      <dgm:if name="Name22" func="var" arg="dir" op="equ" val="norm">
                        <dgm:alg type="snake">
                          <dgm:param type="off" val="ctr"/>
                          <dgm:param type="bkpt" val="fixed"/>
                          <dgm:param type="bkPtFixedVal" val="5"/>
                        </dgm:alg>
                      </dgm:if>
                      <dgm:else name="Name23">
                        <dgm:alg type="snake">
                          <dgm:param type="off" val="ctr"/>
                          <dgm:param type="grDir" val="tR"/>
                          <dgm:param type="bkpt" val="fixed"/>
                          <dgm:param type="bkPtFixedVal" val="5"/>
                        </dgm:alg>
                      </dgm:else>
                    </dgm:choose>
                  </dgm:if>
                  <dgm:else name="Name24">
                    <dgm:choose name="Name25">
                      <dgm:if name="Name26" func="var" arg="dir" op="equ" val="norm">
                        <dgm:alg type="snake">
                          <dgm:param type="off" val="ctr"/>
                        </dgm:alg>
                      </dgm:if>
                      <dgm:else name="Name27">
                        <dgm:alg type="snake">
                          <dgm:param type="off" val="ctr"/>
                          <dgm:param type="grDir" val="tR"/>
                        </dgm:alg>
                      </dgm:else>
                    </dgm:choose>
                  </dgm:else>
                </dgm:choose>
              </dgm:else>
            </dgm:choose>
          </dgm:else>
        </dgm:choose>
      </dgm:else>
    </dgm:choose>
    <dgm:shape xmlns:r="http://schemas.openxmlformats.org/officeDocument/2006/relationships" r:blip="">
      <dgm:adjLst/>
    </dgm:shape>
    <dgm:constrLst>
      <dgm:constr type="primFontSz" for="des" ptType="node" op="equ" val="65"/>
      <dgm:constr type="w" for="ch" forName="composite" refType="h" fact="0.8"/>
      <dgm:constr type="h" for="ch" forName="composite" refType="h"/>
      <dgm:constr type="sp" refType="w" refFor="ch" refForName="composite" op="equ" fact="0.1"/>
      <dgm:constr type="w" for="ch" forName="sibTrans" refType="w" refFor="ch" refForName="composite" op="equ" fact="0.1"/>
      <dgm:constr type="h" for="ch" forName="sibTrans" refType="w" refFor="ch" refForName="sibTrans" op="equ"/>
    </dgm:constrLst>
    <dgm:forEach name="nodesForEach" axis="ch" ptType="node">
      <dgm:layoutNode name="composite">
        <dgm:alg type="composite">
          <dgm:param type="ar" val="0.7568"/>
        </dgm:alg>
        <dgm:shape xmlns:r="http://schemas.openxmlformats.org/officeDocument/2006/relationships" r:blip="">
          <dgm:adjLst/>
        </dgm:shape>
        <dgm:constrLst>
          <dgm:constr type="l" for="ch" forName="rect1" refType="w" fact="0"/>
          <dgm:constr type="t" for="ch" forName="rect1" refType="h" fact="0.15"/>
          <dgm:constr type="w" for="ch" forName="rect1" refType="w"/>
          <dgm:constr type="h" for="ch" forName="rect1" refType="w"/>
          <dgm:constr type="l" for="ch" forName="rect2" refType="w" fact="0"/>
          <dgm:constr type="t" for="ch" forName="rect2" refType="h" fact="0"/>
          <dgm:constr type="w" for="ch" forName="rect2" refType="w"/>
          <dgm:constr type="h" for="ch" forName="rect2" refType="w" fact="0.15"/>
        </dgm:constrLst>
        <dgm:layoutNode name="rect2" styleLbl="revTx">
          <dgm:varLst>
            <dgm:bulletEnabled val="1"/>
          </dgm:varLst>
          <dgm:alg type="tx">
            <dgm:param type="stBulletLvl" val="3"/>
            <dgm:param type="parTxLTRAlign" val="l"/>
            <dgm:param type="parTxRTLAlign" val="r"/>
            <dgm:param type="txAnchorVert" val="b"/>
            <dgm:param type="txAnchorVertCh" val="b"/>
          </dgm:alg>
          <dgm:shape xmlns:r="http://schemas.openxmlformats.org/officeDocument/2006/relationships" type="rect" r:blip="">
            <dgm:adjLst/>
          </dgm:shape>
          <dgm:presOf axis="desOrSelf" ptType="node"/>
          <dgm:constrLst>
            <dgm:constr type="lMarg" refType="primFontSz" fact="0"/>
            <dgm:constr type="rMarg" refType="primFontSz" fact="0.3"/>
            <dgm:constr type="tMarg" refType="primFontSz" fact="0.3"/>
            <dgm:constr type="bMarg" refType="primFontSz" fact="0"/>
            <dgm:constr type="secFontSz" refType="primFontSz" fact="0.8"/>
          </dgm:constrLst>
          <dgm:ruleLst>
            <dgm:rule type="primFontSz" val="5" fact="NaN" max="NaN"/>
          </dgm:ruleLst>
        </dgm:layoutNode>
        <dgm:layoutNode name="rect1" styleLbl="alignImgPlac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List2">
  <dgm:title val=""/>
  <dgm:desc val=""/>
  <dgm:catLst>
    <dgm:cat type="list" pri="6000"/>
    <dgm:cat type="relationship" pri="16000"/>
    <dgm:cat type="picture" pri="29000"/>
    <dgm:cat type="pictureconvert" pri="2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dgm:varLst>
    <dgm:choose name="Name0">
      <dgm:if name="Name1" func="var" arg="dir" op="equ" val="norm">
        <dgm:alg type="lin">
          <dgm:param type="linDir" val="fromL"/>
          <dgm:param type="nodeVertAlign" val="t"/>
        </dgm:alg>
      </dgm:if>
      <dgm:else name="Name2">
        <dgm:alg type="lin">
          <dgm:param type="linDir" val="fromR"/>
          <dgm:param type="nodeVertAlign" val="t"/>
        </dgm:alg>
      </dgm:else>
    </dgm:choose>
    <dgm:shape xmlns:r="http://schemas.openxmlformats.org/officeDocument/2006/relationships" r:blip="">
      <dgm:adjLst/>
    </dgm:shape>
    <dgm:presOf/>
    <dgm:constrLst>
      <dgm:constr type="w" for="ch" forName="compositeNode" refType="w"/>
      <dgm:constr type="h" for="ch" forName="compositeNode" refType="h"/>
      <dgm:constr type="w" for="ch" forName="sibTrans" refType="w" refFor="ch" refForName="compositeNode" op="equ" fact="0.2"/>
      <dgm:constr type="h" for="des" forName="childNode" op="equ"/>
      <dgm:constr type="w" for="des" forName="childNode" op="equ"/>
      <dgm:constr type="w" for="des" forName="parentNode" op="equ"/>
      <dgm:constr type="h" for="des" forName="image" op="equ"/>
      <dgm:constr type="w" for="des" forName="image" op="equ"/>
      <dgm:constr type="primFontSz" for="des" forName="parentNode" op="equ" val="65"/>
      <dgm:constr type="primFontSz" for="des" forName="childNode" op="equ" val="65"/>
    </dgm:constrLst>
    <dgm:ruleLst/>
    <dgm:forEach name="Name3" axis="ch" ptType="node">
      <dgm:layoutNode name="compositeNode">
        <dgm:varLst>
          <dgm:bulletEnabled val="1"/>
        </dgm:varLst>
        <dgm:alg type="composite"/>
        <dgm:presOf/>
        <dgm:choose name="Name4">
          <dgm:if name="Name5" func="var" arg="dir" op="equ" val="norm">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l" for="ch" forName="image"/>
              <dgm:constr type="w" for="ch" forName="childNode" refType="w" fact="0.85"/>
              <dgm:constr type="h" for="ch" forName="childNode" refType="h" fact="0.78"/>
              <dgm:constr type="t" for="ch" forName="childNode" refType="h" refFor="ch" refForName="image" fact="0.66"/>
              <dgm:constr type="l"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l" for="ch" forName="parentNode"/>
              <dgm:constr type="r" for="ch" forName="parentNode" refType="l" refFor="ch" refForName="childNode"/>
              <dgm:constr type="rMarg" for="ch" forName="parentNode" refType="w" refFor="ch" refForName="image" fact="1.25"/>
            </dgm:constrLst>
          </dgm:if>
          <dgm:else name="Name6">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r" for="ch" forName="image" refType="w"/>
              <dgm:constr type="w" for="ch" forName="childNode" refType="w" fact="0.85"/>
              <dgm:constr type="h" for="ch" forName="childNode" refType="h" fact="0.78"/>
              <dgm:constr type="t" for="ch" forName="childNode" refType="h" refFor="ch" refForName="image" fact="0.66"/>
              <dgm:constr type="r" for="ch" forName="childNode" refType="w"/>
              <dgm:constr type="rOff"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r" for="ch" forName="parentNode" refType="w"/>
              <dgm:constr type="l" for="ch" forName="parentNode" refType="r" refFor="ch" refForName="childNode"/>
              <dgm:constr type="lOff" for="ch" forName="parentNode" refType="rOff" refFor="ch" refForName="childNode"/>
              <dgm:constr type="lMarg" for="ch" forName="parentNode" refType="w" refFor="ch" refForName="image" fact="1.25"/>
            </dgm:constrLst>
          </dgm:else>
        </dgm:choose>
        <dgm:ruleLst>
          <dgm:rule type="w" for="ch" forName="childNode" val="NaN" fact="0.4" max="NaN"/>
          <dgm:rule type="h" for="ch" forName="childNode" val="NaN" fact="0.5" max="NaN"/>
        </dgm:ruleLst>
        <dgm:layoutNode name="image" styleLbl="fgImgPlace1">
          <dgm:alg type="sp"/>
          <dgm:shape xmlns:r="http://schemas.openxmlformats.org/officeDocument/2006/relationships" type="rect" r:blip="" zOrderOff="4" blipPhldr="1">
            <dgm:adjLst/>
          </dgm:shape>
          <dgm:presOf/>
          <dgm:constrLst/>
          <dgm:ruleLst/>
        </dgm:layoutNode>
        <dgm:layoutNode name="childNode" styleLbl="node1">
          <dgm:varLst>
            <dgm:bulletEnabled val="1"/>
          </dgm:varLst>
          <dgm:alg type="tx">
            <dgm:param type="stBulletLvl" val="1"/>
          </dgm:alg>
          <dgm:shape xmlns:r="http://schemas.openxmlformats.org/officeDocument/2006/relationships" type="rect" r:blip="" zOrderOff="2">
            <dgm:adjLst/>
          </dgm:shape>
          <dgm:presOf axis="des" ptType="node"/>
          <dgm:constrLst/>
          <dgm:ruleLst>
            <dgm:rule type="primFontSz" val="5" fact="NaN" max="NaN"/>
          </dgm:ruleLst>
        </dgm:layoutNode>
        <dgm:layoutNode name="parentNode" styleLbl="revTx">
          <dgm:varLst>
            <dgm:chMax val="0"/>
            <dgm:bulletEnabled val="1"/>
          </dgm:varLst>
          <dgm:choose name="Name7">
            <dgm:if name="Name8" func="var" arg="dir" op="equ" val="norm">
              <dgm:alg type="tx">
                <dgm:param type="autoTxRot" val="grav"/>
                <dgm:param type="txAnchorVert" val="t"/>
                <dgm:param type="parTxLTRAlign" val="r"/>
                <dgm:param type="parTxRTLAlign" val="r"/>
              </dgm:alg>
              <dgm:shape xmlns:r="http://schemas.openxmlformats.org/officeDocument/2006/relationships" rot="270" type="rect" r:blip="">
                <dgm:adjLst/>
              </dgm:shape>
              <dgm:presOf axis="self"/>
              <dgm:constrLst>
                <dgm:constr type="lMarg"/>
                <dgm:constr type="bMarg"/>
                <dgm:constr type="tMarg"/>
              </dgm:constrLst>
            </dgm:if>
            <dgm:else name="Name9">
              <dgm:alg type="tx">
                <dgm:param type="autoTxRot" val="grav"/>
                <dgm:param type="parTxLTRAlign" val="l"/>
                <dgm:param type="parTxRTLAlign" val="l"/>
              </dgm:alg>
              <dgm:shape xmlns:r="http://schemas.openxmlformats.org/officeDocument/2006/relationships" rot="90" type="rect" r:blip="">
                <dgm:adjLst/>
              </dgm:shape>
              <dgm:presOf axis="self"/>
              <dgm:constrLst>
                <dgm:constr type="rMarg"/>
                <dgm:constr type="bMarg"/>
                <dgm:constr type="tMarg"/>
              </dgm:constrLst>
            </dgm:else>
          </dgm:choose>
          <dgm:ruleLst>
            <dgm:rule type="primFontSz" val="5" fact="NaN" max="NaN"/>
          </dgm:ruleLst>
        </dgm:layoutNode>
      </dgm:layoutNode>
      <dgm:forEach name="Name10" axis="followSib" ptType="sibTrans" cnt="1">
        <dgm:layoutNode name="sibTrans">
          <dgm:alg type="sp"/>
          <dgm:shape xmlns:r="http://schemas.openxmlformats.org/officeDocument/2006/relationships" r:blip="">
            <dgm:adjLst/>
          </dgm:shape>
          <dgm:presOf axis="sel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9/3/layout/IncreasingArrowsProcess">
  <dgm:title val=""/>
  <dgm:desc val=""/>
  <dgm:catLst>
    <dgm:cat type="process" pri="5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40" srcId="0" destId="10" srcOrd="0" destOrd="0"/>
        <dgm:cxn modelId="12" srcId="10" destId="11" srcOrd="0" destOrd="0"/>
        <dgm:cxn modelId="5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clrData>
  <dgm:layoutNode name="Name0">
    <dgm:varLst>
      <dgm:chMax val="5"/>
      <dgm:chPref val="5"/>
      <dgm:dir/>
      <dgm:animLvl val="lvl"/>
    </dgm:varLst>
    <dgm:shape xmlns:r="http://schemas.openxmlformats.org/officeDocument/2006/relationships" r:blip="">
      <dgm:adjLst/>
    </dgm:shape>
    <dgm:choose name="Name1">
      <dgm:if name="Name2" axis="ch" ptType="node" func="cnt" op="equ" val="1">
        <dgm:choose name="Name3">
          <dgm:if name="Name4" axis="ch ch" ptType="node node" func="cnt" op="equ" val="0">
            <dgm:alg type="composite">
              <dgm:param type="ar" val="6.8662"/>
            </dgm:alg>
            <dgm:choose name="Name5">
              <dgm:if name="Name6" func="var" arg="dir" op="equ" val="norm">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if>
              <dgm:else name="Name7">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else>
            </dgm:choose>
          </dgm:if>
          <dgm:else name="Name8">
            <dgm:alg type="composite">
              <dgm:param type="ar" val="1.9864"/>
            </dgm:alg>
            <dgm:choose name="Name9">
              <dgm:if name="Name10" func="var" arg="dir" op="equ" val="norm">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
                  <dgm:constr type="t" for="ch" forName="childText1" refType="h" fact="0.224"/>
                  <dgm:constr type="w" for="ch" forName="childText1" refType="w" fact="0.9241"/>
                  <dgm:constr type="h" for="ch" forName="childText1" refType="h" fact="0.776"/>
                </dgm:constrLst>
              </dgm:if>
              <dgm:else name="Name11">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076"/>
                  <dgm:constr type="t" for="ch" forName="childText1" refType="h" fact="0.224"/>
                  <dgm:constr type="w" for="ch" forName="childText1" refType="w" fact="0.9241"/>
                  <dgm:constr type="h" for="ch" forName="childText1" refType="h" fact="0.776"/>
                </dgm:constrLst>
              </dgm:else>
            </dgm:choose>
          </dgm:else>
        </dgm:choose>
      </dgm:if>
      <dgm:if name="Name12" axis="ch" ptType="node" func="cnt" op="equ" val="2">
        <dgm:choose name="Name13">
          <dgm:if name="Name14" axis="ch ch" ptType="node node" func="cnt" op="equ" val="0">
            <dgm:alg type="composite">
              <dgm:param type="ar" val="5.1498"/>
            </dgm:alg>
            <dgm:choose name="Name15">
              <dgm:if name="Name16" func="var" arg="dir" op="equ" val="norm">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462"/>
                  <dgm:constr type="t" for="ch" forName="parentText2" refType="h" fact="0.2499"/>
                  <dgm:constr type="w" for="ch" forName="parentText2" refType="w" fact="0.538"/>
                  <dgm:constr type="h" for="ch" forName="parentText2" refType="h" fact="0.7501"/>
                </dgm:constrLst>
              </dgm:if>
              <dgm:else name="Name17">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
                  <dgm:constr type="t" for="ch" forName="parentText2" refType="h" fact="0.2499"/>
                  <dgm:constr type="w" for="ch" forName="parentText2" refType="w" fact="0.538"/>
                  <dgm:constr type="h" for="ch" forName="parentText2" refType="h" fact="0.7501"/>
                </dgm:constrLst>
              </dgm:else>
            </dgm:choose>
          </dgm:if>
          <dgm:else name="Name18">
            <dgm:alg type="composite">
              <dgm:param type="ar" val="2.0563"/>
            </dgm:alg>
            <dgm:choose name="Name19">
              <dgm:if name="Name2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462"/>
                  <dgm:constr type="t" for="ch" forName="parentText2" refType="h" fact="0.0998"/>
                  <dgm:constr type="w" for="ch" forName="parentText2" refType="w" fact="0.538"/>
                  <dgm:constr type="h" for="ch" forName="parentText2" refType="h" fact="0.2995"/>
                  <dgm:constr type="l" for="ch" forName="childText1" refType="w" fact="0"/>
                  <dgm:constr type="t" for="ch" forName="childText1" refType="h" fact="0.2317"/>
                  <dgm:constr type="w" for="ch" forName="childText1" refType="w" fact="0.462"/>
                  <dgm:constr type="h" for="ch" forName="childText1" refType="h" fact="0.6685"/>
                  <dgm:constr type="l" for="ch" forName="childText2" refType="w" fact="0.462"/>
                  <dgm:constr type="t" for="ch" forName="childText2" refType="h" fact="0.3315"/>
                  <dgm:constr type="w" for="ch" forName="childText2" refType="w" fact="0.462"/>
                  <dgm:constr type="h" for="ch" forName="childText2" refType="h" fact="0.6685"/>
                </dgm:constrLst>
              </dgm:if>
              <dgm:else name="Name2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
                  <dgm:constr type="t" for="ch" forName="parentText2" refType="h" fact="0.0998"/>
                  <dgm:constr type="w" for="ch" forName="parentText2" refType="w" fact="0.538"/>
                  <dgm:constr type="h" for="ch" forName="parentText2" refType="h" fact="0.2995"/>
                  <dgm:constr type="l" for="ch" forName="childText1" refType="w" fact="0.538"/>
                  <dgm:constr type="t" for="ch" forName="childText1" refType="h" fact="0.2317"/>
                  <dgm:constr type="w" for="ch" forName="childText1" refType="w" fact="0.462"/>
                  <dgm:constr type="h" for="ch" forName="childText1" refType="h" fact="0.6685"/>
                  <dgm:constr type="l" for="ch" forName="childText2" refType="w" fact="0.076"/>
                  <dgm:constr type="t" for="ch" forName="childText2" refType="h" fact="0.3315"/>
                  <dgm:constr type="w" for="ch" forName="childText2" refType="w" fact="0.462"/>
                  <dgm:constr type="h" for="ch" forName="childText2" refType="h" fact="0.6685"/>
                </dgm:constrLst>
              </dgm:else>
            </dgm:choose>
          </dgm:else>
        </dgm:choose>
      </dgm:if>
      <dgm:if name="Name22" axis="ch" ptType="node" func="cnt" op="equ" val="3">
        <dgm:choose name="Name23">
          <dgm:if name="Name24" axis="ch ch" ptType="node node" func="cnt" op="equ" val="0">
            <dgm:alg type="composite">
              <dgm:param type="ar" val="4.1198"/>
            </dgm:alg>
            <dgm:choose name="Name25">
              <dgm:if name="Name2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308"/>
                  <dgm:constr type="t" for="ch" forName="parentText2" refType="h" fact="0.2"/>
                  <dgm:constr type="w" for="ch" forName="parentText2" refType="w" fact="0.692"/>
                  <dgm:constr type="h" for="ch" forName="parentText2" refType="h" fact="0.6"/>
                  <dgm:constr type="l" for="ch" forName="parentText3" refType="w" fact="0.616"/>
                  <dgm:constr type="t" for="ch" forName="parentText3" refType="h" fact="0.4"/>
                  <dgm:constr type="w" for="ch" forName="parentText3" refType="w" fact="0.384"/>
                  <dgm:constr type="h" for="ch" forName="parentText3" refType="h" fact="0.6"/>
                </dgm:constrLst>
              </dgm:if>
              <dgm:else name="Name2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
                  <dgm:constr type="t" for="ch" forName="parentText2" refType="h" fact="0.2"/>
                  <dgm:constr type="w" for="ch" forName="parentText2" refType="w" fact="0.692"/>
                  <dgm:constr type="h" for="ch" forName="parentText2" refType="h" fact="0.6"/>
                  <dgm:constr type="l" for="ch" forName="parentText3" refType="w" fact="0"/>
                  <dgm:constr type="t" for="ch" forName="parentText3" refType="h" fact="0.4"/>
                  <dgm:constr type="w" for="ch" forName="parentText3" refType="w" fact="0.384"/>
                  <dgm:constr type="h" for="ch" forName="parentText3" refType="h" fact="0.6"/>
                </dgm:constrLst>
              </dgm:else>
            </dgm:choose>
          </dgm:if>
          <dgm:else name="Name28">
            <dgm:alg type="composite">
              <dgm:param type="ar" val="2.0702"/>
            </dgm:alg>
            <dgm:choose name="Name29">
              <dgm:if name="Name3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
                  <dgm:constr type="t" for="ch" forName="childText1" refType="h" fact="0.2325"/>
                  <dgm:constr type="w" for="ch" forName="childText1" refType="w" fact="0.308"/>
                  <dgm:constr type="h" for="ch" forName="childText1" refType="h" fact="0.5808"/>
                  <dgm:constr type="l" for="ch" forName="childText2" refType="w" fact="0.308"/>
                  <dgm:constr type="t" for="ch" forName="childText2" refType="h" fact="0.333"/>
                  <dgm:constr type="w" for="ch" forName="childText2" refType="w" fact="0.308"/>
                  <dgm:constr type="h" for="ch" forName="childText2" refType="h" fact="0.5808"/>
                  <dgm:constr type="l" for="ch" forName="childText3" refType="w" fact="0.61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308"/>
                  <dgm:constr type="t" for="ch" forName="parentText2" refType="h" fact="0.1005"/>
                  <dgm:constr type="w" for="ch" forName="parentText2" refType="w" fact="0.692"/>
                  <dgm:constr type="h" for="ch" forName="parentText2" refType="h" fact="0.3015"/>
                  <dgm:constr type="l" for="ch" forName="parentText3" refType="w" fact="0.616"/>
                  <dgm:constr type="t" for="ch" forName="parentText3" refType="h" fact="0.201"/>
                  <dgm:constr type="w" for="ch" forName="parentText3" refType="w" fact="0.384"/>
                  <dgm:constr type="h" for="ch" forName="parentText3" refType="h" fact="0.3015"/>
                </dgm:constrLst>
              </dgm:if>
              <dgm:else name="Name3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692"/>
                  <dgm:constr type="t" for="ch" forName="childText1" refType="h" fact="0.2325"/>
                  <dgm:constr type="w" for="ch" forName="childText1" refType="w" fact="0.308"/>
                  <dgm:constr type="h" for="ch" forName="childText1" refType="h" fact="0.5808"/>
                  <dgm:constr type="l" for="ch" forName="childText2" refType="w" fact="0.384"/>
                  <dgm:constr type="t" for="ch" forName="childText2" refType="h" fact="0.333"/>
                  <dgm:constr type="w" for="ch" forName="childText2" refType="w" fact="0.308"/>
                  <dgm:constr type="h" for="ch" forName="childText2" refType="h" fact="0.5808"/>
                  <dgm:constr type="l" for="ch" forName="childText3" refType="w" fact="0.07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
                  <dgm:constr type="t" for="ch" forName="parentText2" refType="h" fact="0.1005"/>
                  <dgm:constr type="w" for="ch" forName="parentText2" refType="w" fact="0.692"/>
                  <dgm:constr type="h" for="ch" forName="parentText2" refType="h" fact="0.3015"/>
                  <dgm:constr type="l" for="ch" forName="parentText3" refType="w" fact="0"/>
                  <dgm:constr type="t" for="ch" forName="parentText3" refType="h" fact="0.201"/>
                  <dgm:constr type="w" for="ch" forName="parentText3" refType="w" fact="0.384"/>
                  <dgm:constr type="h" for="ch" forName="parentText3" refType="h" fact="0.3015"/>
                </dgm:constrLst>
              </dgm:else>
            </dgm:choose>
          </dgm:else>
        </dgm:choose>
      </dgm:if>
      <dgm:if name="Name32" axis="ch" ptType="node" func="cnt" op="equ" val="4">
        <dgm:choose name="Name33">
          <dgm:if name="Name34" axis="ch ch" ptType="node node" func="cnt" op="equ" val="0">
            <dgm:alg type="composite">
              <dgm:param type="ar" val="3.435"/>
            </dgm:alg>
            <dgm:choose name="Name35">
              <dgm:if name="Name3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2305"/>
                  <dgm:constr type="t" for="ch" forName="parentText2" refType="h" fact="0.1666"/>
                  <dgm:constr type="w" for="ch" forName="parentText2" refType="w" fact="0.7695"/>
                  <dgm:constr type="h" for="ch" forName="parentText2" refType="h" fact="0.5001"/>
                  <dgm:constr type="l" for="ch" forName="parentText3" refType="w" fact="0.461"/>
                  <dgm:constr type="t" for="ch" forName="parentText3" refType="h" fact="0.3333"/>
                  <dgm:constr type="w" for="ch" forName="parentText3" refType="w" fact="0.539"/>
                  <dgm:constr type="h" for="ch" forName="parentText3" refType="h" fact="0.5001"/>
                  <dgm:constr type="l" for="ch" forName="parentText4" refType="w" fact="0.6915"/>
                  <dgm:constr type="t" for="ch" forName="parentText4" refType="h" fact="0.4999"/>
                  <dgm:constr type="w" for="ch" forName="parentText4" refType="w" fact="0.3085"/>
                  <dgm:constr type="h" for="ch" forName="parentText4" refType="h" fact="0.5001"/>
                </dgm:constrLst>
              </dgm:if>
              <dgm:else name="Name3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
                  <dgm:constr type="t" for="ch" forName="parentText2" refType="h" fact="0.1666"/>
                  <dgm:constr type="w" for="ch" forName="parentText2" refType="w" fact="0.7695"/>
                  <dgm:constr type="h" for="ch" forName="parentText2" refType="h" fact="0.5001"/>
                  <dgm:constr type="l" for="ch" forName="parentText3" refType="w" fact="0"/>
                  <dgm:constr type="t" for="ch" forName="parentText3" refType="h" fact="0.3333"/>
                  <dgm:constr type="w" for="ch" forName="parentText3" refType="w" fact="0.539"/>
                  <dgm:constr type="h" for="ch" forName="parentText3" refType="h" fact="0.5001"/>
                  <dgm:constr type="l" for="ch" forName="parentText4" refType="w" fact="0"/>
                  <dgm:constr type="t" for="ch" forName="parentText4" refType="h" fact="0.4999"/>
                  <dgm:constr type="w" for="ch" forName="parentText4" refType="w" fact="0.3085"/>
                  <dgm:constr type="h" for="ch" forName="parentText4" refType="h" fact="0.5001"/>
                </dgm:constrLst>
              </dgm:else>
            </dgm:choose>
          </dgm:if>
          <dgm:else name="Name38">
            <dgm:alg type="composite">
              <dgm:param type="ar" val="1.9377"/>
            </dgm:alg>
            <dgm:choose name="Name39">
              <dgm:if name="Name4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
                  <dgm:constr type="t" for="ch" forName="childText1" refType="h" fact="0.218"/>
                  <dgm:constr type="w" for="ch" forName="childText1" refType="w" fact="0.2305"/>
                  <dgm:constr type="h" for="ch" forName="childText1" refType="h" fact="0.5218"/>
                  <dgm:constr type="l" for="ch" forName="childText2" refType="w" fact="0.2305"/>
                  <dgm:constr type="t" for="ch" forName="childText2" refType="h" fact="0.312"/>
                  <dgm:constr type="w" for="ch" forName="childText2" refType="w" fact="0.2305"/>
                  <dgm:constr type="h" for="ch" forName="childText2" refType="h" fact="0.5085"/>
                  <dgm:constr type="l" for="ch" forName="childText3" refType="w" fact="0.461"/>
                  <dgm:constr type="t" for="ch" forName="childText3" refType="h" fact="0.406"/>
                  <dgm:constr type="w" for="ch" forName="childText3" refType="w" fact="0.2305"/>
                  <dgm:constr type="h" for="ch" forName="childText3" refType="h" fact="0.5119"/>
                  <dgm:constr type="l" for="ch" forName="childText4" refType="w" fact="0.6915"/>
                  <dgm:constr type="t" for="ch" forName="childText4" refType="h" fact="0.5"/>
                  <dgm:constr type="w" for="ch" forName="childText4" refType="w" fact="0.232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2305"/>
                  <dgm:constr type="t" for="ch" forName="parentText2" refType="h" fact="0.094"/>
                  <dgm:constr type="w" for="ch" forName="parentText2" refType="w" fact="0.7695"/>
                  <dgm:constr type="h" for="ch" forName="parentText2" refType="h" fact="0.2821"/>
                  <dgm:constr type="l" for="ch" forName="parentText3" refType="w" fact="0.461"/>
                  <dgm:constr type="t" for="ch" forName="parentText3" refType="h" fact="0.188"/>
                  <dgm:constr type="w" for="ch" forName="parentText3" refType="w" fact="0.539"/>
                  <dgm:constr type="h" for="ch" forName="parentText3" refType="h" fact="0.2821"/>
                  <dgm:constr type="l" for="ch" forName="parentText4" refType="w" fact="0.6915"/>
                  <dgm:constr type="t" for="ch" forName="parentText4" refType="h" fact="0.282"/>
                  <dgm:constr type="w" for="ch" forName="parentText4" refType="w" fact="0.3085"/>
                  <dgm:constr type="h" for="ch" forName="parentText4" refType="h" fact="0.2821"/>
                </dgm:constrLst>
              </dgm:if>
              <dgm:else name="Name4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7695"/>
                  <dgm:constr type="t" for="ch" forName="childText1" refType="h" fact="0.218"/>
                  <dgm:constr type="w" for="ch" forName="childText1" refType="w" fact="0.2305"/>
                  <dgm:constr type="h" for="ch" forName="childText1" refType="h" fact="0.5218"/>
                  <dgm:constr type="l" for="ch" forName="childText2" refType="w" fact="0.539"/>
                  <dgm:constr type="t" for="ch" forName="childText2" refType="h" fact="0.312"/>
                  <dgm:constr type="w" for="ch" forName="childText2" refType="w" fact="0.2305"/>
                  <dgm:constr type="h" for="ch" forName="childText2" refType="h" fact="0.5085"/>
                  <dgm:constr type="l" for="ch" forName="childText3" refType="w" fact="0.3085"/>
                  <dgm:constr type="t" for="ch" forName="childText3" refType="h" fact="0.406"/>
                  <dgm:constr type="w" for="ch" forName="childText3" refType="w" fact="0.2305"/>
                  <dgm:constr type="h" for="ch" forName="childText3" refType="h" fact="0.5119"/>
                  <dgm:constr type="l" for="ch" forName="childText4" refType="w" fact="0.076"/>
                  <dgm:constr type="t" for="ch" forName="childText4" refType="h" fact="0.5"/>
                  <dgm:constr type="w" for="ch" forName="childText4" refType="w" fact="0.234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
                  <dgm:constr type="t" for="ch" forName="parentText2" refType="h" fact="0.094"/>
                  <dgm:constr type="w" for="ch" forName="parentText2" refType="w" fact="0.7695"/>
                  <dgm:constr type="h" for="ch" forName="parentText2" refType="h" fact="0.2821"/>
                  <dgm:constr type="l" for="ch" forName="parentText3" refType="w" fact="0"/>
                  <dgm:constr type="t" for="ch" forName="parentText3" refType="h" fact="0.188"/>
                  <dgm:constr type="w" for="ch" forName="parentText3" refType="w" fact="0.539"/>
                  <dgm:constr type="h" for="ch" forName="parentText3" refType="h" fact="0.2821"/>
                  <dgm:constr type="l" for="ch" forName="parentText4" refType="w" fact="0"/>
                  <dgm:constr type="t" for="ch" forName="parentText4" refType="h" fact="0.282"/>
                  <dgm:constr type="w" for="ch" forName="parentText4" refType="w" fact="0.3085"/>
                  <dgm:constr type="h" for="ch" forName="parentText4" refType="h" fact="0.2821"/>
                </dgm:constrLst>
              </dgm:else>
            </dgm:choose>
          </dgm:else>
        </dgm:choose>
      </dgm:if>
      <dgm:else name="Name42">
        <dgm:choose name="Name43">
          <dgm:if name="Name44" axis="ch ch" ptType="node node" func="cnt" op="equ" val="0">
            <dgm:alg type="composite">
              <dgm:param type="ar" val="2.9463"/>
            </dgm:alg>
            <dgm:choose name="Name45">
              <dgm:if name="Name4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1848"/>
                  <dgm:constr type="t" for="ch" forName="parentText2" refType="h" fact="0.1429"/>
                  <dgm:constr type="w" for="ch" forName="parentText2" refType="w" fact="0.8152"/>
                  <dgm:constr type="h" for="ch" forName="parentText2" refType="h" fact="0.4285"/>
                  <dgm:constr type="l" for="ch" forName="parentText3" refType="w" fact="0.3696"/>
                  <dgm:constr type="t" for="ch" forName="parentText3" refType="h" fact="0.2858"/>
                  <dgm:constr type="w" for="ch" forName="parentText3" refType="w" fact="0.6304"/>
                  <dgm:constr type="h" for="ch" forName="parentText3" refType="h" fact="0.4285"/>
                  <dgm:constr type="l" for="ch" forName="parentText4" refType="w" fact="0.5545"/>
                  <dgm:constr type="t" for="ch" forName="parentText4" refType="h" fact="0.4286"/>
                  <dgm:constr type="w" for="ch" forName="parentText4" refType="w" fact="0.4455"/>
                  <dgm:constr type="h" for="ch" forName="parentText4" refType="h" fact="0.4285"/>
                  <dgm:constr type="l" for="ch" forName="parentText5" refType="w" fact="0.7393"/>
                  <dgm:constr type="t" for="ch" forName="parentText5" refType="h" fact="0.5715"/>
                  <dgm:constr type="w" for="ch" forName="parentText5" refType="w" fact="0.2607"/>
                  <dgm:constr type="h" for="ch" forName="parentText5" refType="h" fact="0.4285"/>
                </dgm:constrLst>
              </dgm:if>
              <dgm:else name="Name4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
                  <dgm:constr type="t" for="ch" forName="parentText2" refType="h" fact="0.1429"/>
                  <dgm:constr type="w" for="ch" forName="parentText2" refType="w" fact="0.8152"/>
                  <dgm:constr type="h" for="ch" forName="parentText2" refType="h" fact="0.4285"/>
                  <dgm:constr type="l" for="ch" forName="parentText3" refType="w" fact="0"/>
                  <dgm:constr type="t" for="ch" forName="parentText3" refType="h" fact="0.2858"/>
                  <dgm:constr type="w" for="ch" forName="parentText3" refType="w" fact="0.6304"/>
                  <dgm:constr type="h" for="ch" forName="parentText3" refType="h" fact="0.4285"/>
                  <dgm:constr type="l" for="ch" forName="parentText4" refType="w" fact="0"/>
                  <dgm:constr type="t" for="ch" forName="parentText4" refType="h" fact="0.4286"/>
                  <dgm:constr type="w" for="ch" forName="parentText4" refType="w" fact="0.4455"/>
                  <dgm:constr type="h" for="ch" forName="parentText4" refType="h" fact="0.4285"/>
                  <dgm:constr type="l" for="ch" forName="parentText5" refType="w" fact="0"/>
                  <dgm:constr type="t" for="ch" forName="parentText5" refType="h" fact="0.5715"/>
                  <dgm:constr type="w" for="ch" forName="parentText5" refType="w" fact="0.2607"/>
                  <dgm:constr type="h" for="ch" forName="parentText5" refType="h" fact="0.4285"/>
                </dgm:constrLst>
              </dgm:else>
            </dgm:choose>
          </dgm:if>
          <dgm:else name="Name48">
            <dgm:alg type="composite">
              <dgm:param type="ar" val="1.7837"/>
            </dgm:alg>
            <dgm:choose name="Name49">
              <dgm:if name="Name5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
                  <dgm:constr type="t" for="ch" forName="childText1" refType="h" fact="0.1997"/>
                  <dgm:constr type="w" for="ch" forName="childText1" refType="w" fact="0.18482"/>
                  <dgm:constr type="h" for="ch" forName="childText1" refType="h" fact="0.4763"/>
                  <dgm:constr type="l" for="ch" forName="childText2" refType="w" fact="0.1848"/>
                  <dgm:constr type="t" for="ch" forName="childText2" refType="h" fact="0.2862"/>
                  <dgm:constr type="w" for="ch" forName="childText2" refType="w" fact="0.18482"/>
                  <dgm:constr type="h" for="ch" forName="childText2" refType="h" fact="0.4763"/>
                  <dgm:constr type="l" for="ch" forName="childText3" refType="w" fact="0.3696"/>
                  <dgm:constr type="t" for="ch" forName="childText3" refType="h" fact="0.3727"/>
                  <dgm:constr type="w" for="ch" forName="childText3" refType="w" fact="0.18482"/>
                  <dgm:constr type="h" for="ch" forName="childText3" refType="h" fact="0.4763"/>
                  <dgm:constr type="l" for="ch" forName="childText4" refType="w" fact="0.5545"/>
                  <dgm:constr type="t" for="ch" forName="childText4" refType="h" fact="0.4592"/>
                  <dgm:constr type="w" for="ch" forName="childText4" refType="w" fact="0.18482"/>
                  <dgm:constr type="h" for="ch" forName="childText4" refType="h" fact="0.4763"/>
                  <dgm:constr type="l" for="ch" forName="childText5" refType="w" fact="0.7393"/>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1848"/>
                  <dgm:constr type="t" for="ch" forName="parentText2" refType="h" fact="0.0865"/>
                  <dgm:constr type="w" for="ch" forName="parentText2" refType="w" fact="0.8152"/>
                  <dgm:constr type="h" for="ch" forName="parentText2" refType="h" fact="0.2594"/>
                  <dgm:constr type="l" for="ch" forName="parentText3" refType="w" fact="0.3696"/>
                  <dgm:constr type="t" for="ch" forName="parentText3" refType="h" fact="0.173"/>
                  <dgm:constr type="w" for="ch" forName="parentText3" refType="w" fact="0.6304"/>
                  <dgm:constr type="h" for="ch" forName="parentText3" refType="h" fact="0.2594"/>
                  <dgm:constr type="l" for="ch" forName="parentText4" refType="w" fact="0.5545"/>
                  <dgm:constr type="t" for="ch" forName="parentText4" refType="h" fact="0.2595"/>
                  <dgm:constr type="w" for="ch" forName="parentText4" refType="w" fact="0.4455"/>
                  <dgm:constr type="h" for="ch" forName="parentText4" refType="h" fact="0.2594"/>
                  <dgm:constr type="l" for="ch" forName="parentText5" refType="w" fact="0.7393"/>
                  <dgm:constr type="t" for="ch" forName="parentText5" refType="h" fact="0.346"/>
                  <dgm:constr type="w" for="ch" forName="parentText5" refType="w" fact="0.2607"/>
                  <dgm:constr type="h" for="ch" forName="parentText5" refType="h" fact="0.2594"/>
                </dgm:constrLst>
              </dgm:if>
              <dgm:else name="Name5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81518"/>
                  <dgm:constr type="t" for="ch" forName="childText1" refType="h" fact="0.1997"/>
                  <dgm:constr type="w" for="ch" forName="childText1" refType="w" fact="0.18482"/>
                  <dgm:constr type="h" for="ch" forName="childText1" refType="h" fact="0.4763"/>
                  <dgm:constr type="l" for="ch" forName="childText2" refType="w" fact="0.63036"/>
                  <dgm:constr type="t" for="ch" forName="childText2" refType="h" fact="0.2862"/>
                  <dgm:constr type="w" for="ch" forName="childText2" refType="w" fact="0.18482"/>
                  <dgm:constr type="h" for="ch" forName="childText2" refType="h" fact="0.4763"/>
                  <dgm:constr type="l" for="ch" forName="childText3" refType="w" fact="0.44554"/>
                  <dgm:constr type="t" for="ch" forName="childText3" refType="h" fact="0.3727"/>
                  <dgm:constr type="w" for="ch" forName="childText3" refType="w" fact="0.18482"/>
                  <dgm:constr type="h" for="ch" forName="childText3" refType="h" fact="0.4763"/>
                  <dgm:constr type="l" for="ch" forName="childText4" refType="w" fact="0.26072"/>
                  <dgm:constr type="t" for="ch" forName="childText4" refType="h" fact="0.4592"/>
                  <dgm:constr type="w" for="ch" forName="childText4" refType="w" fact="0.18482"/>
                  <dgm:constr type="h" for="ch" forName="childText4" refType="h" fact="0.4763"/>
                  <dgm:constr type="l" for="ch" forName="childText5" refType="w" fact="0.0759"/>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
                  <dgm:constr type="t" for="ch" forName="parentText2" refType="h" fact="0.0865"/>
                  <dgm:constr type="w" for="ch" forName="parentText2" refType="w" fact="0.8152"/>
                  <dgm:constr type="h" for="ch" forName="parentText2" refType="h" fact="0.2594"/>
                  <dgm:constr type="l" for="ch" forName="parentText3" refType="w" fact="0"/>
                  <dgm:constr type="t" for="ch" forName="parentText3" refType="h" fact="0.173"/>
                  <dgm:constr type="w" for="ch" forName="parentText3" refType="w" fact="0.6304"/>
                  <dgm:constr type="h" for="ch" forName="parentText3" refType="h" fact="0.2594"/>
                  <dgm:constr type="l" for="ch" forName="parentText4" refType="w" fact="0"/>
                  <dgm:constr type="t" for="ch" forName="parentText4" refType="h" fact="0.2595"/>
                  <dgm:constr type="w" for="ch" forName="parentText4" refType="w" fact="0.4455"/>
                  <dgm:constr type="h" for="ch" forName="parentText4" refType="h" fact="0.2594"/>
                  <dgm:constr type="l" for="ch" forName="parentText5" refType="w" fact="0"/>
                  <dgm:constr type="t" for="ch" forName="parentText5" refType="h" fact="0.346"/>
                  <dgm:constr type="w" for="ch" forName="parentText5" refType="w" fact="0.2607"/>
                  <dgm:constr type="h" for="ch" forName="parentText5" refType="h" fact="0.2594"/>
                </dgm:constrLst>
              </dgm:else>
            </dgm:choose>
          </dgm:else>
        </dgm:choose>
      </dgm:else>
    </dgm:choose>
    <dgm:forEach name="Name52" axis="ch" ptType="node" cnt="1">
      <dgm:layoutNode name="parentText1" styleLbl="node1">
        <dgm:varLst>
          <dgm:chMax/>
          <dgm:chPref val="3"/>
          <dgm:bulletEnabled val="1"/>
        </dgm:varLst>
        <dgm:choose name="Name53">
          <dgm:if name="Name54"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55">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56">
        <dgm:if name="Name57" axis="ch" ptType="node" func="cnt" op="gte" val="1">
          <dgm:layoutNode name="childText1"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8"/>
      </dgm:choose>
    </dgm:forEach>
    <dgm:forEach name="Name59" axis="ch" ptType="node" st="2" cnt="1">
      <dgm:layoutNode name="parentText2" styleLbl="node1">
        <dgm:varLst>
          <dgm:chMax/>
          <dgm:chPref val="3"/>
          <dgm:bulletEnabled val="1"/>
        </dgm:varLst>
        <dgm:choose name="Name60">
          <dgm:if name="Name61"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2">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63">
        <dgm:if name="Name64" axis="ch" ptType="node" func="cnt" op="gte" val="1">
          <dgm:layoutNode name="childText2"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5"/>
      </dgm:choose>
    </dgm:forEach>
    <dgm:forEach name="Name66" axis="ch" ptType="node" st="3" cnt="1">
      <dgm:layoutNode name="parentText3" styleLbl="node1">
        <dgm:varLst>
          <dgm:chMax/>
          <dgm:chPref val="3"/>
          <dgm:bulletEnabled val="1"/>
        </dgm:varLst>
        <dgm:choose name="Name67">
          <dgm:if name="Name68"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9">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0">
        <dgm:if name="Name71" axis="ch" ptType="node" func="cnt" op="gte" val="1">
          <dgm:layoutNode name="childText3"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forEach>
    <dgm:forEach name="Name73" axis="ch" ptType="node" st="4" cnt="1">
      <dgm:layoutNode name="parentText4" styleLbl="node1">
        <dgm:varLst>
          <dgm:chMax/>
          <dgm:chPref val="3"/>
          <dgm:bulletEnabled val="1"/>
        </dgm:varLst>
        <dgm:choose name="Name74">
          <dgm:if name="Name75"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76">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7">
        <dgm:if name="Name78" axis="ch" ptType="node" func="cnt" op="gte" val="1">
          <dgm:layoutNode name="childText4"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9"/>
      </dgm:choose>
    </dgm:forEach>
    <dgm:forEach name="Name80" axis="ch" ptType="node" st="5" cnt="1">
      <dgm:layoutNode name="parentText5" styleLbl="node1">
        <dgm:varLst>
          <dgm:chMax/>
          <dgm:chPref val="3"/>
          <dgm:bulletEnabled val="1"/>
        </dgm:varLst>
        <dgm:choose name="Name81">
          <dgm:if name="Name82"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83">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84">
        <dgm:if name="Name85" axis="ch" ptType="node" func="cnt" op="gte" val="1">
          <dgm:layoutNode name="childText5"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6"/>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6CC51F-1B69-4557-89C6-62FB2193D6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37</Pages>
  <Words>8545</Words>
  <Characters>48707</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Nebir Miah</dc:creator>
  <cp:keywords/>
  <dc:description/>
  <cp:lastModifiedBy>Md Nebir Miah (2516200)</cp:lastModifiedBy>
  <cp:revision>23</cp:revision>
  <dcterms:created xsi:type="dcterms:W3CDTF">2026-07-28T18:26:00Z</dcterms:created>
  <dcterms:modified xsi:type="dcterms:W3CDTF">2026-08-10T22:50:00Z</dcterms:modified>
</cp:coreProperties>
</file>