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BF316" w14:textId="03FCBB85" w:rsidR="00744CC8" w:rsidRPr="00744CC8" w:rsidRDefault="00744CC8" w:rsidP="00744CC8">
      <w:pPr>
        <w:spacing w:line="360" w:lineRule="auto"/>
        <w:rPr>
          <w:rFonts w:ascii="Arial" w:hAnsi="Arial" w:cs="Arial"/>
          <w:sz w:val="22"/>
          <w:szCs w:val="22"/>
        </w:rPr>
      </w:pPr>
    </w:p>
    <w:p w14:paraId="43AC3416" w14:textId="77777777" w:rsidR="00B036F0" w:rsidRPr="00B036F0" w:rsidRDefault="00B036F0" w:rsidP="00B036F0">
      <w:pPr>
        <w:spacing w:line="360" w:lineRule="auto"/>
        <w:jc w:val="right"/>
        <w:rPr>
          <w:rFonts w:ascii="Arial" w:hAnsi="Arial" w:cs="Arial"/>
          <w:b/>
          <w:bCs/>
          <w:sz w:val="22"/>
          <w:szCs w:val="22"/>
        </w:rPr>
      </w:pPr>
      <w:bookmarkStart w:id="0" w:name="_Hlk215522723"/>
      <w:r w:rsidRPr="00B036F0">
        <w:rPr>
          <w:rFonts w:ascii="Arial" w:hAnsi="Arial" w:cs="Arial"/>
          <w:b/>
          <w:bCs/>
          <w:sz w:val="22"/>
          <w:szCs w:val="22"/>
        </w:rPr>
        <w:drawing>
          <wp:inline distT="0" distB="0" distL="0" distR="0" wp14:anchorId="6238D5D2" wp14:editId="396FB454">
            <wp:extent cx="2583180" cy="1584960"/>
            <wp:effectExtent l="0" t="0" r="7620" b="0"/>
            <wp:docPr id="4" name="Picture 2"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logo of a university of wale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3180" cy="1584960"/>
                    </a:xfrm>
                    <a:prstGeom prst="rect">
                      <a:avLst/>
                    </a:prstGeom>
                    <a:noFill/>
                    <a:ln>
                      <a:noFill/>
                    </a:ln>
                  </pic:spPr>
                </pic:pic>
              </a:graphicData>
            </a:graphic>
          </wp:inline>
        </w:drawing>
      </w:r>
    </w:p>
    <w:p w14:paraId="4056FD52" w14:textId="30D013F3" w:rsidR="00B036F0" w:rsidRPr="00B036F0" w:rsidRDefault="00B036F0" w:rsidP="00B036F0">
      <w:pPr>
        <w:spacing w:line="360" w:lineRule="auto"/>
        <w:jc w:val="center"/>
        <w:rPr>
          <w:rFonts w:ascii="Arial" w:hAnsi="Arial" w:cs="Arial"/>
          <w:sz w:val="22"/>
          <w:szCs w:val="22"/>
        </w:rPr>
      </w:pPr>
      <w:r w:rsidRPr="00B036F0">
        <w:rPr>
          <w:rFonts w:ascii="Arial" w:hAnsi="Arial" w:cs="Arial"/>
          <w:b/>
          <w:bCs/>
          <w:sz w:val="22"/>
          <w:szCs w:val="22"/>
        </w:rPr>
        <w:t xml:space="preserve">Module Title: </w:t>
      </w:r>
      <w:r w:rsidRPr="00B036F0">
        <w:rPr>
          <w:rFonts w:ascii="Arial" w:hAnsi="Arial" w:cs="Arial"/>
          <w:sz w:val="22"/>
          <w:szCs w:val="22"/>
        </w:rPr>
        <w:t xml:space="preserve">introduction to health and social care </w:t>
      </w:r>
    </w:p>
    <w:p w14:paraId="6440F7A5" w14:textId="10080E5A" w:rsidR="00B036F0" w:rsidRPr="00B036F0" w:rsidRDefault="00B036F0" w:rsidP="00B036F0">
      <w:pPr>
        <w:spacing w:line="360" w:lineRule="auto"/>
        <w:jc w:val="center"/>
        <w:rPr>
          <w:rFonts w:ascii="Arial" w:hAnsi="Arial" w:cs="Arial"/>
          <w:b/>
          <w:bCs/>
          <w:sz w:val="22"/>
          <w:szCs w:val="22"/>
        </w:rPr>
      </w:pPr>
      <w:r w:rsidRPr="00B036F0">
        <w:rPr>
          <w:rFonts w:ascii="Arial" w:hAnsi="Arial" w:cs="Arial"/>
          <w:b/>
          <w:bCs/>
          <w:sz w:val="22"/>
          <w:szCs w:val="22"/>
        </w:rPr>
        <w:t xml:space="preserve">Module Number: </w:t>
      </w:r>
      <w:r w:rsidRPr="00B036F0">
        <w:rPr>
          <w:rFonts w:ascii="Arial" w:hAnsi="Arial" w:cs="Arial"/>
          <w:sz w:val="22"/>
          <w:szCs w:val="22"/>
        </w:rPr>
        <w:t>LCHS400</w:t>
      </w:r>
      <w:r w:rsidR="002B4C32">
        <w:rPr>
          <w:rFonts w:ascii="Arial" w:hAnsi="Arial" w:cs="Arial"/>
          <w:sz w:val="22"/>
          <w:szCs w:val="22"/>
        </w:rPr>
        <w:t>3</w:t>
      </w:r>
    </w:p>
    <w:p w14:paraId="2B69725F" w14:textId="77777777" w:rsidR="00B036F0" w:rsidRPr="00B036F0" w:rsidRDefault="00B036F0" w:rsidP="00B036F0">
      <w:pPr>
        <w:spacing w:line="360" w:lineRule="auto"/>
        <w:jc w:val="center"/>
        <w:rPr>
          <w:rFonts w:ascii="Arial" w:hAnsi="Arial" w:cs="Arial"/>
          <w:b/>
          <w:bCs/>
          <w:sz w:val="22"/>
          <w:szCs w:val="22"/>
          <w:lang w:val="nl-NL"/>
        </w:rPr>
      </w:pPr>
      <w:r w:rsidRPr="00B036F0">
        <w:rPr>
          <w:rFonts w:ascii="Arial" w:hAnsi="Arial" w:cs="Arial"/>
          <w:b/>
          <w:bCs/>
          <w:sz w:val="22"/>
          <w:szCs w:val="22"/>
          <w:lang w:val="nl-NL"/>
        </w:rPr>
        <w:t xml:space="preserve">Student Name: </w:t>
      </w:r>
      <w:r w:rsidRPr="00B036F0">
        <w:rPr>
          <w:rFonts w:ascii="Arial" w:hAnsi="Arial" w:cs="Arial"/>
          <w:sz w:val="22"/>
          <w:szCs w:val="22"/>
          <w:lang w:val="nl-NL"/>
        </w:rPr>
        <w:t>Lois Gyau</w:t>
      </w:r>
    </w:p>
    <w:p w14:paraId="075582E7" w14:textId="77777777" w:rsidR="00B036F0" w:rsidRPr="00B036F0" w:rsidRDefault="00B036F0" w:rsidP="00B036F0">
      <w:pPr>
        <w:spacing w:line="360" w:lineRule="auto"/>
        <w:jc w:val="center"/>
        <w:rPr>
          <w:rFonts w:ascii="Arial" w:hAnsi="Arial" w:cs="Arial"/>
          <w:b/>
          <w:bCs/>
          <w:sz w:val="22"/>
          <w:szCs w:val="22"/>
          <w:lang w:val="nl-NL"/>
        </w:rPr>
      </w:pPr>
      <w:r w:rsidRPr="00B036F0">
        <w:rPr>
          <w:rFonts w:ascii="Arial" w:hAnsi="Arial" w:cs="Arial"/>
          <w:b/>
          <w:bCs/>
          <w:sz w:val="22"/>
          <w:szCs w:val="22"/>
          <w:lang w:val="nl-NL"/>
        </w:rPr>
        <w:t xml:space="preserve">Student ID: </w:t>
      </w:r>
      <w:r w:rsidRPr="00B036F0">
        <w:rPr>
          <w:rFonts w:ascii="Arial" w:hAnsi="Arial" w:cs="Arial"/>
          <w:sz w:val="22"/>
          <w:szCs w:val="22"/>
          <w:lang w:val="nl-NL"/>
        </w:rPr>
        <w:t>2438039</w:t>
      </w:r>
    </w:p>
    <w:p w14:paraId="768B89F8" w14:textId="781D1DAB" w:rsidR="00B036F0" w:rsidRPr="00B036F0" w:rsidRDefault="00B036F0" w:rsidP="00B036F0">
      <w:pPr>
        <w:spacing w:line="360" w:lineRule="auto"/>
        <w:jc w:val="center"/>
        <w:rPr>
          <w:rFonts w:ascii="Arial" w:hAnsi="Arial" w:cs="Arial"/>
          <w:b/>
          <w:bCs/>
          <w:sz w:val="22"/>
          <w:szCs w:val="22"/>
        </w:rPr>
      </w:pPr>
      <w:r w:rsidRPr="00B036F0">
        <w:rPr>
          <w:rFonts w:ascii="Arial" w:hAnsi="Arial" w:cs="Arial"/>
          <w:b/>
          <w:bCs/>
          <w:sz w:val="22"/>
          <w:szCs w:val="22"/>
        </w:rPr>
        <w:t>Lecturer’s Name:</w:t>
      </w:r>
      <w:r w:rsidR="002B4C32">
        <w:rPr>
          <w:rFonts w:ascii="Arial" w:hAnsi="Arial" w:cs="Arial"/>
          <w:b/>
          <w:bCs/>
          <w:sz w:val="22"/>
          <w:szCs w:val="22"/>
        </w:rPr>
        <w:t xml:space="preserve"> </w:t>
      </w:r>
      <w:r w:rsidR="002B4C32" w:rsidRPr="002B4C32">
        <w:rPr>
          <w:rFonts w:ascii="Arial" w:hAnsi="Arial" w:cs="Arial"/>
          <w:sz w:val="22"/>
          <w:szCs w:val="22"/>
        </w:rPr>
        <w:t>Mrs Peng Wu</w:t>
      </w:r>
    </w:p>
    <w:bookmarkEnd w:id="0"/>
    <w:p w14:paraId="4AA4510A" w14:textId="7A4314EA" w:rsidR="00744CC8" w:rsidRDefault="00744CC8" w:rsidP="00391542">
      <w:pPr>
        <w:spacing w:line="360" w:lineRule="auto"/>
        <w:rPr>
          <w:rFonts w:ascii="Arial" w:hAnsi="Arial" w:cs="Arial"/>
          <w:sz w:val="22"/>
          <w:szCs w:val="22"/>
        </w:rPr>
      </w:pPr>
    </w:p>
    <w:p w14:paraId="55BCE5CE" w14:textId="77777777" w:rsidR="00391542" w:rsidRDefault="00391542" w:rsidP="00391542">
      <w:pPr>
        <w:spacing w:line="360" w:lineRule="auto"/>
        <w:rPr>
          <w:rFonts w:ascii="Arial" w:hAnsi="Arial" w:cs="Arial"/>
          <w:sz w:val="22"/>
          <w:szCs w:val="22"/>
        </w:rPr>
      </w:pPr>
    </w:p>
    <w:p w14:paraId="1CC434F7" w14:textId="77777777" w:rsidR="00391542" w:rsidRDefault="00391542" w:rsidP="00391542">
      <w:pPr>
        <w:spacing w:line="360" w:lineRule="auto"/>
        <w:rPr>
          <w:rFonts w:ascii="Arial" w:hAnsi="Arial" w:cs="Arial"/>
          <w:sz w:val="22"/>
          <w:szCs w:val="22"/>
        </w:rPr>
      </w:pPr>
    </w:p>
    <w:p w14:paraId="1B90BCFA" w14:textId="77777777" w:rsidR="00391542" w:rsidRDefault="00391542" w:rsidP="00391542">
      <w:pPr>
        <w:spacing w:line="360" w:lineRule="auto"/>
        <w:rPr>
          <w:rFonts w:ascii="Arial" w:hAnsi="Arial" w:cs="Arial"/>
          <w:sz w:val="22"/>
          <w:szCs w:val="22"/>
        </w:rPr>
      </w:pPr>
    </w:p>
    <w:p w14:paraId="355B6C7C" w14:textId="77777777" w:rsidR="00391542" w:rsidRDefault="00391542" w:rsidP="00391542">
      <w:pPr>
        <w:spacing w:line="360" w:lineRule="auto"/>
        <w:rPr>
          <w:rFonts w:ascii="Arial" w:hAnsi="Arial" w:cs="Arial"/>
          <w:sz w:val="22"/>
          <w:szCs w:val="22"/>
        </w:rPr>
      </w:pPr>
    </w:p>
    <w:p w14:paraId="1612E7EB" w14:textId="77777777" w:rsidR="00391542" w:rsidRDefault="00391542" w:rsidP="00391542">
      <w:pPr>
        <w:spacing w:line="360" w:lineRule="auto"/>
        <w:rPr>
          <w:rFonts w:ascii="Arial" w:hAnsi="Arial" w:cs="Arial"/>
          <w:sz w:val="22"/>
          <w:szCs w:val="22"/>
        </w:rPr>
      </w:pPr>
    </w:p>
    <w:p w14:paraId="3B3DB14C" w14:textId="77777777" w:rsidR="00391542" w:rsidRDefault="00391542" w:rsidP="00391542">
      <w:pPr>
        <w:spacing w:line="360" w:lineRule="auto"/>
        <w:rPr>
          <w:rFonts w:ascii="Arial" w:hAnsi="Arial" w:cs="Arial"/>
          <w:sz w:val="22"/>
          <w:szCs w:val="22"/>
        </w:rPr>
      </w:pPr>
    </w:p>
    <w:p w14:paraId="2925BA50" w14:textId="77777777" w:rsidR="00391542" w:rsidRDefault="00391542" w:rsidP="00391542">
      <w:pPr>
        <w:spacing w:line="360" w:lineRule="auto"/>
        <w:rPr>
          <w:rFonts w:ascii="Arial" w:hAnsi="Arial" w:cs="Arial"/>
          <w:sz w:val="22"/>
          <w:szCs w:val="22"/>
        </w:rPr>
      </w:pPr>
    </w:p>
    <w:p w14:paraId="11FB76D1" w14:textId="77777777" w:rsidR="00391542" w:rsidRDefault="00391542" w:rsidP="00391542">
      <w:pPr>
        <w:spacing w:line="360" w:lineRule="auto"/>
        <w:rPr>
          <w:rFonts w:ascii="Arial" w:hAnsi="Arial" w:cs="Arial"/>
          <w:sz w:val="22"/>
          <w:szCs w:val="22"/>
        </w:rPr>
      </w:pPr>
    </w:p>
    <w:p w14:paraId="535FA154" w14:textId="77777777" w:rsidR="00391542" w:rsidRDefault="00391542" w:rsidP="00391542">
      <w:pPr>
        <w:spacing w:line="360" w:lineRule="auto"/>
        <w:rPr>
          <w:rFonts w:ascii="Arial" w:hAnsi="Arial" w:cs="Arial"/>
          <w:sz w:val="22"/>
          <w:szCs w:val="22"/>
        </w:rPr>
      </w:pPr>
    </w:p>
    <w:p w14:paraId="6969080A" w14:textId="77777777" w:rsidR="00391542" w:rsidRDefault="00391542" w:rsidP="00391542">
      <w:pPr>
        <w:spacing w:line="360" w:lineRule="auto"/>
        <w:rPr>
          <w:rFonts w:ascii="Arial" w:hAnsi="Arial" w:cs="Arial"/>
          <w:sz w:val="22"/>
          <w:szCs w:val="22"/>
        </w:rPr>
      </w:pPr>
    </w:p>
    <w:p w14:paraId="4BB5AFC8" w14:textId="77777777" w:rsidR="00391542" w:rsidRDefault="00391542" w:rsidP="00391542">
      <w:pPr>
        <w:spacing w:line="360" w:lineRule="auto"/>
        <w:rPr>
          <w:rFonts w:ascii="Arial" w:hAnsi="Arial" w:cs="Arial"/>
          <w:sz w:val="22"/>
          <w:szCs w:val="22"/>
        </w:rPr>
      </w:pPr>
    </w:p>
    <w:p w14:paraId="661C819E" w14:textId="77777777" w:rsidR="00B036F0" w:rsidRDefault="00B036F0" w:rsidP="00391542">
      <w:pPr>
        <w:spacing w:line="360" w:lineRule="auto"/>
        <w:rPr>
          <w:rFonts w:ascii="Arial" w:hAnsi="Arial" w:cs="Arial"/>
          <w:sz w:val="22"/>
          <w:szCs w:val="22"/>
        </w:rPr>
      </w:pPr>
    </w:p>
    <w:p w14:paraId="77664551" w14:textId="77777777" w:rsidR="00391542" w:rsidRDefault="00391542" w:rsidP="00391542">
      <w:pPr>
        <w:spacing w:line="360" w:lineRule="auto"/>
        <w:rPr>
          <w:rFonts w:ascii="Arial" w:hAnsi="Arial" w:cs="Arial"/>
          <w:sz w:val="22"/>
          <w:szCs w:val="22"/>
        </w:rPr>
      </w:pPr>
    </w:p>
    <w:p w14:paraId="4BA49222" w14:textId="77777777" w:rsidR="004202EA" w:rsidRDefault="004202EA" w:rsidP="004202EA">
      <w:pPr>
        <w:rPr>
          <w:rFonts w:ascii="Arial" w:hAnsi="Arial" w:cs="Arial"/>
          <w:sz w:val="22"/>
          <w:szCs w:val="22"/>
        </w:rPr>
      </w:pPr>
    </w:p>
    <w:p w14:paraId="2D857D9B" w14:textId="7CCFD17D" w:rsidR="004202EA" w:rsidRPr="004202EA" w:rsidRDefault="004202EA" w:rsidP="004202EA">
      <w:pPr>
        <w:spacing w:line="360" w:lineRule="auto"/>
        <w:rPr>
          <w:rFonts w:ascii="Arial" w:hAnsi="Arial" w:cs="Arial"/>
          <w:b/>
          <w:bCs/>
          <w:sz w:val="22"/>
          <w:szCs w:val="22"/>
        </w:rPr>
      </w:pPr>
      <w:r w:rsidRPr="004202EA">
        <w:rPr>
          <w:rFonts w:ascii="Arial" w:hAnsi="Arial" w:cs="Arial"/>
          <w:b/>
          <w:bCs/>
          <w:sz w:val="22"/>
          <w:szCs w:val="22"/>
        </w:rPr>
        <w:lastRenderedPageBreak/>
        <w:t xml:space="preserve">Introduction </w:t>
      </w:r>
    </w:p>
    <w:p w14:paraId="75307414"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Supporting individuals in the community after a hospital discharge requires careful coordination between professionals, clear information sharing and a commitment to person-centred practice. When these elements work well, service users experience smoother recovery and feel more in control of their care. When they do not, risks and misunderstandings can easily occur. Mrs Mann, who recently returned home following hip replacement surgery, relies on regular care visits, physiotherapy input and guidance from her GP. Although she manages independently in many respects, her limited English and increasing reliance on family interpretation create communication challenges that the care team must address. In addition, a recent issue involving incomplete documentation resulted in a delay to her medication being reviewed, demonstrating how administrative tasks have a direct impact on safety. This report discusses the importance of communication, record keeping and collaborative working in relation to Mrs Mann’s situation, and explains how legislation, guidance and professional standards shape good practice.</w:t>
      </w:r>
    </w:p>
    <w:p w14:paraId="5EE21C20" w14:textId="49BCB79C" w:rsidR="004202EA" w:rsidRPr="004202EA" w:rsidRDefault="004202EA" w:rsidP="004202EA">
      <w:pPr>
        <w:spacing w:line="360" w:lineRule="auto"/>
        <w:rPr>
          <w:rFonts w:ascii="Arial" w:hAnsi="Arial" w:cs="Arial"/>
          <w:sz w:val="22"/>
          <w:szCs w:val="22"/>
        </w:rPr>
      </w:pPr>
    </w:p>
    <w:p w14:paraId="235DD104" w14:textId="25BB3BBA" w:rsidR="004202EA" w:rsidRPr="004202EA" w:rsidRDefault="004202EA" w:rsidP="004202EA">
      <w:pPr>
        <w:spacing w:line="360" w:lineRule="auto"/>
        <w:rPr>
          <w:rFonts w:ascii="Arial" w:hAnsi="Arial" w:cs="Arial"/>
          <w:b/>
          <w:bCs/>
          <w:sz w:val="22"/>
          <w:szCs w:val="22"/>
        </w:rPr>
      </w:pPr>
      <w:r w:rsidRPr="004202EA">
        <w:rPr>
          <w:rFonts w:ascii="Arial" w:hAnsi="Arial" w:cs="Arial"/>
          <w:b/>
          <w:bCs/>
          <w:sz w:val="22"/>
          <w:szCs w:val="22"/>
        </w:rPr>
        <w:t xml:space="preserve">Communication in Mrs Mann’s Care </w:t>
      </w:r>
    </w:p>
    <w:p w14:paraId="612854AD"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Communication is central to every aspect of health and social care because it helps service users understand their support, express concerns and take part in decisions. For someone like Mrs Mann, whose first language is Urdu, communication requires additional thought and planning. When staff rely only on spoken English without adapting their approach, important messages may be misunderstood or overlooked. This can affect her confidence and potentially slow her recovery. Research from Silverman (2020) shows that communication barriers often lead to confusion around medication instructions, rehabilitation exercises or expectations for daily care.</w:t>
      </w:r>
    </w:p>
    <w:p w14:paraId="634562F6"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The Equality Act 2010 places a duty on organisations to remove or reduce barriers that may prevent individuals from accessing services fairly. For Mrs Mann, this means adapting communication to match her language needs. Examples include using shorter sentences, repeating key points, providing written notes in Urdu and using visual demonstrations when discussing mobility or exercises. These adjustments help ensure she can follow instructions safely and reduces the likelihood of misinterpretation.</w:t>
      </w:r>
    </w:p>
    <w:p w14:paraId="77F269B4"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 xml:space="preserve">A useful communication framework is Heron’s Six Categories of Intervention (1975), which focuses on how professionals guide or support a person. Heron explains that communication can be either directive (instructing or advising) or facilitative (listening, encouraging and clarifying). When working with Mrs Mann, staff may need a balance of both. For example, </w:t>
      </w:r>
      <w:r w:rsidRPr="004202EA">
        <w:rPr>
          <w:rFonts w:ascii="Arial" w:hAnsi="Arial" w:cs="Arial"/>
          <w:sz w:val="22"/>
          <w:szCs w:val="22"/>
        </w:rPr>
        <w:lastRenderedPageBreak/>
        <w:t>directive communication may be necessary when explaining how to use mobility aids safely, whereas facilitative communication is better suited to understanding how she feels about her progress or her concerns about pain.</w:t>
      </w:r>
    </w:p>
    <w:p w14:paraId="29CE25A3"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Although Mrs Mann’s daughter often helps interpret conversations, this should not replace professional interpreting services. The NHS Accessible Information Standard (2016) recommends that clinical information, consent and medication changes should be communicated through qualified interpreters to maintain accuracy and confidentiality. Family members may filter or soften information, and they may also feel uncomfortable discussing sensitive topics (Morris, 2021).</w:t>
      </w:r>
    </w:p>
    <w:p w14:paraId="6486B2CF"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Non-verbal communication is equally important in Mrs Mann’s case. Gestures, facial expressions, tone of voice and body language can help determine whether she has understood an instruction or whether she is anxious or uncertain. SCIE (2021) highlights that non-verbal cues are especially valuable when verbal communication is limited.</w:t>
      </w:r>
    </w:p>
    <w:p w14:paraId="1E868BD0"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By adopting these communication strategies, staff can ensure that Mrs Mann remains actively involved in her rehabilitation, understands her care plan and feels respected throughout the process.</w:t>
      </w:r>
    </w:p>
    <w:p w14:paraId="2AAE7185" w14:textId="49C2FA99" w:rsidR="004202EA" w:rsidRPr="004202EA" w:rsidRDefault="004202EA" w:rsidP="004202EA">
      <w:pPr>
        <w:spacing w:line="360" w:lineRule="auto"/>
        <w:rPr>
          <w:rFonts w:ascii="Arial" w:hAnsi="Arial" w:cs="Arial"/>
          <w:sz w:val="22"/>
          <w:szCs w:val="22"/>
        </w:rPr>
      </w:pPr>
    </w:p>
    <w:p w14:paraId="0145D5AF" w14:textId="6027DF0C" w:rsidR="004202EA" w:rsidRPr="004202EA" w:rsidRDefault="004202EA" w:rsidP="004202EA">
      <w:pPr>
        <w:spacing w:line="360" w:lineRule="auto"/>
        <w:rPr>
          <w:rFonts w:ascii="Arial" w:hAnsi="Arial" w:cs="Arial"/>
          <w:b/>
          <w:bCs/>
          <w:sz w:val="22"/>
          <w:szCs w:val="22"/>
        </w:rPr>
      </w:pPr>
      <w:r w:rsidRPr="004202EA">
        <w:rPr>
          <w:rFonts w:ascii="Arial" w:hAnsi="Arial" w:cs="Arial"/>
          <w:b/>
          <w:bCs/>
          <w:sz w:val="22"/>
          <w:szCs w:val="22"/>
        </w:rPr>
        <w:t xml:space="preserve">Administrative Skills and Record Keeping </w:t>
      </w:r>
    </w:p>
    <w:p w14:paraId="6F23504C"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Good administrative practice is vital because it forms the foundation of safe and accountable care. Care records allow different professionals to understand what support has been provided, identify concerns and plan future interventions. When records are unclear or incomplete, the risk of mistakes increases. In Mrs Mann’s case, inconsistent entries contributed to a delay in adjusting her medication, demonstrating how documentation errors can directly affect her wellbeing.</w:t>
      </w:r>
    </w:p>
    <w:p w14:paraId="38CC5684"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Accurate record keeping requires notes to be factual, objective and completed promptly. According to the Royal College of Nursing (2022), records should include what happened, when it happened, who was present and any actions taken. For Mrs Mann, this may involve writing about her level of mobility, whether she managed physiotherapy tasks, pain levels, changes in appetite or mood, and any concerns she expresses. Reliable records allow the physiotherapist to adjust exercises and enable the GP to review pain relief or medication safely.</w:t>
      </w:r>
    </w:p>
    <w:p w14:paraId="121FE258"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 xml:space="preserve">The Data Protection Act 2018 and UK GDPR govern how personal information must be stored and shared. These laws state that data must be accurate, relevant, kept secure and </w:t>
      </w:r>
      <w:r w:rsidRPr="004202EA">
        <w:rPr>
          <w:rFonts w:ascii="Arial" w:hAnsi="Arial" w:cs="Arial"/>
          <w:sz w:val="22"/>
          <w:szCs w:val="22"/>
        </w:rPr>
        <w:lastRenderedPageBreak/>
        <w:t>only accessed by those involved in delivering care. Staff must therefore ensure that Mrs Mann’s notes are stored securely, whether electronically or on paper, and that information is only shared for legitimate care reasons. The Care Inspectorate (2021) emphasises that breaches of confidentiality can damage trust and put individuals at risk.</w:t>
      </w:r>
    </w:p>
    <w:p w14:paraId="6C3AFC05"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Administrative skills also involve incident reporting, following handover procedures and managing time effectively. Any documentation error should be formally reported so that the organisation can learn from it and improve systems. Research from Hughes (2020) highlights that regular supervision and training help staff understand the purpose of documentation and maintain high standards.</w:t>
      </w:r>
    </w:p>
    <w:p w14:paraId="2DE3328B"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Clear documentation also strengthens communication between the different teams supporting Mrs Mann. Without accurate information, the physiotherapist may not know she is struggling with exercises, or the GP may not realise that her pain is worsening. By improving administrative practice, staff help create a safer, more coordinated care environment for her.</w:t>
      </w:r>
    </w:p>
    <w:p w14:paraId="0016D98A" w14:textId="21609149" w:rsidR="004202EA" w:rsidRPr="004202EA" w:rsidRDefault="004202EA" w:rsidP="004202EA">
      <w:pPr>
        <w:spacing w:line="360" w:lineRule="auto"/>
        <w:rPr>
          <w:rFonts w:ascii="Arial" w:hAnsi="Arial" w:cs="Arial"/>
          <w:sz w:val="22"/>
          <w:szCs w:val="22"/>
        </w:rPr>
      </w:pPr>
    </w:p>
    <w:p w14:paraId="07A42AD9" w14:textId="4466C276" w:rsidR="004202EA" w:rsidRPr="004202EA" w:rsidRDefault="004202EA" w:rsidP="004202EA">
      <w:pPr>
        <w:spacing w:line="360" w:lineRule="auto"/>
        <w:rPr>
          <w:rFonts w:ascii="Arial" w:hAnsi="Arial" w:cs="Arial"/>
          <w:b/>
          <w:bCs/>
          <w:sz w:val="22"/>
          <w:szCs w:val="22"/>
        </w:rPr>
      </w:pPr>
      <w:r w:rsidRPr="004202EA">
        <w:rPr>
          <w:rFonts w:ascii="Arial" w:hAnsi="Arial" w:cs="Arial"/>
          <w:b/>
          <w:bCs/>
          <w:sz w:val="22"/>
          <w:szCs w:val="22"/>
        </w:rPr>
        <w:t xml:space="preserve">Collaborative and Multi-Agency Working </w:t>
      </w:r>
    </w:p>
    <w:p w14:paraId="400C84A6"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Mrs Mann’s rehabilitation depends on several professionals working together: her domiciliary care workers, physiotherapist, GP and family. Collaboration ensures that each professional understands her needs, progress and any emerging risks. When communication between agencies is weak, gaps in care or delays in treatment can occur. Glasby (2020) notes that multi-agency working improves outcomes by bringing together different expertise and perspectives.</w:t>
      </w:r>
    </w:p>
    <w:p w14:paraId="3B49B62E"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Care workers have daily contact with Mrs Mann, meaning they often notice changes first. Sharing this information promptly helps the physiotherapist modify her exercises and allows the GP to review pain or medication needs. However, collaboration is sometimes challenging due to different professional priorities, time pressures or inconsistent information sharing. Language barriers may also limit how easily Mrs Mann can express her symptoms to different professionals.</w:t>
      </w:r>
    </w:p>
    <w:p w14:paraId="15DEDD3A"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To improve joint working, services can use shared digital records, structured handovers and regular communication. The NHS Long Term Plan (2019) promotes integrated working across services to avoid fragmented care. Using interpreters ensures that Mrs Mann’s views are understood clearly and reduces the risk of miscommunication. Clear boundaries around information sharing, in line with the Data Protection Act 2018, support safe and lawful collaboration.</w:t>
      </w:r>
    </w:p>
    <w:p w14:paraId="21D9BDBC"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lastRenderedPageBreak/>
        <w:t>When professionals work together effectively, Mrs Mann experiences more coordinated care. Issues can be identified early, treatment decisions become more informed and her recovery is better supported. Multi-agency working therefore plays a key role in ensuring that she receives safe, consistent and holistic care.</w:t>
      </w:r>
    </w:p>
    <w:p w14:paraId="39508999" w14:textId="10B25100" w:rsidR="004202EA" w:rsidRPr="004202EA" w:rsidRDefault="004202EA" w:rsidP="004202EA">
      <w:pPr>
        <w:spacing w:line="360" w:lineRule="auto"/>
        <w:rPr>
          <w:rFonts w:ascii="Arial" w:hAnsi="Arial" w:cs="Arial"/>
          <w:sz w:val="22"/>
          <w:szCs w:val="22"/>
        </w:rPr>
      </w:pPr>
    </w:p>
    <w:p w14:paraId="61BB842D" w14:textId="00E36818" w:rsidR="004202EA" w:rsidRPr="004202EA" w:rsidRDefault="004202EA" w:rsidP="004202EA">
      <w:pPr>
        <w:spacing w:line="360" w:lineRule="auto"/>
        <w:rPr>
          <w:rFonts w:ascii="Arial" w:hAnsi="Arial" w:cs="Arial"/>
          <w:b/>
          <w:bCs/>
          <w:sz w:val="22"/>
          <w:szCs w:val="22"/>
        </w:rPr>
      </w:pPr>
      <w:r w:rsidRPr="004202EA">
        <w:rPr>
          <w:rFonts w:ascii="Arial" w:hAnsi="Arial" w:cs="Arial"/>
          <w:b/>
          <w:bCs/>
          <w:sz w:val="22"/>
          <w:szCs w:val="22"/>
        </w:rPr>
        <w:t xml:space="preserve">Conclusion </w:t>
      </w:r>
    </w:p>
    <w:p w14:paraId="71CAAB21" w14:textId="77777777" w:rsidR="004202EA" w:rsidRPr="004202EA" w:rsidRDefault="004202EA" w:rsidP="004202EA">
      <w:pPr>
        <w:spacing w:line="360" w:lineRule="auto"/>
        <w:rPr>
          <w:rFonts w:ascii="Arial" w:hAnsi="Arial" w:cs="Arial"/>
          <w:sz w:val="22"/>
          <w:szCs w:val="22"/>
        </w:rPr>
      </w:pPr>
      <w:r w:rsidRPr="004202EA">
        <w:rPr>
          <w:rFonts w:ascii="Arial" w:hAnsi="Arial" w:cs="Arial"/>
          <w:sz w:val="22"/>
          <w:szCs w:val="22"/>
        </w:rPr>
        <w:t>Mrs Mann’s situation shows how communication, administrative skills and multi-agency working are closely linked in shaping safe and effective care. Her language needs mean staff must adapt their communication style and ensure information is accessible and accurate. Using models such as Heron’s interventions, alongside legal guidance from the Equality Act 2010 and the Accessible Information Standard, helps promote dignity and understanding. Good administrative practice, supported by legislation such as the Data Protection Act 2018, ensures accurate and secure records, which are essential for continuity of care. Finally, collaborative working enables professionals to coordinate their roles effectively and respond promptly to changes in her condition. When these three elements work together, Mrs Mann’s recovery is safer, more consistent and more person-centred.</w:t>
      </w:r>
    </w:p>
    <w:p w14:paraId="071409B4" w14:textId="4762F32B" w:rsidR="004202EA" w:rsidRDefault="004202EA" w:rsidP="004202EA">
      <w:pPr>
        <w:spacing w:line="360" w:lineRule="auto"/>
        <w:rPr>
          <w:rFonts w:ascii="Arial" w:hAnsi="Arial" w:cs="Arial"/>
          <w:sz w:val="22"/>
          <w:szCs w:val="22"/>
        </w:rPr>
      </w:pPr>
    </w:p>
    <w:p w14:paraId="344696F5" w14:textId="77777777" w:rsidR="004202EA" w:rsidRDefault="004202EA" w:rsidP="004202EA">
      <w:pPr>
        <w:spacing w:line="360" w:lineRule="auto"/>
        <w:rPr>
          <w:rFonts w:ascii="Arial" w:hAnsi="Arial" w:cs="Arial"/>
          <w:sz w:val="22"/>
          <w:szCs w:val="22"/>
        </w:rPr>
      </w:pPr>
    </w:p>
    <w:p w14:paraId="65B33470" w14:textId="77777777" w:rsidR="004202EA" w:rsidRDefault="004202EA" w:rsidP="004202EA">
      <w:pPr>
        <w:spacing w:line="360" w:lineRule="auto"/>
        <w:rPr>
          <w:rFonts w:ascii="Arial" w:hAnsi="Arial" w:cs="Arial"/>
          <w:sz w:val="22"/>
          <w:szCs w:val="22"/>
        </w:rPr>
      </w:pPr>
    </w:p>
    <w:p w14:paraId="50981D3A" w14:textId="77777777" w:rsidR="004202EA" w:rsidRDefault="004202EA" w:rsidP="004202EA">
      <w:pPr>
        <w:spacing w:line="360" w:lineRule="auto"/>
        <w:rPr>
          <w:rFonts w:ascii="Arial" w:hAnsi="Arial" w:cs="Arial"/>
          <w:sz w:val="22"/>
          <w:szCs w:val="22"/>
        </w:rPr>
      </w:pPr>
    </w:p>
    <w:p w14:paraId="5F30C277" w14:textId="77777777" w:rsidR="004202EA" w:rsidRDefault="004202EA" w:rsidP="004202EA">
      <w:pPr>
        <w:spacing w:line="360" w:lineRule="auto"/>
        <w:rPr>
          <w:rFonts w:ascii="Arial" w:hAnsi="Arial" w:cs="Arial"/>
          <w:sz w:val="22"/>
          <w:szCs w:val="22"/>
        </w:rPr>
      </w:pPr>
    </w:p>
    <w:p w14:paraId="01BC3AA8" w14:textId="77777777" w:rsidR="004202EA" w:rsidRDefault="004202EA" w:rsidP="004202EA">
      <w:pPr>
        <w:spacing w:line="360" w:lineRule="auto"/>
        <w:rPr>
          <w:rFonts w:ascii="Arial" w:hAnsi="Arial" w:cs="Arial"/>
          <w:sz w:val="22"/>
          <w:szCs w:val="22"/>
        </w:rPr>
      </w:pPr>
    </w:p>
    <w:p w14:paraId="3295A1B1" w14:textId="77777777" w:rsidR="004202EA" w:rsidRDefault="004202EA" w:rsidP="004202EA">
      <w:pPr>
        <w:spacing w:line="360" w:lineRule="auto"/>
        <w:rPr>
          <w:rFonts w:ascii="Arial" w:hAnsi="Arial" w:cs="Arial"/>
          <w:sz w:val="22"/>
          <w:szCs w:val="22"/>
        </w:rPr>
      </w:pPr>
    </w:p>
    <w:p w14:paraId="1ECD61B1" w14:textId="77777777" w:rsidR="004202EA" w:rsidRDefault="004202EA" w:rsidP="004202EA">
      <w:pPr>
        <w:spacing w:line="360" w:lineRule="auto"/>
        <w:rPr>
          <w:rFonts w:ascii="Arial" w:hAnsi="Arial" w:cs="Arial"/>
          <w:sz w:val="22"/>
          <w:szCs w:val="22"/>
        </w:rPr>
      </w:pPr>
    </w:p>
    <w:p w14:paraId="7D30FA42" w14:textId="77777777" w:rsidR="004202EA" w:rsidRDefault="004202EA" w:rsidP="004202EA">
      <w:pPr>
        <w:spacing w:line="360" w:lineRule="auto"/>
        <w:rPr>
          <w:rFonts w:ascii="Arial" w:hAnsi="Arial" w:cs="Arial"/>
          <w:sz w:val="22"/>
          <w:szCs w:val="22"/>
        </w:rPr>
      </w:pPr>
    </w:p>
    <w:p w14:paraId="525133BC" w14:textId="77777777" w:rsidR="004202EA" w:rsidRDefault="004202EA" w:rsidP="004202EA">
      <w:pPr>
        <w:spacing w:line="360" w:lineRule="auto"/>
        <w:rPr>
          <w:rFonts w:ascii="Arial" w:hAnsi="Arial" w:cs="Arial"/>
          <w:sz w:val="22"/>
          <w:szCs w:val="22"/>
        </w:rPr>
      </w:pPr>
    </w:p>
    <w:p w14:paraId="33DD4B83" w14:textId="77777777" w:rsidR="004202EA" w:rsidRDefault="004202EA" w:rsidP="004202EA">
      <w:pPr>
        <w:spacing w:line="360" w:lineRule="auto"/>
        <w:rPr>
          <w:rFonts w:ascii="Arial" w:hAnsi="Arial" w:cs="Arial"/>
          <w:sz w:val="22"/>
          <w:szCs w:val="22"/>
        </w:rPr>
      </w:pPr>
    </w:p>
    <w:p w14:paraId="574AB41F" w14:textId="77777777" w:rsidR="004202EA" w:rsidRDefault="004202EA" w:rsidP="004202EA">
      <w:pPr>
        <w:spacing w:line="360" w:lineRule="auto"/>
        <w:rPr>
          <w:rFonts w:ascii="Arial" w:hAnsi="Arial" w:cs="Arial"/>
          <w:sz w:val="22"/>
          <w:szCs w:val="22"/>
        </w:rPr>
      </w:pPr>
    </w:p>
    <w:p w14:paraId="6F988895" w14:textId="77777777" w:rsidR="004202EA" w:rsidRPr="004202EA" w:rsidRDefault="004202EA" w:rsidP="004202EA">
      <w:pPr>
        <w:spacing w:line="360" w:lineRule="auto"/>
        <w:rPr>
          <w:rFonts w:ascii="Arial" w:hAnsi="Arial" w:cs="Arial"/>
          <w:sz w:val="22"/>
          <w:szCs w:val="22"/>
        </w:rPr>
      </w:pPr>
    </w:p>
    <w:p w14:paraId="6A57BC26" w14:textId="19E17731" w:rsidR="004202EA" w:rsidRPr="004202EA" w:rsidRDefault="004202EA" w:rsidP="004202EA">
      <w:pPr>
        <w:spacing w:line="360" w:lineRule="auto"/>
        <w:rPr>
          <w:rFonts w:ascii="Arial" w:hAnsi="Arial" w:cs="Arial"/>
          <w:b/>
          <w:bCs/>
          <w:sz w:val="22"/>
          <w:szCs w:val="22"/>
        </w:rPr>
      </w:pPr>
      <w:r w:rsidRPr="004202EA">
        <w:rPr>
          <w:rFonts w:ascii="Arial" w:hAnsi="Arial" w:cs="Arial"/>
          <w:b/>
          <w:bCs/>
          <w:sz w:val="22"/>
          <w:szCs w:val="22"/>
        </w:rPr>
        <w:lastRenderedPageBreak/>
        <w:t xml:space="preserve">Reference List </w:t>
      </w:r>
    </w:p>
    <w:p w14:paraId="4E443F8F"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Care Inspectorate (2021) </w:t>
      </w:r>
      <w:r w:rsidRPr="004B7CD5">
        <w:rPr>
          <w:rFonts w:ascii="Arial" w:hAnsi="Arial" w:cs="Arial"/>
          <w:i/>
          <w:iCs/>
          <w:sz w:val="22"/>
          <w:szCs w:val="22"/>
        </w:rPr>
        <w:t>Records: Guidance for Care Services</w:t>
      </w:r>
      <w:r w:rsidRPr="004B7CD5">
        <w:rPr>
          <w:rFonts w:ascii="Arial" w:hAnsi="Arial" w:cs="Arial"/>
          <w:sz w:val="22"/>
          <w:szCs w:val="22"/>
        </w:rPr>
        <w:t xml:space="preserve">. Available at: </w:t>
      </w:r>
      <w:hyperlink r:id="rId8" w:tgtFrame="_new" w:history="1">
        <w:r w:rsidRPr="004B7CD5">
          <w:rPr>
            <w:rStyle w:val="Hyperlink"/>
            <w:rFonts w:ascii="Arial" w:hAnsi="Arial" w:cs="Arial"/>
            <w:sz w:val="22"/>
            <w:szCs w:val="22"/>
          </w:rPr>
          <w:t>https://www.careinspectorate.com</w:t>
        </w:r>
      </w:hyperlink>
      <w:r w:rsidRPr="004B7CD5">
        <w:rPr>
          <w:rFonts w:ascii="Arial" w:hAnsi="Arial" w:cs="Arial"/>
          <w:sz w:val="22"/>
          <w:szCs w:val="22"/>
        </w:rPr>
        <w:t xml:space="preserve"> (Accessed: </w:t>
      </w:r>
      <w:r w:rsidRPr="004B7CD5">
        <w:rPr>
          <w:rFonts w:ascii="Arial" w:hAnsi="Arial" w:cs="Arial"/>
          <w:b/>
          <w:bCs/>
          <w:sz w:val="22"/>
          <w:szCs w:val="22"/>
        </w:rPr>
        <w:t>6 December 2025</w:t>
      </w:r>
      <w:r w:rsidRPr="004B7CD5">
        <w:rPr>
          <w:rFonts w:ascii="Arial" w:hAnsi="Arial" w:cs="Arial"/>
          <w:sz w:val="22"/>
          <w:szCs w:val="22"/>
        </w:rPr>
        <w:t>).</w:t>
      </w:r>
    </w:p>
    <w:p w14:paraId="2B472AB7"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Equality Act 2010. (2010) </w:t>
      </w:r>
      <w:r w:rsidRPr="004B7CD5">
        <w:rPr>
          <w:rFonts w:ascii="Arial" w:hAnsi="Arial" w:cs="Arial"/>
          <w:i/>
          <w:iCs/>
          <w:sz w:val="22"/>
          <w:szCs w:val="22"/>
        </w:rPr>
        <w:t>UK Public General Acts</w:t>
      </w:r>
      <w:r w:rsidRPr="004B7CD5">
        <w:rPr>
          <w:rFonts w:ascii="Arial" w:hAnsi="Arial" w:cs="Arial"/>
          <w:sz w:val="22"/>
          <w:szCs w:val="22"/>
        </w:rPr>
        <w:t>. London: HMSO.</w:t>
      </w:r>
      <w:r w:rsidRPr="004B7CD5">
        <w:rPr>
          <w:rFonts w:ascii="Arial" w:hAnsi="Arial" w:cs="Arial"/>
          <w:sz w:val="22"/>
          <w:szCs w:val="22"/>
        </w:rPr>
        <w:br/>
      </w:r>
      <w:r w:rsidRPr="004B7CD5">
        <w:rPr>
          <w:rFonts w:ascii="Arial" w:hAnsi="Arial" w:cs="Arial"/>
          <w:i/>
          <w:iCs/>
          <w:sz w:val="22"/>
          <w:szCs w:val="22"/>
        </w:rPr>
        <w:t>(No access date needed because it is legislation.)</w:t>
      </w:r>
    </w:p>
    <w:p w14:paraId="643E792F"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Glasby, J. (2020) </w:t>
      </w:r>
      <w:r w:rsidRPr="004B7CD5">
        <w:rPr>
          <w:rFonts w:ascii="Arial" w:hAnsi="Arial" w:cs="Arial"/>
          <w:i/>
          <w:iCs/>
          <w:sz w:val="22"/>
          <w:szCs w:val="22"/>
        </w:rPr>
        <w:t>Understanding Health and Social Care</w:t>
      </w:r>
      <w:r w:rsidRPr="004B7CD5">
        <w:rPr>
          <w:rFonts w:ascii="Arial" w:hAnsi="Arial" w:cs="Arial"/>
          <w:sz w:val="22"/>
          <w:szCs w:val="22"/>
        </w:rPr>
        <w:t xml:space="preserve">. 4th </w:t>
      </w:r>
      <w:proofErr w:type="spellStart"/>
      <w:r w:rsidRPr="004B7CD5">
        <w:rPr>
          <w:rFonts w:ascii="Arial" w:hAnsi="Arial" w:cs="Arial"/>
          <w:sz w:val="22"/>
          <w:szCs w:val="22"/>
        </w:rPr>
        <w:t>edn</w:t>
      </w:r>
      <w:proofErr w:type="spellEnd"/>
      <w:r w:rsidRPr="004B7CD5">
        <w:rPr>
          <w:rFonts w:ascii="Arial" w:hAnsi="Arial" w:cs="Arial"/>
          <w:sz w:val="22"/>
          <w:szCs w:val="22"/>
        </w:rPr>
        <w:t>. London: Red Globe Press.</w:t>
      </w:r>
      <w:r w:rsidRPr="004B7CD5">
        <w:rPr>
          <w:rFonts w:ascii="Arial" w:hAnsi="Arial" w:cs="Arial"/>
          <w:sz w:val="22"/>
          <w:szCs w:val="22"/>
        </w:rPr>
        <w:br/>
        <w:t xml:space="preserve">(Accessed: </w:t>
      </w:r>
      <w:r w:rsidRPr="004B7CD5">
        <w:rPr>
          <w:rFonts w:ascii="Arial" w:hAnsi="Arial" w:cs="Arial"/>
          <w:b/>
          <w:bCs/>
          <w:sz w:val="22"/>
          <w:szCs w:val="22"/>
        </w:rPr>
        <w:t>4 December 2025</w:t>
      </w:r>
      <w:r w:rsidRPr="004B7CD5">
        <w:rPr>
          <w:rFonts w:ascii="Arial" w:hAnsi="Arial" w:cs="Arial"/>
          <w:sz w:val="22"/>
          <w:szCs w:val="22"/>
        </w:rPr>
        <w:t>).</w:t>
      </w:r>
    </w:p>
    <w:p w14:paraId="4BBBDD96"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Heron, J. (1975) </w:t>
      </w:r>
      <w:r w:rsidRPr="004B7CD5">
        <w:rPr>
          <w:rFonts w:ascii="Arial" w:hAnsi="Arial" w:cs="Arial"/>
          <w:i/>
          <w:iCs/>
          <w:sz w:val="22"/>
          <w:szCs w:val="22"/>
        </w:rPr>
        <w:t>A Six-Category Intervention Analysis</w:t>
      </w:r>
      <w:r w:rsidRPr="004B7CD5">
        <w:rPr>
          <w:rFonts w:ascii="Arial" w:hAnsi="Arial" w:cs="Arial"/>
          <w:sz w:val="22"/>
          <w:szCs w:val="22"/>
        </w:rPr>
        <w:t>. London: Human Potential Research Project.</w:t>
      </w:r>
      <w:r w:rsidRPr="004B7CD5">
        <w:rPr>
          <w:rFonts w:ascii="Arial" w:hAnsi="Arial" w:cs="Arial"/>
          <w:sz w:val="22"/>
          <w:szCs w:val="22"/>
        </w:rPr>
        <w:br/>
        <w:t xml:space="preserve">(Accessed: </w:t>
      </w:r>
      <w:r w:rsidRPr="004B7CD5">
        <w:rPr>
          <w:rFonts w:ascii="Arial" w:hAnsi="Arial" w:cs="Arial"/>
          <w:b/>
          <w:bCs/>
          <w:sz w:val="22"/>
          <w:szCs w:val="22"/>
        </w:rPr>
        <w:t>7 December 2025</w:t>
      </w:r>
      <w:r w:rsidRPr="004B7CD5">
        <w:rPr>
          <w:rFonts w:ascii="Arial" w:hAnsi="Arial" w:cs="Arial"/>
          <w:sz w:val="22"/>
          <w:szCs w:val="22"/>
        </w:rPr>
        <w:t>).</w:t>
      </w:r>
    </w:p>
    <w:p w14:paraId="01309159"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Hughes, M. (2020) </w:t>
      </w:r>
      <w:r w:rsidRPr="004B7CD5">
        <w:rPr>
          <w:rFonts w:ascii="Arial" w:hAnsi="Arial" w:cs="Arial"/>
          <w:i/>
          <w:iCs/>
          <w:sz w:val="22"/>
          <w:szCs w:val="22"/>
        </w:rPr>
        <w:t>Professional Writing in Health and Social Care</w:t>
      </w:r>
      <w:r w:rsidRPr="004B7CD5">
        <w:rPr>
          <w:rFonts w:ascii="Arial" w:hAnsi="Arial" w:cs="Arial"/>
          <w:sz w:val="22"/>
          <w:szCs w:val="22"/>
        </w:rPr>
        <w:t>. London: Sage.</w:t>
      </w:r>
      <w:r w:rsidRPr="004B7CD5">
        <w:rPr>
          <w:rFonts w:ascii="Arial" w:hAnsi="Arial" w:cs="Arial"/>
          <w:sz w:val="22"/>
          <w:szCs w:val="22"/>
        </w:rPr>
        <w:br/>
        <w:t xml:space="preserve">(Accessed: </w:t>
      </w:r>
      <w:r w:rsidRPr="004B7CD5">
        <w:rPr>
          <w:rFonts w:ascii="Arial" w:hAnsi="Arial" w:cs="Arial"/>
          <w:b/>
          <w:bCs/>
          <w:sz w:val="22"/>
          <w:szCs w:val="22"/>
        </w:rPr>
        <w:t>5 December 2025</w:t>
      </w:r>
      <w:r w:rsidRPr="004B7CD5">
        <w:rPr>
          <w:rFonts w:ascii="Arial" w:hAnsi="Arial" w:cs="Arial"/>
          <w:sz w:val="22"/>
          <w:szCs w:val="22"/>
        </w:rPr>
        <w:t>).</w:t>
      </w:r>
    </w:p>
    <w:p w14:paraId="3F44AC3E"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Morris, S. (2021) </w:t>
      </w:r>
      <w:r w:rsidRPr="004B7CD5">
        <w:rPr>
          <w:rFonts w:ascii="Arial" w:hAnsi="Arial" w:cs="Arial"/>
          <w:i/>
          <w:iCs/>
          <w:sz w:val="22"/>
          <w:szCs w:val="22"/>
        </w:rPr>
        <w:t>Interpreting and Communication in Health Settings</w:t>
      </w:r>
      <w:r w:rsidRPr="004B7CD5">
        <w:rPr>
          <w:rFonts w:ascii="Arial" w:hAnsi="Arial" w:cs="Arial"/>
          <w:sz w:val="22"/>
          <w:szCs w:val="22"/>
        </w:rPr>
        <w:t>. London: Routledge.</w:t>
      </w:r>
      <w:r w:rsidRPr="004B7CD5">
        <w:rPr>
          <w:rFonts w:ascii="Arial" w:hAnsi="Arial" w:cs="Arial"/>
          <w:sz w:val="22"/>
          <w:szCs w:val="22"/>
        </w:rPr>
        <w:br/>
        <w:t xml:space="preserve">(Accessed: </w:t>
      </w:r>
      <w:r w:rsidRPr="004B7CD5">
        <w:rPr>
          <w:rFonts w:ascii="Arial" w:hAnsi="Arial" w:cs="Arial"/>
          <w:b/>
          <w:bCs/>
          <w:sz w:val="22"/>
          <w:szCs w:val="22"/>
        </w:rPr>
        <w:t>3 December 2025</w:t>
      </w:r>
      <w:r w:rsidRPr="004B7CD5">
        <w:rPr>
          <w:rFonts w:ascii="Arial" w:hAnsi="Arial" w:cs="Arial"/>
          <w:sz w:val="22"/>
          <w:szCs w:val="22"/>
        </w:rPr>
        <w:t>).</w:t>
      </w:r>
    </w:p>
    <w:p w14:paraId="4890A71B"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NHS England (2016) </w:t>
      </w:r>
      <w:r w:rsidRPr="004B7CD5">
        <w:rPr>
          <w:rFonts w:ascii="Arial" w:hAnsi="Arial" w:cs="Arial"/>
          <w:i/>
          <w:iCs/>
          <w:sz w:val="22"/>
          <w:szCs w:val="22"/>
        </w:rPr>
        <w:t>Accessible Information Standard</w:t>
      </w:r>
      <w:r w:rsidRPr="004B7CD5">
        <w:rPr>
          <w:rFonts w:ascii="Arial" w:hAnsi="Arial" w:cs="Arial"/>
          <w:sz w:val="22"/>
          <w:szCs w:val="22"/>
        </w:rPr>
        <w:t xml:space="preserve">. Available at: </w:t>
      </w:r>
      <w:hyperlink r:id="rId9" w:tgtFrame="_new" w:history="1">
        <w:r w:rsidRPr="004B7CD5">
          <w:rPr>
            <w:rStyle w:val="Hyperlink"/>
            <w:rFonts w:ascii="Arial" w:hAnsi="Arial" w:cs="Arial"/>
            <w:sz w:val="22"/>
            <w:szCs w:val="22"/>
          </w:rPr>
          <w:t>https://www.england.nhs.uk</w:t>
        </w:r>
      </w:hyperlink>
      <w:r w:rsidRPr="004B7CD5">
        <w:rPr>
          <w:rFonts w:ascii="Arial" w:hAnsi="Arial" w:cs="Arial"/>
          <w:sz w:val="22"/>
          <w:szCs w:val="22"/>
        </w:rPr>
        <w:t xml:space="preserve"> (Accessed: </w:t>
      </w:r>
      <w:r w:rsidRPr="004B7CD5">
        <w:rPr>
          <w:rFonts w:ascii="Arial" w:hAnsi="Arial" w:cs="Arial"/>
          <w:b/>
          <w:bCs/>
          <w:sz w:val="22"/>
          <w:szCs w:val="22"/>
        </w:rPr>
        <w:t>2 December 2025</w:t>
      </w:r>
      <w:r w:rsidRPr="004B7CD5">
        <w:rPr>
          <w:rFonts w:ascii="Arial" w:hAnsi="Arial" w:cs="Arial"/>
          <w:sz w:val="22"/>
          <w:szCs w:val="22"/>
        </w:rPr>
        <w:t>).</w:t>
      </w:r>
    </w:p>
    <w:p w14:paraId="7067A147"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NHS England (2019) </w:t>
      </w:r>
      <w:r w:rsidRPr="004B7CD5">
        <w:rPr>
          <w:rFonts w:ascii="Arial" w:hAnsi="Arial" w:cs="Arial"/>
          <w:i/>
          <w:iCs/>
          <w:sz w:val="22"/>
          <w:szCs w:val="22"/>
        </w:rPr>
        <w:t>The NHS Long Term Plan</w:t>
      </w:r>
      <w:r w:rsidRPr="004B7CD5">
        <w:rPr>
          <w:rFonts w:ascii="Arial" w:hAnsi="Arial" w:cs="Arial"/>
          <w:sz w:val="22"/>
          <w:szCs w:val="22"/>
        </w:rPr>
        <w:t xml:space="preserve">. Available at: </w:t>
      </w:r>
      <w:hyperlink r:id="rId10" w:tgtFrame="_new" w:history="1">
        <w:r w:rsidRPr="004B7CD5">
          <w:rPr>
            <w:rStyle w:val="Hyperlink"/>
            <w:rFonts w:ascii="Arial" w:hAnsi="Arial" w:cs="Arial"/>
            <w:sz w:val="22"/>
            <w:szCs w:val="22"/>
          </w:rPr>
          <w:t>https://www.england.nhs.uk</w:t>
        </w:r>
      </w:hyperlink>
      <w:r w:rsidRPr="004B7CD5">
        <w:rPr>
          <w:rFonts w:ascii="Arial" w:hAnsi="Arial" w:cs="Arial"/>
          <w:sz w:val="22"/>
          <w:szCs w:val="22"/>
        </w:rPr>
        <w:t xml:space="preserve"> (Accessed: </w:t>
      </w:r>
      <w:r w:rsidRPr="004B7CD5">
        <w:rPr>
          <w:rFonts w:ascii="Arial" w:hAnsi="Arial" w:cs="Arial"/>
          <w:b/>
          <w:bCs/>
          <w:sz w:val="22"/>
          <w:szCs w:val="22"/>
        </w:rPr>
        <w:t>8 December 2025</w:t>
      </w:r>
      <w:r w:rsidRPr="004B7CD5">
        <w:rPr>
          <w:rFonts w:ascii="Arial" w:hAnsi="Arial" w:cs="Arial"/>
          <w:sz w:val="22"/>
          <w:szCs w:val="22"/>
        </w:rPr>
        <w:t>).</w:t>
      </w:r>
    </w:p>
    <w:p w14:paraId="52A32544"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Royal College of Nursing (2022) </w:t>
      </w:r>
      <w:r w:rsidRPr="004B7CD5">
        <w:rPr>
          <w:rFonts w:ascii="Arial" w:hAnsi="Arial" w:cs="Arial"/>
          <w:i/>
          <w:iCs/>
          <w:sz w:val="22"/>
          <w:szCs w:val="22"/>
        </w:rPr>
        <w:t>Record Keeping Guidance</w:t>
      </w:r>
      <w:r w:rsidRPr="004B7CD5">
        <w:rPr>
          <w:rFonts w:ascii="Arial" w:hAnsi="Arial" w:cs="Arial"/>
          <w:sz w:val="22"/>
          <w:szCs w:val="22"/>
        </w:rPr>
        <w:t xml:space="preserve">. Available at: </w:t>
      </w:r>
      <w:hyperlink r:id="rId11" w:tgtFrame="_new" w:history="1">
        <w:r w:rsidRPr="004B7CD5">
          <w:rPr>
            <w:rStyle w:val="Hyperlink"/>
            <w:rFonts w:ascii="Arial" w:hAnsi="Arial" w:cs="Arial"/>
            <w:sz w:val="22"/>
            <w:szCs w:val="22"/>
          </w:rPr>
          <w:t>https://www.rcn.org.uk</w:t>
        </w:r>
      </w:hyperlink>
      <w:r w:rsidRPr="004B7CD5">
        <w:rPr>
          <w:rFonts w:ascii="Arial" w:hAnsi="Arial" w:cs="Arial"/>
          <w:sz w:val="22"/>
          <w:szCs w:val="22"/>
        </w:rPr>
        <w:t xml:space="preserve"> (Accessed: </w:t>
      </w:r>
      <w:r w:rsidRPr="004B7CD5">
        <w:rPr>
          <w:rFonts w:ascii="Arial" w:hAnsi="Arial" w:cs="Arial"/>
          <w:b/>
          <w:bCs/>
          <w:sz w:val="22"/>
          <w:szCs w:val="22"/>
        </w:rPr>
        <w:t>1 December 2025</w:t>
      </w:r>
      <w:r w:rsidRPr="004B7CD5">
        <w:rPr>
          <w:rFonts w:ascii="Arial" w:hAnsi="Arial" w:cs="Arial"/>
          <w:sz w:val="22"/>
          <w:szCs w:val="22"/>
        </w:rPr>
        <w:t>).</w:t>
      </w:r>
    </w:p>
    <w:p w14:paraId="57D980F0"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SCIE (2021) </w:t>
      </w:r>
      <w:r w:rsidRPr="004B7CD5">
        <w:rPr>
          <w:rFonts w:ascii="Arial" w:hAnsi="Arial" w:cs="Arial"/>
          <w:i/>
          <w:iCs/>
          <w:sz w:val="22"/>
          <w:szCs w:val="22"/>
        </w:rPr>
        <w:t>Communicating Effectively</w:t>
      </w:r>
      <w:r w:rsidRPr="004B7CD5">
        <w:rPr>
          <w:rFonts w:ascii="Arial" w:hAnsi="Arial" w:cs="Arial"/>
          <w:sz w:val="22"/>
          <w:szCs w:val="22"/>
        </w:rPr>
        <w:t xml:space="preserve">. Available at: </w:t>
      </w:r>
      <w:hyperlink r:id="rId12" w:tgtFrame="_new" w:history="1">
        <w:r w:rsidRPr="004B7CD5">
          <w:rPr>
            <w:rStyle w:val="Hyperlink"/>
            <w:rFonts w:ascii="Arial" w:hAnsi="Arial" w:cs="Arial"/>
            <w:sz w:val="22"/>
            <w:szCs w:val="22"/>
          </w:rPr>
          <w:t>https://www.scie.org.uk</w:t>
        </w:r>
      </w:hyperlink>
      <w:r w:rsidRPr="004B7CD5">
        <w:rPr>
          <w:rFonts w:ascii="Arial" w:hAnsi="Arial" w:cs="Arial"/>
          <w:sz w:val="22"/>
          <w:szCs w:val="22"/>
        </w:rPr>
        <w:t xml:space="preserve"> (Accessed: </w:t>
      </w:r>
      <w:r w:rsidRPr="004B7CD5">
        <w:rPr>
          <w:rFonts w:ascii="Arial" w:hAnsi="Arial" w:cs="Arial"/>
          <w:b/>
          <w:bCs/>
          <w:sz w:val="22"/>
          <w:szCs w:val="22"/>
        </w:rPr>
        <w:t>6 December 2025</w:t>
      </w:r>
      <w:r w:rsidRPr="004B7CD5">
        <w:rPr>
          <w:rFonts w:ascii="Arial" w:hAnsi="Arial" w:cs="Arial"/>
          <w:sz w:val="22"/>
          <w:szCs w:val="22"/>
        </w:rPr>
        <w:t>).</w:t>
      </w:r>
    </w:p>
    <w:p w14:paraId="4E344BDB" w14:textId="77777777" w:rsidR="004B7CD5" w:rsidRPr="004B7CD5" w:rsidRDefault="004B7CD5" w:rsidP="004B7CD5">
      <w:pPr>
        <w:spacing w:line="360" w:lineRule="auto"/>
        <w:rPr>
          <w:rFonts w:ascii="Arial" w:hAnsi="Arial" w:cs="Arial"/>
          <w:sz w:val="22"/>
          <w:szCs w:val="22"/>
        </w:rPr>
      </w:pPr>
      <w:r w:rsidRPr="004B7CD5">
        <w:rPr>
          <w:rFonts w:ascii="Arial" w:hAnsi="Arial" w:cs="Arial"/>
          <w:sz w:val="22"/>
          <w:szCs w:val="22"/>
        </w:rPr>
        <w:t xml:space="preserve">Silverman, J. (2020) </w:t>
      </w:r>
      <w:r w:rsidRPr="004B7CD5">
        <w:rPr>
          <w:rFonts w:ascii="Arial" w:hAnsi="Arial" w:cs="Arial"/>
          <w:i/>
          <w:iCs/>
          <w:sz w:val="22"/>
          <w:szCs w:val="22"/>
        </w:rPr>
        <w:t>Skills for Communicating with Patients</w:t>
      </w:r>
      <w:r w:rsidRPr="004B7CD5">
        <w:rPr>
          <w:rFonts w:ascii="Arial" w:hAnsi="Arial" w:cs="Arial"/>
          <w:sz w:val="22"/>
          <w:szCs w:val="22"/>
        </w:rPr>
        <w:t xml:space="preserve">. 4th </w:t>
      </w:r>
      <w:proofErr w:type="spellStart"/>
      <w:r w:rsidRPr="004B7CD5">
        <w:rPr>
          <w:rFonts w:ascii="Arial" w:hAnsi="Arial" w:cs="Arial"/>
          <w:sz w:val="22"/>
          <w:szCs w:val="22"/>
        </w:rPr>
        <w:t>edn</w:t>
      </w:r>
      <w:proofErr w:type="spellEnd"/>
      <w:r w:rsidRPr="004B7CD5">
        <w:rPr>
          <w:rFonts w:ascii="Arial" w:hAnsi="Arial" w:cs="Arial"/>
          <w:sz w:val="22"/>
          <w:szCs w:val="22"/>
        </w:rPr>
        <w:t>. London: CRC Press.</w:t>
      </w:r>
      <w:r w:rsidRPr="004B7CD5">
        <w:rPr>
          <w:rFonts w:ascii="Arial" w:hAnsi="Arial" w:cs="Arial"/>
          <w:sz w:val="22"/>
          <w:szCs w:val="22"/>
        </w:rPr>
        <w:br/>
        <w:t xml:space="preserve">(Accessed: </w:t>
      </w:r>
      <w:r w:rsidRPr="004B7CD5">
        <w:rPr>
          <w:rFonts w:ascii="Arial" w:hAnsi="Arial" w:cs="Arial"/>
          <w:b/>
          <w:bCs/>
          <w:sz w:val="22"/>
          <w:szCs w:val="22"/>
        </w:rPr>
        <w:t>5 December 2025</w:t>
      </w:r>
      <w:r w:rsidRPr="004B7CD5">
        <w:rPr>
          <w:rFonts w:ascii="Arial" w:hAnsi="Arial" w:cs="Arial"/>
          <w:sz w:val="22"/>
          <w:szCs w:val="22"/>
        </w:rPr>
        <w:t>).</w:t>
      </w:r>
    </w:p>
    <w:p w14:paraId="7690149C" w14:textId="77777777" w:rsidR="00784100" w:rsidRPr="004202EA" w:rsidRDefault="00784100" w:rsidP="004202EA">
      <w:pPr>
        <w:spacing w:line="360" w:lineRule="auto"/>
        <w:rPr>
          <w:rFonts w:ascii="Arial" w:hAnsi="Arial" w:cs="Arial"/>
          <w:sz w:val="22"/>
          <w:szCs w:val="22"/>
        </w:rPr>
      </w:pPr>
    </w:p>
    <w:sectPr w:rsidR="00784100" w:rsidRPr="004202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09E7A" w14:textId="77777777" w:rsidR="007A4538" w:rsidRDefault="007A4538" w:rsidP="00744CC8">
      <w:pPr>
        <w:spacing w:after="0" w:line="240" w:lineRule="auto"/>
      </w:pPr>
      <w:r>
        <w:separator/>
      </w:r>
    </w:p>
  </w:endnote>
  <w:endnote w:type="continuationSeparator" w:id="0">
    <w:p w14:paraId="0BEAA93B" w14:textId="77777777" w:rsidR="007A4538" w:rsidRDefault="007A4538" w:rsidP="00744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F8097" w14:textId="77777777" w:rsidR="007A4538" w:rsidRDefault="007A4538" w:rsidP="00744CC8">
      <w:pPr>
        <w:spacing w:after="0" w:line="240" w:lineRule="auto"/>
      </w:pPr>
      <w:r>
        <w:separator/>
      </w:r>
    </w:p>
  </w:footnote>
  <w:footnote w:type="continuationSeparator" w:id="0">
    <w:p w14:paraId="61A31D95" w14:textId="77777777" w:rsidR="007A4538" w:rsidRDefault="007A4538" w:rsidP="00744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4E1"/>
    <w:multiLevelType w:val="multilevel"/>
    <w:tmpl w:val="500A1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0662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CC8"/>
    <w:rsid w:val="002163BD"/>
    <w:rsid w:val="002B4C32"/>
    <w:rsid w:val="00391542"/>
    <w:rsid w:val="004202EA"/>
    <w:rsid w:val="004B7CD5"/>
    <w:rsid w:val="00733D4B"/>
    <w:rsid w:val="00744CC8"/>
    <w:rsid w:val="00784100"/>
    <w:rsid w:val="007A4538"/>
    <w:rsid w:val="00AA47D4"/>
    <w:rsid w:val="00B03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27D8F"/>
  <w15:chartTrackingRefBased/>
  <w15:docId w15:val="{C400FB0A-4C51-4EEE-99F9-0572BFCF9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4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4C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4C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4C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4C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C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C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C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C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4C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4C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4C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4C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4C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C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C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CC8"/>
    <w:rPr>
      <w:rFonts w:eastAsiaTheme="majorEastAsia" w:cstheme="majorBidi"/>
      <w:color w:val="272727" w:themeColor="text1" w:themeTint="D8"/>
    </w:rPr>
  </w:style>
  <w:style w:type="paragraph" w:styleId="Title">
    <w:name w:val="Title"/>
    <w:basedOn w:val="Normal"/>
    <w:next w:val="Normal"/>
    <w:link w:val="TitleChar"/>
    <w:uiPriority w:val="10"/>
    <w:qFormat/>
    <w:rsid w:val="00744C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C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C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C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CC8"/>
    <w:pPr>
      <w:spacing w:before="160"/>
      <w:jc w:val="center"/>
    </w:pPr>
    <w:rPr>
      <w:i/>
      <w:iCs/>
      <w:color w:val="404040" w:themeColor="text1" w:themeTint="BF"/>
    </w:rPr>
  </w:style>
  <w:style w:type="character" w:customStyle="1" w:styleId="QuoteChar">
    <w:name w:val="Quote Char"/>
    <w:basedOn w:val="DefaultParagraphFont"/>
    <w:link w:val="Quote"/>
    <w:uiPriority w:val="29"/>
    <w:rsid w:val="00744CC8"/>
    <w:rPr>
      <w:i/>
      <w:iCs/>
      <w:color w:val="404040" w:themeColor="text1" w:themeTint="BF"/>
    </w:rPr>
  </w:style>
  <w:style w:type="paragraph" w:styleId="ListParagraph">
    <w:name w:val="List Paragraph"/>
    <w:basedOn w:val="Normal"/>
    <w:uiPriority w:val="34"/>
    <w:qFormat/>
    <w:rsid w:val="00744CC8"/>
    <w:pPr>
      <w:ind w:left="720"/>
      <w:contextualSpacing/>
    </w:pPr>
  </w:style>
  <w:style w:type="character" w:styleId="IntenseEmphasis">
    <w:name w:val="Intense Emphasis"/>
    <w:basedOn w:val="DefaultParagraphFont"/>
    <w:uiPriority w:val="21"/>
    <w:qFormat/>
    <w:rsid w:val="00744CC8"/>
    <w:rPr>
      <w:i/>
      <w:iCs/>
      <w:color w:val="0F4761" w:themeColor="accent1" w:themeShade="BF"/>
    </w:rPr>
  </w:style>
  <w:style w:type="paragraph" w:styleId="IntenseQuote">
    <w:name w:val="Intense Quote"/>
    <w:basedOn w:val="Normal"/>
    <w:next w:val="Normal"/>
    <w:link w:val="IntenseQuoteChar"/>
    <w:uiPriority w:val="30"/>
    <w:qFormat/>
    <w:rsid w:val="00744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4CC8"/>
    <w:rPr>
      <w:i/>
      <w:iCs/>
      <w:color w:val="0F4761" w:themeColor="accent1" w:themeShade="BF"/>
    </w:rPr>
  </w:style>
  <w:style w:type="character" w:styleId="IntenseReference">
    <w:name w:val="Intense Reference"/>
    <w:basedOn w:val="DefaultParagraphFont"/>
    <w:uiPriority w:val="32"/>
    <w:qFormat/>
    <w:rsid w:val="00744CC8"/>
    <w:rPr>
      <w:b/>
      <w:bCs/>
      <w:smallCaps/>
      <w:color w:val="0F4761" w:themeColor="accent1" w:themeShade="BF"/>
      <w:spacing w:val="5"/>
    </w:rPr>
  </w:style>
  <w:style w:type="character" w:styleId="Hyperlink">
    <w:name w:val="Hyperlink"/>
    <w:basedOn w:val="DefaultParagraphFont"/>
    <w:uiPriority w:val="99"/>
    <w:unhideWhenUsed/>
    <w:rsid w:val="00744CC8"/>
    <w:rPr>
      <w:color w:val="467886" w:themeColor="hyperlink"/>
      <w:u w:val="single"/>
    </w:rPr>
  </w:style>
  <w:style w:type="character" w:styleId="UnresolvedMention">
    <w:name w:val="Unresolved Mention"/>
    <w:basedOn w:val="DefaultParagraphFont"/>
    <w:uiPriority w:val="99"/>
    <w:semiHidden/>
    <w:unhideWhenUsed/>
    <w:rsid w:val="00744CC8"/>
    <w:rPr>
      <w:color w:val="605E5C"/>
      <w:shd w:val="clear" w:color="auto" w:fill="E1DFDD"/>
    </w:rPr>
  </w:style>
  <w:style w:type="paragraph" w:styleId="Header">
    <w:name w:val="header"/>
    <w:basedOn w:val="Normal"/>
    <w:link w:val="HeaderChar"/>
    <w:uiPriority w:val="99"/>
    <w:unhideWhenUsed/>
    <w:rsid w:val="00744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CC8"/>
  </w:style>
  <w:style w:type="paragraph" w:styleId="Footer">
    <w:name w:val="footer"/>
    <w:basedOn w:val="Normal"/>
    <w:link w:val="FooterChar"/>
    <w:uiPriority w:val="99"/>
    <w:unhideWhenUsed/>
    <w:rsid w:val="00744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ci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n.org.uk" TargetMode="External"/><Relationship Id="rId5" Type="http://schemas.openxmlformats.org/officeDocument/2006/relationships/footnotes" Target="footnotes.xml"/><Relationship Id="rId10"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https://www.england.nh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1582</Words>
  <Characters>9021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Sabrina Judge</cp:lastModifiedBy>
  <cp:revision>2</cp:revision>
  <dcterms:created xsi:type="dcterms:W3CDTF">2025-12-04T23:52:00Z</dcterms:created>
  <dcterms:modified xsi:type="dcterms:W3CDTF">2025-12-04T23:52:00Z</dcterms:modified>
</cp:coreProperties>
</file>