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50BFE9" w14:textId="4BCAA19C" w:rsidR="00153898" w:rsidRPr="00DF44E5" w:rsidRDefault="00DF44E5" w:rsidP="00DF44E5">
      <w:pPr>
        <w:jc w:val="center"/>
        <w:rPr>
          <w:b/>
          <w:bCs/>
          <w:color w:val="156082" w:themeColor="accent1"/>
          <w:sz w:val="28"/>
          <w:szCs w:val="28"/>
        </w:rPr>
      </w:pPr>
      <w:r w:rsidRPr="00DF44E5">
        <w:rPr>
          <w:b/>
          <w:bCs/>
          <w:color w:val="156082" w:themeColor="accent1"/>
          <w:sz w:val="28"/>
          <w:szCs w:val="28"/>
        </w:rPr>
        <w:t>Digital Building Survey</w:t>
      </w:r>
    </w:p>
    <w:p w14:paraId="2F406B8E" w14:textId="77777777" w:rsidR="00DF44E5" w:rsidRDefault="00DF44E5" w:rsidP="00F26EB4">
      <w:pPr>
        <w:rPr>
          <w:b/>
          <w:bCs/>
        </w:rPr>
      </w:pPr>
    </w:p>
    <w:p w14:paraId="737D89F3" w14:textId="32CAF5B2" w:rsidR="00F26EB4" w:rsidRPr="00F26EB4" w:rsidRDefault="005D57C0" w:rsidP="00F26EB4">
      <w:r>
        <w:t>Building</w:t>
      </w:r>
      <w:r w:rsidR="00F26EB4" w:rsidRPr="00F26EB4">
        <w:t xml:space="preserve"> surveys underpin refurbishment, asset management, Building Information Modelling (BIM) and facilities management across the built environment sector</w:t>
      </w:r>
      <w:r w:rsidR="00483EAC">
        <w:t xml:space="preserve"> (</w:t>
      </w:r>
      <w:r w:rsidR="00483EAC" w:rsidRPr="00B328FA">
        <w:rPr>
          <w:i/>
          <w:iCs/>
        </w:rPr>
        <w:t>RICS</w:t>
      </w:r>
      <w:r w:rsidR="00B328FA">
        <w:rPr>
          <w:i/>
          <w:iCs/>
        </w:rPr>
        <w:t xml:space="preserve"> (</w:t>
      </w:r>
      <w:r w:rsidR="00483EAC" w:rsidRPr="00B328FA">
        <w:rPr>
          <w:i/>
          <w:iCs/>
        </w:rPr>
        <w:t>20</w:t>
      </w:r>
      <w:r w:rsidR="00DC468E">
        <w:rPr>
          <w:i/>
          <w:iCs/>
        </w:rPr>
        <w:t>1</w:t>
      </w:r>
      <w:r w:rsidR="00483EAC" w:rsidRPr="00B328FA">
        <w:rPr>
          <w:i/>
          <w:iCs/>
        </w:rPr>
        <w:t>4</w:t>
      </w:r>
      <w:r w:rsidR="00483EAC">
        <w:t>).</w:t>
      </w:r>
      <w:r w:rsidR="00F26EB4" w:rsidRPr="00F26EB4">
        <w:t xml:space="preserve"> Traditional tape- and total-station-based methods remain appropriate for many applications, but advances in terrestrial laser scanning (TLS) have transformed surveying practice by enabling rapid capture of highly accurate three-dimensional data</w:t>
      </w:r>
      <w:r w:rsidR="00B328FA">
        <w:t xml:space="preserve"> (</w:t>
      </w:r>
      <w:r w:rsidR="00B328FA" w:rsidRPr="00B328FA">
        <w:rPr>
          <w:i/>
          <w:iCs/>
        </w:rPr>
        <w:t>Leica Geosystems Laser Scanners</w:t>
      </w:r>
      <w:r w:rsidR="00B328FA" w:rsidRPr="00B328FA">
        <w:t>. (2025</w:t>
      </w:r>
      <w:r w:rsidR="00B328FA">
        <w:t>).</w:t>
      </w:r>
    </w:p>
    <w:p w14:paraId="3222145B" w14:textId="49DAFBCC" w:rsidR="00F26EB4" w:rsidRPr="00F26EB4" w:rsidRDefault="00F26EB4" w:rsidP="00F26EB4">
      <w:r w:rsidRPr="00F26EB4">
        <w:t>This project was originally intended to survey the Dylan Thomas Centre; adverse weather conditions and associated safety concerns led to relocation to the first floor of the IQ Building. A fault with the primary scanning equipment on the day meant the survey was instead completed using a handheld mobile laser scanner, the Leica BLK2GO, which uses Simultaneous Localisation and Mapping (SLAM) technology to capture a continuous three-dimensional point cloud as the operator moves through the building.</w:t>
      </w:r>
      <w:r w:rsidR="007E0E72" w:rsidRPr="00F65430">
        <w:t xml:space="preserve"> </w:t>
      </w:r>
      <w:r w:rsidR="00F65430" w:rsidRPr="00F65430">
        <w:t>(</w:t>
      </w:r>
      <w:r w:rsidR="007E0E72" w:rsidRPr="007E0E72">
        <w:t xml:space="preserve">Leica </w:t>
      </w:r>
      <w:r w:rsidR="007E0E72">
        <w:t>BLK2GO</w:t>
      </w:r>
      <w:r w:rsidR="007E0E72" w:rsidRPr="007E0E72">
        <w:t xml:space="preserve"> handheld imaging laser scanner. (2024)</w:t>
      </w:r>
    </w:p>
    <w:p w14:paraId="6073C23F" w14:textId="5CD0A8D3" w:rsidR="00F26EB4" w:rsidRPr="00F26EB4" w:rsidRDefault="00F26EB4" w:rsidP="00F26EB4">
      <w:r w:rsidRPr="00F26EB4">
        <w:t>This report sets out the planning undertaken prior to fieldwork, covering the survey objectives, methodology, site assessment, equipment selection and risk management, all directed at maximising data quality while complying with professional surveying practice and health and safety legislation.</w:t>
      </w:r>
    </w:p>
    <w:p w14:paraId="53EFC6E6" w14:textId="21FA250F" w:rsidR="00F26EB4" w:rsidRPr="00F26EB4" w:rsidRDefault="004E505B" w:rsidP="00F26EB4">
      <w:pPr>
        <w:rPr>
          <w:b/>
          <w:bCs/>
        </w:rPr>
      </w:pPr>
      <w:r w:rsidRPr="004E505B">
        <w:drawing>
          <wp:anchor distT="0" distB="0" distL="114300" distR="114300" simplePos="0" relativeHeight="251663360" behindDoc="1" locked="0" layoutInCell="1" allowOverlap="1" wp14:anchorId="2442694B" wp14:editId="146C7A8E">
            <wp:simplePos x="0" y="0"/>
            <wp:positionH relativeFrom="page">
              <wp:posOffset>5645785</wp:posOffset>
            </wp:positionH>
            <wp:positionV relativeFrom="paragraph">
              <wp:posOffset>6985</wp:posOffset>
            </wp:positionV>
            <wp:extent cx="1504950" cy="2006600"/>
            <wp:effectExtent l="0" t="0" r="0" b="0"/>
            <wp:wrapTight wrapText="bothSides">
              <wp:wrapPolygon edited="0">
                <wp:start x="0" y="0"/>
                <wp:lineTo x="0" y="21327"/>
                <wp:lineTo x="21327" y="21327"/>
                <wp:lineTo x="21327" y="0"/>
                <wp:lineTo x="0" y="0"/>
              </wp:wrapPolygon>
            </wp:wrapTight>
            <wp:docPr id="16124500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04950" cy="2006600"/>
                    </a:xfrm>
                    <a:prstGeom prst="rect">
                      <a:avLst/>
                    </a:prstGeom>
                    <a:noFill/>
                    <a:ln>
                      <a:noFill/>
                    </a:ln>
                  </pic:spPr>
                </pic:pic>
              </a:graphicData>
            </a:graphic>
          </wp:anchor>
        </w:drawing>
      </w:r>
      <w:r w:rsidR="00F26EB4" w:rsidRPr="00F26EB4">
        <w:rPr>
          <w:b/>
          <w:bCs/>
        </w:rPr>
        <w:t>Purpose of the Survey</w:t>
      </w:r>
    </w:p>
    <w:p w14:paraId="30AE417E" w14:textId="2B5E27AA" w:rsidR="00F26EB4" w:rsidRPr="00F26EB4" w:rsidRDefault="00F26EB4" w:rsidP="00F26EB4">
      <w:r w:rsidRPr="00F26EB4">
        <w:t xml:space="preserve">The principal objective was to produce an accurate digital representation of the internal layout of the </w:t>
      </w:r>
      <w:proofErr w:type="gramStart"/>
      <w:r w:rsidRPr="00F26EB4">
        <w:t>first floor</w:t>
      </w:r>
      <w:proofErr w:type="gramEnd"/>
      <w:r w:rsidRPr="00F26EB4">
        <w:t xml:space="preserve"> </w:t>
      </w:r>
      <w:r w:rsidR="00F65430">
        <w:t>communal area</w:t>
      </w:r>
      <w:r w:rsidR="00600333">
        <w:t xml:space="preserve"> </w:t>
      </w:r>
      <w:r w:rsidRPr="00F26EB4">
        <w:t xml:space="preserve">of the IQ Building, from which room dimensions, corridor lengths, door openings and ceiling heights could subsequently be extracted without the need for </w:t>
      </w:r>
      <w:r w:rsidR="00600333">
        <w:t xml:space="preserve">additional </w:t>
      </w:r>
      <w:r w:rsidRPr="00F26EB4">
        <w:t>visits.</w:t>
      </w:r>
    </w:p>
    <w:p w14:paraId="281353BE" w14:textId="5FB4464F" w:rsidR="00F26EB4" w:rsidRPr="00F26EB4" w:rsidRDefault="00F26EB4" w:rsidP="00F26EB4">
      <w:r w:rsidRPr="00F26EB4">
        <w:t xml:space="preserve">Unlike conventional surveying, where the surveyor must decide in advance which dimensions to record, </w:t>
      </w:r>
      <w:r w:rsidR="00636130" w:rsidRPr="00F26EB4">
        <w:t>BLK2GO</w:t>
      </w:r>
      <w:r w:rsidR="00636130" w:rsidRPr="00F26EB4">
        <w:t xml:space="preserve"> </w:t>
      </w:r>
      <w:r w:rsidRPr="00F26EB4">
        <w:t>captures millions of coordinate points, allowing measurements to be extracted retrospectively during post-processing. The survey therefore aimed both to record the building's geometry and to evaluate the benefits of digital surveying over manual measurement. Specific objectives were to:</w:t>
      </w:r>
    </w:p>
    <w:p w14:paraId="0880791E" w14:textId="7F8E5F26" w:rsidR="00F26EB4" w:rsidRPr="00F26EB4" w:rsidRDefault="00F26EB4" w:rsidP="00F26EB4">
      <w:pPr>
        <w:numPr>
          <w:ilvl w:val="0"/>
          <w:numId w:val="1"/>
        </w:numPr>
      </w:pPr>
      <w:r w:rsidRPr="00F26EB4">
        <w:t>produce a complete digital record of the first-floor</w:t>
      </w:r>
      <w:r w:rsidR="00636130">
        <w:t xml:space="preserve"> communal</w:t>
      </w:r>
      <w:r w:rsidRPr="00F26EB4">
        <w:t xml:space="preserve"> internal layout</w:t>
      </w:r>
      <w:r w:rsidR="00764455">
        <w:t>.</w:t>
      </w:r>
    </w:p>
    <w:p w14:paraId="4ACF417D" w14:textId="6F6F6268" w:rsidR="00F26EB4" w:rsidRPr="00F26EB4" w:rsidRDefault="00F26EB4" w:rsidP="00F26EB4">
      <w:pPr>
        <w:numPr>
          <w:ilvl w:val="0"/>
          <w:numId w:val="1"/>
        </w:numPr>
      </w:pPr>
      <w:r w:rsidRPr="00F26EB4">
        <w:t>record internal walls, corridors, doorways and structural openings</w:t>
      </w:r>
      <w:r w:rsidR="00764455">
        <w:t>.</w:t>
      </w:r>
    </w:p>
    <w:p w14:paraId="0C1022E4" w14:textId="2EA7E3E8" w:rsidR="00F26EB4" w:rsidRPr="00F26EB4" w:rsidRDefault="00F26EB4" w:rsidP="00F26EB4">
      <w:pPr>
        <w:numPr>
          <w:ilvl w:val="0"/>
          <w:numId w:val="1"/>
        </w:numPr>
      </w:pPr>
      <w:r w:rsidRPr="00F26EB4">
        <w:t xml:space="preserve">extract accurate measurements from </w:t>
      </w:r>
      <w:r w:rsidR="00764455">
        <w:t xml:space="preserve">both the manual measurements and the </w:t>
      </w:r>
      <w:r w:rsidR="005D197D">
        <w:t>laser scanner.</w:t>
      </w:r>
    </w:p>
    <w:p w14:paraId="62174D6F" w14:textId="2686B156" w:rsidR="00F26EB4" w:rsidRPr="00F26EB4" w:rsidRDefault="00F26EB4" w:rsidP="00413CF7">
      <w:pPr>
        <w:numPr>
          <w:ilvl w:val="0"/>
          <w:numId w:val="1"/>
        </w:numPr>
      </w:pPr>
      <w:r w:rsidRPr="00F26EB4">
        <w:lastRenderedPageBreak/>
        <w:t>evaluate the effectiveness of laser scanning for measured building surveys.</w:t>
      </w:r>
      <w:r w:rsidR="004E505B" w:rsidRPr="004E505B">
        <w:rPr>
          <w:rFonts w:ascii="Times New Roman" w:eastAsia="Times New Roman" w:hAnsi="Times New Roman" w:cs="Times New Roman"/>
          <w:kern w:val="0"/>
          <w:lang w:eastAsia="en-GB"/>
          <w14:ligatures w14:val="none"/>
        </w:rPr>
        <w:t xml:space="preserve"> </w:t>
      </w:r>
    </w:p>
    <w:p w14:paraId="4B3F1EDD" w14:textId="3FB46B3C" w:rsidR="005D197D" w:rsidRDefault="005D197D" w:rsidP="00F26EB4">
      <w:pPr>
        <w:rPr>
          <w:b/>
          <w:bCs/>
        </w:rPr>
      </w:pPr>
    </w:p>
    <w:p w14:paraId="3302758A" w14:textId="66865D09" w:rsidR="00F26EB4" w:rsidRPr="00F26EB4" w:rsidRDefault="00F26EB4" w:rsidP="00F26EB4">
      <w:pPr>
        <w:rPr>
          <w:b/>
          <w:bCs/>
        </w:rPr>
      </w:pPr>
      <w:r w:rsidRPr="00F26EB4">
        <w:rPr>
          <w:b/>
          <w:bCs/>
        </w:rPr>
        <w:t>Survey Area Definition</w:t>
      </w:r>
    </w:p>
    <w:p w14:paraId="3ECA0C47" w14:textId="0782A855" w:rsidR="000D0178" w:rsidRDefault="00413CF7" w:rsidP="00F26EB4">
      <w:r w:rsidRPr="00413CF7">
        <w:rPr>
          <w:b/>
          <w:bCs/>
        </w:rPr>
        <w:drawing>
          <wp:anchor distT="0" distB="0" distL="114300" distR="114300" simplePos="0" relativeHeight="251664384" behindDoc="1" locked="0" layoutInCell="1" allowOverlap="1" wp14:anchorId="6BA8A8A7" wp14:editId="3A806C97">
            <wp:simplePos x="0" y="0"/>
            <wp:positionH relativeFrom="margin">
              <wp:posOffset>4351050</wp:posOffset>
            </wp:positionH>
            <wp:positionV relativeFrom="paragraph">
              <wp:posOffset>17086</wp:posOffset>
            </wp:positionV>
            <wp:extent cx="1289685" cy="1719580"/>
            <wp:effectExtent l="0" t="0" r="5715" b="0"/>
            <wp:wrapTight wrapText="bothSides">
              <wp:wrapPolygon edited="0">
                <wp:start x="0" y="0"/>
                <wp:lineTo x="0" y="21297"/>
                <wp:lineTo x="21377" y="21297"/>
                <wp:lineTo x="21377" y="0"/>
                <wp:lineTo x="0" y="0"/>
              </wp:wrapPolygon>
            </wp:wrapTight>
            <wp:docPr id="11082403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89685" cy="17195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D0178" w:rsidRPr="000D0178">
        <w:t>The survey was confined to the first floor of the IQ Building and included the principal circulation corridor together with the adjoining communal rooms, as illustrated in the survey layout. An initial site inspection identified a complex and irregular floor plan comprising interconnected corridors and rooms, with corridor lengths ranging from approximately 17 to 36 metres and walls intersecting at non-orthogonal angles. In addition, the presence of numerous structural columns distributed throughout the floor increased the complexity of the survey by creating potential obstructions and requiring careful measurement to ensure an accurate representation of the building geometry.</w:t>
      </w:r>
    </w:p>
    <w:p w14:paraId="16F89E4E" w14:textId="633162F9" w:rsidR="00F26EB4" w:rsidRPr="00F26EB4" w:rsidRDefault="00F26EB4" w:rsidP="00F26EB4">
      <w:r w:rsidRPr="00F26EB4">
        <w:t>Given this complexity, the operator followed a planned walking route to ensure complete coverage, with particular attention given to corridor intersections and the revisiting of key locations to strengthen the SLAM solution and reduce positional drift. The required level of detail was that appropriate to architectural measurement and internal building documentation</w:t>
      </w:r>
      <w:r w:rsidR="00756578">
        <w:t>,</w:t>
      </w:r>
      <w:r w:rsidRPr="00F26EB4">
        <w:t xml:space="preserve"> sufficient to extract room, corridor and opening dimensions rather than detailed structural analysis.</w:t>
      </w:r>
    </w:p>
    <w:p w14:paraId="5ADDE66F" w14:textId="08538C95" w:rsidR="00F26EB4" w:rsidRPr="00F26EB4" w:rsidRDefault="00F26EB4" w:rsidP="00F26EB4">
      <w:pPr>
        <w:rPr>
          <w:b/>
          <w:bCs/>
        </w:rPr>
      </w:pPr>
      <w:r w:rsidRPr="00F26EB4">
        <w:rPr>
          <w:b/>
          <w:bCs/>
        </w:rPr>
        <w:t>Site Assessment</w:t>
      </w:r>
    </w:p>
    <w:p w14:paraId="0DDE1F34" w14:textId="5DEA3DC0" w:rsidR="00F26EB4" w:rsidRPr="00F26EB4" w:rsidRDefault="00F26EB4" w:rsidP="00F26EB4">
      <w:r w:rsidRPr="00F26EB4">
        <w:rPr>
          <w:b/>
          <w:bCs/>
        </w:rPr>
        <w:t>Equipment:</w:t>
      </w:r>
      <w:r w:rsidRPr="00F26EB4">
        <w:t xml:space="preserve"> the survey was undertaken using a Leica BLK2GO handheld mobile mapping scanner, which integrates LiDAR sensors, high-resolution imaging cameras and an inertial measurement unit (IMU) with SLAM positioning. Unlike tripod-based TLS, which requires the instrument to be repositioned at multiple fixed stations, the BLK2GO collects spatial data continuously as the operator walks, removing the need for fixed scan stations and substantially reducing set-up time</w:t>
      </w:r>
      <w:r w:rsidR="001C1C61">
        <w:t>,</w:t>
      </w:r>
      <w:r w:rsidRPr="00F26EB4">
        <w:t xml:space="preserve"> a particular advantage in the confined internal spaces of the first floor.</w:t>
      </w:r>
      <w:r w:rsidR="001A51CA">
        <w:t xml:space="preserve"> (</w:t>
      </w:r>
      <w:r w:rsidR="001A51CA" w:rsidRPr="001A51CA">
        <w:t>Del Duca, G. Del, &amp; Machado, C. (2023).</w:t>
      </w:r>
    </w:p>
    <w:p w14:paraId="1D5FC2A5" w14:textId="28736BE4" w:rsidR="00F26EB4" w:rsidRPr="00F26EB4" w:rsidRDefault="00F26EB4" w:rsidP="00F26EB4">
      <w:r w:rsidRPr="00F26EB4">
        <w:rPr>
          <w:b/>
          <w:bCs/>
        </w:rPr>
        <w:t>Access:</w:t>
      </w:r>
      <w:r w:rsidRPr="00F26EB4">
        <w:t xml:space="preserve"> the first floor remained accessible throughout the practical session but was occupied by students and staff, producing regular pedestrian movement within corridors and communal areas. </w:t>
      </w:r>
      <w:r w:rsidR="00CA4ED2" w:rsidRPr="00CA4ED2">
        <w:t xml:space="preserve">A logical survey route was </w:t>
      </w:r>
      <w:proofErr w:type="gramStart"/>
      <w:r w:rsidR="00CA4ED2" w:rsidRPr="00CA4ED2">
        <w:t>planned in advance</w:t>
      </w:r>
      <w:proofErr w:type="gramEnd"/>
      <w:r w:rsidR="00CA4ED2" w:rsidRPr="00CA4ED2">
        <w:t xml:space="preserve"> to ensure complete coverage of all internal spaces while maintaining continuous scanning throughout the survey. The operator adjusted their walking pace where necessary to minimise disruption to building occupants and to maintain a consistent scanning trajectory. The survey area was also furnished with desks, chairs, and other fixtures, which introduced potential </w:t>
      </w:r>
      <w:r w:rsidR="00CA4ED2" w:rsidRPr="00CA4ED2">
        <w:t>obstructions</w:t>
      </w:r>
      <w:r w:rsidR="00CA4ED2" w:rsidRPr="00CA4ED2">
        <w:t xml:space="preserve"> and reduced the visibility of some structural elements. These obstacles required careful navigation and scanning from multiple </w:t>
      </w:r>
      <w:r w:rsidR="00CA4ED2" w:rsidRPr="00CA4ED2">
        <w:lastRenderedPageBreak/>
        <w:t>viewpoints to ensure that an accurate and complete representation of the building geometry was captured.</w:t>
      </w:r>
    </w:p>
    <w:p w14:paraId="70F14989" w14:textId="4F9FE782" w:rsidR="00876F94" w:rsidRDefault="00F26EB4" w:rsidP="00F26EB4">
      <w:r w:rsidRPr="00F26EB4">
        <w:rPr>
          <w:b/>
          <w:bCs/>
        </w:rPr>
        <w:t>Environmental conditions:</w:t>
      </w:r>
      <w:r w:rsidRPr="00F26EB4">
        <w:t xml:space="preserve"> the internal environment</w:t>
      </w:r>
      <w:r w:rsidR="00756578">
        <w:t xml:space="preserve">, </w:t>
      </w:r>
      <w:r w:rsidRPr="00F26EB4">
        <w:t>clean, dry</w:t>
      </w:r>
      <w:r w:rsidR="00756578">
        <w:t xml:space="preserve">, and well-lit, </w:t>
      </w:r>
      <w:r w:rsidRPr="00F26EB4">
        <w:t xml:space="preserve">was well suited to mobile laser scanning. </w:t>
      </w:r>
      <w:r w:rsidR="00876F94" w:rsidRPr="00876F94">
        <w:t xml:space="preserve">Two environmental risks were identified prior to undertaking the survey. Firstly, the first floor contained large areas of glazing and other reflective surfaces, which can affect the quality of laser returns and introduce small </w:t>
      </w:r>
      <w:r w:rsidR="007D24C4" w:rsidRPr="007D24C4">
        <w:drawing>
          <wp:anchor distT="0" distB="0" distL="114300" distR="114300" simplePos="0" relativeHeight="251662336" behindDoc="1" locked="0" layoutInCell="1" allowOverlap="1" wp14:anchorId="4E3821D5" wp14:editId="13466BB7">
            <wp:simplePos x="0" y="0"/>
            <wp:positionH relativeFrom="margin">
              <wp:posOffset>4731385</wp:posOffset>
            </wp:positionH>
            <wp:positionV relativeFrom="paragraph">
              <wp:posOffset>0</wp:posOffset>
            </wp:positionV>
            <wp:extent cx="1307465" cy="1743710"/>
            <wp:effectExtent l="0" t="0" r="6985" b="8890"/>
            <wp:wrapTight wrapText="bothSides">
              <wp:wrapPolygon edited="0">
                <wp:start x="0" y="0"/>
                <wp:lineTo x="0" y="21474"/>
                <wp:lineTo x="21401" y="21474"/>
                <wp:lineTo x="21401" y="0"/>
                <wp:lineTo x="0" y="0"/>
              </wp:wrapPolygon>
            </wp:wrapTight>
            <wp:docPr id="14905255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07465" cy="17437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76F94" w:rsidRPr="00876F94">
        <w:t>amounts of noise into the point cloud. While the impact is generally limited indoors, these areas required careful consideration during data capture. Secondly, the building was occupied during the survey, meaning that furniture and pedestrian movement had the potential to temporarily obstruct parts of the scan. To minimise the risk of incomplete data, the survey route was planned to maintain clear lines of sight wherever possible, with additional coverage captured where necessary.</w:t>
      </w:r>
    </w:p>
    <w:p w14:paraId="0594CDD3" w14:textId="5198EF0E" w:rsidR="00F26EB4" w:rsidRPr="00F26EB4" w:rsidRDefault="00F26EB4" w:rsidP="00F26EB4">
      <w:r w:rsidRPr="00F26EB4">
        <w:rPr>
          <w:b/>
          <w:bCs/>
        </w:rPr>
        <w:t>Operational considerations:</w:t>
      </w:r>
      <w:r w:rsidRPr="00F26EB4">
        <w:t xml:space="preserve"> the accuracy of a handheld SLAM survey depends on the operator maintaining a slow, smooth and continuous walking pace, since sudden movements or interruptions reduce registration accuracy. The route was therefore planned to revisit previously scanned areas, allowing the SLAM algorithm to cross-reference newly captured data against existing geometry and reduce cumulative drift. Overall, site conditions were assessed as suitable for the BLK2GO, with only minor operational challenges anticipated.</w:t>
      </w:r>
    </w:p>
    <w:p w14:paraId="38A8C609" w14:textId="4A2D86F9" w:rsidR="00F26EB4" w:rsidRPr="00F26EB4" w:rsidRDefault="00F26EB4" w:rsidP="00F26EB4">
      <w:pPr>
        <w:rPr>
          <w:b/>
          <w:bCs/>
        </w:rPr>
      </w:pPr>
      <w:r w:rsidRPr="00F26EB4">
        <w:rPr>
          <w:b/>
          <w:bCs/>
        </w:rPr>
        <w:t>Risk Assessment Summary</w:t>
      </w:r>
    </w:p>
    <w:p w14:paraId="6A4614E5" w14:textId="1BCC6D37" w:rsidR="00F26EB4" w:rsidRDefault="00F26EB4" w:rsidP="00F26EB4">
      <w:r w:rsidRPr="00F26EB4">
        <w:t>Although the BLK2GO presents a relatively low level of risk compared with tripod-mounted equipment, a formal risk assessment was undertaken to identify hazards and implement control measures prior to the survey. The principal risks related to pedestrian movement, manual handling and situational awareness while operating the equipment.</w:t>
      </w:r>
    </w:p>
    <w:tbl>
      <w:tblPr>
        <w:tblpPr w:leftFromText="180" w:rightFromText="180" w:vertAnchor="page" w:horzAnchor="margin" w:tblpXSpec="center" w:tblpY="8806"/>
        <w:tblW w:w="10440" w:type="dxa"/>
        <w:tblLook w:val="04A0" w:firstRow="1" w:lastRow="0" w:firstColumn="1" w:lastColumn="0" w:noHBand="0" w:noVBand="1"/>
      </w:tblPr>
      <w:tblGrid>
        <w:gridCol w:w="2480"/>
        <w:gridCol w:w="3540"/>
        <w:gridCol w:w="4420"/>
      </w:tblGrid>
      <w:tr w:rsidR="00876F94" w:rsidRPr="00F26EB4" w14:paraId="6E9D6564" w14:textId="77777777" w:rsidTr="00876F94">
        <w:trPr>
          <w:trHeight w:val="300"/>
        </w:trPr>
        <w:tc>
          <w:tcPr>
            <w:tcW w:w="2480" w:type="dxa"/>
            <w:tcBorders>
              <w:top w:val="single" w:sz="4" w:space="0" w:color="44B3E1"/>
              <w:left w:val="single" w:sz="4" w:space="0" w:color="44B3E1"/>
              <w:bottom w:val="single" w:sz="4" w:space="0" w:color="44B3E1"/>
              <w:right w:val="nil"/>
            </w:tcBorders>
            <w:shd w:val="clear" w:color="156082" w:fill="156082"/>
            <w:noWrap/>
            <w:vAlign w:val="bottom"/>
            <w:hideMark/>
          </w:tcPr>
          <w:p w14:paraId="22D1C313" w14:textId="77777777" w:rsidR="00876F94" w:rsidRPr="00F26EB4" w:rsidRDefault="00876F94" w:rsidP="00876F94">
            <w:pPr>
              <w:spacing w:after="0" w:line="240" w:lineRule="auto"/>
              <w:rPr>
                <w:rFonts w:ascii="Aptos Narrow" w:eastAsia="Times New Roman" w:hAnsi="Aptos Narrow" w:cs="Times New Roman"/>
                <w:b/>
                <w:bCs/>
                <w:color w:val="FFFFFF"/>
                <w:kern w:val="0"/>
                <w:sz w:val="22"/>
                <w:szCs w:val="22"/>
                <w:lang w:eastAsia="en-GB"/>
                <w14:ligatures w14:val="none"/>
              </w:rPr>
            </w:pPr>
            <w:r w:rsidRPr="00F26EB4">
              <w:rPr>
                <w:rFonts w:ascii="Aptos Narrow" w:eastAsia="Times New Roman" w:hAnsi="Aptos Narrow" w:cs="Times New Roman"/>
                <w:b/>
                <w:bCs/>
                <w:color w:val="FFFFFF"/>
                <w:kern w:val="0"/>
                <w:sz w:val="22"/>
                <w:szCs w:val="22"/>
                <w:lang w:eastAsia="en-GB"/>
                <w14:ligatures w14:val="none"/>
              </w:rPr>
              <w:t>Hazard</w:t>
            </w:r>
          </w:p>
        </w:tc>
        <w:tc>
          <w:tcPr>
            <w:tcW w:w="3540" w:type="dxa"/>
            <w:tcBorders>
              <w:top w:val="single" w:sz="4" w:space="0" w:color="44B3E1"/>
              <w:left w:val="nil"/>
              <w:bottom w:val="single" w:sz="4" w:space="0" w:color="44B3E1"/>
              <w:right w:val="nil"/>
            </w:tcBorders>
            <w:shd w:val="clear" w:color="156082" w:fill="156082"/>
            <w:noWrap/>
            <w:vAlign w:val="bottom"/>
            <w:hideMark/>
          </w:tcPr>
          <w:p w14:paraId="64356480" w14:textId="77777777" w:rsidR="00876F94" w:rsidRPr="00F26EB4" w:rsidRDefault="00876F94" w:rsidP="00876F94">
            <w:pPr>
              <w:spacing w:after="0" w:line="240" w:lineRule="auto"/>
              <w:rPr>
                <w:rFonts w:ascii="Aptos Narrow" w:eastAsia="Times New Roman" w:hAnsi="Aptos Narrow" w:cs="Times New Roman"/>
                <w:b/>
                <w:bCs/>
                <w:color w:val="FFFFFF"/>
                <w:kern w:val="0"/>
                <w:sz w:val="22"/>
                <w:szCs w:val="22"/>
                <w:lang w:eastAsia="en-GB"/>
                <w14:ligatures w14:val="none"/>
              </w:rPr>
            </w:pPr>
            <w:r w:rsidRPr="00F26EB4">
              <w:rPr>
                <w:rFonts w:ascii="Aptos Narrow" w:eastAsia="Times New Roman" w:hAnsi="Aptos Narrow" w:cs="Times New Roman"/>
                <w:b/>
                <w:bCs/>
                <w:color w:val="FFFFFF"/>
                <w:kern w:val="0"/>
                <w:sz w:val="22"/>
                <w:szCs w:val="22"/>
                <w:lang w:eastAsia="en-GB"/>
                <w14:ligatures w14:val="none"/>
              </w:rPr>
              <w:t>Potential Risk</w:t>
            </w:r>
          </w:p>
        </w:tc>
        <w:tc>
          <w:tcPr>
            <w:tcW w:w="4420" w:type="dxa"/>
            <w:tcBorders>
              <w:top w:val="single" w:sz="4" w:space="0" w:color="44B3E1"/>
              <w:left w:val="nil"/>
              <w:bottom w:val="single" w:sz="4" w:space="0" w:color="44B3E1"/>
              <w:right w:val="single" w:sz="4" w:space="0" w:color="44B3E1"/>
            </w:tcBorders>
            <w:shd w:val="clear" w:color="156082" w:fill="156082"/>
            <w:noWrap/>
            <w:vAlign w:val="bottom"/>
            <w:hideMark/>
          </w:tcPr>
          <w:p w14:paraId="6F5D6FF8" w14:textId="77777777" w:rsidR="00876F94" w:rsidRPr="00F26EB4" w:rsidRDefault="00876F94" w:rsidP="00876F94">
            <w:pPr>
              <w:spacing w:after="0" w:line="240" w:lineRule="auto"/>
              <w:rPr>
                <w:rFonts w:ascii="Aptos Narrow" w:eastAsia="Times New Roman" w:hAnsi="Aptos Narrow" w:cs="Times New Roman"/>
                <w:b/>
                <w:bCs/>
                <w:color w:val="FFFFFF"/>
                <w:kern w:val="0"/>
                <w:sz w:val="22"/>
                <w:szCs w:val="22"/>
                <w:lang w:eastAsia="en-GB"/>
                <w14:ligatures w14:val="none"/>
              </w:rPr>
            </w:pPr>
            <w:r w:rsidRPr="00F26EB4">
              <w:rPr>
                <w:rFonts w:ascii="Aptos Narrow" w:eastAsia="Times New Roman" w:hAnsi="Aptos Narrow" w:cs="Times New Roman"/>
                <w:b/>
                <w:bCs/>
                <w:color w:val="FFFFFF"/>
                <w:kern w:val="0"/>
                <w:sz w:val="22"/>
                <w:szCs w:val="22"/>
                <w:lang w:eastAsia="en-GB"/>
                <w14:ligatures w14:val="none"/>
              </w:rPr>
              <w:t>Control Measure</w:t>
            </w:r>
          </w:p>
        </w:tc>
      </w:tr>
      <w:tr w:rsidR="00876F94" w:rsidRPr="00F26EB4" w14:paraId="67AB38ED" w14:textId="77777777" w:rsidTr="00876F94">
        <w:trPr>
          <w:trHeight w:val="525"/>
        </w:trPr>
        <w:tc>
          <w:tcPr>
            <w:tcW w:w="2480" w:type="dxa"/>
            <w:tcBorders>
              <w:top w:val="single" w:sz="4" w:space="0" w:color="44B3E1"/>
              <w:left w:val="single" w:sz="4" w:space="0" w:color="44B3E1"/>
              <w:bottom w:val="single" w:sz="4" w:space="0" w:color="44B3E1"/>
              <w:right w:val="nil"/>
            </w:tcBorders>
            <w:shd w:val="clear" w:color="C0E6F5" w:fill="C0E6F5"/>
            <w:noWrap/>
            <w:vAlign w:val="bottom"/>
            <w:hideMark/>
          </w:tcPr>
          <w:p w14:paraId="2747A78A" w14:textId="77777777" w:rsidR="00876F94" w:rsidRPr="00F26EB4" w:rsidRDefault="00876F94" w:rsidP="00876F94">
            <w:pPr>
              <w:spacing w:after="0" w:line="240" w:lineRule="auto"/>
              <w:rPr>
                <w:rFonts w:ascii="Arial" w:eastAsia="Times New Roman" w:hAnsi="Arial" w:cs="Arial"/>
                <w:color w:val="000000"/>
                <w:kern w:val="0"/>
                <w:sz w:val="20"/>
                <w:szCs w:val="20"/>
                <w:lang w:eastAsia="en-GB"/>
                <w14:ligatures w14:val="none"/>
              </w:rPr>
            </w:pPr>
            <w:r w:rsidRPr="00F26EB4">
              <w:rPr>
                <w:rFonts w:ascii="Arial" w:eastAsia="Times New Roman" w:hAnsi="Arial" w:cs="Arial"/>
                <w:color w:val="000000"/>
                <w:kern w:val="0"/>
                <w:sz w:val="20"/>
                <w:szCs w:val="20"/>
                <w:lang w:eastAsia="en-GB"/>
                <w14:ligatures w14:val="none"/>
              </w:rPr>
              <w:t>Carrying handheld scanner</w:t>
            </w:r>
          </w:p>
        </w:tc>
        <w:tc>
          <w:tcPr>
            <w:tcW w:w="3540" w:type="dxa"/>
            <w:tcBorders>
              <w:top w:val="single" w:sz="4" w:space="0" w:color="44B3E1"/>
              <w:left w:val="nil"/>
              <w:bottom w:val="single" w:sz="4" w:space="0" w:color="44B3E1"/>
              <w:right w:val="nil"/>
            </w:tcBorders>
            <w:shd w:val="clear" w:color="C0E6F5" w:fill="C0E6F5"/>
            <w:vAlign w:val="bottom"/>
            <w:hideMark/>
          </w:tcPr>
          <w:p w14:paraId="02F31681" w14:textId="77777777" w:rsidR="00876F94" w:rsidRPr="00F26EB4" w:rsidRDefault="00876F94" w:rsidP="00876F94">
            <w:pPr>
              <w:spacing w:after="0" w:line="240" w:lineRule="auto"/>
              <w:rPr>
                <w:rFonts w:ascii="Arial" w:eastAsia="Times New Roman" w:hAnsi="Arial" w:cs="Arial"/>
                <w:color w:val="000000"/>
                <w:kern w:val="0"/>
                <w:sz w:val="20"/>
                <w:szCs w:val="20"/>
                <w:lang w:eastAsia="en-GB"/>
                <w14:ligatures w14:val="none"/>
              </w:rPr>
            </w:pPr>
            <w:r w:rsidRPr="00F26EB4">
              <w:rPr>
                <w:rFonts w:ascii="Arial" w:eastAsia="Times New Roman" w:hAnsi="Arial" w:cs="Arial"/>
                <w:color w:val="000000"/>
                <w:kern w:val="0"/>
                <w:sz w:val="20"/>
                <w:szCs w:val="20"/>
                <w:lang w:eastAsia="en-GB"/>
                <w14:ligatures w14:val="none"/>
              </w:rPr>
              <w:t>Collision with pedestrians or building features</w:t>
            </w:r>
          </w:p>
        </w:tc>
        <w:tc>
          <w:tcPr>
            <w:tcW w:w="4420" w:type="dxa"/>
            <w:tcBorders>
              <w:top w:val="single" w:sz="4" w:space="0" w:color="44B3E1"/>
              <w:left w:val="nil"/>
              <w:bottom w:val="single" w:sz="4" w:space="0" w:color="44B3E1"/>
              <w:right w:val="single" w:sz="4" w:space="0" w:color="44B3E1"/>
            </w:tcBorders>
            <w:shd w:val="clear" w:color="C0E6F5" w:fill="C0E6F5"/>
            <w:vAlign w:val="bottom"/>
            <w:hideMark/>
          </w:tcPr>
          <w:p w14:paraId="42B2FD46" w14:textId="77777777" w:rsidR="00876F94" w:rsidRPr="00F26EB4" w:rsidRDefault="00876F94" w:rsidP="00876F94">
            <w:pPr>
              <w:spacing w:after="0" w:line="240" w:lineRule="auto"/>
              <w:rPr>
                <w:rFonts w:ascii="Arial" w:eastAsia="Times New Roman" w:hAnsi="Arial" w:cs="Arial"/>
                <w:color w:val="000000"/>
                <w:kern w:val="0"/>
                <w:sz w:val="20"/>
                <w:szCs w:val="20"/>
                <w:lang w:eastAsia="en-GB"/>
                <w14:ligatures w14:val="none"/>
              </w:rPr>
            </w:pPr>
            <w:r w:rsidRPr="00F26EB4">
              <w:rPr>
                <w:rFonts w:ascii="Arial" w:eastAsia="Times New Roman" w:hAnsi="Arial" w:cs="Arial"/>
                <w:color w:val="000000"/>
                <w:kern w:val="0"/>
                <w:sz w:val="20"/>
                <w:szCs w:val="20"/>
                <w:lang w:eastAsia="en-GB"/>
                <w14:ligatures w14:val="none"/>
              </w:rPr>
              <w:t>Maintain awareness of surroundings; keep the scanner close to the body while walking.</w:t>
            </w:r>
          </w:p>
        </w:tc>
      </w:tr>
      <w:tr w:rsidR="00876F94" w:rsidRPr="00F26EB4" w14:paraId="3811461E" w14:textId="77777777" w:rsidTr="00876F94">
        <w:trPr>
          <w:trHeight w:val="525"/>
        </w:trPr>
        <w:tc>
          <w:tcPr>
            <w:tcW w:w="2480" w:type="dxa"/>
            <w:tcBorders>
              <w:top w:val="single" w:sz="4" w:space="0" w:color="44B3E1"/>
              <w:left w:val="single" w:sz="4" w:space="0" w:color="44B3E1"/>
              <w:bottom w:val="single" w:sz="4" w:space="0" w:color="44B3E1"/>
              <w:right w:val="nil"/>
            </w:tcBorders>
            <w:vAlign w:val="center"/>
            <w:hideMark/>
          </w:tcPr>
          <w:p w14:paraId="2EB3CC6B" w14:textId="77777777" w:rsidR="00876F94" w:rsidRPr="00F26EB4" w:rsidRDefault="00876F94" w:rsidP="00876F94">
            <w:pPr>
              <w:spacing w:after="0" w:line="240" w:lineRule="auto"/>
              <w:rPr>
                <w:rFonts w:ascii="Arial" w:eastAsia="Times New Roman" w:hAnsi="Arial" w:cs="Arial"/>
                <w:color w:val="000000"/>
                <w:kern w:val="0"/>
                <w:sz w:val="20"/>
                <w:szCs w:val="20"/>
                <w:lang w:eastAsia="en-GB"/>
                <w14:ligatures w14:val="none"/>
              </w:rPr>
            </w:pPr>
            <w:r w:rsidRPr="00F26EB4">
              <w:rPr>
                <w:rFonts w:ascii="Arial" w:eastAsia="Times New Roman" w:hAnsi="Arial" w:cs="Arial"/>
                <w:color w:val="000000"/>
                <w:kern w:val="0"/>
                <w:sz w:val="20"/>
                <w:szCs w:val="20"/>
                <w:lang w:eastAsia="en-GB"/>
                <w14:ligatures w14:val="none"/>
              </w:rPr>
              <w:t>Slips, trips and falls</w:t>
            </w:r>
          </w:p>
        </w:tc>
        <w:tc>
          <w:tcPr>
            <w:tcW w:w="3540" w:type="dxa"/>
            <w:tcBorders>
              <w:top w:val="single" w:sz="4" w:space="0" w:color="44B3E1"/>
              <w:left w:val="nil"/>
              <w:bottom w:val="single" w:sz="4" w:space="0" w:color="44B3E1"/>
              <w:right w:val="nil"/>
            </w:tcBorders>
            <w:vAlign w:val="bottom"/>
            <w:hideMark/>
          </w:tcPr>
          <w:p w14:paraId="42B5E310" w14:textId="77777777" w:rsidR="00876F94" w:rsidRPr="00F26EB4" w:rsidRDefault="00876F94" w:rsidP="00876F94">
            <w:pPr>
              <w:spacing w:after="0" w:line="240" w:lineRule="auto"/>
              <w:rPr>
                <w:rFonts w:ascii="Arial" w:eastAsia="Times New Roman" w:hAnsi="Arial" w:cs="Arial"/>
                <w:color w:val="000000"/>
                <w:kern w:val="0"/>
                <w:sz w:val="20"/>
                <w:szCs w:val="20"/>
                <w:lang w:eastAsia="en-GB"/>
                <w14:ligatures w14:val="none"/>
              </w:rPr>
            </w:pPr>
            <w:r w:rsidRPr="00F26EB4">
              <w:rPr>
                <w:rFonts w:ascii="Arial" w:eastAsia="Times New Roman" w:hAnsi="Arial" w:cs="Arial"/>
                <w:color w:val="000000"/>
                <w:kern w:val="0"/>
                <w:sz w:val="20"/>
                <w:szCs w:val="20"/>
                <w:lang w:eastAsia="en-GB"/>
                <w14:ligatures w14:val="none"/>
              </w:rPr>
              <w:t>Injury to the operator or damage to equipment</w:t>
            </w:r>
          </w:p>
        </w:tc>
        <w:tc>
          <w:tcPr>
            <w:tcW w:w="4420" w:type="dxa"/>
            <w:tcBorders>
              <w:top w:val="single" w:sz="4" w:space="0" w:color="44B3E1"/>
              <w:left w:val="nil"/>
              <w:bottom w:val="single" w:sz="4" w:space="0" w:color="44B3E1"/>
              <w:right w:val="single" w:sz="4" w:space="0" w:color="44B3E1"/>
            </w:tcBorders>
            <w:vAlign w:val="bottom"/>
            <w:hideMark/>
          </w:tcPr>
          <w:p w14:paraId="56D4AD82" w14:textId="77777777" w:rsidR="00876F94" w:rsidRPr="00F26EB4" w:rsidRDefault="00876F94" w:rsidP="00876F94">
            <w:pPr>
              <w:spacing w:after="0" w:line="240" w:lineRule="auto"/>
              <w:rPr>
                <w:rFonts w:ascii="Arial" w:eastAsia="Times New Roman" w:hAnsi="Arial" w:cs="Arial"/>
                <w:color w:val="000000"/>
                <w:kern w:val="0"/>
                <w:sz w:val="20"/>
                <w:szCs w:val="20"/>
                <w:lang w:eastAsia="en-GB"/>
                <w14:ligatures w14:val="none"/>
              </w:rPr>
            </w:pPr>
            <w:r w:rsidRPr="00F26EB4">
              <w:rPr>
                <w:rFonts w:ascii="Arial" w:eastAsia="Times New Roman" w:hAnsi="Arial" w:cs="Arial"/>
                <w:color w:val="000000"/>
                <w:kern w:val="0"/>
                <w:sz w:val="20"/>
                <w:szCs w:val="20"/>
                <w:lang w:eastAsia="en-GB"/>
                <w14:ligatures w14:val="none"/>
              </w:rPr>
              <w:t>Inspect the survey route beforehand; remove avoidable hazards; walk at a controlled pace.</w:t>
            </w:r>
          </w:p>
        </w:tc>
      </w:tr>
      <w:tr w:rsidR="00876F94" w:rsidRPr="00F26EB4" w14:paraId="0231CF07" w14:textId="77777777" w:rsidTr="00876F94">
        <w:trPr>
          <w:trHeight w:val="525"/>
        </w:trPr>
        <w:tc>
          <w:tcPr>
            <w:tcW w:w="2480" w:type="dxa"/>
            <w:tcBorders>
              <w:top w:val="single" w:sz="4" w:space="0" w:color="44B3E1"/>
              <w:left w:val="single" w:sz="4" w:space="0" w:color="44B3E1"/>
              <w:bottom w:val="single" w:sz="4" w:space="0" w:color="44B3E1"/>
              <w:right w:val="nil"/>
            </w:tcBorders>
            <w:shd w:val="clear" w:color="C0E6F5" w:fill="C0E6F5"/>
            <w:vAlign w:val="center"/>
            <w:hideMark/>
          </w:tcPr>
          <w:p w14:paraId="09BBCA56" w14:textId="77777777" w:rsidR="00876F94" w:rsidRPr="00F26EB4" w:rsidRDefault="00876F94" w:rsidP="00876F94">
            <w:pPr>
              <w:spacing w:after="0" w:line="240" w:lineRule="auto"/>
              <w:rPr>
                <w:rFonts w:ascii="Arial" w:eastAsia="Times New Roman" w:hAnsi="Arial" w:cs="Arial"/>
                <w:color w:val="000000"/>
                <w:kern w:val="0"/>
                <w:sz w:val="20"/>
                <w:szCs w:val="20"/>
                <w:lang w:eastAsia="en-GB"/>
                <w14:ligatures w14:val="none"/>
              </w:rPr>
            </w:pPr>
            <w:r w:rsidRPr="00F26EB4">
              <w:rPr>
                <w:rFonts w:ascii="Arial" w:eastAsia="Times New Roman" w:hAnsi="Arial" w:cs="Arial"/>
                <w:color w:val="000000"/>
                <w:kern w:val="0"/>
                <w:sz w:val="20"/>
                <w:szCs w:val="20"/>
                <w:lang w:eastAsia="en-GB"/>
                <w14:ligatures w14:val="none"/>
              </w:rPr>
              <w:t>Busy corridors</w:t>
            </w:r>
          </w:p>
        </w:tc>
        <w:tc>
          <w:tcPr>
            <w:tcW w:w="3540" w:type="dxa"/>
            <w:tcBorders>
              <w:top w:val="single" w:sz="4" w:space="0" w:color="44B3E1"/>
              <w:left w:val="nil"/>
              <w:bottom w:val="single" w:sz="4" w:space="0" w:color="44B3E1"/>
              <w:right w:val="nil"/>
            </w:tcBorders>
            <w:shd w:val="clear" w:color="C0E6F5" w:fill="C0E6F5"/>
            <w:vAlign w:val="bottom"/>
            <w:hideMark/>
          </w:tcPr>
          <w:p w14:paraId="044E0C21" w14:textId="77777777" w:rsidR="00876F94" w:rsidRPr="00F26EB4" w:rsidRDefault="00876F94" w:rsidP="00876F94">
            <w:pPr>
              <w:spacing w:after="0" w:line="240" w:lineRule="auto"/>
              <w:rPr>
                <w:rFonts w:ascii="Arial" w:eastAsia="Times New Roman" w:hAnsi="Arial" w:cs="Arial"/>
                <w:color w:val="000000"/>
                <w:kern w:val="0"/>
                <w:sz w:val="20"/>
                <w:szCs w:val="20"/>
                <w:lang w:eastAsia="en-GB"/>
                <w14:ligatures w14:val="none"/>
              </w:rPr>
            </w:pPr>
            <w:r w:rsidRPr="00F26EB4">
              <w:rPr>
                <w:rFonts w:ascii="Arial" w:eastAsia="Times New Roman" w:hAnsi="Arial" w:cs="Arial"/>
                <w:color w:val="000000"/>
                <w:kern w:val="0"/>
                <w:sz w:val="20"/>
                <w:szCs w:val="20"/>
                <w:lang w:eastAsia="en-GB"/>
                <w14:ligatures w14:val="none"/>
              </w:rPr>
              <w:t>Interruption to scanning and reduced data quality</w:t>
            </w:r>
          </w:p>
        </w:tc>
        <w:tc>
          <w:tcPr>
            <w:tcW w:w="4420" w:type="dxa"/>
            <w:tcBorders>
              <w:top w:val="single" w:sz="4" w:space="0" w:color="44B3E1"/>
              <w:left w:val="nil"/>
              <w:bottom w:val="single" w:sz="4" w:space="0" w:color="44B3E1"/>
              <w:right w:val="single" w:sz="4" w:space="0" w:color="44B3E1"/>
            </w:tcBorders>
            <w:shd w:val="clear" w:color="C0E6F5" w:fill="C0E6F5"/>
            <w:vAlign w:val="bottom"/>
            <w:hideMark/>
          </w:tcPr>
          <w:p w14:paraId="4133FB05" w14:textId="77777777" w:rsidR="00876F94" w:rsidRPr="00F26EB4" w:rsidRDefault="00876F94" w:rsidP="00876F94">
            <w:pPr>
              <w:spacing w:after="0" w:line="240" w:lineRule="auto"/>
              <w:rPr>
                <w:rFonts w:ascii="Arial" w:eastAsia="Times New Roman" w:hAnsi="Arial" w:cs="Arial"/>
                <w:color w:val="000000"/>
                <w:kern w:val="0"/>
                <w:sz w:val="20"/>
                <w:szCs w:val="20"/>
                <w:lang w:eastAsia="en-GB"/>
                <w14:ligatures w14:val="none"/>
              </w:rPr>
            </w:pPr>
            <w:r w:rsidRPr="00F26EB4">
              <w:rPr>
                <w:rFonts w:ascii="Arial" w:eastAsia="Times New Roman" w:hAnsi="Arial" w:cs="Arial"/>
                <w:color w:val="000000"/>
                <w:kern w:val="0"/>
                <w:sz w:val="20"/>
                <w:szCs w:val="20"/>
                <w:lang w:eastAsia="en-GB"/>
                <w14:ligatures w14:val="none"/>
              </w:rPr>
              <w:t>Scan during quieter periods where possible; pause temporarily for large pedestrian flows.</w:t>
            </w:r>
          </w:p>
        </w:tc>
      </w:tr>
      <w:tr w:rsidR="00876F94" w:rsidRPr="00F26EB4" w14:paraId="528EB284" w14:textId="77777777" w:rsidTr="00876F94">
        <w:trPr>
          <w:trHeight w:val="525"/>
        </w:trPr>
        <w:tc>
          <w:tcPr>
            <w:tcW w:w="2480" w:type="dxa"/>
            <w:tcBorders>
              <w:top w:val="single" w:sz="4" w:space="0" w:color="44B3E1"/>
              <w:left w:val="single" w:sz="4" w:space="0" w:color="44B3E1"/>
              <w:bottom w:val="single" w:sz="4" w:space="0" w:color="44B3E1"/>
              <w:right w:val="nil"/>
            </w:tcBorders>
            <w:vAlign w:val="center"/>
            <w:hideMark/>
          </w:tcPr>
          <w:p w14:paraId="4BDFFBB6" w14:textId="77777777" w:rsidR="00876F94" w:rsidRPr="00F26EB4" w:rsidRDefault="00876F94" w:rsidP="00876F94">
            <w:pPr>
              <w:spacing w:after="0" w:line="240" w:lineRule="auto"/>
              <w:rPr>
                <w:rFonts w:ascii="Arial" w:eastAsia="Times New Roman" w:hAnsi="Arial" w:cs="Arial"/>
                <w:color w:val="000000"/>
                <w:kern w:val="0"/>
                <w:sz w:val="20"/>
                <w:szCs w:val="20"/>
                <w:lang w:eastAsia="en-GB"/>
                <w14:ligatures w14:val="none"/>
              </w:rPr>
            </w:pPr>
            <w:r w:rsidRPr="00F26EB4">
              <w:rPr>
                <w:rFonts w:ascii="Arial" w:eastAsia="Times New Roman" w:hAnsi="Arial" w:cs="Arial"/>
                <w:color w:val="000000"/>
                <w:kern w:val="0"/>
                <w:sz w:val="20"/>
                <w:szCs w:val="20"/>
                <w:lang w:eastAsia="en-GB"/>
                <w14:ligatures w14:val="none"/>
              </w:rPr>
              <w:t>Operator fatigue</w:t>
            </w:r>
          </w:p>
        </w:tc>
        <w:tc>
          <w:tcPr>
            <w:tcW w:w="3540" w:type="dxa"/>
            <w:tcBorders>
              <w:top w:val="single" w:sz="4" w:space="0" w:color="44B3E1"/>
              <w:left w:val="nil"/>
              <w:bottom w:val="single" w:sz="4" w:space="0" w:color="44B3E1"/>
              <w:right w:val="nil"/>
            </w:tcBorders>
            <w:vAlign w:val="bottom"/>
            <w:hideMark/>
          </w:tcPr>
          <w:p w14:paraId="6AC8497D" w14:textId="77777777" w:rsidR="00876F94" w:rsidRPr="00F26EB4" w:rsidRDefault="00876F94" w:rsidP="00876F94">
            <w:pPr>
              <w:spacing w:after="0" w:line="240" w:lineRule="auto"/>
              <w:rPr>
                <w:rFonts w:ascii="Arial" w:eastAsia="Times New Roman" w:hAnsi="Arial" w:cs="Arial"/>
                <w:color w:val="000000"/>
                <w:kern w:val="0"/>
                <w:sz w:val="20"/>
                <w:szCs w:val="20"/>
                <w:lang w:eastAsia="en-GB"/>
                <w14:ligatures w14:val="none"/>
              </w:rPr>
            </w:pPr>
            <w:r w:rsidRPr="00F26EB4">
              <w:rPr>
                <w:rFonts w:ascii="Arial" w:eastAsia="Times New Roman" w:hAnsi="Arial" w:cs="Arial"/>
                <w:color w:val="000000"/>
                <w:kern w:val="0"/>
                <w:sz w:val="20"/>
                <w:szCs w:val="20"/>
                <w:lang w:eastAsia="en-GB"/>
                <w14:ligatures w14:val="none"/>
              </w:rPr>
              <w:t>Reduced concentration and inconsistent scanning</w:t>
            </w:r>
          </w:p>
        </w:tc>
        <w:tc>
          <w:tcPr>
            <w:tcW w:w="4420" w:type="dxa"/>
            <w:tcBorders>
              <w:top w:val="single" w:sz="4" w:space="0" w:color="44B3E1"/>
              <w:left w:val="nil"/>
              <w:bottom w:val="single" w:sz="4" w:space="0" w:color="44B3E1"/>
              <w:right w:val="single" w:sz="4" w:space="0" w:color="44B3E1"/>
            </w:tcBorders>
            <w:vAlign w:val="bottom"/>
            <w:hideMark/>
          </w:tcPr>
          <w:p w14:paraId="20B81F1F" w14:textId="77777777" w:rsidR="00876F94" w:rsidRPr="00F26EB4" w:rsidRDefault="00876F94" w:rsidP="00876F94">
            <w:pPr>
              <w:spacing w:after="0" w:line="240" w:lineRule="auto"/>
              <w:rPr>
                <w:rFonts w:ascii="Arial" w:eastAsia="Times New Roman" w:hAnsi="Arial" w:cs="Arial"/>
                <w:color w:val="000000"/>
                <w:kern w:val="0"/>
                <w:sz w:val="20"/>
                <w:szCs w:val="20"/>
                <w:lang w:eastAsia="en-GB"/>
                <w14:ligatures w14:val="none"/>
              </w:rPr>
            </w:pPr>
            <w:r w:rsidRPr="00F26EB4">
              <w:rPr>
                <w:rFonts w:ascii="Arial" w:eastAsia="Times New Roman" w:hAnsi="Arial" w:cs="Arial"/>
                <w:color w:val="000000"/>
                <w:kern w:val="0"/>
                <w:sz w:val="20"/>
                <w:szCs w:val="20"/>
                <w:lang w:eastAsia="en-GB"/>
                <w14:ligatures w14:val="none"/>
              </w:rPr>
              <w:t>Limit prolonged scanning sessions; take short breaks if required.</w:t>
            </w:r>
          </w:p>
        </w:tc>
      </w:tr>
      <w:tr w:rsidR="00876F94" w:rsidRPr="00F26EB4" w14:paraId="548A3F2C" w14:textId="77777777" w:rsidTr="00876F94">
        <w:trPr>
          <w:trHeight w:val="510"/>
        </w:trPr>
        <w:tc>
          <w:tcPr>
            <w:tcW w:w="2480" w:type="dxa"/>
            <w:tcBorders>
              <w:top w:val="single" w:sz="4" w:space="0" w:color="44B3E1"/>
              <w:left w:val="single" w:sz="4" w:space="0" w:color="44B3E1"/>
              <w:bottom w:val="single" w:sz="4" w:space="0" w:color="44B3E1"/>
              <w:right w:val="nil"/>
            </w:tcBorders>
            <w:shd w:val="clear" w:color="C0E6F5" w:fill="C0E6F5"/>
            <w:noWrap/>
            <w:vAlign w:val="bottom"/>
            <w:hideMark/>
          </w:tcPr>
          <w:p w14:paraId="47634C04" w14:textId="77777777" w:rsidR="00876F94" w:rsidRPr="00F26EB4" w:rsidRDefault="00876F94" w:rsidP="00876F94">
            <w:pPr>
              <w:spacing w:after="0" w:line="240" w:lineRule="auto"/>
              <w:rPr>
                <w:rFonts w:ascii="Arial" w:eastAsia="Times New Roman" w:hAnsi="Arial" w:cs="Arial"/>
                <w:color w:val="000000"/>
                <w:kern w:val="0"/>
                <w:sz w:val="20"/>
                <w:szCs w:val="20"/>
                <w:lang w:eastAsia="en-GB"/>
                <w14:ligatures w14:val="none"/>
              </w:rPr>
            </w:pPr>
            <w:r w:rsidRPr="00F26EB4">
              <w:rPr>
                <w:rFonts w:ascii="Arial" w:eastAsia="Times New Roman" w:hAnsi="Arial" w:cs="Arial"/>
                <w:color w:val="000000"/>
                <w:kern w:val="0"/>
                <w:sz w:val="20"/>
                <w:szCs w:val="20"/>
                <w:lang w:eastAsia="en-GB"/>
                <w14:ligatures w14:val="none"/>
              </w:rPr>
              <w:t>Emergency evacuation</w:t>
            </w:r>
          </w:p>
        </w:tc>
        <w:tc>
          <w:tcPr>
            <w:tcW w:w="3540" w:type="dxa"/>
            <w:tcBorders>
              <w:top w:val="single" w:sz="4" w:space="0" w:color="44B3E1"/>
              <w:left w:val="nil"/>
              <w:bottom w:val="single" w:sz="4" w:space="0" w:color="44B3E1"/>
              <w:right w:val="nil"/>
            </w:tcBorders>
            <w:shd w:val="clear" w:color="C0E6F5" w:fill="C0E6F5"/>
            <w:noWrap/>
            <w:vAlign w:val="center"/>
            <w:hideMark/>
          </w:tcPr>
          <w:p w14:paraId="47681C08" w14:textId="77777777" w:rsidR="00876F94" w:rsidRPr="00F26EB4" w:rsidRDefault="00876F94" w:rsidP="00876F94">
            <w:pPr>
              <w:spacing w:after="0" w:line="240" w:lineRule="auto"/>
              <w:rPr>
                <w:rFonts w:ascii="Arial" w:eastAsia="Times New Roman" w:hAnsi="Arial" w:cs="Arial"/>
                <w:color w:val="000000"/>
                <w:kern w:val="0"/>
                <w:sz w:val="20"/>
                <w:szCs w:val="20"/>
                <w:lang w:eastAsia="en-GB"/>
                <w14:ligatures w14:val="none"/>
              </w:rPr>
            </w:pPr>
            <w:r w:rsidRPr="00F26EB4">
              <w:rPr>
                <w:rFonts w:ascii="Arial" w:eastAsia="Times New Roman" w:hAnsi="Arial" w:cs="Arial"/>
                <w:color w:val="000000"/>
                <w:kern w:val="0"/>
                <w:sz w:val="20"/>
                <w:szCs w:val="20"/>
                <w:lang w:eastAsia="en-GB"/>
                <w14:ligatures w14:val="none"/>
              </w:rPr>
              <w:t>Delay in exiting the building</w:t>
            </w:r>
          </w:p>
        </w:tc>
        <w:tc>
          <w:tcPr>
            <w:tcW w:w="4420" w:type="dxa"/>
            <w:tcBorders>
              <w:top w:val="single" w:sz="4" w:space="0" w:color="44B3E1"/>
              <w:left w:val="nil"/>
              <w:bottom w:val="single" w:sz="4" w:space="0" w:color="44B3E1"/>
              <w:right w:val="single" w:sz="4" w:space="0" w:color="44B3E1"/>
            </w:tcBorders>
            <w:shd w:val="clear" w:color="C0E6F5" w:fill="C0E6F5"/>
            <w:vAlign w:val="center"/>
            <w:hideMark/>
          </w:tcPr>
          <w:p w14:paraId="00082BF0" w14:textId="77777777" w:rsidR="00876F94" w:rsidRPr="00F26EB4" w:rsidRDefault="00876F94" w:rsidP="00876F94">
            <w:pPr>
              <w:spacing w:after="0" w:line="240" w:lineRule="auto"/>
              <w:rPr>
                <w:rFonts w:ascii="Arial" w:eastAsia="Times New Roman" w:hAnsi="Arial" w:cs="Arial"/>
                <w:color w:val="000000"/>
                <w:kern w:val="0"/>
                <w:sz w:val="20"/>
                <w:szCs w:val="20"/>
                <w:lang w:eastAsia="en-GB"/>
                <w14:ligatures w14:val="none"/>
              </w:rPr>
            </w:pPr>
            <w:r w:rsidRPr="00F26EB4">
              <w:rPr>
                <w:rFonts w:ascii="Arial" w:eastAsia="Times New Roman" w:hAnsi="Arial" w:cs="Arial"/>
                <w:color w:val="000000"/>
                <w:kern w:val="0"/>
                <w:sz w:val="20"/>
                <w:szCs w:val="20"/>
                <w:lang w:eastAsia="en-GB"/>
                <w14:ligatures w14:val="none"/>
              </w:rPr>
              <w:t>Cease surveying immediately, secure equipment and follow building evacuation procedures.</w:t>
            </w:r>
          </w:p>
        </w:tc>
      </w:tr>
    </w:tbl>
    <w:p w14:paraId="53898425" w14:textId="77777777" w:rsidR="00F26EB4" w:rsidRDefault="00F26EB4" w:rsidP="00F26EB4"/>
    <w:p w14:paraId="4EAE2493" w14:textId="73AED9BC" w:rsidR="00F26EB4" w:rsidRPr="00F26EB4" w:rsidRDefault="00F26EB4" w:rsidP="00F26EB4">
      <w:r w:rsidRPr="00F26EB4">
        <w:lastRenderedPageBreak/>
        <w:t>The overall level of risk was assessed as low. The lightweight, ergonomic design of the BLK2GO reduces many of the hazards associated with larger, tripod-mounted equipment, and the survey was completed safely without incident by following the control measures identified above.</w:t>
      </w:r>
    </w:p>
    <w:p w14:paraId="5A76D7DF" w14:textId="2C993214" w:rsidR="007D24C4" w:rsidRPr="007D24C4" w:rsidRDefault="007D24C4" w:rsidP="007D24C4"/>
    <w:p w14:paraId="399C7B42" w14:textId="0E6E7381" w:rsidR="00F26EB4" w:rsidRDefault="00F26EB4"/>
    <w:p w14:paraId="2DC9931B" w14:textId="1D7A9DCE" w:rsidR="00980854" w:rsidRPr="00697AD6" w:rsidRDefault="00980854" w:rsidP="00980854">
      <w:pPr>
        <w:rPr>
          <w:b/>
          <w:bCs/>
        </w:rPr>
      </w:pPr>
      <w:r w:rsidRPr="00980854">
        <w:rPr>
          <w:noProof/>
        </w:rPr>
        <w:drawing>
          <wp:anchor distT="0" distB="0" distL="114300" distR="114300" simplePos="0" relativeHeight="251658240" behindDoc="1" locked="0" layoutInCell="1" allowOverlap="1" wp14:anchorId="2514E608" wp14:editId="698AEE1B">
            <wp:simplePos x="0" y="0"/>
            <wp:positionH relativeFrom="margin">
              <wp:posOffset>3922395</wp:posOffset>
            </wp:positionH>
            <wp:positionV relativeFrom="paragraph">
              <wp:posOffset>74930</wp:posOffset>
            </wp:positionV>
            <wp:extent cx="2379345" cy="1784985"/>
            <wp:effectExtent l="0" t="7620" r="0" b="0"/>
            <wp:wrapTight wrapText="bothSides">
              <wp:wrapPolygon edited="0">
                <wp:start x="-69" y="21508"/>
                <wp:lineTo x="21375" y="21508"/>
                <wp:lineTo x="21375" y="300"/>
                <wp:lineTo x="-69" y="300"/>
                <wp:lineTo x="-69" y="21508"/>
              </wp:wrapPolygon>
            </wp:wrapTight>
            <wp:docPr id="11437547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2379345" cy="17849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D7350" w:rsidRPr="006D7350">
        <w:rPr>
          <w:b/>
          <w:bCs/>
        </w:rPr>
        <w:t>Survey Execution Summary</w:t>
      </w:r>
    </w:p>
    <w:p w14:paraId="7C74736B" w14:textId="119244AC" w:rsidR="006D7350" w:rsidRPr="006D7350" w:rsidRDefault="006D7350" w:rsidP="006D7350">
      <w:r w:rsidRPr="006D7350">
        <w:t>Each member of the group operated the scanner in turn to gain practical experience of the equipment and to understand the principles of mobile laser scanning. The BLK2GO was connected to an iPad, secured with a shoulder strap to allow hands-free monitoring of the live scan. The iPad displayed the scanner's real-time position via a continuous tracking line, enabling the operator to identify areas requiring additional coverage as the survey progressed.</w:t>
      </w:r>
    </w:p>
    <w:p w14:paraId="1A7CDADE" w14:textId="744AA17D" w:rsidR="006D7350" w:rsidRPr="006D7350" w:rsidRDefault="006B2DCF" w:rsidP="006D7350">
      <w:r w:rsidRPr="006B2DCF">
        <w:t>The scanner was carried at approximately shoulder height with the arm extended in front of the operator throughout the survey. This position provided the scanner with the widest possible field of view, reducing the likelihood of the operator's body obscuring the laser sensors or cameras and allowing more of the surrounding environment to be captured in a single pass. Holding the scanner at shoulder height also improved visibility over furniture and other low-level obstacles, enabling walls, door openings and ceiling features to remain within the scanner's field of view for longer periods. A slow and consistent walking pace was maintained throughout the survey to allow the SLAM algorithm sufficient time to acquire and match features between successive scans. This produced a denser, more stable point cloud, reduced the likelihood of positional drift, and improved the overall accuracy and completeness of the captured data.</w:t>
      </w:r>
      <w:r w:rsidR="00462C0D">
        <w:t xml:space="preserve"> </w:t>
      </w:r>
      <w:proofErr w:type="gramStart"/>
      <w:r w:rsidR="006D7350" w:rsidRPr="006D7350">
        <w:t>The</w:t>
      </w:r>
      <w:proofErr w:type="gramEnd"/>
      <w:r w:rsidR="006D7350" w:rsidRPr="006D7350">
        <w:t xml:space="preserve"> survey began at one end of the first-floor corridor and followed a systematic route through the building, ensuring all accessible rooms, corridors and circulation spaces were captured. The entire digital survey was completed in approximately five minutes, demonstrating the efficiency of handheld mobile laser scanning relative to the traditional survey that followed it.</w:t>
      </w:r>
    </w:p>
    <w:p w14:paraId="42E52807" w14:textId="4296DE41" w:rsidR="006D7350" w:rsidRPr="006D7350" w:rsidRDefault="00756578" w:rsidP="006D7350">
      <w:pPr>
        <w:rPr>
          <w:b/>
          <w:bCs/>
        </w:rPr>
      </w:pPr>
      <w:r w:rsidRPr="00756578">
        <w:rPr>
          <w:noProof/>
        </w:rPr>
        <w:lastRenderedPageBreak/>
        <w:drawing>
          <wp:anchor distT="0" distB="0" distL="114300" distR="114300" simplePos="0" relativeHeight="251659264" behindDoc="1" locked="0" layoutInCell="1" allowOverlap="1" wp14:anchorId="77855C55" wp14:editId="11DD6AA3">
            <wp:simplePos x="0" y="0"/>
            <wp:positionH relativeFrom="margin">
              <wp:posOffset>4287520</wp:posOffset>
            </wp:positionH>
            <wp:positionV relativeFrom="paragraph">
              <wp:posOffset>267335</wp:posOffset>
            </wp:positionV>
            <wp:extent cx="2275840" cy="1706880"/>
            <wp:effectExtent l="0" t="1270" r="8890" b="8890"/>
            <wp:wrapTight wrapText="bothSides">
              <wp:wrapPolygon edited="0">
                <wp:start x="-12" y="21584"/>
                <wp:lineTo x="21504" y="21584"/>
                <wp:lineTo x="21504" y="129"/>
                <wp:lineTo x="-12" y="129"/>
                <wp:lineTo x="-12" y="21584"/>
              </wp:wrapPolygon>
            </wp:wrapTight>
            <wp:docPr id="10431858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2275840" cy="1706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D7350" w:rsidRPr="006D7350">
        <w:rPr>
          <w:b/>
          <w:bCs/>
        </w:rPr>
        <w:t>Problems Encountered</w:t>
      </w:r>
    </w:p>
    <w:p w14:paraId="6C3D62EA" w14:textId="499C5B6F" w:rsidR="006D7350" w:rsidRPr="006D7350" w:rsidRDefault="006D7350" w:rsidP="006D7350">
      <w:r w:rsidRPr="006D7350">
        <w:t>Two significant deviations from the original plan occurred. First, weather and safety concerns at the Dylan Thomas Centre required relocation to the IQ Building first floor at short notice, which was accommodated by adapting the planned route to the new layout on site</w:t>
      </w:r>
      <w:r w:rsidR="00E075A2">
        <w:t>, t</w:t>
      </w:r>
      <w:r w:rsidR="009B1080">
        <w:t xml:space="preserve">he IQ Building was better </w:t>
      </w:r>
      <w:r w:rsidR="00E075A2">
        <w:t>suited due</w:t>
      </w:r>
      <w:r w:rsidR="009B1080">
        <w:t xml:space="preserve"> to </w:t>
      </w:r>
      <w:r w:rsidR="00E075A2">
        <w:t xml:space="preserve">better airflow and air conditioning. </w:t>
      </w:r>
      <w:r w:rsidRPr="006D7350">
        <w:t>Second, a malfunction of the primary tripod-mounted scanner meant the survey was completed using the handheld BLK2GO instead, requiring the team to adjust technique</w:t>
      </w:r>
      <w:r w:rsidR="00756578">
        <w:t>,</w:t>
      </w:r>
      <w:r w:rsidRPr="006D7350">
        <w:t xml:space="preserve"> maintaining continuous walking motion rather than static scan positions without prior rehearsal.</w:t>
      </w:r>
    </w:p>
    <w:p w14:paraId="0A08AB10" w14:textId="24D900D9" w:rsidR="006D7350" w:rsidRPr="006D7350" w:rsidRDefault="006D7350" w:rsidP="006D7350">
      <w:r w:rsidRPr="006D7350">
        <w:t>A further practical challenge was maintaining a sufficiently slow and consistent walking pace while the building remained occupied by students and staff; this was managed by pausing briefly when pedestrian density was high and by using the real-time tracking display to confirm coverage rather than relying on estimation. No areas required a return visit, and no significant technical issues were encountered during data collection.</w:t>
      </w:r>
    </w:p>
    <w:p w14:paraId="34FAB5AF" w14:textId="0C44592E" w:rsidR="00A97B49" w:rsidRDefault="00A97B49">
      <w:pPr>
        <w:rPr>
          <w:b/>
          <w:bCs/>
        </w:rPr>
      </w:pPr>
      <w:r w:rsidRPr="00A97B49">
        <w:rPr>
          <w:b/>
          <w:bCs/>
        </w:rPr>
        <w:drawing>
          <wp:anchor distT="0" distB="0" distL="114300" distR="114300" simplePos="0" relativeHeight="251666432" behindDoc="1" locked="0" layoutInCell="1" allowOverlap="1" wp14:anchorId="4314DC39" wp14:editId="351DF6EE">
            <wp:simplePos x="0" y="0"/>
            <wp:positionH relativeFrom="margin">
              <wp:posOffset>-340242</wp:posOffset>
            </wp:positionH>
            <wp:positionV relativeFrom="paragraph">
              <wp:posOffset>293651</wp:posOffset>
            </wp:positionV>
            <wp:extent cx="1664335" cy="2219325"/>
            <wp:effectExtent l="0" t="0" r="0" b="9525"/>
            <wp:wrapTight wrapText="bothSides">
              <wp:wrapPolygon edited="0">
                <wp:start x="0" y="0"/>
                <wp:lineTo x="0" y="21507"/>
                <wp:lineTo x="21262" y="21507"/>
                <wp:lineTo x="21262" y="0"/>
                <wp:lineTo x="0" y="0"/>
              </wp:wrapPolygon>
            </wp:wrapTight>
            <wp:docPr id="44214053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64335" cy="22193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ECE8EC" w14:textId="5155167A" w:rsidR="00A97B49" w:rsidRDefault="00A97B49">
      <w:pPr>
        <w:rPr>
          <w:b/>
          <w:bCs/>
        </w:rPr>
      </w:pPr>
    </w:p>
    <w:p w14:paraId="2227299A" w14:textId="77777777" w:rsidR="00A97B49" w:rsidRDefault="00A97B49">
      <w:pPr>
        <w:rPr>
          <w:b/>
          <w:bCs/>
        </w:rPr>
      </w:pPr>
    </w:p>
    <w:p w14:paraId="19FAA245" w14:textId="77777777" w:rsidR="00A97B49" w:rsidRDefault="00A97B49">
      <w:pPr>
        <w:rPr>
          <w:b/>
          <w:bCs/>
        </w:rPr>
      </w:pPr>
    </w:p>
    <w:p w14:paraId="2A90837B" w14:textId="77777777" w:rsidR="00A97B49" w:rsidRDefault="00A97B49">
      <w:pPr>
        <w:rPr>
          <w:b/>
          <w:bCs/>
        </w:rPr>
      </w:pPr>
    </w:p>
    <w:p w14:paraId="71C3BBB7" w14:textId="77777777" w:rsidR="00A97B49" w:rsidRDefault="00A97B49">
      <w:pPr>
        <w:rPr>
          <w:b/>
          <w:bCs/>
        </w:rPr>
      </w:pPr>
    </w:p>
    <w:p w14:paraId="4D3FCC80" w14:textId="77777777" w:rsidR="00A97B49" w:rsidRDefault="00A97B49">
      <w:pPr>
        <w:rPr>
          <w:b/>
          <w:bCs/>
        </w:rPr>
      </w:pPr>
    </w:p>
    <w:p w14:paraId="12513EF1" w14:textId="278BEA2C" w:rsidR="00A97B49" w:rsidRPr="00A97B49" w:rsidRDefault="00A97B49" w:rsidP="00A97B49">
      <w:pPr>
        <w:rPr>
          <w:b/>
          <w:bCs/>
        </w:rPr>
      </w:pPr>
    </w:p>
    <w:p w14:paraId="2AC5791C" w14:textId="77777777" w:rsidR="00A97B49" w:rsidRDefault="00A97B49">
      <w:pPr>
        <w:rPr>
          <w:b/>
          <w:bCs/>
        </w:rPr>
      </w:pPr>
    </w:p>
    <w:p w14:paraId="198819E4" w14:textId="77777777" w:rsidR="00A97B49" w:rsidRDefault="00A97B49">
      <w:pPr>
        <w:rPr>
          <w:b/>
          <w:bCs/>
        </w:rPr>
      </w:pPr>
    </w:p>
    <w:p w14:paraId="20E4A0A9" w14:textId="77777777" w:rsidR="00A97B49" w:rsidRDefault="00A97B49">
      <w:pPr>
        <w:rPr>
          <w:b/>
          <w:bCs/>
        </w:rPr>
      </w:pPr>
    </w:p>
    <w:p w14:paraId="1D3BAB64" w14:textId="77777777" w:rsidR="00A97B49" w:rsidRDefault="00A97B49">
      <w:pPr>
        <w:rPr>
          <w:b/>
          <w:bCs/>
        </w:rPr>
      </w:pPr>
    </w:p>
    <w:p w14:paraId="26410707" w14:textId="77777777" w:rsidR="00A97B49" w:rsidRDefault="00A97B49">
      <w:pPr>
        <w:rPr>
          <w:b/>
          <w:bCs/>
        </w:rPr>
      </w:pPr>
    </w:p>
    <w:p w14:paraId="402CF4D0" w14:textId="77777777" w:rsidR="00A97B49" w:rsidRDefault="00A97B49">
      <w:pPr>
        <w:rPr>
          <w:b/>
          <w:bCs/>
        </w:rPr>
      </w:pPr>
    </w:p>
    <w:p w14:paraId="2247A618" w14:textId="77777777" w:rsidR="00A97B49" w:rsidRDefault="00A97B49">
      <w:pPr>
        <w:rPr>
          <w:b/>
          <w:bCs/>
        </w:rPr>
      </w:pPr>
    </w:p>
    <w:p w14:paraId="0506029E" w14:textId="77777777" w:rsidR="00A97B49" w:rsidRDefault="00A97B49">
      <w:pPr>
        <w:rPr>
          <w:b/>
          <w:bCs/>
        </w:rPr>
      </w:pPr>
    </w:p>
    <w:p w14:paraId="01D093A9" w14:textId="77777777" w:rsidR="00A97B49" w:rsidRDefault="00A97B49">
      <w:pPr>
        <w:rPr>
          <w:b/>
          <w:bCs/>
        </w:rPr>
      </w:pPr>
    </w:p>
    <w:p w14:paraId="26F5A076" w14:textId="34024BDD" w:rsidR="006D7350" w:rsidRDefault="00A97B49">
      <w:pPr>
        <w:rPr>
          <w:b/>
          <w:bCs/>
        </w:rPr>
      </w:pPr>
      <w:r w:rsidRPr="002F3A31">
        <w:rPr>
          <w:b/>
          <w:bCs/>
          <w:noProof/>
        </w:rPr>
        <w:drawing>
          <wp:anchor distT="0" distB="0" distL="114300" distR="114300" simplePos="0" relativeHeight="251660288" behindDoc="1" locked="0" layoutInCell="1" allowOverlap="1" wp14:anchorId="593F55BB" wp14:editId="2B4E09E8">
            <wp:simplePos x="0" y="0"/>
            <wp:positionH relativeFrom="margin">
              <wp:posOffset>845185</wp:posOffset>
            </wp:positionH>
            <wp:positionV relativeFrom="paragraph">
              <wp:posOffset>-269875</wp:posOffset>
            </wp:positionV>
            <wp:extent cx="3395980" cy="4820920"/>
            <wp:effectExtent l="0" t="7620" r="6350" b="6350"/>
            <wp:wrapTight wrapText="bothSides">
              <wp:wrapPolygon edited="0">
                <wp:start x="21648" y="34"/>
                <wp:lineTo x="81" y="34"/>
                <wp:lineTo x="81" y="21543"/>
                <wp:lineTo x="21648" y="21543"/>
                <wp:lineTo x="21648" y="34"/>
              </wp:wrapPolygon>
            </wp:wrapTight>
            <wp:docPr id="1547179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16200000">
                      <a:off x="0" y="0"/>
                      <a:ext cx="3395980" cy="4820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4155" w:rsidRPr="00174155">
        <w:rPr>
          <w:b/>
          <w:bCs/>
        </w:rPr>
        <w:t>Results of the survey</w:t>
      </w:r>
    </w:p>
    <w:p w14:paraId="5A5A0A40" w14:textId="69836F7D" w:rsidR="00174155" w:rsidRDefault="00174155">
      <w:pPr>
        <w:rPr>
          <w:b/>
          <w:bCs/>
        </w:rPr>
      </w:pPr>
    </w:p>
    <w:p w14:paraId="2AB48121" w14:textId="3877C1A5" w:rsidR="00174155" w:rsidRDefault="00174155">
      <w:pPr>
        <w:rPr>
          <w:b/>
          <w:bCs/>
        </w:rPr>
      </w:pPr>
    </w:p>
    <w:p w14:paraId="71CF3E3E" w14:textId="6044190A" w:rsidR="007734A9" w:rsidRDefault="007734A9">
      <w:pPr>
        <w:rPr>
          <w:b/>
          <w:bCs/>
        </w:rPr>
      </w:pPr>
    </w:p>
    <w:p w14:paraId="79BC2B43" w14:textId="3D88EC55" w:rsidR="007734A9" w:rsidRDefault="007734A9">
      <w:pPr>
        <w:rPr>
          <w:b/>
          <w:bCs/>
        </w:rPr>
      </w:pPr>
    </w:p>
    <w:p w14:paraId="7242B023" w14:textId="1BF37910" w:rsidR="007734A9" w:rsidRDefault="007734A9">
      <w:pPr>
        <w:rPr>
          <w:b/>
          <w:bCs/>
        </w:rPr>
      </w:pPr>
    </w:p>
    <w:p w14:paraId="649949D9" w14:textId="4558887D" w:rsidR="007734A9" w:rsidRDefault="007734A9">
      <w:pPr>
        <w:rPr>
          <w:b/>
          <w:bCs/>
        </w:rPr>
      </w:pPr>
    </w:p>
    <w:p w14:paraId="57F70B13" w14:textId="63C80A69" w:rsidR="007734A9" w:rsidRDefault="007734A9">
      <w:pPr>
        <w:rPr>
          <w:b/>
          <w:bCs/>
        </w:rPr>
      </w:pPr>
    </w:p>
    <w:p w14:paraId="6D797687" w14:textId="4DAA54D3" w:rsidR="007734A9" w:rsidRDefault="007734A9">
      <w:pPr>
        <w:rPr>
          <w:b/>
          <w:bCs/>
        </w:rPr>
      </w:pPr>
    </w:p>
    <w:p w14:paraId="0F85F64A" w14:textId="799530CB" w:rsidR="007734A9" w:rsidRDefault="007734A9">
      <w:pPr>
        <w:rPr>
          <w:b/>
          <w:bCs/>
        </w:rPr>
      </w:pPr>
    </w:p>
    <w:p w14:paraId="1C8137D8" w14:textId="77777777" w:rsidR="007734A9" w:rsidRDefault="007734A9">
      <w:pPr>
        <w:rPr>
          <w:b/>
          <w:bCs/>
        </w:rPr>
      </w:pPr>
    </w:p>
    <w:p w14:paraId="7ED72709" w14:textId="3A9470A8" w:rsidR="007734A9" w:rsidRDefault="007734A9">
      <w:pPr>
        <w:rPr>
          <w:b/>
          <w:bCs/>
        </w:rPr>
      </w:pPr>
    </w:p>
    <w:p w14:paraId="093BB1F7" w14:textId="23D70BF6" w:rsidR="007734A9" w:rsidRDefault="007734A9">
      <w:pPr>
        <w:rPr>
          <w:b/>
          <w:bCs/>
        </w:rPr>
      </w:pPr>
    </w:p>
    <w:p w14:paraId="1BDB4CB6" w14:textId="0BF29A1D" w:rsidR="007734A9" w:rsidRDefault="00A97B49">
      <w:pPr>
        <w:rPr>
          <w:b/>
          <w:bCs/>
        </w:rPr>
      </w:pPr>
      <w:r w:rsidRPr="007734A9">
        <w:rPr>
          <w:b/>
          <w:bCs/>
          <w:noProof/>
        </w:rPr>
        <w:drawing>
          <wp:anchor distT="0" distB="0" distL="114300" distR="114300" simplePos="0" relativeHeight="251661312" behindDoc="1" locked="0" layoutInCell="1" allowOverlap="1" wp14:anchorId="43D4E76E" wp14:editId="70065C05">
            <wp:simplePos x="0" y="0"/>
            <wp:positionH relativeFrom="column">
              <wp:posOffset>1235075</wp:posOffset>
            </wp:positionH>
            <wp:positionV relativeFrom="paragraph">
              <wp:posOffset>95250</wp:posOffset>
            </wp:positionV>
            <wp:extent cx="3035300" cy="4309745"/>
            <wp:effectExtent l="0" t="0" r="0" b="0"/>
            <wp:wrapTight wrapText="bothSides">
              <wp:wrapPolygon edited="0">
                <wp:start x="0" y="0"/>
                <wp:lineTo x="0" y="21482"/>
                <wp:lineTo x="21419" y="21482"/>
                <wp:lineTo x="21419" y="0"/>
                <wp:lineTo x="0" y="0"/>
              </wp:wrapPolygon>
            </wp:wrapTight>
            <wp:docPr id="8381377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35300" cy="43097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202BEC" w14:textId="2C5E3FCE" w:rsidR="007734A9" w:rsidRDefault="007734A9">
      <w:pPr>
        <w:rPr>
          <w:b/>
          <w:bCs/>
        </w:rPr>
      </w:pPr>
    </w:p>
    <w:p w14:paraId="1020D212" w14:textId="77777777" w:rsidR="00A97B49" w:rsidRDefault="00A97B49">
      <w:pPr>
        <w:rPr>
          <w:b/>
          <w:bCs/>
        </w:rPr>
      </w:pPr>
    </w:p>
    <w:p w14:paraId="49B850B9" w14:textId="77777777" w:rsidR="00A97B49" w:rsidRDefault="00A97B49">
      <w:pPr>
        <w:rPr>
          <w:b/>
          <w:bCs/>
        </w:rPr>
      </w:pPr>
    </w:p>
    <w:p w14:paraId="22FA79D2" w14:textId="77777777" w:rsidR="00A97B49" w:rsidRDefault="00A97B49">
      <w:pPr>
        <w:rPr>
          <w:b/>
          <w:bCs/>
        </w:rPr>
      </w:pPr>
    </w:p>
    <w:p w14:paraId="4F0ABD78" w14:textId="77777777" w:rsidR="007734A9" w:rsidRDefault="007734A9">
      <w:pPr>
        <w:rPr>
          <w:b/>
          <w:bCs/>
        </w:rPr>
      </w:pPr>
    </w:p>
    <w:p w14:paraId="07484C9F" w14:textId="77777777" w:rsidR="007734A9" w:rsidRDefault="007734A9">
      <w:pPr>
        <w:rPr>
          <w:b/>
          <w:bCs/>
        </w:rPr>
      </w:pPr>
    </w:p>
    <w:p w14:paraId="31E54E92" w14:textId="77777777" w:rsidR="007734A9" w:rsidRDefault="007734A9">
      <w:pPr>
        <w:rPr>
          <w:b/>
          <w:bCs/>
        </w:rPr>
      </w:pPr>
    </w:p>
    <w:p w14:paraId="472DE33D" w14:textId="77777777" w:rsidR="007734A9" w:rsidRDefault="007734A9">
      <w:pPr>
        <w:rPr>
          <w:b/>
          <w:bCs/>
        </w:rPr>
      </w:pPr>
    </w:p>
    <w:p w14:paraId="573C8895" w14:textId="77777777" w:rsidR="007734A9" w:rsidRDefault="007734A9">
      <w:pPr>
        <w:rPr>
          <w:b/>
          <w:bCs/>
        </w:rPr>
      </w:pPr>
    </w:p>
    <w:p w14:paraId="5A16F46A" w14:textId="77777777" w:rsidR="007734A9" w:rsidRDefault="007734A9">
      <w:pPr>
        <w:rPr>
          <w:b/>
          <w:bCs/>
        </w:rPr>
      </w:pPr>
    </w:p>
    <w:p w14:paraId="7553A8B4" w14:textId="77777777" w:rsidR="007734A9" w:rsidRDefault="007734A9">
      <w:pPr>
        <w:rPr>
          <w:b/>
          <w:bCs/>
        </w:rPr>
      </w:pPr>
    </w:p>
    <w:p w14:paraId="214A767C" w14:textId="77777777" w:rsidR="007734A9" w:rsidRDefault="007734A9">
      <w:pPr>
        <w:rPr>
          <w:b/>
          <w:bCs/>
        </w:rPr>
      </w:pPr>
    </w:p>
    <w:p w14:paraId="44352CA6" w14:textId="77777777" w:rsidR="007734A9" w:rsidRDefault="007734A9">
      <w:pPr>
        <w:rPr>
          <w:b/>
          <w:bCs/>
        </w:rPr>
      </w:pPr>
    </w:p>
    <w:p w14:paraId="163B9F31" w14:textId="77777777" w:rsidR="007734A9" w:rsidRPr="00174155" w:rsidRDefault="007734A9">
      <w:pPr>
        <w:rPr>
          <w:b/>
          <w:bCs/>
        </w:rPr>
      </w:pPr>
    </w:p>
    <w:tbl>
      <w:tblPr>
        <w:tblW w:w="9800" w:type="dxa"/>
        <w:tblLook w:val="04A0" w:firstRow="1" w:lastRow="0" w:firstColumn="1" w:lastColumn="0" w:noHBand="0" w:noVBand="1"/>
      </w:tblPr>
      <w:tblGrid>
        <w:gridCol w:w="1960"/>
        <w:gridCol w:w="2855"/>
        <w:gridCol w:w="2045"/>
        <w:gridCol w:w="1360"/>
        <w:gridCol w:w="1580"/>
      </w:tblGrid>
      <w:tr w:rsidR="000D539D" w:rsidRPr="000D539D" w14:paraId="2C9E9510" w14:textId="77777777" w:rsidTr="000D539D">
        <w:trPr>
          <w:trHeight w:val="300"/>
        </w:trPr>
        <w:tc>
          <w:tcPr>
            <w:tcW w:w="1960" w:type="dxa"/>
            <w:tcBorders>
              <w:top w:val="single" w:sz="4" w:space="0" w:color="44B3E1"/>
              <w:left w:val="single" w:sz="4" w:space="0" w:color="44B3E1"/>
              <w:bottom w:val="single" w:sz="4" w:space="0" w:color="44B3E1"/>
              <w:right w:val="nil"/>
            </w:tcBorders>
            <w:shd w:val="clear" w:color="156082" w:fill="156082"/>
            <w:noWrap/>
            <w:vAlign w:val="bottom"/>
            <w:hideMark/>
          </w:tcPr>
          <w:p w14:paraId="1CBE3E4A" w14:textId="77777777" w:rsidR="000D539D" w:rsidRPr="000D539D" w:rsidRDefault="000D539D" w:rsidP="000D539D">
            <w:pPr>
              <w:spacing w:after="0" w:line="240" w:lineRule="auto"/>
              <w:rPr>
                <w:rFonts w:ascii="Aptos Narrow" w:eastAsia="Times New Roman" w:hAnsi="Aptos Narrow" w:cs="Times New Roman"/>
                <w:b/>
                <w:bCs/>
                <w:color w:val="FFFFFF"/>
                <w:kern w:val="0"/>
                <w:sz w:val="22"/>
                <w:szCs w:val="22"/>
                <w:lang w:eastAsia="en-GB"/>
                <w14:ligatures w14:val="none"/>
              </w:rPr>
            </w:pPr>
            <w:r w:rsidRPr="000D539D">
              <w:rPr>
                <w:rFonts w:ascii="Aptos Narrow" w:eastAsia="Times New Roman" w:hAnsi="Aptos Narrow" w:cs="Times New Roman"/>
                <w:b/>
                <w:bCs/>
                <w:color w:val="FFFFFF"/>
                <w:kern w:val="0"/>
                <w:sz w:val="22"/>
                <w:szCs w:val="22"/>
                <w:lang w:eastAsia="en-GB"/>
                <w14:ligatures w14:val="none"/>
              </w:rPr>
              <w:t>Surveyed element</w:t>
            </w:r>
          </w:p>
        </w:tc>
        <w:tc>
          <w:tcPr>
            <w:tcW w:w="2855" w:type="dxa"/>
            <w:tcBorders>
              <w:top w:val="single" w:sz="4" w:space="0" w:color="44B3E1"/>
              <w:left w:val="nil"/>
              <w:bottom w:val="single" w:sz="4" w:space="0" w:color="44B3E1"/>
              <w:right w:val="nil"/>
            </w:tcBorders>
            <w:shd w:val="clear" w:color="156082" w:fill="156082"/>
            <w:noWrap/>
            <w:vAlign w:val="bottom"/>
            <w:hideMark/>
          </w:tcPr>
          <w:p w14:paraId="49685CCC" w14:textId="77777777" w:rsidR="000D539D" w:rsidRPr="000D539D" w:rsidRDefault="000D539D" w:rsidP="000D539D">
            <w:pPr>
              <w:spacing w:after="0" w:line="240" w:lineRule="auto"/>
              <w:rPr>
                <w:rFonts w:ascii="Aptos Narrow" w:eastAsia="Times New Roman" w:hAnsi="Aptos Narrow" w:cs="Times New Roman"/>
                <w:b/>
                <w:bCs/>
                <w:color w:val="FFFFFF"/>
                <w:kern w:val="0"/>
                <w:sz w:val="22"/>
                <w:szCs w:val="22"/>
                <w:lang w:eastAsia="en-GB"/>
                <w14:ligatures w14:val="none"/>
              </w:rPr>
            </w:pPr>
            <w:r w:rsidRPr="000D539D">
              <w:rPr>
                <w:rFonts w:ascii="Aptos Narrow" w:eastAsia="Times New Roman" w:hAnsi="Aptos Narrow" w:cs="Times New Roman"/>
                <w:b/>
                <w:bCs/>
                <w:color w:val="FFFFFF"/>
                <w:kern w:val="0"/>
                <w:sz w:val="22"/>
                <w:szCs w:val="22"/>
                <w:lang w:eastAsia="en-GB"/>
                <w14:ligatures w14:val="none"/>
              </w:rPr>
              <w:t>Manual measurement</w:t>
            </w:r>
          </w:p>
        </w:tc>
        <w:tc>
          <w:tcPr>
            <w:tcW w:w="2045" w:type="dxa"/>
            <w:tcBorders>
              <w:top w:val="single" w:sz="4" w:space="0" w:color="44B3E1"/>
              <w:left w:val="nil"/>
              <w:bottom w:val="single" w:sz="4" w:space="0" w:color="44B3E1"/>
              <w:right w:val="nil"/>
            </w:tcBorders>
            <w:shd w:val="clear" w:color="156082" w:fill="156082"/>
            <w:noWrap/>
            <w:vAlign w:val="bottom"/>
            <w:hideMark/>
          </w:tcPr>
          <w:p w14:paraId="43BCD5A0" w14:textId="77777777" w:rsidR="000D539D" w:rsidRPr="000D539D" w:rsidRDefault="000D539D" w:rsidP="000D539D">
            <w:pPr>
              <w:spacing w:after="0" w:line="240" w:lineRule="auto"/>
              <w:rPr>
                <w:rFonts w:ascii="Aptos Narrow" w:eastAsia="Times New Roman" w:hAnsi="Aptos Narrow" w:cs="Times New Roman"/>
                <w:b/>
                <w:bCs/>
                <w:color w:val="FFFFFF"/>
                <w:kern w:val="0"/>
                <w:sz w:val="22"/>
                <w:szCs w:val="22"/>
                <w:lang w:eastAsia="en-GB"/>
                <w14:ligatures w14:val="none"/>
              </w:rPr>
            </w:pPr>
            <w:r w:rsidRPr="000D539D">
              <w:rPr>
                <w:rFonts w:ascii="Aptos Narrow" w:eastAsia="Times New Roman" w:hAnsi="Aptos Narrow" w:cs="Times New Roman"/>
                <w:b/>
                <w:bCs/>
                <w:color w:val="FFFFFF"/>
                <w:kern w:val="0"/>
                <w:sz w:val="22"/>
                <w:szCs w:val="22"/>
                <w:lang w:eastAsia="en-GB"/>
                <w14:ligatures w14:val="none"/>
              </w:rPr>
              <w:t>Scan measurement</w:t>
            </w:r>
          </w:p>
        </w:tc>
        <w:tc>
          <w:tcPr>
            <w:tcW w:w="1360" w:type="dxa"/>
            <w:tcBorders>
              <w:top w:val="single" w:sz="4" w:space="0" w:color="44B3E1"/>
              <w:left w:val="nil"/>
              <w:bottom w:val="single" w:sz="4" w:space="0" w:color="44B3E1"/>
              <w:right w:val="nil"/>
            </w:tcBorders>
            <w:shd w:val="clear" w:color="156082" w:fill="156082"/>
            <w:noWrap/>
            <w:vAlign w:val="bottom"/>
            <w:hideMark/>
          </w:tcPr>
          <w:p w14:paraId="3E5C3AF5" w14:textId="77777777" w:rsidR="000D539D" w:rsidRPr="000D539D" w:rsidRDefault="000D539D" w:rsidP="000D539D">
            <w:pPr>
              <w:spacing w:after="0" w:line="240" w:lineRule="auto"/>
              <w:rPr>
                <w:rFonts w:ascii="Aptos Narrow" w:eastAsia="Times New Roman" w:hAnsi="Aptos Narrow" w:cs="Times New Roman"/>
                <w:b/>
                <w:bCs/>
                <w:color w:val="FFFFFF"/>
                <w:kern w:val="0"/>
                <w:sz w:val="22"/>
                <w:szCs w:val="22"/>
                <w:lang w:eastAsia="en-GB"/>
                <w14:ligatures w14:val="none"/>
              </w:rPr>
            </w:pPr>
            <w:r w:rsidRPr="000D539D">
              <w:rPr>
                <w:rFonts w:ascii="Aptos Narrow" w:eastAsia="Times New Roman" w:hAnsi="Aptos Narrow" w:cs="Times New Roman"/>
                <w:b/>
                <w:bCs/>
                <w:color w:val="FFFFFF"/>
                <w:kern w:val="0"/>
                <w:sz w:val="22"/>
                <w:szCs w:val="22"/>
                <w:lang w:eastAsia="en-GB"/>
                <w14:ligatures w14:val="none"/>
              </w:rPr>
              <w:t>Difference</w:t>
            </w:r>
          </w:p>
        </w:tc>
        <w:tc>
          <w:tcPr>
            <w:tcW w:w="1580" w:type="dxa"/>
            <w:tcBorders>
              <w:top w:val="single" w:sz="4" w:space="0" w:color="44B3E1"/>
              <w:left w:val="nil"/>
              <w:bottom w:val="single" w:sz="4" w:space="0" w:color="44B3E1"/>
              <w:right w:val="single" w:sz="4" w:space="0" w:color="44B3E1"/>
            </w:tcBorders>
            <w:shd w:val="clear" w:color="156082" w:fill="156082"/>
            <w:noWrap/>
            <w:vAlign w:val="bottom"/>
            <w:hideMark/>
          </w:tcPr>
          <w:p w14:paraId="734EAF0E" w14:textId="77777777" w:rsidR="000D539D" w:rsidRPr="000D539D" w:rsidRDefault="000D539D" w:rsidP="000D539D">
            <w:pPr>
              <w:spacing w:after="0" w:line="240" w:lineRule="auto"/>
              <w:rPr>
                <w:rFonts w:ascii="Aptos Narrow" w:eastAsia="Times New Roman" w:hAnsi="Aptos Narrow" w:cs="Times New Roman"/>
                <w:b/>
                <w:bCs/>
                <w:color w:val="FFFFFF"/>
                <w:kern w:val="0"/>
                <w:sz w:val="22"/>
                <w:szCs w:val="22"/>
                <w:lang w:eastAsia="en-GB"/>
                <w14:ligatures w14:val="none"/>
              </w:rPr>
            </w:pPr>
            <w:r w:rsidRPr="000D539D">
              <w:rPr>
                <w:rFonts w:ascii="Aptos Narrow" w:eastAsia="Times New Roman" w:hAnsi="Aptos Narrow" w:cs="Times New Roman"/>
                <w:b/>
                <w:bCs/>
                <w:color w:val="FFFFFF"/>
                <w:kern w:val="0"/>
                <w:sz w:val="22"/>
                <w:szCs w:val="22"/>
                <w:lang w:eastAsia="en-GB"/>
                <w14:ligatures w14:val="none"/>
              </w:rPr>
              <w:t>% Difference</w:t>
            </w:r>
          </w:p>
        </w:tc>
      </w:tr>
      <w:tr w:rsidR="000D539D" w:rsidRPr="000D539D" w14:paraId="194BF88A" w14:textId="77777777" w:rsidTr="000D539D">
        <w:trPr>
          <w:trHeight w:val="300"/>
        </w:trPr>
        <w:tc>
          <w:tcPr>
            <w:tcW w:w="1960" w:type="dxa"/>
            <w:tcBorders>
              <w:top w:val="single" w:sz="4" w:space="0" w:color="44B3E1"/>
              <w:left w:val="single" w:sz="4" w:space="0" w:color="44B3E1"/>
              <w:bottom w:val="single" w:sz="4" w:space="0" w:color="44B3E1"/>
              <w:right w:val="nil"/>
            </w:tcBorders>
            <w:shd w:val="clear" w:color="C0E6F5" w:fill="C0E6F5"/>
            <w:noWrap/>
            <w:vAlign w:val="bottom"/>
            <w:hideMark/>
          </w:tcPr>
          <w:p w14:paraId="5AC94CB8" w14:textId="77777777" w:rsidR="000D539D" w:rsidRPr="000D539D" w:rsidRDefault="000D539D" w:rsidP="000D539D">
            <w:pPr>
              <w:spacing w:after="0" w:line="240" w:lineRule="auto"/>
              <w:rPr>
                <w:rFonts w:ascii="Arial" w:eastAsia="Times New Roman" w:hAnsi="Arial" w:cs="Arial"/>
                <w:color w:val="000000"/>
                <w:kern w:val="0"/>
                <w:sz w:val="20"/>
                <w:szCs w:val="20"/>
                <w:lang w:eastAsia="en-GB"/>
                <w14:ligatures w14:val="none"/>
              </w:rPr>
            </w:pPr>
            <w:r w:rsidRPr="000D539D">
              <w:rPr>
                <w:rFonts w:ascii="Arial" w:eastAsia="Times New Roman" w:hAnsi="Arial" w:cs="Arial"/>
                <w:color w:val="000000"/>
                <w:kern w:val="0"/>
                <w:sz w:val="20"/>
                <w:szCs w:val="20"/>
                <w:lang w:eastAsia="en-GB"/>
                <w14:ligatures w14:val="none"/>
              </w:rPr>
              <w:t>Left Corridor</w:t>
            </w:r>
          </w:p>
        </w:tc>
        <w:tc>
          <w:tcPr>
            <w:tcW w:w="2855" w:type="dxa"/>
            <w:tcBorders>
              <w:top w:val="single" w:sz="4" w:space="0" w:color="44B3E1"/>
              <w:left w:val="nil"/>
              <w:bottom w:val="single" w:sz="4" w:space="0" w:color="44B3E1"/>
              <w:right w:val="nil"/>
            </w:tcBorders>
            <w:shd w:val="clear" w:color="C0E6F5" w:fill="C0E6F5"/>
            <w:noWrap/>
            <w:vAlign w:val="bottom"/>
            <w:hideMark/>
          </w:tcPr>
          <w:p w14:paraId="77911ABD" w14:textId="77777777" w:rsidR="000D539D" w:rsidRPr="000D539D" w:rsidRDefault="000D539D" w:rsidP="000D539D">
            <w:pPr>
              <w:spacing w:after="0" w:line="240" w:lineRule="auto"/>
              <w:rPr>
                <w:rFonts w:ascii="Arial" w:eastAsia="Times New Roman" w:hAnsi="Arial" w:cs="Arial"/>
                <w:color w:val="000000"/>
                <w:kern w:val="0"/>
                <w:sz w:val="20"/>
                <w:szCs w:val="20"/>
                <w:lang w:eastAsia="en-GB"/>
                <w14:ligatures w14:val="none"/>
              </w:rPr>
            </w:pPr>
            <w:r w:rsidRPr="000D539D">
              <w:rPr>
                <w:rFonts w:ascii="Arial" w:eastAsia="Times New Roman" w:hAnsi="Arial" w:cs="Arial"/>
                <w:color w:val="000000"/>
                <w:kern w:val="0"/>
                <w:sz w:val="20"/>
                <w:szCs w:val="20"/>
                <w:lang w:eastAsia="en-GB"/>
                <w14:ligatures w14:val="none"/>
              </w:rPr>
              <w:t>37.40 m (17.80 m + 19.60 m)</w:t>
            </w:r>
          </w:p>
        </w:tc>
        <w:tc>
          <w:tcPr>
            <w:tcW w:w="2045" w:type="dxa"/>
            <w:tcBorders>
              <w:top w:val="single" w:sz="4" w:space="0" w:color="44B3E1"/>
              <w:left w:val="nil"/>
              <w:bottom w:val="single" w:sz="4" w:space="0" w:color="44B3E1"/>
              <w:right w:val="nil"/>
            </w:tcBorders>
            <w:shd w:val="clear" w:color="C0E6F5" w:fill="C0E6F5"/>
            <w:noWrap/>
            <w:vAlign w:val="bottom"/>
            <w:hideMark/>
          </w:tcPr>
          <w:p w14:paraId="14BBB415" w14:textId="77777777" w:rsidR="000D539D" w:rsidRPr="000D539D" w:rsidRDefault="000D539D" w:rsidP="000D539D">
            <w:pPr>
              <w:spacing w:after="0" w:line="240" w:lineRule="auto"/>
              <w:rPr>
                <w:rFonts w:ascii="Arial" w:eastAsia="Times New Roman" w:hAnsi="Arial" w:cs="Arial"/>
                <w:color w:val="000000"/>
                <w:kern w:val="0"/>
                <w:sz w:val="20"/>
                <w:szCs w:val="20"/>
                <w:lang w:eastAsia="en-GB"/>
                <w14:ligatures w14:val="none"/>
              </w:rPr>
            </w:pPr>
            <w:r w:rsidRPr="000D539D">
              <w:rPr>
                <w:rFonts w:ascii="Arial" w:eastAsia="Times New Roman" w:hAnsi="Arial" w:cs="Arial"/>
                <w:color w:val="000000"/>
                <w:kern w:val="0"/>
                <w:sz w:val="20"/>
                <w:szCs w:val="20"/>
                <w:lang w:eastAsia="en-GB"/>
                <w14:ligatures w14:val="none"/>
              </w:rPr>
              <w:t>35.92 m</w:t>
            </w:r>
          </w:p>
        </w:tc>
        <w:tc>
          <w:tcPr>
            <w:tcW w:w="1360" w:type="dxa"/>
            <w:tcBorders>
              <w:top w:val="single" w:sz="4" w:space="0" w:color="44B3E1"/>
              <w:left w:val="nil"/>
              <w:bottom w:val="single" w:sz="4" w:space="0" w:color="44B3E1"/>
              <w:right w:val="nil"/>
            </w:tcBorders>
            <w:shd w:val="clear" w:color="C0E6F5" w:fill="C0E6F5"/>
            <w:noWrap/>
            <w:vAlign w:val="bottom"/>
            <w:hideMark/>
          </w:tcPr>
          <w:p w14:paraId="7FF840FF" w14:textId="77777777" w:rsidR="000D539D" w:rsidRPr="000D539D" w:rsidRDefault="000D539D" w:rsidP="000D539D">
            <w:pPr>
              <w:spacing w:after="0" w:line="240" w:lineRule="auto"/>
              <w:rPr>
                <w:rFonts w:ascii="Arial" w:eastAsia="Times New Roman" w:hAnsi="Arial" w:cs="Arial"/>
                <w:color w:val="000000"/>
                <w:kern w:val="0"/>
                <w:sz w:val="20"/>
                <w:szCs w:val="20"/>
                <w:lang w:eastAsia="en-GB"/>
                <w14:ligatures w14:val="none"/>
              </w:rPr>
            </w:pPr>
            <w:r w:rsidRPr="000D539D">
              <w:rPr>
                <w:rFonts w:ascii="Arial" w:eastAsia="Times New Roman" w:hAnsi="Arial" w:cs="Arial"/>
                <w:color w:val="000000"/>
                <w:kern w:val="0"/>
                <w:sz w:val="20"/>
                <w:szCs w:val="20"/>
                <w:lang w:eastAsia="en-GB"/>
                <w14:ligatures w14:val="none"/>
              </w:rPr>
              <w:t>1.48m</w:t>
            </w:r>
          </w:p>
        </w:tc>
        <w:tc>
          <w:tcPr>
            <w:tcW w:w="1580" w:type="dxa"/>
            <w:tcBorders>
              <w:top w:val="single" w:sz="4" w:space="0" w:color="44B3E1"/>
              <w:left w:val="nil"/>
              <w:bottom w:val="single" w:sz="4" w:space="0" w:color="44B3E1"/>
              <w:right w:val="single" w:sz="4" w:space="0" w:color="44B3E1"/>
            </w:tcBorders>
            <w:shd w:val="clear" w:color="C0E6F5" w:fill="C0E6F5"/>
            <w:noWrap/>
            <w:vAlign w:val="bottom"/>
            <w:hideMark/>
          </w:tcPr>
          <w:p w14:paraId="71E27FC1" w14:textId="77777777" w:rsidR="000D539D" w:rsidRPr="000D539D" w:rsidRDefault="000D539D" w:rsidP="000D539D">
            <w:pPr>
              <w:spacing w:after="0" w:line="240" w:lineRule="auto"/>
              <w:jc w:val="right"/>
              <w:rPr>
                <w:rFonts w:ascii="Arial" w:eastAsia="Times New Roman" w:hAnsi="Arial" w:cs="Arial"/>
                <w:color w:val="000000"/>
                <w:kern w:val="0"/>
                <w:sz w:val="20"/>
                <w:szCs w:val="20"/>
                <w:lang w:eastAsia="en-GB"/>
                <w14:ligatures w14:val="none"/>
              </w:rPr>
            </w:pPr>
            <w:r w:rsidRPr="000D539D">
              <w:rPr>
                <w:rFonts w:ascii="Arial" w:eastAsia="Times New Roman" w:hAnsi="Arial" w:cs="Arial"/>
                <w:color w:val="000000"/>
                <w:kern w:val="0"/>
                <w:sz w:val="20"/>
                <w:szCs w:val="20"/>
                <w:lang w:eastAsia="en-GB"/>
                <w14:ligatures w14:val="none"/>
              </w:rPr>
              <w:t>4.10%</w:t>
            </w:r>
          </w:p>
        </w:tc>
      </w:tr>
      <w:tr w:rsidR="000D539D" w:rsidRPr="000D539D" w14:paraId="11896B1C" w14:textId="77777777" w:rsidTr="000D539D">
        <w:trPr>
          <w:trHeight w:val="300"/>
        </w:trPr>
        <w:tc>
          <w:tcPr>
            <w:tcW w:w="1960" w:type="dxa"/>
            <w:tcBorders>
              <w:top w:val="single" w:sz="4" w:space="0" w:color="44B3E1"/>
              <w:left w:val="single" w:sz="4" w:space="0" w:color="44B3E1"/>
              <w:bottom w:val="single" w:sz="4" w:space="0" w:color="44B3E1"/>
              <w:right w:val="nil"/>
            </w:tcBorders>
            <w:noWrap/>
            <w:vAlign w:val="bottom"/>
            <w:hideMark/>
          </w:tcPr>
          <w:p w14:paraId="128A8F7E" w14:textId="77777777" w:rsidR="000D539D" w:rsidRPr="000D539D" w:rsidRDefault="000D539D" w:rsidP="000D539D">
            <w:pPr>
              <w:spacing w:after="0" w:line="240" w:lineRule="auto"/>
              <w:rPr>
                <w:rFonts w:ascii="Arial" w:eastAsia="Times New Roman" w:hAnsi="Arial" w:cs="Arial"/>
                <w:color w:val="000000"/>
                <w:kern w:val="0"/>
                <w:sz w:val="20"/>
                <w:szCs w:val="20"/>
                <w:lang w:eastAsia="en-GB"/>
                <w14:ligatures w14:val="none"/>
              </w:rPr>
            </w:pPr>
            <w:r w:rsidRPr="000D539D">
              <w:rPr>
                <w:rFonts w:ascii="Arial" w:eastAsia="Times New Roman" w:hAnsi="Arial" w:cs="Arial"/>
                <w:color w:val="000000"/>
                <w:kern w:val="0"/>
                <w:sz w:val="20"/>
                <w:szCs w:val="20"/>
                <w:lang w:eastAsia="en-GB"/>
                <w14:ligatures w14:val="none"/>
              </w:rPr>
              <w:t xml:space="preserve"> right corridor </w:t>
            </w:r>
          </w:p>
        </w:tc>
        <w:tc>
          <w:tcPr>
            <w:tcW w:w="2855" w:type="dxa"/>
            <w:tcBorders>
              <w:top w:val="single" w:sz="4" w:space="0" w:color="44B3E1"/>
              <w:left w:val="nil"/>
              <w:bottom w:val="single" w:sz="4" w:space="0" w:color="44B3E1"/>
              <w:right w:val="nil"/>
            </w:tcBorders>
            <w:noWrap/>
            <w:vAlign w:val="bottom"/>
            <w:hideMark/>
          </w:tcPr>
          <w:p w14:paraId="68AF8194" w14:textId="24F6DF6C" w:rsidR="000D539D" w:rsidRPr="000D539D" w:rsidRDefault="000D539D" w:rsidP="000D539D">
            <w:pPr>
              <w:spacing w:after="0" w:line="240" w:lineRule="auto"/>
              <w:rPr>
                <w:rFonts w:ascii="Arial" w:eastAsia="Times New Roman" w:hAnsi="Arial" w:cs="Arial"/>
                <w:color w:val="000000"/>
                <w:kern w:val="0"/>
                <w:sz w:val="20"/>
                <w:szCs w:val="20"/>
                <w:lang w:eastAsia="en-GB"/>
                <w14:ligatures w14:val="none"/>
              </w:rPr>
            </w:pPr>
            <w:r w:rsidRPr="000D539D">
              <w:rPr>
                <w:rFonts w:ascii="Arial" w:eastAsia="Times New Roman" w:hAnsi="Arial" w:cs="Arial"/>
                <w:color w:val="000000"/>
                <w:kern w:val="0"/>
                <w:sz w:val="20"/>
                <w:szCs w:val="20"/>
                <w:lang w:eastAsia="en-GB"/>
                <w14:ligatures w14:val="none"/>
              </w:rPr>
              <w:t>11.65 m</w:t>
            </w:r>
          </w:p>
        </w:tc>
        <w:tc>
          <w:tcPr>
            <w:tcW w:w="2045" w:type="dxa"/>
            <w:tcBorders>
              <w:top w:val="single" w:sz="4" w:space="0" w:color="44B3E1"/>
              <w:left w:val="nil"/>
              <w:bottom w:val="single" w:sz="4" w:space="0" w:color="44B3E1"/>
              <w:right w:val="nil"/>
            </w:tcBorders>
            <w:noWrap/>
            <w:vAlign w:val="bottom"/>
            <w:hideMark/>
          </w:tcPr>
          <w:p w14:paraId="300AFC6F" w14:textId="77777777" w:rsidR="000D539D" w:rsidRPr="000D539D" w:rsidRDefault="000D539D" w:rsidP="000D539D">
            <w:pPr>
              <w:spacing w:after="0" w:line="240" w:lineRule="auto"/>
              <w:rPr>
                <w:rFonts w:ascii="Arial" w:eastAsia="Times New Roman" w:hAnsi="Arial" w:cs="Arial"/>
                <w:color w:val="000000"/>
                <w:kern w:val="0"/>
                <w:sz w:val="20"/>
                <w:szCs w:val="20"/>
                <w:lang w:eastAsia="en-GB"/>
                <w14:ligatures w14:val="none"/>
              </w:rPr>
            </w:pPr>
            <w:r w:rsidRPr="000D539D">
              <w:rPr>
                <w:rFonts w:ascii="Arial" w:eastAsia="Times New Roman" w:hAnsi="Arial" w:cs="Arial"/>
                <w:color w:val="000000"/>
                <w:kern w:val="0"/>
                <w:sz w:val="20"/>
                <w:szCs w:val="20"/>
                <w:lang w:eastAsia="en-GB"/>
                <w14:ligatures w14:val="none"/>
              </w:rPr>
              <w:t>11.48 m</w:t>
            </w:r>
          </w:p>
        </w:tc>
        <w:tc>
          <w:tcPr>
            <w:tcW w:w="1360" w:type="dxa"/>
            <w:tcBorders>
              <w:top w:val="single" w:sz="4" w:space="0" w:color="44B3E1"/>
              <w:left w:val="nil"/>
              <w:bottom w:val="single" w:sz="4" w:space="0" w:color="44B3E1"/>
              <w:right w:val="nil"/>
            </w:tcBorders>
            <w:noWrap/>
            <w:vAlign w:val="bottom"/>
            <w:hideMark/>
          </w:tcPr>
          <w:p w14:paraId="3082F6DB" w14:textId="77777777" w:rsidR="000D539D" w:rsidRPr="000D539D" w:rsidRDefault="000D539D" w:rsidP="000D539D">
            <w:pPr>
              <w:spacing w:after="0" w:line="240" w:lineRule="auto"/>
              <w:rPr>
                <w:rFonts w:ascii="Arial" w:eastAsia="Times New Roman" w:hAnsi="Arial" w:cs="Arial"/>
                <w:color w:val="000000"/>
                <w:kern w:val="0"/>
                <w:sz w:val="20"/>
                <w:szCs w:val="20"/>
                <w:lang w:eastAsia="en-GB"/>
                <w14:ligatures w14:val="none"/>
              </w:rPr>
            </w:pPr>
            <w:r w:rsidRPr="000D539D">
              <w:rPr>
                <w:rFonts w:ascii="Arial" w:eastAsia="Times New Roman" w:hAnsi="Arial" w:cs="Arial"/>
                <w:color w:val="000000"/>
                <w:kern w:val="0"/>
                <w:sz w:val="20"/>
                <w:szCs w:val="20"/>
                <w:lang w:eastAsia="en-GB"/>
                <w14:ligatures w14:val="none"/>
              </w:rPr>
              <w:t>0.17m</w:t>
            </w:r>
          </w:p>
        </w:tc>
        <w:tc>
          <w:tcPr>
            <w:tcW w:w="1580" w:type="dxa"/>
            <w:tcBorders>
              <w:top w:val="single" w:sz="4" w:space="0" w:color="44B3E1"/>
              <w:left w:val="nil"/>
              <w:bottom w:val="single" w:sz="4" w:space="0" w:color="44B3E1"/>
              <w:right w:val="single" w:sz="4" w:space="0" w:color="44B3E1"/>
            </w:tcBorders>
            <w:noWrap/>
            <w:vAlign w:val="bottom"/>
            <w:hideMark/>
          </w:tcPr>
          <w:p w14:paraId="2B4502CE" w14:textId="77777777" w:rsidR="000D539D" w:rsidRPr="000D539D" w:rsidRDefault="000D539D" w:rsidP="000D539D">
            <w:pPr>
              <w:spacing w:after="0" w:line="240" w:lineRule="auto"/>
              <w:jc w:val="right"/>
              <w:rPr>
                <w:rFonts w:ascii="Arial" w:eastAsia="Times New Roman" w:hAnsi="Arial" w:cs="Arial"/>
                <w:color w:val="000000"/>
                <w:kern w:val="0"/>
                <w:sz w:val="20"/>
                <w:szCs w:val="20"/>
                <w:lang w:eastAsia="en-GB"/>
                <w14:ligatures w14:val="none"/>
              </w:rPr>
            </w:pPr>
            <w:r w:rsidRPr="000D539D">
              <w:rPr>
                <w:rFonts w:ascii="Arial" w:eastAsia="Times New Roman" w:hAnsi="Arial" w:cs="Arial"/>
                <w:color w:val="000000"/>
                <w:kern w:val="0"/>
                <w:sz w:val="20"/>
                <w:szCs w:val="20"/>
                <w:lang w:eastAsia="en-GB"/>
                <w14:ligatures w14:val="none"/>
              </w:rPr>
              <w:t>1.50%</w:t>
            </w:r>
          </w:p>
        </w:tc>
      </w:tr>
      <w:tr w:rsidR="000D539D" w:rsidRPr="000D539D" w14:paraId="738F73D6" w14:textId="77777777" w:rsidTr="000D539D">
        <w:trPr>
          <w:trHeight w:val="300"/>
        </w:trPr>
        <w:tc>
          <w:tcPr>
            <w:tcW w:w="1960" w:type="dxa"/>
            <w:tcBorders>
              <w:top w:val="single" w:sz="4" w:space="0" w:color="44B3E1"/>
              <w:left w:val="single" w:sz="4" w:space="0" w:color="44B3E1"/>
              <w:bottom w:val="single" w:sz="4" w:space="0" w:color="44B3E1"/>
              <w:right w:val="nil"/>
            </w:tcBorders>
            <w:shd w:val="clear" w:color="C0E6F5" w:fill="C0E6F5"/>
            <w:noWrap/>
            <w:vAlign w:val="bottom"/>
            <w:hideMark/>
          </w:tcPr>
          <w:p w14:paraId="5FDED594" w14:textId="77777777" w:rsidR="000D539D" w:rsidRPr="000D539D" w:rsidRDefault="000D539D" w:rsidP="000D539D">
            <w:pPr>
              <w:spacing w:after="0" w:line="240" w:lineRule="auto"/>
              <w:rPr>
                <w:rFonts w:ascii="Arial" w:eastAsia="Times New Roman" w:hAnsi="Arial" w:cs="Arial"/>
                <w:color w:val="000000"/>
                <w:kern w:val="0"/>
                <w:sz w:val="20"/>
                <w:szCs w:val="20"/>
                <w:lang w:eastAsia="en-GB"/>
                <w14:ligatures w14:val="none"/>
              </w:rPr>
            </w:pPr>
            <w:r w:rsidRPr="000D539D">
              <w:rPr>
                <w:rFonts w:ascii="Arial" w:eastAsia="Times New Roman" w:hAnsi="Arial" w:cs="Arial"/>
                <w:color w:val="000000"/>
                <w:kern w:val="0"/>
                <w:sz w:val="20"/>
                <w:szCs w:val="20"/>
                <w:lang w:eastAsia="en-GB"/>
                <w14:ligatures w14:val="none"/>
              </w:rPr>
              <w:t>Bridge</w:t>
            </w:r>
          </w:p>
        </w:tc>
        <w:tc>
          <w:tcPr>
            <w:tcW w:w="2855" w:type="dxa"/>
            <w:tcBorders>
              <w:top w:val="single" w:sz="4" w:space="0" w:color="44B3E1"/>
              <w:left w:val="nil"/>
              <w:bottom w:val="single" w:sz="4" w:space="0" w:color="44B3E1"/>
              <w:right w:val="nil"/>
            </w:tcBorders>
            <w:shd w:val="clear" w:color="C0E6F5" w:fill="C0E6F5"/>
            <w:noWrap/>
            <w:vAlign w:val="bottom"/>
            <w:hideMark/>
          </w:tcPr>
          <w:p w14:paraId="02B488C1" w14:textId="77777777" w:rsidR="000D539D" w:rsidRPr="000D539D" w:rsidRDefault="000D539D" w:rsidP="000D539D">
            <w:pPr>
              <w:spacing w:after="0" w:line="240" w:lineRule="auto"/>
              <w:rPr>
                <w:rFonts w:ascii="Arial" w:eastAsia="Times New Roman" w:hAnsi="Arial" w:cs="Arial"/>
                <w:color w:val="000000"/>
                <w:kern w:val="0"/>
                <w:sz w:val="20"/>
                <w:szCs w:val="20"/>
                <w:lang w:eastAsia="en-GB"/>
                <w14:ligatures w14:val="none"/>
              </w:rPr>
            </w:pPr>
            <w:r w:rsidRPr="000D539D">
              <w:rPr>
                <w:rFonts w:ascii="Arial" w:eastAsia="Times New Roman" w:hAnsi="Arial" w:cs="Arial"/>
                <w:color w:val="000000"/>
                <w:kern w:val="0"/>
                <w:sz w:val="20"/>
                <w:szCs w:val="20"/>
                <w:lang w:eastAsia="en-GB"/>
                <w14:ligatures w14:val="none"/>
              </w:rPr>
              <w:t>16.7m (9.5m + 7.2m)</w:t>
            </w:r>
          </w:p>
        </w:tc>
        <w:tc>
          <w:tcPr>
            <w:tcW w:w="2045" w:type="dxa"/>
            <w:tcBorders>
              <w:top w:val="single" w:sz="4" w:space="0" w:color="44B3E1"/>
              <w:left w:val="nil"/>
              <w:bottom w:val="single" w:sz="4" w:space="0" w:color="44B3E1"/>
              <w:right w:val="nil"/>
            </w:tcBorders>
            <w:shd w:val="clear" w:color="C0E6F5" w:fill="C0E6F5"/>
            <w:noWrap/>
            <w:vAlign w:val="bottom"/>
            <w:hideMark/>
          </w:tcPr>
          <w:p w14:paraId="62EEFC7F" w14:textId="77777777" w:rsidR="000D539D" w:rsidRPr="000D539D" w:rsidRDefault="000D539D" w:rsidP="000D539D">
            <w:pPr>
              <w:spacing w:after="0" w:line="240" w:lineRule="auto"/>
              <w:rPr>
                <w:rFonts w:ascii="Arial" w:eastAsia="Times New Roman" w:hAnsi="Arial" w:cs="Arial"/>
                <w:color w:val="000000"/>
                <w:kern w:val="0"/>
                <w:sz w:val="20"/>
                <w:szCs w:val="20"/>
                <w:lang w:eastAsia="en-GB"/>
                <w14:ligatures w14:val="none"/>
              </w:rPr>
            </w:pPr>
            <w:r w:rsidRPr="000D539D">
              <w:rPr>
                <w:rFonts w:ascii="Arial" w:eastAsia="Times New Roman" w:hAnsi="Arial" w:cs="Arial"/>
                <w:color w:val="000000"/>
                <w:kern w:val="0"/>
                <w:sz w:val="20"/>
                <w:szCs w:val="20"/>
                <w:lang w:eastAsia="en-GB"/>
                <w14:ligatures w14:val="none"/>
              </w:rPr>
              <w:t>16.41m</w:t>
            </w:r>
          </w:p>
        </w:tc>
        <w:tc>
          <w:tcPr>
            <w:tcW w:w="1360" w:type="dxa"/>
            <w:tcBorders>
              <w:top w:val="single" w:sz="4" w:space="0" w:color="44B3E1"/>
              <w:left w:val="nil"/>
              <w:bottom w:val="single" w:sz="4" w:space="0" w:color="44B3E1"/>
              <w:right w:val="nil"/>
            </w:tcBorders>
            <w:shd w:val="clear" w:color="C0E6F5" w:fill="C0E6F5"/>
            <w:noWrap/>
            <w:vAlign w:val="bottom"/>
            <w:hideMark/>
          </w:tcPr>
          <w:p w14:paraId="055990AC" w14:textId="77777777" w:rsidR="000D539D" w:rsidRPr="000D539D" w:rsidRDefault="000D539D" w:rsidP="000D539D">
            <w:pPr>
              <w:spacing w:after="0" w:line="240" w:lineRule="auto"/>
              <w:rPr>
                <w:rFonts w:ascii="Arial" w:eastAsia="Times New Roman" w:hAnsi="Arial" w:cs="Arial"/>
                <w:color w:val="000000"/>
                <w:kern w:val="0"/>
                <w:sz w:val="20"/>
                <w:szCs w:val="20"/>
                <w:lang w:eastAsia="en-GB"/>
                <w14:ligatures w14:val="none"/>
              </w:rPr>
            </w:pPr>
            <w:r w:rsidRPr="000D539D">
              <w:rPr>
                <w:rFonts w:ascii="Arial" w:eastAsia="Times New Roman" w:hAnsi="Arial" w:cs="Arial"/>
                <w:color w:val="000000"/>
                <w:kern w:val="0"/>
                <w:sz w:val="20"/>
                <w:szCs w:val="20"/>
                <w:lang w:eastAsia="en-GB"/>
                <w14:ligatures w14:val="none"/>
              </w:rPr>
              <w:t>0.29m</w:t>
            </w:r>
          </w:p>
        </w:tc>
        <w:tc>
          <w:tcPr>
            <w:tcW w:w="1580" w:type="dxa"/>
            <w:tcBorders>
              <w:top w:val="single" w:sz="4" w:space="0" w:color="44B3E1"/>
              <w:left w:val="nil"/>
              <w:bottom w:val="single" w:sz="4" w:space="0" w:color="44B3E1"/>
              <w:right w:val="single" w:sz="4" w:space="0" w:color="44B3E1"/>
            </w:tcBorders>
            <w:shd w:val="clear" w:color="C0E6F5" w:fill="C0E6F5"/>
            <w:noWrap/>
            <w:vAlign w:val="bottom"/>
            <w:hideMark/>
          </w:tcPr>
          <w:p w14:paraId="580FDC9E" w14:textId="77777777" w:rsidR="000D539D" w:rsidRPr="000D539D" w:rsidRDefault="000D539D" w:rsidP="000D539D">
            <w:pPr>
              <w:spacing w:after="0" w:line="240" w:lineRule="auto"/>
              <w:jc w:val="right"/>
              <w:rPr>
                <w:rFonts w:ascii="Arial" w:eastAsia="Times New Roman" w:hAnsi="Arial" w:cs="Arial"/>
                <w:color w:val="000000"/>
                <w:kern w:val="0"/>
                <w:sz w:val="20"/>
                <w:szCs w:val="20"/>
                <w:lang w:eastAsia="en-GB"/>
                <w14:ligatures w14:val="none"/>
              </w:rPr>
            </w:pPr>
            <w:r w:rsidRPr="000D539D">
              <w:rPr>
                <w:rFonts w:ascii="Arial" w:eastAsia="Times New Roman" w:hAnsi="Arial" w:cs="Arial"/>
                <w:color w:val="000000"/>
                <w:kern w:val="0"/>
                <w:sz w:val="20"/>
                <w:szCs w:val="20"/>
                <w:lang w:eastAsia="en-GB"/>
                <w14:ligatures w14:val="none"/>
              </w:rPr>
              <w:t>1.74%</w:t>
            </w:r>
          </w:p>
        </w:tc>
      </w:tr>
    </w:tbl>
    <w:p w14:paraId="2A53FF00" w14:textId="11781DB8" w:rsidR="000D539D" w:rsidRDefault="000D539D"/>
    <w:p w14:paraId="798A7DE5" w14:textId="573A4FA3" w:rsidR="00C5589B" w:rsidRDefault="00C5589B">
      <w:r w:rsidRPr="00C5589B">
        <w:t>The main corridor shows the largest discrepancy</w:t>
      </w:r>
      <w:r w:rsidR="007734A9">
        <w:t>,</w:t>
      </w:r>
      <w:r w:rsidRPr="00C5589B">
        <w:t xml:space="preserve"> the manual survey recorded this run as two separate tape-measure sections (17.80 m and 19.60 m, totalling 37.40 m) because a single tape could not span the full length, whereas the scanner recorded it as one continuous 35.92 m measurement. This 1.48 m (4.1%) difference is consistent with the cumulative error that typically arises when a long run is broken into multiple manually measured sections, each carrying its own small reading and alignment error</w:t>
      </w:r>
      <w:r w:rsidR="00444E67">
        <w:t>.</w:t>
      </w:r>
      <w:r w:rsidR="00444E67" w:rsidRPr="00C5589B">
        <w:t xml:space="preserve"> By</w:t>
      </w:r>
      <w:r w:rsidRPr="00C5589B">
        <w:t xml:space="preserve"> contrast, the right-hand corridor section, measured as a single run in both surveys, shows much closer agreement (11.65 m manual versus 11.48 m scanned, a difference of only 0.17 m or 1.5%), supporting the conclusion that the corridor discrepancy above is linked to the segmented tape technique rather than to a fundamental error in either survey.</w:t>
      </w:r>
    </w:p>
    <w:p w14:paraId="3E18ED27" w14:textId="7DDDD73B" w:rsidR="00B2243D" w:rsidRPr="00B2243D" w:rsidRDefault="00B2243D" w:rsidP="00B2243D">
      <w:pPr>
        <w:rPr>
          <w:b/>
          <w:bCs/>
        </w:rPr>
      </w:pPr>
      <w:r w:rsidRPr="00B2243D">
        <w:rPr>
          <w:b/>
          <w:bCs/>
        </w:rPr>
        <w:t>Comparison with Traditional Methods</w:t>
      </w:r>
    </w:p>
    <w:p w14:paraId="5D4EC7DC" w14:textId="6CC5E4E3" w:rsidR="00B2243D" w:rsidRPr="00B2243D" w:rsidRDefault="00B2243D" w:rsidP="00B2243D">
      <w:r w:rsidRPr="00B2243D">
        <w:t>The two methods differed substantially in time, accuracy and completeness. The digital survey captured the entire first floor in approximately five minutes, compared with a considerably longer period for the manual survey, which required a hand-drawn sketch followed by individual tape and laser-distance-meter readings for every wall and opening, transferred manually to the sketch by a two-person team. This made the manual method both slower and more dependent on coordination between surveyors to avoid recording errors.</w:t>
      </w:r>
      <w:r w:rsidR="00A66EB3">
        <w:t xml:space="preserve"> </w:t>
      </w:r>
    </w:p>
    <w:p w14:paraId="325622D5" w14:textId="7D97D79C" w:rsidR="00B2243D" w:rsidRPr="00B2243D" w:rsidRDefault="00CC0847" w:rsidP="00B2243D">
      <w:r w:rsidRPr="00A66EB3">
        <w:drawing>
          <wp:anchor distT="0" distB="0" distL="114300" distR="114300" simplePos="0" relativeHeight="251665408" behindDoc="1" locked="0" layoutInCell="1" allowOverlap="1" wp14:anchorId="4E83F9D4" wp14:editId="76D553E2">
            <wp:simplePos x="0" y="0"/>
            <wp:positionH relativeFrom="column">
              <wp:posOffset>4582323</wp:posOffset>
            </wp:positionH>
            <wp:positionV relativeFrom="paragraph">
              <wp:posOffset>1682188</wp:posOffset>
            </wp:positionV>
            <wp:extent cx="1595120" cy="2127250"/>
            <wp:effectExtent l="0" t="0" r="5080" b="6350"/>
            <wp:wrapTight wrapText="bothSides">
              <wp:wrapPolygon edited="0">
                <wp:start x="0" y="0"/>
                <wp:lineTo x="0" y="21471"/>
                <wp:lineTo x="21411" y="21471"/>
                <wp:lineTo x="21411" y="0"/>
                <wp:lineTo x="0" y="0"/>
              </wp:wrapPolygon>
            </wp:wrapTight>
            <wp:docPr id="586396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95120" cy="2127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2243D" w:rsidRPr="00B2243D">
        <w:t xml:space="preserve">In terms of accuracy, the comparison </w:t>
      </w:r>
      <w:r w:rsidR="000D3A81">
        <w:t xml:space="preserve">between the two results </w:t>
      </w:r>
      <w:r w:rsidR="00B2243D" w:rsidRPr="00B2243D">
        <w:t xml:space="preserve">shows that manual measurement performs well over short, single-span runs but accumulates error over longer or segmented runs, as seen in the 4.1% discrepancy on the main corridor. The scan-derived measurement is not subject to this cumulative error because it is generated from a single continuous point cloud rather than a series of independent manual readings. A further factor affecting the manual survey's reliability was the hand-drawn sketch itself, which formed the basis for recording and interpreting all subsequent measurements; any inaccuracy in its proportions reduced the reliability of the manual </w:t>
      </w:r>
      <w:proofErr w:type="gramStart"/>
      <w:r w:rsidR="00B2243D" w:rsidRPr="00B2243D">
        <w:t>survey as a whole, even</w:t>
      </w:r>
      <w:proofErr w:type="gramEnd"/>
      <w:r w:rsidR="00B2243D" w:rsidRPr="00B2243D">
        <w:t xml:space="preserve"> where individual wall readings were accurate.</w:t>
      </w:r>
    </w:p>
    <w:p w14:paraId="2D830C0A" w14:textId="7BB60783" w:rsidR="00B2243D" w:rsidRPr="00B2243D" w:rsidRDefault="00B2243D" w:rsidP="00B2243D">
      <w:r w:rsidRPr="00B2243D">
        <w:t xml:space="preserve">In terms of completeness, the point cloud allows measurements to be extracted retrospectively for any element of the building, </w:t>
      </w:r>
      <w:r w:rsidRPr="00B2243D">
        <w:lastRenderedPageBreak/>
        <w:t>including dimensions not anticipated during fieldwork, whereas the manual survey only records the specific dimensions the surveyors chose to measure on the day. Overall, the laser scanner provided a more efficient, consistent and complete representation of the building, while the manual survey remains a useful low-cost method for short, simple runs where cumulative error is less of a concern.</w:t>
      </w:r>
      <w:r w:rsidR="00CC5404">
        <w:t xml:space="preserve"> (</w:t>
      </w:r>
      <w:r w:rsidR="00CC5404" w:rsidRPr="00CC5404">
        <w:t>Olofsson, M., Holmgren, H., &amp; Persson, K. (2024). </w:t>
      </w:r>
    </w:p>
    <w:p w14:paraId="6D3E410F" w14:textId="7C392DA7" w:rsidR="00C5589B" w:rsidRDefault="0008077F">
      <w:r w:rsidRPr="0008077F">
        <w:drawing>
          <wp:anchor distT="0" distB="0" distL="114300" distR="114300" simplePos="0" relativeHeight="251667456" behindDoc="1" locked="0" layoutInCell="1" allowOverlap="1" wp14:anchorId="026A3B9D" wp14:editId="5A3FCB9E">
            <wp:simplePos x="0" y="0"/>
            <wp:positionH relativeFrom="margin">
              <wp:posOffset>4444143</wp:posOffset>
            </wp:positionH>
            <wp:positionV relativeFrom="paragraph">
              <wp:posOffset>1249960</wp:posOffset>
            </wp:positionV>
            <wp:extent cx="1833245" cy="2445385"/>
            <wp:effectExtent l="0" t="0" r="0" b="0"/>
            <wp:wrapTight wrapText="bothSides">
              <wp:wrapPolygon edited="0">
                <wp:start x="0" y="0"/>
                <wp:lineTo x="0" y="21370"/>
                <wp:lineTo x="21323" y="21370"/>
                <wp:lineTo x="21323" y="0"/>
                <wp:lineTo x="0" y="0"/>
              </wp:wrapPolygon>
            </wp:wrapTight>
            <wp:docPr id="201611430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833245" cy="24453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10A99" w:rsidRPr="00D10A99">
        <w:t xml:space="preserve">The survey demonstrated that handheld mobile laser scanning is an efficient and reliable method for producing accurate measured building surveys. Despite changes to the original survey location and the failure of the planned equipment, the Leica BLK2GO successfully captured a complete digital representation of the first floor of the IQ Building in a relatively short period. Comparison with traditional measurement showed that manual methods remain suitable for simple measurements but become increasingly susceptible to cumulative error over longer distances. The processed </w:t>
      </w:r>
      <w:r w:rsidR="00427EB6">
        <w:t>digital results</w:t>
      </w:r>
      <w:r w:rsidR="00D10A99" w:rsidRPr="00D10A99">
        <w:t xml:space="preserve"> provided a permanent record from which additional measurements could be extracted without revisiting the site, demonstrating significant advantages for refurbishment, Building Information Modelling and facilities management. Overall, the project confirmed that digital surveying offers improved efficiency, completeness and flexibility while maintaining an appropriate level of accuracy for measured building applications.</w:t>
      </w:r>
    </w:p>
    <w:p w14:paraId="27E1394E" w14:textId="1118C6A9" w:rsidR="00A1459E" w:rsidRDefault="00A1459E"/>
    <w:p w14:paraId="342E00FD" w14:textId="3450EAD1" w:rsidR="00A1459E" w:rsidRDefault="00A1459E"/>
    <w:p w14:paraId="714EC994" w14:textId="7330C91C" w:rsidR="00A1459E" w:rsidRDefault="00A1459E"/>
    <w:p w14:paraId="407D998D" w14:textId="70A191B0" w:rsidR="0008077F" w:rsidRPr="0008077F" w:rsidRDefault="0008077F" w:rsidP="0008077F"/>
    <w:p w14:paraId="454D43D8" w14:textId="74E397C5" w:rsidR="00A1459E" w:rsidRDefault="00A1459E"/>
    <w:p w14:paraId="2280952A" w14:textId="2E7CF220" w:rsidR="00A1459E" w:rsidRDefault="00A1459E"/>
    <w:p w14:paraId="7D6D30B9" w14:textId="5F122117" w:rsidR="00A1459E" w:rsidRDefault="00A1459E"/>
    <w:p w14:paraId="062523B2" w14:textId="77777777" w:rsidR="008A0BAF" w:rsidRDefault="008A0BAF"/>
    <w:p w14:paraId="2C96C6A1" w14:textId="77777777" w:rsidR="008A0BAF" w:rsidRDefault="008A0BAF"/>
    <w:p w14:paraId="7FC3C0BD" w14:textId="77777777" w:rsidR="008A0BAF" w:rsidRDefault="008A0BAF"/>
    <w:p w14:paraId="2F4D4B5D" w14:textId="77777777" w:rsidR="008A0BAF" w:rsidRDefault="008A0BAF"/>
    <w:p w14:paraId="1443B0A4" w14:textId="77777777" w:rsidR="008A0BAF" w:rsidRDefault="008A0BAF"/>
    <w:p w14:paraId="31E58982" w14:textId="77777777" w:rsidR="008A0BAF" w:rsidRDefault="008A0BAF"/>
    <w:p w14:paraId="1D6228FF" w14:textId="69EDDF66" w:rsidR="008A0BAF" w:rsidRDefault="008A0BAF">
      <w:pPr>
        <w:rPr>
          <w:b/>
          <w:bCs/>
          <w:i/>
          <w:iCs/>
          <w:color w:val="156082" w:themeColor="accent1"/>
          <w:sz w:val="28"/>
          <w:szCs w:val="28"/>
        </w:rPr>
      </w:pPr>
      <w:r w:rsidRPr="008A0BAF">
        <w:rPr>
          <w:b/>
          <w:bCs/>
          <w:i/>
          <w:iCs/>
          <w:color w:val="156082" w:themeColor="accent1"/>
          <w:sz w:val="28"/>
          <w:szCs w:val="28"/>
        </w:rPr>
        <w:lastRenderedPageBreak/>
        <w:t xml:space="preserve">References </w:t>
      </w:r>
    </w:p>
    <w:p w14:paraId="44FAF439" w14:textId="0DAC374F" w:rsidR="00C201FD" w:rsidRPr="00C201FD" w:rsidRDefault="00C201FD" w:rsidP="00C201FD">
      <w:pPr>
        <w:rPr>
          <w:sz w:val="28"/>
          <w:szCs w:val="28"/>
        </w:rPr>
      </w:pPr>
      <w:r w:rsidRPr="00C201FD">
        <w:rPr>
          <w:sz w:val="28"/>
          <w:szCs w:val="28"/>
        </w:rPr>
        <w:t xml:space="preserve">Leica blk2go handheld imaging laser scanner. (2024). In Leica-geosystems.com. </w:t>
      </w:r>
      <w:hyperlink r:id="rId18" w:history="1">
        <w:r w:rsidRPr="00984C52">
          <w:rPr>
            <w:rStyle w:val="Hyperlink"/>
            <w:sz w:val="28"/>
            <w:szCs w:val="28"/>
          </w:rPr>
          <w:t>https://leica-geosystems.com/products/laser-scanners/scanners/leica-blk2go</w:t>
        </w:r>
      </w:hyperlink>
      <w:r>
        <w:rPr>
          <w:sz w:val="28"/>
          <w:szCs w:val="28"/>
        </w:rPr>
        <w:t xml:space="preserve"> </w:t>
      </w:r>
    </w:p>
    <w:p w14:paraId="6A780C5D" w14:textId="278948AE" w:rsidR="00C201FD" w:rsidRPr="00C201FD" w:rsidRDefault="00C201FD" w:rsidP="00C201FD">
      <w:pPr>
        <w:rPr>
          <w:sz w:val="28"/>
          <w:szCs w:val="28"/>
        </w:rPr>
      </w:pPr>
      <w:r w:rsidRPr="00C201FD">
        <w:rPr>
          <w:sz w:val="28"/>
          <w:szCs w:val="28"/>
        </w:rPr>
        <w:t xml:space="preserve">Leica Geosystems Laser Scanners. (2025). Leica-Geosystems.Com. </w:t>
      </w:r>
      <w:hyperlink r:id="rId19" w:history="1">
        <w:r w:rsidRPr="00984C52">
          <w:rPr>
            <w:rStyle w:val="Hyperlink"/>
            <w:sz w:val="28"/>
            <w:szCs w:val="28"/>
          </w:rPr>
          <w:t>https://shop.leica-geosystems.com/gb/reality-capture/laser-scanners?c1=msn_se_nw&amp;source=uk_rc_nb&amp;kw=3d_laser_scanning_phm&amp;utm_source=msn&amp;utm_medium=cpc&amp;utm_term=3d_laser_scanning_phm&amp;utm_campaign=uk__-__reality_capture__-__non_-_branded&amp;cr5=81432727450781&amp;cr7=c&amp;msclkid=7555033bcdb41ae6e112696d8b471380&amp;utm_content=reality%20capture%20-%20laser%20scanners%20-%20phm%20%26%20exm</w:t>
        </w:r>
      </w:hyperlink>
      <w:r>
        <w:rPr>
          <w:sz w:val="28"/>
          <w:szCs w:val="28"/>
        </w:rPr>
        <w:t xml:space="preserve"> </w:t>
      </w:r>
    </w:p>
    <w:p w14:paraId="1A7F4DF0" w14:textId="1CA7548E" w:rsidR="00C201FD" w:rsidRPr="00C201FD" w:rsidRDefault="00C201FD" w:rsidP="00C201FD">
      <w:pPr>
        <w:rPr>
          <w:sz w:val="28"/>
          <w:szCs w:val="28"/>
        </w:rPr>
      </w:pPr>
      <w:r w:rsidRPr="00C201FD">
        <w:rPr>
          <w:sz w:val="28"/>
          <w:szCs w:val="28"/>
        </w:rPr>
        <w:t xml:space="preserve">Olofsson, M., Holmgren, H., &amp; Persson, K. (2024). Comparative analysis of traditional and modern measured survey methods. ~ 14 ~ International Journal of Surveying and Structural Engineering, 5(1), 14–19. </w:t>
      </w:r>
      <w:hyperlink r:id="rId20" w:history="1">
        <w:r w:rsidRPr="00984C52">
          <w:rPr>
            <w:rStyle w:val="Hyperlink"/>
            <w:sz w:val="28"/>
            <w:szCs w:val="28"/>
          </w:rPr>
          <w:t>https://www.civilengineeringjournals.com/ijsse/article/14/5-2-6-461.pdf</w:t>
        </w:r>
      </w:hyperlink>
      <w:r>
        <w:rPr>
          <w:sz w:val="28"/>
          <w:szCs w:val="28"/>
        </w:rPr>
        <w:t xml:space="preserve"> </w:t>
      </w:r>
    </w:p>
    <w:p w14:paraId="20DDB739" w14:textId="45FE9B30" w:rsidR="00C201FD" w:rsidRDefault="00C201FD" w:rsidP="00C201FD">
      <w:pPr>
        <w:rPr>
          <w:sz w:val="28"/>
          <w:szCs w:val="28"/>
        </w:rPr>
      </w:pPr>
      <w:r w:rsidRPr="00C201FD">
        <w:rPr>
          <w:sz w:val="28"/>
          <w:szCs w:val="28"/>
        </w:rPr>
        <w:t xml:space="preserve">RICS. (2014). Measured surveys of land, buildings and utilities Global. </w:t>
      </w:r>
      <w:hyperlink r:id="rId21" w:history="1">
        <w:r w:rsidRPr="00984C52">
          <w:rPr>
            <w:rStyle w:val="Hyperlink"/>
            <w:sz w:val="28"/>
            <w:szCs w:val="28"/>
          </w:rPr>
          <w:t>https://www.rics.org/content/dam/ricsglobal/documents/standards/measured_surveys_of_land_buildings_and_utilities_3rd_edition_rics.pdf</w:t>
        </w:r>
      </w:hyperlink>
      <w:r>
        <w:rPr>
          <w:sz w:val="28"/>
          <w:szCs w:val="28"/>
        </w:rPr>
        <w:t xml:space="preserve"> </w:t>
      </w:r>
    </w:p>
    <w:p w14:paraId="19775732" w14:textId="0A7FB12C" w:rsidR="004A2044" w:rsidRPr="004A2044" w:rsidRDefault="004A2044" w:rsidP="004A2044">
      <w:pPr>
        <w:rPr>
          <w:sz w:val="28"/>
          <w:szCs w:val="28"/>
        </w:rPr>
      </w:pPr>
      <w:r w:rsidRPr="004A2044">
        <w:rPr>
          <w:sz w:val="28"/>
          <w:szCs w:val="28"/>
          <w:lang w:val="es-ES"/>
        </w:rPr>
        <w:t xml:space="preserve">Del Duca, G. Del, &amp; Machado, C. (2023). </w:t>
      </w:r>
      <w:r w:rsidRPr="004A2044">
        <w:rPr>
          <w:sz w:val="28"/>
          <w:szCs w:val="28"/>
        </w:rPr>
        <w:t xml:space="preserve">Assessing the quality of the </w:t>
      </w:r>
      <w:proofErr w:type="spellStart"/>
      <w:r w:rsidRPr="004A2044">
        <w:rPr>
          <w:sz w:val="28"/>
          <w:szCs w:val="28"/>
        </w:rPr>
        <w:t>leica</w:t>
      </w:r>
      <w:proofErr w:type="spellEnd"/>
      <w:r w:rsidRPr="004A2044">
        <w:rPr>
          <w:sz w:val="28"/>
          <w:szCs w:val="28"/>
        </w:rPr>
        <w:t xml:space="preserve"> blk2go mobile laser scanner versus the focus 3D s120 static terrestrial laser scanner for a preliminary study of Garden digital surveying. </w:t>
      </w:r>
      <w:r w:rsidRPr="004A2044">
        <w:rPr>
          <w:i/>
          <w:iCs/>
          <w:sz w:val="28"/>
          <w:szCs w:val="28"/>
        </w:rPr>
        <w:t>Heritage</w:t>
      </w:r>
      <w:r w:rsidRPr="004A2044">
        <w:rPr>
          <w:sz w:val="28"/>
          <w:szCs w:val="28"/>
        </w:rPr>
        <w:t xml:space="preserve">, </w:t>
      </w:r>
      <w:r w:rsidRPr="004A2044">
        <w:rPr>
          <w:i/>
          <w:iCs/>
          <w:sz w:val="28"/>
          <w:szCs w:val="28"/>
        </w:rPr>
        <w:t>6</w:t>
      </w:r>
      <w:r w:rsidRPr="004A2044">
        <w:rPr>
          <w:sz w:val="28"/>
          <w:szCs w:val="28"/>
        </w:rPr>
        <w:t xml:space="preserve">(2), 1007–1027. </w:t>
      </w:r>
      <w:hyperlink r:id="rId22" w:history="1">
        <w:r w:rsidRPr="00984C52">
          <w:rPr>
            <w:rStyle w:val="Hyperlink"/>
            <w:sz w:val="28"/>
            <w:szCs w:val="28"/>
          </w:rPr>
          <w:t>https://doi.org/10.3390/heritage6020057</w:t>
        </w:r>
      </w:hyperlink>
      <w:r>
        <w:rPr>
          <w:sz w:val="28"/>
          <w:szCs w:val="28"/>
        </w:rPr>
        <w:t xml:space="preserve"> </w:t>
      </w:r>
    </w:p>
    <w:p w14:paraId="4B436F4D" w14:textId="77777777" w:rsidR="004A2044" w:rsidRPr="00C201FD" w:rsidRDefault="004A2044" w:rsidP="00C201FD">
      <w:pPr>
        <w:rPr>
          <w:sz w:val="28"/>
          <w:szCs w:val="28"/>
        </w:rPr>
      </w:pPr>
    </w:p>
    <w:p w14:paraId="4DDFFC96" w14:textId="77777777" w:rsidR="008A0BAF" w:rsidRPr="008A0BAF" w:rsidRDefault="008A0BAF">
      <w:pPr>
        <w:rPr>
          <w:b/>
          <w:bCs/>
          <w:i/>
          <w:iCs/>
          <w:color w:val="156082" w:themeColor="accent1"/>
          <w:sz w:val="28"/>
          <w:szCs w:val="28"/>
        </w:rPr>
      </w:pPr>
    </w:p>
    <w:sectPr w:rsidR="008A0BAF" w:rsidRPr="008A0BAF">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4831D9" w14:textId="77777777" w:rsidR="00194FB2" w:rsidRDefault="00194FB2" w:rsidP="00153898">
      <w:pPr>
        <w:spacing w:after="0" w:line="240" w:lineRule="auto"/>
      </w:pPr>
      <w:r>
        <w:separator/>
      </w:r>
    </w:p>
  </w:endnote>
  <w:endnote w:type="continuationSeparator" w:id="0">
    <w:p w14:paraId="09A726AA" w14:textId="77777777" w:rsidR="00194FB2" w:rsidRDefault="00194FB2" w:rsidP="00153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441248"/>
      <w:docPartObj>
        <w:docPartGallery w:val="Page Numbers (Bottom of Page)"/>
        <w:docPartUnique/>
      </w:docPartObj>
    </w:sdtPr>
    <w:sdtEndPr>
      <w:rPr>
        <w:b/>
        <w:bCs/>
        <w:noProof/>
        <w:color w:val="156082" w:themeColor="accent1"/>
      </w:rPr>
    </w:sdtEndPr>
    <w:sdtContent>
      <w:p w14:paraId="41090785" w14:textId="0926457C" w:rsidR="00905286" w:rsidRPr="00905286" w:rsidRDefault="00905286">
        <w:pPr>
          <w:pStyle w:val="Footer"/>
          <w:jc w:val="center"/>
          <w:rPr>
            <w:b/>
            <w:bCs/>
            <w:color w:val="156082" w:themeColor="accent1"/>
          </w:rPr>
        </w:pPr>
        <w:r w:rsidRPr="00905286">
          <w:rPr>
            <w:b/>
            <w:bCs/>
            <w:color w:val="156082" w:themeColor="accent1"/>
          </w:rPr>
          <w:fldChar w:fldCharType="begin"/>
        </w:r>
        <w:r w:rsidRPr="00905286">
          <w:rPr>
            <w:b/>
            <w:bCs/>
            <w:color w:val="156082" w:themeColor="accent1"/>
          </w:rPr>
          <w:instrText xml:space="preserve"> PAGE   \* MERGEFORMAT </w:instrText>
        </w:r>
        <w:r w:rsidRPr="00905286">
          <w:rPr>
            <w:b/>
            <w:bCs/>
            <w:color w:val="156082" w:themeColor="accent1"/>
          </w:rPr>
          <w:fldChar w:fldCharType="separate"/>
        </w:r>
        <w:r w:rsidRPr="00905286">
          <w:rPr>
            <w:b/>
            <w:bCs/>
            <w:noProof/>
            <w:color w:val="156082" w:themeColor="accent1"/>
          </w:rPr>
          <w:t>2</w:t>
        </w:r>
        <w:r w:rsidRPr="00905286">
          <w:rPr>
            <w:b/>
            <w:bCs/>
            <w:noProof/>
            <w:color w:val="156082" w:themeColor="accent1"/>
          </w:rPr>
          <w:fldChar w:fldCharType="end"/>
        </w:r>
      </w:p>
    </w:sdtContent>
  </w:sdt>
  <w:p w14:paraId="26C95318" w14:textId="77777777" w:rsidR="00905286" w:rsidRDefault="009052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B2114" w14:textId="77777777" w:rsidR="00194FB2" w:rsidRDefault="00194FB2" w:rsidP="00153898">
      <w:pPr>
        <w:spacing w:after="0" w:line="240" w:lineRule="auto"/>
      </w:pPr>
      <w:r>
        <w:separator/>
      </w:r>
    </w:p>
  </w:footnote>
  <w:footnote w:type="continuationSeparator" w:id="0">
    <w:p w14:paraId="4623647A" w14:textId="77777777" w:rsidR="00194FB2" w:rsidRDefault="00194FB2" w:rsidP="001538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0F4472" w14:textId="153D5102" w:rsidR="00153898" w:rsidRPr="007E2E2E" w:rsidRDefault="00153898" w:rsidP="00905286">
    <w:pPr>
      <w:pStyle w:val="Header"/>
      <w:jc w:val="right"/>
      <w:rPr>
        <w:b/>
        <w:color w:val="156082" w:themeColor="accent1"/>
      </w:rPr>
    </w:pPr>
    <w:r w:rsidRPr="007E2E2E">
      <w:rPr>
        <w:rFonts w:ascii="Calibri Light" w:hAnsi="Calibri Light" w:cs="Calibri Light"/>
        <w:b/>
        <w:color w:val="156082" w:themeColor="accent1"/>
        <w:sz w:val="22"/>
        <w:szCs w:val="22"/>
      </w:rPr>
      <w:t>Digital Surveying and Highway Design</w:t>
    </w:r>
  </w:p>
  <w:p w14:paraId="7E8C517D" w14:textId="569AC89E" w:rsidR="00153898" w:rsidRPr="007E2E2E" w:rsidRDefault="00153898" w:rsidP="00153898">
    <w:pPr>
      <w:pStyle w:val="Header"/>
      <w:rPr>
        <w:b/>
        <w:color w:val="156082" w:themeColor="accent1"/>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345BB0"/>
    <w:multiLevelType w:val="multilevel"/>
    <w:tmpl w:val="82184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30099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EB4"/>
    <w:rsid w:val="0008077F"/>
    <w:rsid w:val="000C4C5B"/>
    <w:rsid w:val="000D0178"/>
    <w:rsid w:val="000D3A81"/>
    <w:rsid w:val="000D539D"/>
    <w:rsid w:val="00153898"/>
    <w:rsid w:val="00174155"/>
    <w:rsid w:val="00194FB2"/>
    <w:rsid w:val="001A51CA"/>
    <w:rsid w:val="001C1C61"/>
    <w:rsid w:val="0020739F"/>
    <w:rsid w:val="002F3A31"/>
    <w:rsid w:val="0039429C"/>
    <w:rsid w:val="00413CF7"/>
    <w:rsid w:val="00427EB6"/>
    <w:rsid w:val="00444E67"/>
    <w:rsid w:val="00462C0D"/>
    <w:rsid w:val="00482EB3"/>
    <w:rsid w:val="00483EAC"/>
    <w:rsid w:val="004A2044"/>
    <w:rsid w:val="004D01B0"/>
    <w:rsid w:val="004E505B"/>
    <w:rsid w:val="00535279"/>
    <w:rsid w:val="005A45B1"/>
    <w:rsid w:val="005D197D"/>
    <w:rsid w:val="005D57C0"/>
    <w:rsid w:val="00600333"/>
    <w:rsid w:val="00636130"/>
    <w:rsid w:val="00697AD6"/>
    <w:rsid w:val="006B2DCF"/>
    <w:rsid w:val="006B77DF"/>
    <w:rsid w:val="006D7350"/>
    <w:rsid w:val="00756578"/>
    <w:rsid w:val="00764455"/>
    <w:rsid w:val="007734A9"/>
    <w:rsid w:val="007C54F0"/>
    <w:rsid w:val="007D24C4"/>
    <w:rsid w:val="007D740B"/>
    <w:rsid w:val="007E0E72"/>
    <w:rsid w:val="007E2E2E"/>
    <w:rsid w:val="008030C1"/>
    <w:rsid w:val="00876F94"/>
    <w:rsid w:val="00885864"/>
    <w:rsid w:val="008A0BAF"/>
    <w:rsid w:val="008B6352"/>
    <w:rsid w:val="008E3427"/>
    <w:rsid w:val="008F7276"/>
    <w:rsid w:val="00905286"/>
    <w:rsid w:val="00960D75"/>
    <w:rsid w:val="00980854"/>
    <w:rsid w:val="009B1080"/>
    <w:rsid w:val="00A1459E"/>
    <w:rsid w:val="00A15455"/>
    <w:rsid w:val="00A66EB3"/>
    <w:rsid w:val="00A97B49"/>
    <w:rsid w:val="00B2243D"/>
    <w:rsid w:val="00B27436"/>
    <w:rsid w:val="00B328FA"/>
    <w:rsid w:val="00B350D6"/>
    <w:rsid w:val="00BC708D"/>
    <w:rsid w:val="00C201FD"/>
    <w:rsid w:val="00C5589B"/>
    <w:rsid w:val="00CA4ED2"/>
    <w:rsid w:val="00CC0847"/>
    <w:rsid w:val="00CC5404"/>
    <w:rsid w:val="00D10A99"/>
    <w:rsid w:val="00DC468E"/>
    <w:rsid w:val="00DD3164"/>
    <w:rsid w:val="00DF44E5"/>
    <w:rsid w:val="00E075A2"/>
    <w:rsid w:val="00ED0DAB"/>
    <w:rsid w:val="00F26EB4"/>
    <w:rsid w:val="00F42843"/>
    <w:rsid w:val="00F512C5"/>
    <w:rsid w:val="00F65430"/>
    <w:rsid w:val="00FF6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2DE7A9"/>
  <w15:chartTrackingRefBased/>
  <w15:docId w15:val="{CF608A36-6EC9-493B-BC09-E8BBF692A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6E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6E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6E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6E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6E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6E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6E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6E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6E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E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6E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6E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6E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6E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6E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6E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6E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6EB4"/>
    <w:rPr>
      <w:rFonts w:eastAsiaTheme="majorEastAsia" w:cstheme="majorBidi"/>
      <w:color w:val="272727" w:themeColor="text1" w:themeTint="D8"/>
    </w:rPr>
  </w:style>
  <w:style w:type="paragraph" w:styleId="Title">
    <w:name w:val="Title"/>
    <w:basedOn w:val="Normal"/>
    <w:next w:val="Normal"/>
    <w:link w:val="TitleChar"/>
    <w:uiPriority w:val="10"/>
    <w:qFormat/>
    <w:rsid w:val="00F26E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6E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6E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6E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6EB4"/>
    <w:pPr>
      <w:spacing w:before="160"/>
      <w:jc w:val="center"/>
    </w:pPr>
    <w:rPr>
      <w:i/>
      <w:iCs/>
      <w:color w:val="404040" w:themeColor="text1" w:themeTint="BF"/>
    </w:rPr>
  </w:style>
  <w:style w:type="character" w:customStyle="1" w:styleId="QuoteChar">
    <w:name w:val="Quote Char"/>
    <w:basedOn w:val="DefaultParagraphFont"/>
    <w:link w:val="Quote"/>
    <w:uiPriority w:val="29"/>
    <w:rsid w:val="00F26EB4"/>
    <w:rPr>
      <w:i/>
      <w:iCs/>
      <w:color w:val="404040" w:themeColor="text1" w:themeTint="BF"/>
    </w:rPr>
  </w:style>
  <w:style w:type="paragraph" w:styleId="ListParagraph">
    <w:name w:val="List Paragraph"/>
    <w:basedOn w:val="Normal"/>
    <w:uiPriority w:val="34"/>
    <w:qFormat/>
    <w:rsid w:val="00F26EB4"/>
    <w:pPr>
      <w:ind w:left="720"/>
      <w:contextualSpacing/>
    </w:pPr>
  </w:style>
  <w:style w:type="character" w:styleId="IntenseEmphasis">
    <w:name w:val="Intense Emphasis"/>
    <w:basedOn w:val="DefaultParagraphFont"/>
    <w:uiPriority w:val="21"/>
    <w:qFormat/>
    <w:rsid w:val="00F26EB4"/>
    <w:rPr>
      <w:i/>
      <w:iCs/>
      <w:color w:val="0F4761" w:themeColor="accent1" w:themeShade="BF"/>
    </w:rPr>
  </w:style>
  <w:style w:type="paragraph" w:styleId="IntenseQuote">
    <w:name w:val="Intense Quote"/>
    <w:basedOn w:val="Normal"/>
    <w:next w:val="Normal"/>
    <w:link w:val="IntenseQuoteChar"/>
    <w:uiPriority w:val="30"/>
    <w:qFormat/>
    <w:rsid w:val="00F26E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6EB4"/>
    <w:rPr>
      <w:i/>
      <w:iCs/>
      <w:color w:val="0F4761" w:themeColor="accent1" w:themeShade="BF"/>
    </w:rPr>
  </w:style>
  <w:style w:type="character" w:styleId="IntenseReference">
    <w:name w:val="Intense Reference"/>
    <w:basedOn w:val="DefaultParagraphFont"/>
    <w:uiPriority w:val="32"/>
    <w:qFormat/>
    <w:rsid w:val="00F26EB4"/>
    <w:rPr>
      <w:b/>
      <w:bCs/>
      <w:smallCaps/>
      <w:color w:val="0F4761" w:themeColor="accent1" w:themeShade="BF"/>
      <w:spacing w:val="5"/>
    </w:rPr>
  </w:style>
  <w:style w:type="paragraph" w:styleId="NormalWeb">
    <w:name w:val="Normal (Web)"/>
    <w:basedOn w:val="Normal"/>
    <w:uiPriority w:val="99"/>
    <w:semiHidden/>
    <w:unhideWhenUsed/>
    <w:rsid w:val="00756578"/>
    <w:rPr>
      <w:rFonts w:ascii="Times New Roman" w:hAnsi="Times New Roman" w:cs="Times New Roman"/>
    </w:rPr>
  </w:style>
  <w:style w:type="character" w:styleId="Hyperlink">
    <w:name w:val="Hyperlink"/>
    <w:basedOn w:val="DefaultParagraphFont"/>
    <w:uiPriority w:val="99"/>
    <w:unhideWhenUsed/>
    <w:rsid w:val="00A1459E"/>
    <w:rPr>
      <w:color w:val="467886" w:themeColor="hyperlink"/>
      <w:u w:val="single"/>
    </w:rPr>
  </w:style>
  <w:style w:type="character" w:styleId="UnresolvedMention">
    <w:name w:val="Unresolved Mention"/>
    <w:basedOn w:val="DefaultParagraphFont"/>
    <w:uiPriority w:val="99"/>
    <w:semiHidden/>
    <w:unhideWhenUsed/>
    <w:rsid w:val="00A1459E"/>
    <w:rPr>
      <w:color w:val="605E5C"/>
      <w:shd w:val="clear" w:color="auto" w:fill="E1DFDD"/>
    </w:rPr>
  </w:style>
  <w:style w:type="paragraph" w:styleId="Header">
    <w:name w:val="header"/>
    <w:basedOn w:val="Normal"/>
    <w:link w:val="HeaderChar"/>
    <w:uiPriority w:val="99"/>
    <w:unhideWhenUsed/>
    <w:rsid w:val="001538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898"/>
  </w:style>
  <w:style w:type="paragraph" w:styleId="Footer">
    <w:name w:val="footer"/>
    <w:basedOn w:val="Normal"/>
    <w:link w:val="FooterChar"/>
    <w:uiPriority w:val="99"/>
    <w:unhideWhenUsed/>
    <w:rsid w:val="001538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8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leica-geosystems.com/products/laser-scanners/scanners/leica-blk2go"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rics.org/content/dam/ricsglobal/documents/standards/measured_surveys_of_land_buildings_and_utilities_3rd_edition_rics.pdf"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civilengineeringjournals.com/ijsse/article/14/5-2-6-46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s://shop.leica-geosystems.com/gb/reality-capture/laser-scanners?c1=msn_se_nw&amp;source=uk_rc_nb&amp;kw=3d_laser_scanning_phm&amp;utm_source=msn&amp;utm_medium=cpc&amp;utm_term=3d_laser_scanning_phm&amp;utm_campaign=uk__-__reality_capture__-__non_-_branded&amp;cr5=81432727450781&amp;cr7=c&amp;msclkid=7555033bcdb41ae6e112696d8b471380&amp;utm_content=reality%20capture%20-%20laser%20scanners%20-%20phm%20%26%20ex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emf"/><Relationship Id="rId22" Type="http://schemas.openxmlformats.org/officeDocument/2006/relationships/hyperlink" Target="https://doi.org/10.3390/heritage60200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6D6D14-2452-4FC2-8826-051952D39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9</Pages>
  <Words>2517</Words>
  <Characters>14351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Thomas</dc:creator>
  <cp:keywords/>
  <dc:description/>
  <cp:lastModifiedBy>Rhodri Thomas</cp:lastModifiedBy>
  <cp:revision>69</cp:revision>
  <dcterms:created xsi:type="dcterms:W3CDTF">2026-07-08T08:07:00Z</dcterms:created>
  <dcterms:modified xsi:type="dcterms:W3CDTF">2026-07-23T12:12:00Z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bfc9ab19-e022-4dc9-ac70-fbd01565dc0a</vt:lpwstr>
  </property>
</Properties>
</file>