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E386A" w14:textId="77777777" w:rsidR="00B12D1D" w:rsidRDefault="00B12D1D" w:rsidP="002B3B07">
      <w:pPr>
        <w:spacing w:after="0" w:line="480" w:lineRule="auto"/>
        <w:jc w:val="both"/>
        <w:rPr>
          <w:rFonts w:ascii="Arial" w:hAnsi="Arial" w:cs="Arial"/>
          <w:b/>
          <w:bCs/>
        </w:rPr>
      </w:pPr>
    </w:p>
    <w:p w14:paraId="2D1D1605" w14:textId="77777777" w:rsidR="00B12D1D" w:rsidRDefault="00B12D1D" w:rsidP="002B3B07">
      <w:pPr>
        <w:spacing w:after="0" w:line="480" w:lineRule="auto"/>
        <w:jc w:val="both"/>
        <w:rPr>
          <w:rFonts w:ascii="Arial" w:hAnsi="Arial" w:cs="Arial"/>
          <w:b/>
          <w:bCs/>
        </w:rPr>
      </w:pPr>
    </w:p>
    <w:p w14:paraId="50E0D1A4" w14:textId="77777777" w:rsidR="00B12D1D" w:rsidRDefault="00B12D1D" w:rsidP="00B12D1D">
      <w:pPr>
        <w:spacing w:line="360" w:lineRule="auto"/>
        <w:jc w:val="center"/>
        <w:rPr>
          <w:rFonts w:ascii="Aptos" w:hAnsi="Aptos" w:cs="Arial"/>
          <w:b/>
          <w:bCs/>
          <w:sz w:val="28"/>
          <w:szCs w:val="28"/>
        </w:rPr>
      </w:pPr>
    </w:p>
    <w:p w14:paraId="5BD76EDF" w14:textId="77777777" w:rsidR="00B12D1D" w:rsidRDefault="00B12D1D" w:rsidP="00B12D1D">
      <w:pPr>
        <w:pStyle w:val="Title"/>
      </w:pPr>
      <w:r>
        <w:t>Course: BSc (Hons) Health and Social Care</w:t>
      </w:r>
    </w:p>
    <w:p w14:paraId="2E9710F9" w14:textId="77777777" w:rsidR="00B12D1D" w:rsidRDefault="00B12D1D" w:rsidP="00B12D1D"/>
    <w:p w14:paraId="7AA57F85" w14:textId="77777777" w:rsidR="00B12D1D" w:rsidRPr="00B12D1D" w:rsidRDefault="00B12D1D" w:rsidP="00B12D1D"/>
    <w:p w14:paraId="72C5493C" w14:textId="77777777" w:rsidR="00B12D1D" w:rsidRDefault="00B12D1D" w:rsidP="00B12D1D">
      <w:pPr>
        <w:pStyle w:val="Title"/>
      </w:pPr>
      <w:r>
        <w:t>Module: Independent Project (BMHP6020_BIRM)</w:t>
      </w:r>
    </w:p>
    <w:p w14:paraId="1597760A" w14:textId="77777777" w:rsidR="00B12D1D" w:rsidRDefault="00B12D1D" w:rsidP="00B12D1D">
      <w:pPr>
        <w:pStyle w:val="Title"/>
      </w:pPr>
    </w:p>
    <w:p w14:paraId="12840B12" w14:textId="77777777" w:rsidR="00B12D1D" w:rsidRPr="00B12D1D" w:rsidRDefault="00B12D1D" w:rsidP="00B12D1D"/>
    <w:p w14:paraId="22A81703" w14:textId="77777777" w:rsidR="00B12D1D" w:rsidRDefault="00B12D1D" w:rsidP="00B12D1D">
      <w:pPr>
        <w:pStyle w:val="Title"/>
      </w:pPr>
      <w:r>
        <w:t>Student ID: 2241533</w:t>
      </w:r>
    </w:p>
    <w:p w14:paraId="1F714C47" w14:textId="77777777" w:rsidR="00B12D1D" w:rsidRPr="00B12D1D" w:rsidRDefault="00B12D1D" w:rsidP="00B12D1D"/>
    <w:p w14:paraId="258787B6" w14:textId="77777777" w:rsidR="00B12D1D" w:rsidRDefault="00B12D1D" w:rsidP="00B12D1D">
      <w:pPr>
        <w:pStyle w:val="Title"/>
      </w:pPr>
    </w:p>
    <w:p w14:paraId="5B6E1EBE" w14:textId="77777777" w:rsidR="00B12D1D" w:rsidRDefault="00B12D1D" w:rsidP="00B12D1D">
      <w:pPr>
        <w:pStyle w:val="Title"/>
      </w:pPr>
      <w:r>
        <w:t xml:space="preserve">Student Name: Maria Alexandra </w:t>
      </w:r>
      <w:proofErr w:type="spellStart"/>
      <w:r>
        <w:t>Zbranca</w:t>
      </w:r>
      <w:proofErr w:type="spellEnd"/>
    </w:p>
    <w:p w14:paraId="414E6BCF" w14:textId="77777777" w:rsidR="00B12D1D" w:rsidRDefault="00B12D1D" w:rsidP="002B3B07">
      <w:pPr>
        <w:spacing w:after="0" w:line="480" w:lineRule="auto"/>
        <w:jc w:val="both"/>
        <w:rPr>
          <w:rFonts w:ascii="Arial" w:hAnsi="Arial" w:cs="Arial"/>
          <w:b/>
          <w:bCs/>
        </w:rPr>
      </w:pPr>
    </w:p>
    <w:p w14:paraId="7BB79D35" w14:textId="77777777" w:rsidR="00B12D1D" w:rsidRDefault="00B12D1D" w:rsidP="002B3B07">
      <w:pPr>
        <w:spacing w:after="0" w:line="480" w:lineRule="auto"/>
        <w:jc w:val="both"/>
        <w:rPr>
          <w:rFonts w:ascii="Arial" w:hAnsi="Arial" w:cs="Arial"/>
          <w:b/>
          <w:bCs/>
        </w:rPr>
      </w:pPr>
    </w:p>
    <w:p w14:paraId="64003BE6" w14:textId="77777777" w:rsidR="00B12D1D" w:rsidRDefault="00B12D1D" w:rsidP="002B3B07">
      <w:pPr>
        <w:spacing w:after="0" w:line="480" w:lineRule="auto"/>
        <w:jc w:val="both"/>
        <w:rPr>
          <w:rFonts w:ascii="Arial" w:hAnsi="Arial" w:cs="Arial"/>
          <w:b/>
          <w:bCs/>
        </w:rPr>
      </w:pPr>
    </w:p>
    <w:p w14:paraId="3A23256B" w14:textId="77777777" w:rsidR="00B12D1D" w:rsidRDefault="00B12D1D" w:rsidP="002B3B07">
      <w:pPr>
        <w:spacing w:after="0" w:line="480" w:lineRule="auto"/>
        <w:jc w:val="both"/>
        <w:rPr>
          <w:rFonts w:ascii="Arial" w:hAnsi="Arial" w:cs="Arial"/>
          <w:b/>
          <w:bCs/>
        </w:rPr>
      </w:pPr>
    </w:p>
    <w:p w14:paraId="71157F0C" w14:textId="77777777" w:rsidR="00B12D1D" w:rsidRDefault="00B12D1D" w:rsidP="002B3B07">
      <w:pPr>
        <w:spacing w:after="0" w:line="480" w:lineRule="auto"/>
        <w:jc w:val="both"/>
        <w:rPr>
          <w:rFonts w:ascii="Arial" w:hAnsi="Arial" w:cs="Arial"/>
          <w:b/>
          <w:bCs/>
        </w:rPr>
      </w:pPr>
    </w:p>
    <w:p w14:paraId="06D96DD4" w14:textId="77777777" w:rsidR="00B12D1D" w:rsidRDefault="00B12D1D" w:rsidP="002B3B07">
      <w:pPr>
        <w:spacing w:after="0" w:line="480" w:lineRule="auto"/>
        <w:jc w:val="both"/>
        <w:rPr>
          <w:rFonts w:ascii="Arial" w:hAnsi="Arial" w:cs="Arial"/>
          <w:b/>
          <w:bCs/>
        </w:rPr>
      </w:pPr>
    </w:p>
    <w:p w14:paraId="4D440093" w14:textId="77777777" w:rsidR="00B12D1D" w:rsidRDefault="00B12D1D" w:rsidP="002B3B07">
      <w:pPr>
        <w:spacing w:after="0" w:line="480" w:lineRule="auto"/>
        <w:jc w:val="both"/>
        <w:rPr>
          <w:rFonts w:ascii="Arial" w:hAnsi="Arial" w:cs="Arial"/>
          <w:b/>
          <w:bCs/>
        </w:rPr>
      </w:pPr>
    </w:p>
    <w:p w14:paraId="0318B2DD" w14:textId="77777777" w:rsidR="00B12D1D" w:rsidRDefault="00B12D1D" w:rsidP="002B3B07">
      <w:pPr>
        <w:spacing w:after="0" w:line="480" w:lineRule="auto"/>
        <w:jc w:val="both"/>
        <w:rPr>
          <w:rFonts w:ascii="Arial" w:hAnsi="Arial" w:cs="Arial"/>
          <w:b/>
          <w:bCs/>
        </w:rPr>
      </w:pPr>
    </w:p>
    <w:p w14:paraId="3E0D6BC0" w14:textId="77777777" w:rsidR="00B12D1D" w:rsidRDefault="00B12D1D" w:rsidP="002B3B07">
      <w:pPr>
        <w:spacing w:after="0" w:line="480" w:lineRule="auto"/>
        <w:jc w:val="both"/>
        <w:rPr>
          <w:rFonts w:ascii="Arial" w:hAnsi="Arial" w:cs="Arial"/>
          <w:b/>
          <w:bCs/>
        </w:rPr>
      </w:pPr>
    </w:p>
    <w:p w14:paraId="1ADD4A1E" w14:textId="77777777" w:rsidR="00B12D1D" w:rsidRDefault="00B12D1D" w:rsidP="002B3B07">
      <w:pPr>
        <w:spacing w:after="0" w:line="480" w:lineRule="auto"/>
        <w:jc w:val="both"/>
        <w:rPr>
          <w:rFonts w:ascii="Arial" w:hAnsi="Arial" w:cs="Arial"/>
          <w:b/>
          <w:bCs/>
        </w:rPr>
      </w:pPr>
    </w:p>
    <w:p w14:paraId="7DD1957E" w14:textId="77777777" w:rsidR="00B12D1D" w:rsidRDefault="00B12D1D" w:rsidP="002B3B07">
      <w:pPr>
        <w:spacing w:after="0" w:line="480" w:lineRule="auto"/>
        <w:jc w:val="both"/>
        <w:rPr>
          <w:rFonts w:ascii="Arial" w:hAnsi="Arial" w:cs="Arial"/>
          <w:b/>
          <w:bCs/>
        </w:rPr>
      </w:pPr>
    </w:p>
    <w:p w14:paraId="3592605F" w14:textId="788ABF16" w:rsidR="002B3B07" w:rsidRPr="002B3B07" w:rsidRDefault="002B3B07" w:rsidP="002B3B07">
      <w:pPr>
        <w:spacing w:after="0" w:line="480" w:lineRule="auto"/>
        <w:jc w:val="both"/>
        <w:rPr>
          <w:rFonts w:ascii="Arial" w:hAnsi="Arial" w:cs="Arial"/>
          <w:b/>
          <w:bCs/>
        </w:rPr>
      </w:pPr>
      <w:r w:rsidRPr="002B3B07">
        <w:rPr>
          <w:rFonts w:ascii="Arial" w:hAnsi="Arial" w:cs="Arial"/>
          <w:b/>
          <w:bCs/>
        </w:rPr>
        <w:t>Chapter 4</w:t>
      </w:r>
    </w:p>
    <w:p w14:paraId="4B87E365"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4.1 Chapter Introduction</w:t>
      </w:r>
    </w:p>
    <w:p w14:paraId="372B6D1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chapter presents and analyses the key findings generated from the secondary research process outlined in Chapter 3. It addresses the study’s aim of exploring the challenges involved in safeguarding children from social-media-related risks in the UK and evaluating the effectiveness of current protective responses. Themes were developed through a systematic process of coding and thematic analysis, following Braun and Clarke’s (2006) framework, which enabled patterns across academic studies, inspection reports, and policy documents to be identified and grouped. The chapter is structured around three central themes: the nature and scale of online risks faced by children, the preparedness of families and professionals to respond, and the effectiveness of existing safeguarding frameworks. Together, these sections provide a critical foundation for the recommendations developed in Chapter 5.</w:t>
      </w:r>
    </w:p>
    <w:p w14:paraId="1804C534"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4.2 Thematic Analysis</w:t>
      </w:r>
    </w:p>
    <w:p w14:paraId="0A0E1810"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dissertation employed thematic analysis to examine patterns across the secondary literature, following the six-phase framework proposed by Braun and Clarke (2006). This approach was selected because it allows systematic identification and interpretation of recurring issues within complex bodies of policy documents, inspection reports and academic studies relating to online safeguarding.</w:t>
      </w:r>
    </w:p>
    <w:p w14:paraId="59BDCBD1"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process began with familiarisation, during which all included sources were read and re-read, and detailed notes were recorded in the results summary table developed in Chapter 3. Initial codes were then generated to capture repeated concepts such as cyberbullying, grooming, school preparedness, parental digital literacy, platform accountability and policy enforcement. These codes were reviewed and grouped into broader analytical themes by comparing findings across various sources and identifying areas of convergence or disagreement.</w:t>
      </w:r>
    </w:p>
    <w:p w14:paraId="6140FEF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lastRenderedPageBreak/>
        <w:t xml:space="preserve">Themes were refined through repeated checking against the original research aim and objectives to ensure analytical relevance. Three final themes were developed for this chapter: </w:t>
      </w:r>
      <w:r w:rsidRPr="002B3B07">
        <w:rPr>
          <w:rFonts w:ascii="Arial" w:eastAsia="Times New Roman" w:hAnsi="Arial" w:cs="Arial"/>
          <w:b/>
          <w:bCs/>
          <w:kern w:val="0"/>
          <w:lang w:eastAsia="en-GB"/>
          <w14:ligatures w14:val="none"/>
        </w:rPr>
        <w:t>(1) forms and prevalence of online risk, (2) effectiveness of institutional safeguarding responses, and (3) structural limitations within current regulatory frameworks</w:t>
      </w:r>
      <w:r w:rsidRPr="002B3B07">
        <w:rPr>
          <w:rFonts w:ascii="Arial" w:eastAsia="Times New Roman" w:hAnsi="Arial" w:cs="Arial"/>
          <w:kern w:val="0"/>
          <w:lang w:eastAsia="en-GB"/>
          <w14:ligatures w14:val="none"/>
        </w:rPr>
        <w:t>. These themes structure the remainder of Chapter 4 and provide the foundation for the critical discussion that follows.</w:t>
      </w:r>
    </w:p>
    <w:p w14:paraId="15834FF6" w14:textId="77777777" w:rsidR="002B3B07" w:rsidRPr="002B3B07" w:rsidRDefault="002B3B07" w:rsidP="002B3B07">
      <w:pPr>
        <w:spacing w:after="0" w:line="480" w:lineRule="auto"/>
        <w:jc w:val="both"/>
        <w:outlineLvl w:val="1"/>
        <w:rPr>
          <w:rFonts w:ascii="Arial" w:eastAsia="Times New Roman" w:hAnsi="Arial" w:cs="Arial"/>
          <w:kern w:val="0"/>
          <w:lang w:eastAsia="en-GB"/>
          <w14:ligatures w14:val="none"/>
        </w:rPr>
      </w:pPr>
    </w:p>
    <w:p w14:paraId="699F433E" w14:textId="6EDF6BDD"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 xml:space="preserve">Theme 1: Forms and Prevalence of Online </w:t>
      </w:r>
      <w:r w:rsidR="00645D15">
        <w:rPr>
          <w:rFonts w:ascii="Arial" w:eastAsia="Times New Roman" w:hAnsi="Arial" w:cs="Arial"/>
          <w:b/>
          <w:bCs/>
          <w:kern w:val="36"/>
          <w:lang w:eastAsia="en-GB"/>
          <w14:ligatures w14:val="none"/>
        </w:rPr>
        <w:t>risk</w:t>
      </w:r>
    </w:p>
    <w:p w14:paraId="1DE3882D"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Definition and Scope of Online Harm</w:t>
      </w:r>
    </w:p>
    <w:p w14:paraId="3CEBFA58"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Online harm refers to a broad range of risks that children and young people may encounter when using digital platforms, including cyberbullying, sexual exploitation and grooming, exposure to violent or sexually explicit material, misinformation, privacy violations, and content relating to self-harm or eating disorders. Within UK safeguarding discourse, these risks are increasingly conceptualised as forms of emotional abuse and exploitation that may have long-term developmental consequences (Department for Education [DfE], 2023). Social media platforms such as TikTok, Instagram, Snapchat and gaming-linked communication spaces have become central to young people’s social lives, making exposure to such harms both widespread and difficult to regulate.</w:t>
      </w:r>
    </w:p>
    <w:p w14:paraId="43EFCD3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While earlier safeguarding frameworks focused primarily on offline threats, contemporary research demonstrates that digital environments now constitute a primary site of risk. Ofcom (2023) reports that most children aged 8–17 use social media or messaging services daily, often through personal smartphones with limited parental supervision. This ubiquity creates a complex safeguarding landscape in which harmful interactions may occur rapidly, privately, and across national boundaries, complicating traditional child-protection responses.</w:t>
      </w:r>
    </w:p>
    <w:p w14:paraId="619FDF1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4D3E4CB9"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Background: Growth of Digital Risk in Children’s Lives</w:t>
      </w:r>
    </w:p>
    <w:p w14:paraId="6A12271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expansion of children’s online engagement has been accompanied by increased reporting of online abuse and exploitation. The NSPCC (2023) documented over 9,000 UK police-</w:t>
      </w:r>
      <w:r w:rsidRPr="002B3B07">
        <w:rPr>
          <w:rFonts w:ascii="Arial" w:eastAsia="Times New Roman" w:hAnsi="Arial" w:cs="Arial"/>
          <w:kern w:val="0"/>
          <w:lang w:eastAsia="en-GB"/>
          <w14:ligatures w14:val="none"/>
        </w:rPr>
        <w:lastRenderedPageBreak/>
        <w:t>recorded online sexual offences against children in a single year, many involving social-media-based communication. Parallel concerns have emerged around cyberbullying, with repeated evidence linking online harassment to anxiety, school avoidance, and reduced self-esteem among adolescents (Royal Society for Public Health [RSPH], 2022).</w:t>
      </w:r>
    </w:p>
    <w:p w14:paraId="5572FEB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However, prevalence data must be interpreted cautiously. Official statistics capture only incidents reported to authorities, potentially under-representing the true scale of harm due to barriers such as stigma, fear of repercussions, or lack of awareness among children that abuse has occurred. Livingstone et al. (2021) argue that young people frequently normalise harmful digital interactions, particularly peer-to-peer harassment, which may delay disclosure to trusted adults. This suggests that quantitative prevalence figures may mask a wider culture of everyday online risk.</w:t>
      </w:r>
    </w:p>
    <w:p w14:paraId="37A380E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COVID-19 pandemic further intensified children’s digital engagement, increasing reliance on online platforms for education and socialisation. Although this accelerated digital literacy in some families, it also expanded opportunities for exploitation and exposure to harmful content, particularly among vulnerable groups such as children with additional needs or those experiencing offline neglect (Ofsted, 2022).</w:t>
      </w:r>
    </w:p>
    <w:p w14:paraId="16945158"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53015E61"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Relevance to Safeguarding Practice and Health and Social Care</w:t>
      </w:r>
    </w:p>
    <w:p w14:paraId="768E9F07"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prevalence of online harm has significant implications for UK safeguarding systems. Health and social care professionals increasingly encounter cases where digital abuse intersects with offline vulnerabilities, including family conflict, mental-health difficulties, or domestic violence. The DfE (2023) emphasises that safeguarding responsibilities extend beyond physical environments, requiring schools, local authorities and healthcare providers to address online risks through prevention, early identification, and coordinated intervention.</w:t>
      </w:r>
    </w:p>
    <w:p w14:paraId="5877D00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From a public-health perspective, repeated exposure to harmful digital content may contribute to longer-term psychological consequences, including depression, disordered eating, and self-harm ideation (RSPH, 2022). These outcomes place additional pressure on Child and </w:t>
      </w:r>
      <w:r w:rsidRPr="002B3B07">
        <w:rPr>
          <w:rFonts w:ascii="Arial" w:eastAsia="Times New Roman" w:hAnsi="Arial" w:cs="Arial"/>
          <w:kern w:val="0"/>
          <w:lang w:eastAsia="en-GB"/>
          <w14:ligatures w14:val="none"/>
        </w:rPr>
        <w:lastRenderedPageBreak/>
        <w:t>Adolescent Mental Health Services (CAMHS) and social-work teams, reinforcing the need for preventative digital-safety education rather than reactive crisis responses alone.</w:t>
      </w:r>
    </w:p>
    <w:p w14:paraId="0775239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Nevertheless, the effectiveness of safeguarding interventions depends on professionals’ confidence in identifying online harm and understanding evolving digital cultures. Ofsted (2022) highlights uneven delivery of online-safety education across schools, with some staff reporting limited training in responding to complex online disclosures. This variation raises concerns about inconsistent protection for children depending on geographic location or institutional resources.</w:t>
      </w:r>
    </w:p>
    <w:p w14:paraId="33E4344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54B62D08"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Evidence from Academic and Policy Literature</w:t>
      </w:r>
    </w:p>
    <w:p w14:paraId="6BEA704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Academic studies reinforce policy-level concerns about the scale and complexity of online harm. Third et al. (2017) argue that children’s experiences of digital risk cannot be separated from broader social contexts, including peer dynamics and family relationships. Similarly, Staksrud and Livingstone (2018) caution against framing online harm solely as a technological issue, noting that social inequalities and offline vulnerabilities strongly influence exposure and resilience.</w:t>
      </w:r>
    </w:p>
    <w:p w14:paraId="1BE36FD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UK-focused research consistently demonstrates correlations between heavy social-media use and poorer mental-health outcomes, although causal pathways remain contested. While some studies suggest direct psychological effects of exposure to harmful imagery, others emphasise pre-existing vulnerabilities that may drive both online engagement and distress (Odgers and Jensen, 2020). This disagreement highlights an important methodological tension within the literature: whether digital environments are primary risk generators or amplifiers of existing difficulties.</w:t>
      </w:r>
    </w:p>
    <w:p w14:paraId="7F45C57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Policy documents such as the Online Safety Act (UK Parliament, 2023) position platform regulation as a central solution, requiring companies to remove harmful content and protect minors proactively. However, critics argue that legislative frameworks often lag technological innovation and rely heavily on corporate compliance, raising doubts about consistent enforcement (Livingstone et al., 2021).</w:t>
      </w:r>
    </w:p>
    <w:p w14:paraId="32B67CC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1DDE41B4"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Theoretical and Policy Links</w:t>
      </w:r>
    </w:p>
    <w:p w14:paraId="728B5494"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Several theoretical perspectives help interpret children’s exposure to online harm. Social Learning Theory suggests that repeated observation of risky behaviours online—such as self-harm content or aggressive communication—may normalise such practices, particularly among adolescents seeking peer approval. Bronfenbrenner’s Ecological Systems Theory further emphasises that digital risk is shaped by interactions across multiple systems, including family supervision, school culture, platform design and national regulation.</w:t>
      </w:r>
    </w:p>
    <w:p w14:paraId="6638A8D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ecological lens aligns closely with UK safeguarding policy, which promotes multi-agency collaboration between education, healthcare, social services and law-enforcement bodies (DfE, 2018). However, the persistence of high prevalence rates suggests gaps in coordination between these systems, particularly in translating statutory guidance into consistent frontline practice.</w:t>
      </w:r>
    </w:p>
    <w:p w14:paraId="26B1989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0638C9CE"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Critical Comparison and Gaps in Current Knowledge</w:t>
      </w:r>
    </w:p>
    <w:p w14:paraId="4BA2A69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Although policy reports and academic studies universally agree that online harm is widespread, there is less consensus about which interventions are most effective. School-based digital-literacy programmes show promise, yet evaluations remain limited and uneven across regions (Ofsted, 2022). Meanwhile, parental-monitoring tools and platform-level safety features are frequently promoted, but research indicates that many families lack awareness or confidence in using such mechanisms effectively (Ofcom, 2023).</w:t>
      </w:r>
    </w:p>
    <w:p w14:paraId="39DE0F5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 further limitation is the heavy reliance on organisational reports rather than longitudinal academic research exploring long-term outcomes of online exposure. While charities such as the NSPCC provide valuable insights into emerging risks, more independent, peer-reviewed studies are needed to assess causal relationships and evaluate the sustained impact of policy reforms.</w:t>
      </w:r>
    </w:p>
    <w:p w14:paraId="16FFCC6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These gaps reinforce the importance of this dissertation’s focus on critically evaluating safeguarding frameworks rather than assuming their effectiveness. By synthesising policy </w:t>
      </w:r>
      <w:r w:rsidRPr="002B3B07">
        <w:rPr>
          <w:rFonts w:ascii="Arial" w:eastAsia="Times New Roman" w:hAnsi="Arial" w:cs="Arial"/>
          <w:kern w:val="0"/>
          <w:lang w:eastAsia="en-GB"/>
          <w14:ligatures w14:val="none"/>
        </w:rPr>
        <w:lastRenderedPageBreak/>
        <w:t>analysis with empirical research, the study looks to identify where protective measures succeed and where systemic weaknesses persist.</w:t>
      </w:r>
    </w:p>
    <w:p w14:paraId="6E50998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251EA64A"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Implications for Practice and Policy</w:t>
      </w:r>
    </w:p>
    <w:p w14:paraId="23DE1B0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prevalence and diversity of online harms suggest that safeguarding strategies must move beyond isolated interventions toward integrated, preventative systems. This includes mandatory digital-safety training for educators and social-care practitioners, improved parental guidance initiatives, and stronger regulatory oversight of platform design features that may facilitate harm.</w:t>
      </w:r>
    </w:p>
    <w:p w14:paraId="1AC0CE71"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Health and social care services must also be equipped to recognise digital abuse as part of holistic child-protection assessments, rather than treating it as a separate or secondary concern. Failure to embed online safeguarding within routine practice risks leaving significant forms of harm unaddressed.</w:t>
      </w:r>
    </w:p>
    <w:p w14:paraId="71BC7D2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671ADCB2"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Links to Other Themes</w:t>
      </w:r>
    </w:p>
    <w:p w14:paraId="0C917F18"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This theme establishes the scale and nature of online harm affecting children in the UK. It provides the empirical foundation for </w:t>
      </w:r>
      <w:r w:rsidRPr="002B3B07">
        <w:rPr>
          <w:rFonts w:ascii="Arial" w:eastAsia="Times New Roman" w:hAnsi="Arial" w:cs="Arial"/>
          <w:b/>
          <w:bCs/>
          <w:kern w:val="0"/>
          <w:lang w:eastAsia="en-GB"/>
          <w14:ligatures w14:val="none"/>
        </w:rPr>
        <w:t>Theme 2</w:t>
      </w:r>
      <w:r w:rsidRPr="002B3B07">
        <w:rPr>
          <w:rFonts w:ascii="Arial" w:eastAsia="Times New Roman" w:hAnsi="Arial" w:cs="Arial"/>
          <w:kern w:val="0"/>
          <w:lang w:eastAsia="en-GB"/>
          <w14:ligatures w14:val="none"/>
        </w:rPr>
        <w:t xml:space="preserve">, which will critically evaluate the effectiveness of current safeguarding frameworks and professional responses. It also connects to </w:t>
      </w:r>
      <w:r w:rsidRPr="002B3B07">
        <w:rPr>
          <w:rFonts w:ascii="Arial" w:eastAsia="Times New Roman" w:hAnsi="Arial" w:cs="Arial"/>
          <w:b/>
          <w:bCs/>
          <w:kern w:val="0"/>
          <w:lang w:eastAsia="en-GB"/>
          <w14:ligatures w14:val="none"/>
        </w:rPr>
        <w:t>Theme 3</w:t>
      </w:r>
      <w:r w:rsidRPr="002B3B07">
        <w:rPr>
          <w:rFonts w:ascii="Arial" w:eastAsia="Times New Roman" w:hAnsi="Arial" w:cs="Arial"/>
          <w:kern w:val="0"/>
          <w:lang w:eastAsia="en-GB"/>
          <w14:ligatures w14:val="none"/>
        </w:rPr>
        <w:t>, which explores systemic challenges—such as technological change, regulatory enforcement and workforce capacity—that limit the protection of children in digital environments.</w:t>
      </w:r>
    </w:p>
    <w:p w14:paraId="44C57AC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67052ECA"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Mini-Summary</w:t>
      </w:r>
    </w:p>
    <w:p w14:paraId="4CE0E22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This theme has demonstrated that online harm is a prevalent and multifaceted threat to children in the UK, encompassing cyberbullying, sexual exploitation, harmful content and privacy violations. Drawing on policy reports, academic studies and theoretical perspectives, the analysis highlights both the growing recognition of digital risk within safeguarding systems and persistent weaknesses in prevention and response. Disagreements within the literature </w:t>
      </w:r>
      <w:r w:rsidRPr="002B3B07">
        <w:rPr>
          <w:rFonts w:ascii="Arial" w:eastAsia="Times New Roman" w:hAnsi="Arial" w:cs="Arial"/>
          <w:kern w:val="0"/>
          <w:lang w:eastAsia="en-GB"/>
          <w14:ligatures w14:val="none"/>
        </w:rPr>
        <w:lastRenderedPageBreak/>
        <w:t>regarding causality and intervention effectiveness underscore the need for critical evaluation of current frameworks, preparing the ground for subsequent themes examining policy implementation and structural barriers to online child protection.</w:t>
      </w:r>
    </w:p>
    <w:p w14:paraId="6A520701" w14:textId="26F89FF8"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 xml:space="preserve">Theme 2: </w:t>
      </w:r>
      <w:r w:rsidR="00645D15">
        <w:rPr>
          <w:rFonts w:ascii="Arial" w:eastAsia="Times New Roman" w:hAnsi="Arial" w:cs="Arial"/>
          <w:b/>
          <w:bCs/>
          <w:kern w:val="0"/>
          <w:lang w:eastAsia="en-GB"/>
          <w14:ligatures w14:val="none"/>
        </w:rPr>
        <w:t>E</w:t>
      </w:r>
      <w:r w:rsidR="00645D15" w:rsidRPr="002B3B07">
        <w:rPr>
          <w:rFonts w:ascii="Arial" w:eastAsia="Times New Roman" w:hAnsi="Arial" w:cs="Arial"/>
          <w:b/>
          <w:bCs/>
          <w:kern w:val="0"/>
          <w:lang w:eastAsia="en-GB"/>
          <w14:ligatures w14:val="none"/>
        </w:rPr>
        <w:t>ffectiveness of institutional safeguarding responses</w:t>
      </w:r>
    </w:p>
    <w:p w14:paraId="67E39AB6"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Introduction to the Theme</w:t>
      </w:r>
    </w:p>
    <w:p w14:paraId="21B320C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While the prevalence of online harm affecting children is now well documented, a central question for safeguarding practice concerns how effectively existing frameworks protect young people in digital environments. This theme examines the strengths and limitations of current UK safeguarding policies, statutory guidance, and professional responses within education, health and social care. Drawing on academic research and regulatory evidence, it critically evaluates whether recent legislative reforms and institutional practices have kept pace with rapid technological change and evolving patterns of risk.</w:t>
      </w:r>
    </w:p>
    <w:p w14:paraId="6FFDDC11"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78F06D96"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Key Safeguarding Frameworks in the UK</w:t>
      </w:r>
    </w:p>
    <w:p w14:paraId="3AA9059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UK has introduced several major policy instruments designed to enhance children’s online safety. Keeping Children Safe in Education (DfE, 2023) places explicit duties on schools to address online abuse, provide digital-safety education, and respond to safeguarding concerns arising from social media use. Complementing this guidance, the Working Together to Safeguard Children framework emphasises inter-agency collaboration between schools, healthcare providers, social services, and police forces (DfE, 2018).</w:t>
      </w:r>
    </w:p>
    <w:p w14:paraId="0148FDB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More recently, the Online Safety Act (UK Parliament, 2023) introduced regulatory obligations for technology companies, requiring platforms to reduce children’s exposure to harmful material and improve reporting mechanisms. This legislative shift reflects growing recognition that safeguarding cannot rest solely with families and frontline professionals but must involve systemic regulation of digital environments.</w:t>
      </w:r>
    </w:p>
    <w:p w14:paraId="683A8A0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From a policy perspective, these frameworks represent a comprehensive attempt to distribute safeguarding responsibility across multiple actors. However, the translation of statutory </w:t>
      </w:r>
      <w:r w:rsidRPr="002B3B07">
        <w:rPr>
          <w:rFonts w:ascii="Arial" w:eastAsia="Times New Roman" w:hAnsi="Arial" w:cs="Arial"/>
          <w:kern w:val="0"/>
          <w:lang w:eastAsia="en-GB"/>
          <w14:ligatures w14:val="none"/>
        </w:rPr>
        <w:lastRenderedPageBreak/>
        <w:t>guidance into consistent everyday practice remains uneven, raising questions about their real-world effectiveness.</w:t>
      </w:r>
    </w:p>
    <w:p w14:paraId="28CF31D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2FB83351"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Professional Practice and Multi-Agency Responses</w:t>
      </w:r>
    </w:p>
    <w:p w14:paraId="489569F7"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Health and social care professionals, alongside educators, play a significant role in identifying and responding to online harm. School safeguarding leads are often the first point of disclosure for cyberbullying or online exploitation, while social workers and CAMHS practitioners may become involved when digital harm intersects with mental-health concerns or family vulnerability.</w:t>
      </w:r>
    </w:p>
    <w:p w14:paraId="270F03C5"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Research suggests that multi-agency collaboration is essential but difficult to sustain in practice. Sidebotham et al. (2016) argue that information-sharing barriers, workload pressures, and organisational cultures can undermine coordinated safeguarding responses. Ofsted (2022) similarly reported variation in how schools interpret statutory guidance on online safety, with some institutions demonstrating proactive prevention strategies while others relied on reactive approaches following serious incidents.</w:t>
      </w:r>
    </w:p>
    <w:p w14:paraId="06106AA5"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inconsistency has implications for equity: children’s levels of protection may depend on the resources, training, and leadership priorities of individual institutions rather than national policy standards. Such findings challenge the assumption that statutory frameworks automatically produce uniform safeguarding outcomes.</w:t>
      </w:r>
    </w:p>
    <w:p w14:paraId="3ED7F9C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7E955BB1"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Evaluating the Online Safety Act and Platform Regulation</w:t>
      </w:r>
    </w:p>
    <w:p w14:paraId="42EB9BC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Online Safety Act represents a significant policy innovation by shifting responsibility onto technology companies to design safer platforms for children. Provisions include age-verification measures, risk assessments, and duties to remove harmful content. Ofcom’s expanded regulatory role is intended to ensure compliance and impose sanctions where platforms fail to meet their obligations.</w:t>
      </w:r>
    </w:p>
    <w:p w14:paraId="63C4BCB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Academic commentary, however, has expressed caution regarding enforcement mechanisms and corporate incentives. Livingstone et al. (2021) note that regulatory systems often struggle </w:t>
      </w:r>
      <w:r w:rsidRPr="002B3B07">
        <w:rPr>
          <w:rFonts w:ascii="Arial" w:eastAsia="Times New Roman" w:hAnsi="Arial" w:cs="Arial"/>
          <w:kern w:val="0"/>
          <w:lang w:eastAsia="en-GB"/>
          <w14:ligatures w14:val="none"/>
        </w:rPr>
        <w:lastRenderedPageBreak/>
        <w:t>to keep pace with rapidly evolving digital architectures and transnational corporate structures. Moreover, critics argue that commercial priorities may conflict with child-protection goals, particularly where algorithmic systems promote engaging but potentially harmful content.</w:t>
      </w:r>
    </w:p>
    <w:p w14:paraId="0D89CAD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Early evaluations therefore suggest that while the Online Safety Act provides a stronger legal framework, its success will depend on robust oversight, transparent reporting, and sustained political commitment. Without consistent enforcement, legislative ambition may fail to translate into meaningful reductions in children’s exposure to risk.</w:t>
      </w:r>
    </w:p>
    <w:p w14:paraId="7A37AA0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44833F36"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Training and Professional Confidence</w:t>
      </w:r>
    </w:p>
    <w:p w14:paraId="7A1CE4F0"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 recurring issue across safeguarding literature is the confidence and preparedness of frontline professionals. Ofsted (2022) found that many teachers felt insufficiently trained to address emerging online risks such as image-based abuse or encrypted messaging platforms. Similarly, health and social care practitioners have reported uncertainty about assessing digital harm within traditional safeguarding frameworks, particularly where evidence is ephemeral or cross-jurisdictional.</w:t>
      </w:r>
    </w:p>
    <w:p w14:paraId="4187C1B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skills gap reflects broader workforce pressures within UK children’s services, including high caseloads and staff turnover (Sidebotham et al., 2016). Although national guidance promotes continuous professional development in digital safeguarding, implementation varies widely across local authorities and academy trusts.</w:t>
      </w:r>
    </w:p>
    <w:p w14:paraId="101FBDD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Such findings suggest that policy effectiveness is mediated not only by legislative design but also by the capacity of institutions to operationalise training programmes. Without sustained investment in workforce development, safeguarding frameworks risk becoming aspirational rather than transformative.</w:t>
      </w:r>
    </w:p>
    <w:p w14:paraId="2CC2763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3B3EBE2E"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Academic Critique and Policy–Practice Gaps</w:t>
      </w:r>
    </w:p>
    <w:p w14:paraId="7112B124"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Academic research increasingly highlights tensions between policy aspirations and frontline realities. Staksrud and Livingstone (2018) argue that digital-safety strategies often focus on individual resilience rather than addressing structural factors such as platform design or socio-</w:t>
      </w:r>
      <w:r w:rsidRPr="002B3B07">
        <w:rPr>
          <w:rFonts w:ascii="Arial" w:eastAsia="Times New Roman" w:hAnsi="Arial" w:cs="Arial"/>
          <w:kern w:val="0"/>
          <w:lang w:eastAsia="en-GB"/>
          <w14:ligatures w14:val="none"/>
        </w:rPr>
        <w:lastRenderedPageBreak/>
        <w:t>economic inequalities. This critique aligns with concerns that safeguarding initiatives may disproportionately place responsibility on children and parents rather than addressing systemic drivers of risk.</w:t>
      </w:r>
    </w:p>
    <w:p w14:paraId="7522A86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Furthermore, while inspection regimes such as Ofsted evaluations encourage compliance with statutory guidance, they may not fully capture the complexity of online harm or the informal ways children navigate digital spaces. As a result, institutional accountability mechanisms may lag the lived experiences of young people.</w:t>
      </w:r>
    </w:p>
    <w:p w14:paraId="4DA2D6F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These policy–practice gaps underline the importance of critically examining safeguarding frameworks rather than assuming their effectiveness based solely on legislative presence.</w:t>
      </w:r>
    </w:p>
    <w:p w14:paraId="7B1DF5C8"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476AE601"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Implications for Health and Social Care Practice</w:t>
      </w:r>
    </w:p>
    <w:p w14:paraId="6B06810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For health and social care professionals, the effectiveness of safeguarding frameworks directly shapes daily practice. Digital harms increasingly feature in child-protection assessments, mental-health referrals, and family-support interventions. Practitioners must therefore integrate digital risk into holistic safeguarding models rather than treating it as a discrete issue.</w:t>
      </w:r>
    </w:p>
    <w:p w14:paraId="7390495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literature suggests that improved outcomes depend on strengthening cross-sector collaboration, investing in digital-skills training, and ensuring that regulatory systems meaningfully influence platform behaviour. Without such systemic coordination, children experiencing online harm may encounter fragmented responses across services.</w:t>
      </w:r>
    </w:p>
    <w:p w14:paraId="0159CB1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6CD13EBE"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Links to Other Themes</w:t>
      </w:r>
    </w:p>
    <w:p w14:paraId="3260F5D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This theme builds directly on </w:t>
      </w:r>
      <w:r w:rsidRPr="002B3B07">
        <w:rPr>
          <w:rFonts w:ascii="Arial" w:eastAsia="Times New Roman" w:hAnsi="Arial" w:cs="Arial"/>
          <w:b/>
          <w:bCs/>
          <w:kern w:val="0"/>
          <w:lang w:eastAsia="en-GB"/>
          <w14:ligatures w14:val="none"/>
        </w:rPr>
        <w:t>Theme 1</w:t>
      </w:r>
      <w:r w:rsidRPr="002B3B07">
        <w:rPr>
          <w:rFonts w:ascii="Arial" w:eastAsia="Times New Roman" w:hAnsi="Arial" w:cs="Arial"/>
          <w:kern w:val="0"/>
          <w:lang w:eastAsia="en-GB"/>
          <w14:ligatures w14:val="none"/>
        </w:rPr>
        <w:t xml:space="preserve">, which established the prevalence and nature of online harm affecting children. It also prepares the ground for </w:t>
      </w:r>
      <w:r w:rsidRPr="002B3B07">
        <w:rPr>
          <w:rFonts w:ascii="Arial" w:eastAsia="Times New Roman" w:hAnsi="Arial" w:cs="Arial"/>
          <w:b/>
          <w:bCs/>
          <w:kern w:val="0"/>
          <w:lang w:eastAsia="en-GB"/>
          <w14:ligatures w14:val="none"/>
        </w:rPr>
        <w:t>Theme 3</w:t>
      </w:r>
      <w:r w:rsidRPr="002B3B07">
        <w:rPr>
          <w:rFonts w:ascii="Arial" w:eastAsia="Times New Roman" w:hAnsi="Arial" w:cs="Arial"/>
          <w:kern w:val="0"/>
          <w:lang w:eastAsia="en-GB"/>
          <w14:ligatures w14:val="none"/>
        </w:rPr>
        <w:t>, which will explore the structural and systemic barriers limiting safeguarding effectiveness, including technological change, regulatory enforcement challenges, and workforce capacity constraints.</w:t>
      </w:r>
    </w:p>
    <w:p w14:paraId="4CC4E17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3809BB2A"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Mini-Summary</w:t>
      </w:r>
    </w:p>
    <w:p w14:paraId="685E118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lastRenderedPageBreak/>
        <w:t>This theme has critically examined the effectiveness of UK safeguarding frameworks and professional responses to online harm. While statutory guidance and recent legislation demonstrate strong policy commitment, evidence from inspections and academic research reveals uneven implementation, training gaps, and uncertainties surrounding platform regulation. These tensions highlight the need for sustained investment in workforce development and stronger regulatory enforcement, reinforcing the importance of evaluating safeguarding systems in practice rather than solely in principle.</w:t>
      </w:r>
    </w:p>
    <w:p w14:paraId="7BD41926" w14:textId="1A5744A6"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 xml:space="preserve">Theme 3: </w:t>
      </w:r>
      <w:r w:rsidR="00645D15">
        <w:rPr>
          <w:rFonts w:ascii="Arial" w:eastAsia="Times New Roman" w:hAnsi="Arial" w:cs="Arial"/>
          <w:b/>
          <w:bCs/>
          <w:kern w:val="0"/>
          <w:lang w:eastAsia="en-GB"/>
          <w14:ligatures w14:val="none"/>
        </w:rPr>
        <w:t>S</w:t>
      </w:r>
      <w:r w:rsidR="00645D15" w:rsidRPr="002B3B07">
        <w:rPr>
          <w:rFonts w:ascii="Arial" w:eastAsia="Times New Roman" w:hAnsi="Arial" w:cs="Arial"/>
          <w:b/>
          <w:bCs/>
          <w:kern w:val="0"/>
          <w:lang w:eastAsia="en-GB"/>
          <w14:ligatures w14:val="none"/>
        </w:rPr>
        <w:t>tructural limitations within current regulatory frameworks</w:t>
      </w:r>
    </w:p>
    <w:p w14:paraId="12D5B93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2C2F8145"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Introduction to the Theme</w:t>
      </w:r>
    </w:p>
    <w:p w14:paraId="357F0B6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Despite the development of comprehensive safeguarding legislation and professional guidance, persistent structural barriers continue to limit the effectiveness of online child-protection strategies in the UK. This theme explores the wider systemic constraints that shape safeguarding practice, including rapid technological innovation, regulatory complexity, resource pressures within children’s services, and inequalities in digital literacy among families and professionals. Drawing on academic literature and policy evaluations, it critically examines how these structural factors undermine consistent protection and create gaps between policy intent and real-world outcomes.</w:t>
      </w:r>
    </w:p>
    <w:p w14:paraId="65E67338"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54DF19A3"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Rapid Technological Change and Policy Lag</w:t>
      </w:r>
    </w:p>
    <w:p w14:paraId="0DE76A7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One of the most widely cited challenges in digital safeguarding is the speed at which online platforms and technologies evolve compared to legislative processes. New social-media applications, encrypted messaging services, and algorithm-driven content feeds emerge far more quickly than statutory frameworks can be revised.</w:t>
      </w:r>
    </w:p>
    <w:p w14:paraId="01EB3DE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Livingstone and Third (2017) argue that regulatory systems often operate reactively rather than proactively, responding to harms only after new digital practices have become embedded among young users. This temporal mismatch creates safeguarding blind spots, particularly </w:t>
      </w:r>
      <w:r w:rsidRPr="002B3B07">
        <w:rPr>
          <w:rFonts w:ascii="Arial" w:eastAsia="Times New Roman" w:hAnsi="Arial" w:cs="Arial"/>
          <w:kern w:val="0"/>
          <w:lang w:eastAsia="en-GB"/>
          <w14:ligatures w14:val="none"/>
        </w:rPr>
        <w:lastRenderedPageBreak/>
        <w:t>where emerging platforms fall outside existing regulatory definitions or moderation requirements.</w:t>
      </w:r>
    </w:p>
    <w:p w14:paraId="38B394E0"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In the UK context, although the Online Safety Act (2023) represents a substantial legislative step forward, critics caution that enforcement mechanisms may struggle to adapt to constantly shifting digital ecosystems (Livingstone et al., 2021). Platforms’ global reach further complicates regulation, as UK authorities must negotiate with multinational corporations whose operations transcend national jurisdictions.</w:t>
      </w:r>
    </w:p>
    <w:p w14:paraId="5C631EC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structural lag raises fundamental questions about whether law-making processes are sufficiently agile to protect children within highly dynamic online environments.</w:t>
      </w:r>
    </w:p>
    <w:p w14:paraId="61A1B5F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13CF1C4D"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Commercial Incentives and Platform Design</w:t>
      </w:r>
    </w:p>
    <w:p w14:paraId="0B7D7FB5"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Another systemic barrier concerns the commercial logic underpinning social-media platforms. Many services rely on advertising revenue and user engagement metrics, which are often maximised through algorithmic systems that promote emotionally charged or sensational content.</w:t>
      </w:r>
    </w:p>
    <w:p w14:paraId="6898EC0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Academic research suggests that such design features can inadvertently amplify harmful material, including cyberbullying, extreme content, or appearance-focused imagery that negatively affects young people’s mental health (Odgers and Jensen, 2020). Although regulatory frameworks increasingly require platforms to conduct child-risk assessments, critics argue that profit-driven business models may conflict with safeguarding priorities unless robust oversight is applied.</w:t>
      </w:r>
    </w:p>
    <w:p w14:paraId="4DA418B1"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tension highlights a structural contradiction within digital governance: while governments seek to reduce harm, market incentives may encourage practices that expose children to risk. Without strong regulatory enforcement and transparent auditing of platform algorithms, safeguarding responsibilities risk being unevenly distributed between public institutions and private corporations.</w:t>
      </w:r>
    </w:p>
    <w:p w14:paraId="2B542F1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579E872D"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Workforce Pressures and Resource Constraints</w:t>
      </w:r>
    </w:p>
    <w:p w14:paraId="77B4A7A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lastRenderedPageBreak/>
        <w:t>Within health, education, and social-care systems, workforce capacity represents another major barrier to effective safeguarding. High caseloads, staff shortages, and budgetary pressures limit professionals’ ability to engage in preventative work or pursue specialist training in digital safeguarding.</w:t>
      </w:r>
    </w:p>
    <w:p w14:paraId="6891B25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Sidebotham et al. (2016) document how systemic pressures within child-protection services reduce opportunities for reflective practice and multi-agency collaboration. More recently, reports from Ofsted (2022) have identified inconsistencies in schools’ preparedness to manage online incidents, with some institutions lacking dedicated safeguarding leads or digital-safety training programmes.</w:t>
      </w:r>
    </w:p>
    <w:p w14:paraId="3873EF27"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These findings suggest that even well-designed policies may fail if frontline systems lack the resources to implement them effectively. Structural underinvestment therefore operates as a constraint on safeguarding outcomes, shaping how national strategies are translated into everyday professional practice.</w:t>
      </w:r>
    </w:p>
    <w:p w14:paraId="52AA777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70B526CE"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Inequalities in Digital Literacy and Family Capacity</w:t>
      </w:r>
    </w:p>
    <w:p w14:paraId="709E973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Safeguarding effectiveness is also shaped by socio-economic inequalities and disparities in digital literacy among families. Parental knowledge of online platforms, privacy settings, and reporting mechanisms varies, influencing children’s exposure to risk and the likelihood of early intervention.</w:t>
      </w:r>
    </w:p>
    <w:p w14:paraId="0F1CAFF1"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Livingstone et al. (2018) argue that families experiencing socio-economic disadvantage may face additional barriers, including limited access to digital education, language obstacles, or reduced confidence engaging with schools and professionals. Such inequalities risk reproducing uneven safeguarding outcomes, whereby some children benefit from proactive parental mediation while others remain vulnerable due to structural disadvantage.</w:t>
      </w:r>
    </w:p>
    <w:p w14:paraId="5A966D9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From a public-health perspective, this uneven distribution of protection raises ethical concerns regarding fairness and access to safeguarding support, reinforcing arguments that digital safety must be treated as a collective societal responsibility rather than solely an individual or familial burden.</w:t>
      </w:r>
    </w:p>
    <w:p w14:paraId="57F821A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6530335F"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Fragmentation Across Systems and Agencies</w:t>
      </w:r>
    </w:p>
    <w:p w14:paraId="052FC1B2"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Multi-agency collaboration remains central to UK safeguarding policy, yet structural fragmentation between organisations continues to limit coordinated responses to online harm. Differences in institutional priorities, data-sharing systems, and professional cultures can impede information exchange between schools, healthcare services, police forces, and social-care departments.</w:t>
      </w:r>
    </w:p>
    <w:p w14:paraId="142678A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Theoretical perspectives such as Bronfenbrenner’s Ecological Systems Theory emphasise that child protection requires alignment across multiple systems surrounding the child. However, empirical studies indicate that such coordination is difficult to achieve in practice, particularly in relation to digital risks that cut across educational, legal, and health domains.</w:t>
      </w:r>
    </w:p>
    <w:p w14:paraId="22EF278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These organisational barriers contribute to a pattern in which safeguarding responses may become reactive and crisis-driven rather than preventative and integrated, further weakening policy effectiveness.</w:t>
      </w:r>
    </w:p>
    <w:p w14:paraId="4BCB90B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5B7B0123"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Academic Critiques and Implications for Policy Reform</w:t>
      </w:r>
    </w:p>
    <w:p w14:paraId="18E77AF4"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Scholars increasingly call for safeguarding strategies that move beyond awareness-raising towards structural reform. Staksrud and Livingstone (2018) argue that regulatory frameworks must address platform governance and algorithmic accountability rather than focusing primarily on individual behaviour change.</w:t>
      </w:r>
    </w:p>
    <w:p w14:paraId="036490F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Similarly, Odgers and Jensen (2020) caution against overly simplistic narratives linking screen use to harm, urging policymakers to adopt nuanced, evidence-based approaches that recognise diverse patterns of digital engagement among young people.</w:t>
      </w:r>
    </w:p>
    <w:p w14:paraId="4419777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These academic critiques suggest that future safeguarding reforms must combine legislative enforcement, corporate accountability, workforce investment, and community-level interventions. Without addressing these interconnected structural factors, online safeguarding strategies risk remaining fragmented and reactive.</w:t>
      </w:r>
    </w:p>
    <w:p w14:paraId="200A05F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3B93FC32"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lastRenderedPageBreak/>
        <w:t>Links to Other Themes</w:t>
      </w:r>
    </w:p>
    <w:p w14:paraId="373EE2B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This theme builds upon </w:t>
      </w:r>
      <w:r w:rsidRPr="002B3B07">
        <w:rPr>
          <w:rFonts w:ascii="Arial" w:eastAsia="Times New Roman" w:hAnsi="Arial" w:cs="Arial"/>
          <w:b/>
          <w:bCs/>
          <w:kern w:val="0"/>
          <w:lang w:eastAsia="en-GB"/>
          <w14:ligatures w14:val="none"/>
        </w:rPr>
        <w:t>Theme 2</w:t>
      </w:r>
      <w:r w:rsidRPr="002B3B07">
        <w:rPr>
          <w:rFonts w:ascii="Arial" w:eastAsia="Times New Roman" w:hAnsi="Arial" w:cs="Arial"/>
          <w:kern w:val="0"/>
          <w:lang w:eastAsia="en-GB"/>
          <w14:ligatures w14:val="none"/>
        </w:rPr>
        <w:t>, which examined the effectiveness of safeguarding frameworks and professional practice, by explaining why implementation gaps persist. It also informs the concluding section of Chapter 4, which will synthesise how structural barriers shape overall safeguarding outcomes and highlight priorities for reform explored further in Chapter 5.</w:t>
      </w:r>
    </w:p>
    <w:p w14:paraId="028CEE3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739C4684"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Mini-Summary</w:t>
      </w:r>
    </w:p>
    <w:p w14:paraId="4D4A242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theme has critically analysed the structural and systemic barriers that constrain effective online safeguarding in the UK. Rapid technological change, commercial platform incentives, workforce pressures, digital-literacy inequalities, and organisational fragmentation collectively undermine the translation of policy into practice. Addressing these challenges requires coordinated regulatory enforcement, sustained professional training, and structural investment across children’s services.</w:t>
      </w:r>
    </w:p>
    <w:p w14:paraId="305AA43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p>
    <w:p w14:paraId="205BCCD2"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4. Chapter Conclusion</w:t>
      </w:r>
    </w:p>
    <w:p w14:paraId="7CCD562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chapter has presented a critical thematic analysis of the literature examining the challenges associated with safeguarding children from social media–related risks in the United Kingdom. Drawing on statutory guidance, regulator reports, and academic research, three interrelated themes were explored: the nature and prevalence of online harms; the effectiveness of current safeguarding frameworks and professional responses; and the structural and systemic barriers that constrain policy implementation.</w:t>
      </w:r>
    </w:p>
    <w:p w14:paraId="6C6EE30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Collectively, the findings demonstrate that while the UK has developed a robust legislative and regulatory infrastructure—particularly through statutory guidance for schools and the introduction of the Online Safety Act—significant gaps persist between policy ambition and everyday safeguarding practice. The literature consistently highlights persistent risks such as cyberbullying, online grooming, exposure to harmful content, and data exploitation, alongside growing concerns regarding children’s mental health and wellbeing. Although schools, </w:t>
      </w:r>
      <w:r w:rsidRPr="002B3B07">
        <w:rPr>
          <w:rFonts w:ascii="Arial" w:eastAsia="Times New Roman" w:hAnsi="Arial" w:cs="Arial"/>
          <w:kern w:val="0"/>
          <w:lang w:eastAsia="en-GB"/>
          <w14:ligatures w14:val="none"/>
        </w:rPr>
        <w:lastRenderedPageBreak/>
        <w:t>parents, and social-care agencies are recognised as central actors within safeguarding systems, variation in training provision, confidence levels, and resource availability continues to produce uneven protection for children.</w:t>
      </w:r>
    </w:p>
    <w:p w14:paraId="750904E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analysis further revealed that these operational challenges are embedded within wider structural pressures. Rapid technological change, commercial platform incentives, workforce shortages, fragmented multi-agency working, and socio-economic inequalities in digital literacy collectively undermine preventative safeguarding strategies. These systemic factors help explain why professional guidance is often implemented inconsistently and why regulatory reform alone cannot fully mitigate digital risks.</w:t>
      </w:r>
    </w:p>
    <w:p w14:paraId="760EA92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In addressing the dissertation’s central aim—namely, to evaluate the effectiveness of current UK safeguarding responses—the evidence suggests that existing frameworks represent important progress but remain insufficient in isolation. Safeguarding children online requires coordinated action across education, health, social care, and the technology sector, supported by sustained professional development and enforceable regulatory oversight.</w:t>
      </w:r>
    </w:p>
    <w:p w14:paraId="2B7CFC4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implications of these findings point directly towards the focus of Chapter 5. The concluding chapter will draw upon the themes identified here to develop evidence-based recommendations aimed at strengthening digital-safeguarding practice, enhancing workforce capability, improving parental engagement, and ensuring that emerging regulatory mechanisms are translated more effectively into everyday protection for children.</w:t>
      </w:r>
    </w:p>
    <w:p w14:paraId="74E76DBC"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Chapter 4 Summary</w:t>
      </w:r>
    </w:p>
    <w:p w14:paraId="6D69B0BE"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chapter has presented three central themes arising from the thematic analysis of the literature: patterns of online harm affecting children, the strengths and limitations of safeguarding responses, and the role of digital literacy and inter-agency collaboration in prevention. Together, these themes demonstrate that safeguarding in digital environments is shaped by a complex interaction between legislative frameworks, educational practice, regulatory oversight, and family engagement.</w:t>
      </w:r>
    </w:p>
    <w:p w14:paraId="0AAE552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Although recent policy developments have strengthened regulatory accountability, the findings reveal persistent inconsistencies in implementation, professional capacity, and access to </w:t>
      </w:r>
      <w:r w:rsidRPr="002B3B07">
        <w:rPr>
          <w:rFonts w:ascii="Arial" w:eastAsia="Times New Roman" w:hAnsi="Arial" w:cs="Arial"/>
          <w:kern w:val="0"/>
          <w:lang w:eastAsia="en-GB"/>
          <w14:ligatures w14:val="none"/>
        </w:rPr>
        <w:lastRenderedPageBreak/>
        <w:t>preventative education. These issues highlight the need for more coordinated and proactive safeguarding strategies.</w:t>
      </w:r>
    </w:p>
    <w:p w14:paraId="5D054A7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Chapter 5 now draws these findings together by evaluating how effectively the research aims have been addressed and by presenting evidence-based recommendations for improving safeguarding practice, policy development, and future research.</w:t>
      </w:r>
    </w:p>
    <w:p w14:paraId="2F070296" w14:textId="77777777" w:rsidR="002B3B07" w:rsidRDefault="002B3B07" w:rsidP="002B3B07">
      <w:pPr>
        <w:spacing w:after="0" w:line="480" w:lineRule="auto"/>
        <w:jc w:val="both"/>
        <w:rPr>
          <w:rFonts w:ascii="Arial" w:hAnsi="Arial" w:cs="Arial"/>
        </w:rPr>
      </w:pPr>
    </w:p>
    <w:p w14:paraId="603DEE5E" w14:textId="77777777" w:rsidR="002B3B07" w:rsidRDefault="002B3B07" w:rsidP="002B3B07">
      <w:pPr>
        <w:spacing w:after="0" w:line="480" w:lineRule="auto"/>
        <w:jc w:val="both"/>
        <w:rPr>
          <w:rFonts w:ascii="Arial" w:hAnsi="Arial" w:cs="Arial"/>
        </w:rPr>
      </w:pPr>
    </w:p>
    <w:p w14:paraId="52D35E27" w14:textId="77777777" w:rsidR="002B3B07" w:rsidRDefault="002B3B07" w:rsidP="002B3B07">
      <w:pPr>
        <w:spacing w:after="0" w:line="480" w:lineRule="auto"/>
        <w:jc w:val="both"/>
        <w:rPr>
          <w:rFonts w:ascii="Arial" w:hAnsi="Arial" w:cs="Arial"/>
        </w:rPr>
      </w:pPr>
    </w:p>
    <w:p w14:paraId="700E5A55" w14:textId="77777777" w:rsidR="002B3B07" w:rsidRDefault="002B3B07" w:rsidP="002B3B07">
      <w:pPr>
        <w:spacing w:after="0" w:line="480" w:lineRule="auto"/>
        <w:jc w:val="both"/>
        <w:rPr>
          <w:rFonts w:ascii="Arial" w:hAnsi="Arial" w:cs="Arial"/>
        </w:rPr>
      </w:pPr>
    </w:p>
    <w:p w14:paraId="7D53FFC9" w14:textId="77777777" w:rsidR="002B3B07" w:rsidRDefault="002B3B07" w:rsidP="002B3B07">
      <w:pPr>
        <w:spacing w:after="0" w:line="480" w:lineRule="auto"/>
        <w:jc w:val="both"/>
        <w:rPr>
          <w:rFonts w:ascii="Arial" w:hAnsi="Arial" w:cs="Arial"/>
        </w:rPr>
      </w:pPr>
    </w:p>
    <w:p w14:paraId="0C02D149" w14:textId="77777777" w:rsidR="002B3B07" w:rsidRDefault="002B3B07" w:rsidP="002B3B07">
      <w:pPr>
        <w:spacing w:after="0" w:line="480" w:lineRule="auto"/>
        <w:jc w:val="both"/>
        <w:rPr>
          <w:rFonts w:ascii="Arial" w:hAnsi="Arial" w:cs="Arial"/>
        </w:rPr>
      </w:pPr>
    </w:p>
    <w:p w14:paraId="65C380B6" w14:textId="77777777" w:rsidR="002B3B07" w:rsidRDefault="002B3B07" w:rsidP="002B3B07">
      <w:pPr>
        <w:spacing w:after="0" w:line="480" w:lineRule="auto"/>
        <w:jc w:val="both"/>
        <w:rPr>
          <w:rFonts w:ascii="Arial" w:hAnsi="Arial" w:cs="Arial"/>
        </w:rPr>
      </w:pPr>
    </w:p>
    <w:p w14:paraId="2EF2EB67" w14:textId="77777777" w:rsidR="002B3B07" w:rsidRDefault="002B3B07" w:rsidP="002B3B07">
      <w:pPr>
        <w:spacing w:after="0" w:line="480" w:lineRule="auto"/>
        <w:jc w:val="both"/>
        <w:rPr>
          <w:rFonts w:ascii="Arial" w:hAnsi="Arial" w:cs="Arial"/>
        </w:rPr>
      </w:pPr>
    </w:p>
    <w:p w14:paraId="2E1F7829" w14:textId="77777777" w:rsidR="002B3B07" w:rsidRDefault="002B3B07" w:rsidP="002B3B07">
      <w:pPr>
        <w:spacing w:after="0" w:line="480" w:lineRule="auto"/>
        <w:jc w:val="both"/>
        <w:rPr>
          <w:rFonts w:ascii="Arial" w:hAnsi="Arial" w:cs="Arial"/>
        </w:rPr>
      </w:pPr>
    </w:p>
    <w:p w14:paraId="3D1EDB53" w14:textId="77777777" w:rsidR="002B3B07" w:rsidRDefault="002B3B07" w:rsidP="002B3B07">
      <w:pPr>
        <w:spacing w:after="0" w:line="480" w:lineRule="auto"/>
        <w:jc w:val="both"/>
        <w:rPr>
          <w:rFonts w:ascii="Arial" w:hAnsi="Arial" w:cs="Arial"/>
        </w:rPr>
      </w:pPr>
    </w:p>
    <w:p w14:paraId="5AF99E49" w14:textId="77777777" w:rsidR="002B3B07" w:rsidRDefault="002B3B07" w:rsidP="002B3B07">
      <w:pPr>
        <w:spacing w:after="0" w:line="480" w:lineRule="auto"/>
        <w:jc w:val="both"/>
        <w:rPr>
          <w:rFonts w:ascii="Arial" w:hAnsi="Arial" w:cs="Arial"/>
        </w:rPr>
      </w:pPr>
    </w:p>
    <w:p w14:paraId="155DDF96" w14:textId="77777777" w:rsidR="002B3B07" w:rsidRDefault="002B3B07" w:rsidP="002B3B07">
      <w:pPr>
        <w:spacing w:after="0" w:line="480" w:lineRule="auto"/>
        <w:jc w:val="both"/>
        <w:rPr>
          <w:rFonts w:ascii="Arial" w:hAnsi="Arial" w:cs="Arial"/>
        </w:rPr>
      </w:pPr>
    </w:p>
    <w:p w14:paraId="2773EF72" w14:textId="77777777" w:rsidR="002B3B07" w:rsidRDefault="002B3B07" w:rsidP="002B3B07">
      <w:pPr>
        <w:spacing w:after="0" w:line="480" w:lineRule="auto"/>
        <w:jc w:val="both"/>
        <w:rPr>
          <w:rFonts w:ascii="Arial" w:hAnsi="Arial" w:cs="Arial"/>
        </w:rPr>
      </w:pPr>
    </w:p>
    <w:p w14:paraId="45D38CDA" w14:textId="77777777" w:rsidR="002B3B07" w:rsidRDefault="002B3B07" w:rsidP="002B3B07">
      <w:pPr>
        <w:spacing w:after="0" w:line="480" w:lineRule="auto"/>
        <w:jc w:val="both"/>
        <w:rPr>
          <w:rFonts w:ascii="Arial" w:hAnsi="Arial" w:cs="Arial"/>
        </w:rPr>
      </w:pPr>
    </w:p>
    <w:p w14:paraId="2F15A71C" w14:textId="77777777" w:rsidR="002B3B07" w:rsidRDefault="002B3B07" w:rsidP="002B3B07">
      <w:pPr>
        <w:spacing w:after="0" w:line="480" w:lineRule="auto"/>
        <w:jc w:val="both"/>
        <w:rPr>
          <w:rFonts w:ascii="Arial" w:hAnsi="Arial" w:cs="Arial"/>
        </w:rPr>
      </w:pPr>
    </w:p>
    <w:p w14:paraId="049CA7EA" w14:textId="77777777" w:rsidR="002B3B07" w:rsidRDefault="002B3B07" w:rsidP="002B3B07">
      <w:pPr>
        <w:spacing w:after="0" w:line="480" w:lineRule="auto"/>
        <w:jc w:val="both"/>
        <w:rPr>
          <w:rFonts w:ascii="Arial" w:hAnsi="Arial" w:cs="Arial"/>
        </w:rPr>
      </w:pPr>
    </w:p>
    <w:p w14:paraId="707749C1" w14:textId="77777777" w:rsidR="002B3B07" w:rsidRDefault="002B3B07" w:rsidP="002B3B07">
      <w:pPr>
        <w:spacing w:after="0" w:line="480" w:lineRule="auto"/>
        <w:jc w:val="both"/>
        <w:rPr>
          <w:rFonts w:ascii="Arial" w:hAnsi="Arial" w:cs="Arial"/>
        </w:rPr>
      </w:pPr>
    </w:p>
    <w:p w14:paraId="03EF6FF5" w14:textId="77777777" w:rsidR="002B3B07" w:rsidRDefault="002B3B07" w:rsidP="002B3B07">
      <w:pPr>
        <w:spacing w:after="0" w:line="480" w:lineRule="auto"/>
        <w:jc w:val="both"/>
        <w:rPr>
          <w:rFonts w:ascii="Arial" w:hAnsi="Arial" w:cs="Arial"/>
        </w:rPr>
      </w:pPr>
    </w:p>
    <w:p w14:paraId="7FE23C4A" w14:textId="77777777" w:rsidR="002B3B07" w:rsidRDefault="002B3B07" w:rsidP="002B3B07">
      <w:pPr>
        <w:spacing w:after="0" w:line="480" w:lineRule="auto"/>
        <w:jc w:val="both"/>
        <w:rPr>
          <w:rFonts w:ascii="Arial" w:hAnsi="Arial" w:cs="Arial"/>
        </w:rPr>
      </w:pPr>
    </w:p>
    <w:p w14:paraId="39F3ABA2" w14:textId="77777777" w:rsidR="002B3B07" w:rsidRDefault="002B3B07" w:rsidP="002B3B07">
      <w:pPr>
        <w:spacing w:after="0" w:line="480" w:lineRule="auto"/>
        <w:jc w:val="both"/>
        <w:rPr>
          <w:rFonts w:ascii="Arial" w:hAnsi="Arial" w:cs="Arial"/>
        </w:rPr>
      </w:pPr>
    </w:p>
    <w:p w14:paraId="735EED34" w14:textId="77777777" w:rsidR="002B3B07" w:rsidRDefault="002B3B07" w:rsidP="002B3B07">
      <w:pPr>
        <w:spacing w:after="0" w:line="480" w:lineRule="auto"/>
        <w:jc w:val="both"/>
        <w:rPr>
          <w:rFonts w:ascii="Arial" w:hAnsi="Arial" w:cs="Arial"/>
        </w:rPr>
      </w:pPr>
    </w:p>
    <w:p w14:paraId="06079579" w14:textId="77777777" w:rsidR="002B3B07" w:rsidRDefault="002B3B07" w:rsidP="002B3B07">
      <w:pPr>
        <w:spacing w:after="0" w:line="480" w:lineRule="auto"/>
        <w:jc w:val="both"/>
        <w:rPr>
          <w:rFonts w:ascii="Arial" w:hAnsi="Arial" w:cs="Arial"/>
        </w:rPr>
      </w:pPr>
    </w:p>
    <w:p w14:paraId="06740E10" w14:textId="77777777" w:rsidR="002B3B07" w:rsidRDefault="002B3B07" w:rsidP="002B3B07">
      <w:pPr>
        <w:spacing w:after="0" w:line="480" w:lineRule="auto"/>
        <w:jc w:val="both"/>
        <w:rPr>
          <w:rFonts w:ascii="Arial" w:hAnsi="Arial" w:cs="Arial"/>
        </w:rPr>
      </w:pPr>
    </w:p>
    <w:p w14:paraId="2B823746" w14:textId="77777777" w:rsidR="002B3B07" w:rsidRPr="002B3B07" w:rsidRDefault="002B3B07" w:rsidP="002B3B07">
      <w:pPr>
        <w:spacing w:after="0" w:line="480" w:lineRule="auto"/>
        <w:jc w:val="both"/>
        <w:rPr>
          <w:rFonts w:ascii="Arial" w:hAnsi="Arial" w:cs="Arial"/>
        </w:rPr>
      </w:pPr>
    </w:p>
    <w:p w14:paraId="7CD0A52A"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Chapter 5</w:t>
      </w:r>
    </w:p>
    <w:p w14:paraId="6B5D47B2"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5.1 Overall Conclusion</w:t>
      </w:r>
    </w:p>
    <w:p w14:paraId="7494793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dissertation set out to explore the challenges associated with safeguarding children from social-media-related risks in the United Kingdom and to assess the effectiveness of current protective responses. Drawing on a systematic thematic analysis of secondary sources, the findings presented in Chapter 4 demonstrated that while the UK has developed an extensive legislative and regulatory framework, including statutory safeguarding guidance and platform regulation, significant gaps remain in implementation, professional confidence, and digital literacy provision.</w:t>
      </w:r>
    </w:p>
    <w:p w14:paraId="7EFB0F10"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Across the three themes, the analysis highlighted persistent exposure to online harms such as cyberbullying, grooming and harmful content; inconsistent safeguarding practices across schools and local authorities; and limited accountability mechanisms for digital platforms. Together, these findings indicate that safeguarding responses are frequently reactive rather than preventative and that coordination between education, families, regulators and technology companies remains uneven.</w:t>
      </w:r>
    </w:p>
    <w:p w14:paraId="007DE22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The research objectives were met by identifying key risks, evaluating the roles of safeguarding professionals and parents, and critically examining the effectiveness of national policy measures. However, reliance on secondary data limited the ability to capture frontline practitioner perspectives directly. Nevertheless, the synthesis provides a robust overview of current structural challenges and areas requiring reform. The following section therefore proposes three evidence-informed recommendations designed to strengthen prevention, improve professional capacity and enhance regulatory enforcement within the UK safeguarding system.</w:t>
      </w:r>
    </w:p>
    <w:p w14:paraId="7859F06B" w14:textId="77777777" w:rsidR="002B3B07" w:rsidRPr="002B3B07" w:rsidRDefault="002B3B07" w:rsidP="002B3B07">
      <w:pPr>
        <w:spacing w:after="0" w:line="480" w:lineRule="auto"/>
        <w:jc w:val="both"/>
        <w:outlineLvl w:val="1"/>
        <w:rPr>
          <w:rFonts w:ascii="Arial" w:eastAsia="Times New Roman" w:hAnsi="Arial" w:cs="Arial"/>
          <w:b/>
          <w:bCs/>
          <w:kern w:val="0"/>
          <w:lang w:eastAsia="en-GB"/>
          <w14:ligatures w14:val="none"/>
        </w:rPr>
      </w:pPr>
      <w:r w:rsidRPr="002B3B07">
        <w:rPr>
          <w:rFonts w:ascii="Arial" w:eastAsia="Times New Roman" w:hAnsi="Arial" w:cs="Arial"/>
          <w:b/>
          <w:bCs/>
          <w:kern w:val="0"/>
          <w:lang w:eastAsia="en-GB"/>
          <w14:ligatures w14:val="none"/>
        </w:rPr>
        <w:t>5.2.1 Recommendation 1: Mandatory Digital-Safeguarding Training for Professionals</w:t>
      </w:r>
    </w:p>
    <w:p w14:paraId="2D693B8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It is recommended that all education and safeguarding professionals in the UK, including teachers, social workers, school safeguarding leads and youth workers, receive mandatory, regularly updated training on online harms, platform risks and digital-abuse indicators. This </w:t>
      </w:r>
      <w:r w:rsidRPr="002B3B07">
        <w:rPr>
          <w:rFonts w:ascii="Arial" w:eastAsia="Times New Roman" w:hAnsi="Arial" w:cs="Arial"/>
          <w:kern w:val="0"/>
          <w:lang w:eastAsia="en-GB"/>
          <w14:ligatures w14:val="none"/>
        </w:rPr>
        <w:lastRenderedPageBreak/>
        <w:t>training should be nationally standardised and embedded within statutory continuing professional development requirements.</w:t>
      </w:r>
    </w:p>
    <w:p w14:paraId="391E46D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recommendation is justified by Chapter 4’s findings that practitioner confidence and response quality vary significantly between institutions, resulting in inconsistent protection for children. The analysis demonstrated that while policy guidance exists, frontline staff often report uncertainty when managing complex online incidents such as coercive grooming, image-based abuse or algorithm-driven exposure to harmful content. Strengthening professional competence is therefore central to improving early identification, intervention and inter-agency collaboration.</w:t>
      </w:r>
    </w:p>
    <w:p w14:paraId="5990B644"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In practice, this could be implemented through Department for Education–approved online modules, annual refresher courses and safeguarding briefings incorporated into school inspection frameworks. Local safeguarding partnerships could coordinate training delivery, ensuring consistency across regions and sectors.</w:t>
      </w:r>
    </w:p>
    <w:p w14:paraId="1FAD3AD4"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Potential barriers include limited funding, workload pressures and unequal access to specialist trainers, particularly in smaller schools or rural authorities. To overcome these challenges, a centrally funded digital-training package could be developed at national level, reducing cost duplication and ensuring universal access. Time-efficient formats, such as modular e-learning combined with scenario-based workshops, would also increase feasibility.</w:t>
      </w:r>
    </w:p>
    <w:p w14:paraId="53B68E9D"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recommendation is closely aligned with the research aim, as it addresses a core systemic weakness identified across the literature and directly targets the implementation gap between safeguarding policy and professional practice.</w:t>
      </w:r>
    </w:p>
    <w:p w14:paraId="1D89EE56"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5.2.2 Recommendation 2 – National Digital-Safety Education for Children and Parents</w:t>
      </w:r>
    </w:p>
    <w:p w14:paraId="4F890FCA"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It is recommended that a nationally consistent digital-safety education programme be introduced across all UK schools and extended to parents and carers through community-based workshops and online resources. This programme should cover online grooming tactics, cyberbullying, harmful content, privacy protection, reporting mechanisms and responsible platform use, and should be embedded within the statutory Relationships, Sex and Health Education (RSHE) curriculum.</w:t>
      </w:r>
    </w:p>
    <w:p w14:paraId="582F9B36"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lastRenderedPageBreak/>
        <w:t>This recommendation is justified by Chapter 4’s findings that children’s exposure to online risk is strongly influenced by disparities in parental digital literacy and inconsistent school-level provision. The thematic analysis showed that while some institutions deliver comprehensive e-safety teaching, others rely on ad-hoc interventions or outdated materials. This uneven landscape leaves many children insufficiently equipped to recognise online threats or seek help effectively, particularly in vulnerable or digitally excluded households.</w:t>
      </w:r>
    </w:p>
    <w:p w14:paraId="356256D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In practical terms, the Department for Education could issue standardised lesson frameworks supported by Ofsted-approved guidance, while local authorities and safeguarding partnerships could facilitate parental sessions in schools, libraries and health centres. Digital platforms and charities such as the NSPCC could contribute co-designed materials to ensure accessibility and age-appropriate messaging.</w:t>
      </w:r>
    </w:p>
    <w:p w14:paraId="18AB1383"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Barriers to implementation may include parental disengagement, time pressures within crowded curricula and difficulties reaching families with limited internet access. These challenges could be mitigated through flexible delivery formats, including evening workshops, translated resources and mobile-friendly guidance, alongside incentives for school participation through inspection criteria.</w:t>
      </w:r>
    </w:p>
    <w:p w14:paraId="7618370B"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recommendation directly supports the research aim by addressing prevention and early intervention, strengthening children’s resilience and promoting shared responsibility among families, educators and safeguarding agencies.</w:t>
      </w:r>
    </w:p>
    <w:p w14:paraId="1A049284"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t>Recommendation 3 – Strengthening Regulatory Enforcement and Platform Accountability</w:t>
      </w:r>
    </w:p>
    <w:p w14:paraId="3C758C9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It is recommended that regulatory oversight of social-media platforms be strengthened through clearer enforcement mechanisms, transparent reporting requirements, and meaningful sanctions for non-compliance with child-safeguarding duties under the Online Safety Act (2023). While the legislation establishes important protections, Chapter 4 demonstrated that implementation remains inconsistent, with concerns about delayed content removal, limited transparency around moderation processes, and variations in how platforms respond to safeguarding referrals.</w:t>
      </w:r>
    </w:p>
    <w:p w14:paraId="04A09239"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lastRenderedPageBreak/>
        <w:t>The thematic findings revealed widespread professional anxiety regarding the speed at which harmful material circulates online compared with the pace of regulatory action. Educators and safeguarding practitioners reported uncertainty about escalation routes when platform reporting tools fail to result in timely intervention. This disconnect undermines confidence in statutory protections and places additional pressure on schools and social-care services to manage risk without adequate technological support.</w:t>
      </w:r>
    </w:p>
    <w:p w14:paraId="1F163BBF"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To address these issues, Ofcom should be empowered to publish routine performance audits comparing platforms’ response times, age-verification systems, complaint handling, and data-sharing procedures with safeguarding agencies. Mandatory transparency reports could require companies to disclose the volume of child-safety referrals received, actions taken, and average removal times for harmful content. Financial penalties should be applied proportionately where companies repeatedly fall short, alongside improvement notices requiring demonstrable remedial action.</w:t>
      </w:r>
    </w:p>
    <w:p w14:paraId="32FEDA37"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Collaboration between regulators, law-enforcement bodies and child-protection organisations should also be formalised through information-sharing protocols, ensuring that serious cases of grooming or exploitation are escalated swiftly and consistently across jurisdictions. Platforms could be required to fund independent child-safety research and contribute to national prevention initiatives, reinforcing corporate responsibility.</w:t>
      </w:r>
    </w:p>
    <w:p w14:paraId="760642EC" w14:textId="77777777" w:rsidR="002B3B07" w:rsidRPr="002B3B07" w:rsidRDefault="002B3B07" w:rsidP="002B3B07">
      <w:p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This recommendation directly addresses one of the core weaknesses identified in the study: the gap between policy intention and practical protection. By strengthening enforcement and accountability mechanisms, safeguarding systems would become more responsive, credible and preventative, supporting professionals’ work while reducing children’s exposure to prolonged online harm.</w:t>
      </w:r>
    </w:p>
    <w:p w14:paraId="69425ADB" w14:textId="77777777" w:rsidR="002B3B07" w:rsidRPr="002B3B07" w:rsidRDefault="002B3B07" w:rsidP="002B3B07">
      <w:pPr>
        <w:spacing w:after="0" w:line="480" w:lineRule="auto"/>
        <w:jc w:val="both"/>
        <w:rPr>
          <w:rFonts w:ascii="Arial" w:hAnsi="Arial" w:cs="Arial"/>
        </w:rPr>
      </w:pPr>
      <w:r w:rsidRPr="002B3B07">
        <w:rPr>
          <w:rFonts w:ascii="Arial" w:hAnsi="Arial" w:cs="Arial"/>
        </w:rPr>
        <w:t>This chapter has drawn together the study’s findings and translated them into practical recommendations, bringing the dissertation to a close by responding directly to the research aims.</w:t>
      </w:r>
    </w:p>
    <w:p w14:paraId="5F63EA89" w14:textId="77777777" w:rsidR="003F074A" w:rsidRDefault="003F074A" w:rsidP="002B3B07">
      <w:pPr>
        <w:spacing w:after="0" w:line="480" w:lineRule="auto"/>
        <w:jc w:val="both"/>
        <w:rPr>
          <w:rFonts w:ascii="Arial" w:hAnsi="Arial" w:cs="Arial"/>
        </w:rPr>
      </w:pPr>
    </w:p>
    <w:p w14:paraId="095C842B" w14:textId="77777777" w:rsidR="004A083D" w:rsidRPr="002B3B07" w:rsidRDefault="004A083D" w:rsidP="002B3B07">
      <w:pPr>
        <w:spacing w:after="0" w:line="480" w:lineRule="auto"/>
        <w:jc w:val="both"/>
        <w:rPr>
          <w:rFonts w:ascii="Arial" w:hAnsi="Arial" w:cs="Arial"/>
        </w:rPr>
      </w:pPr>
    </w:p>
    <w:p w14:paraId="57F16E63" w14:textId="77777777" w:rsidR="002B3B07" w:rsidRPr="002B3B07" w:rsidRDefault="002B3B07" w:rsidP="002B3B07">
      <w:pPr>
        <w:spacing w:after="0" w:line="480" w:lineRule="auto"/>
        <w:jc w:val="both"/>
        <w:outlineLvl w:val="0"/>
        <w:rPr>
          <w:rFonts w:ascii="Arial" w:eastAsia="Times New Roman" w:hAnsi="Arial" w:cs="Arial"/>
          <w:b/>
          <w:bCs/>
          <w:kern w:val="36"/>
          <w:lang w:eastAsia="en-GB"/>
          <w14:ligatures w14:val="none"/>
        </w:rPr>
      </w:pPr>
      <w:r w:rsidRPr="002B3B07">
        <w:rPr>
          <w:rFonts w:ascii="Arial" w:eastAsia="Times New Roman" w:hAnsi="Arial" w:cs="Arial"/>
          <w:b/>
          <w:bCs/>
          <w:kern w:val="36"/>
          <w:lang w:eastAsia="en-GB"/>
          <w14:ligatures w14:val="none"/>
        </w:rPr>
        <w:lastRenderedPageBreak/>
        <w:t>References for Chapter 4 &amp; Chapter 5</w:t>
      </w:r>
    </w:p>
    <w:p w14:paraId="302159C9"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Braun, V. and Clarke, V. (2006) ‘Using thematic analysis in psychology’, </w:t>
      </w:r>
      <w:r w:rsidRPr="002B3B07">
        <w:rPr>
          <w:rFonts w:ascii="Arial" w:eastAsia="Times New Roman" w:hAnsi="Arial" w:cs="Arial"/>
          <w:i/>
          <w:iCs/>
          <w:kern w:val="0"/>
          <w:lang w:eastAsia="en-GB"/>
          <w14:ligatures w14:val="none"/>
        </w:rPr>
        <w:t>Qualitative Research in Psychology</w:t>
      </w:r>
      <w:r w:rsidRPr="002B3B07">
        <w:rPr>
          <w:rFonts w:ascii="Arial" w:eastAsia="Times New Roman" w:hAnsi="Arial" w:cs="Arial"/>
          <w:kern w:val="0"/>
          <w:lang w:eastAsia="en-GB"/>
          <w14:ligatures w14:val="none"/>
        </w:rPr>
        <w:t>, 3(2), pp. 77–101.</w:t>
      </w:r>
    </w:p>
    <w:p w14:paraId="0A7E45C5"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Department for Education (DfE) (2023) </w:t>
      </w:r>
      <w:r w:rsidRPr="002B3B07">
        <w:rPr>
          <w:rFonts w:ascii="Arial" w:eastAsia="Times New Roman" w:hAnsi="Arial" w:cs="Arial"/>
          <w:i/>
          <w:iCs/>
          <w:kern w:val="0"/>
          <w:lang w:eastAsia="en-GB"/>
          <w14:ligatures w14:val="none"/>
        </w:rPr>
        <w:t>Keeping Children Safe in Education</w:t>
      </w:r>
      <w:r w:rsidRPr="002B3B07">
        <w:rPr>
          <w:rFonts w:ascii="Arial" w:eastAsia="Times New Roman" w:hAnsi="Arial" w:cs="Arial"/>
          <w:kern w:val="0"/>
          <w:lang w:eastAsia="en-GB"/>
          <w14:ligatures w14:val="none"/>
        </w:rPr>
        <w:t>. London: DfE.</w:t>
      </w:r>
    </w:p>
    <w:p w14:paraId="29475090"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Internet Watch Foundation (2024) </w:t>
      </w:r>
      <w:r w:rsidRPr="002B3B07">
        <w:rPr>
          <w:rFonts w:ascii="Arial" w:eastAsia="Times New Roman" w:hAnsi="Arial" w:cs="Arial"/>
          <w:i/>
          <w:iCs/>
          <w:kern w:val="0"/>
          <w:lang w:eastAsia="en-GB"/>
          <w14:ligatures w14:val="none"/>
        </w:rPr>
        <w:t>Annual Report and Accounts</w:t>
      </w:r>
      <w:r w:rsidRPr="002B3B07">
        <w:rPr>
          <w:rFonts w:ascii="Arial" w:eastAsia="Times New Roman" w:hAnsi="Arial" w:cs="Arial"/>
          <w:kern w:val="0"/>
          <w:lang w:eastAsia="en-GB"/>
          <w14:ligatures w14:val="none"/>
        </w:rPr>
        <w:t>. Cambridge: IWF.</w:t>
      </w:r>
    </w:p>
    <w:p w14:paraId="2FEA6E6B"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Livingstone, S. and Smith, P.K. (2014) ‘Annual research review: Harms experienced by child users of online and mobile technologies’, </w:t>
      </w:r>
      <w:r w:rsidRPr="002B3B07">
        <w:rPr>
          <w:rFonts w:ascii="Arial" w:eastAsia="Times New Roman" w:hAnsi="Arial" w:cs="Arial"/>
          <w:i/>
          <w:iCs/>
          <w:kern w:val="0"/>
          <w:lang w:eastAsia="en-GB"/>
          <w14:ligatures w14:val="none"/>
        </w:rPr>
        <w:t>Journal of Child Psychology and Psychiatry</w:t>
      </w:r>
      <w:r w:rsidRPr="002B3B07">
        <w:rPr>
          <w:rFonts w:ascii="Arial" w:eastAsia="Times New Roman" w:hAnsi="Arial" w:cs="Arial"/>
          <w:kern w:val="0"/>
          <w:lang w:eastAsia="en-GB"/>
          <w14:ligatures w14:val="none"/>
        </w:rPr>
        <w:t>, 55(6), pp. 635–654.</w:t>
      </w:r>
    </w:p>
    <w:p w14:paraId="4F9ACAFF"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NSPCC (2023) </w:t>
      </w:r>
      <w:r w:rsidRPr="002B3B07">
        <w:rPr>
          <w:rFonts w:ascii="Arial" w:eastAsia="Times New Roman" w:hAnsi="Arial" w:cs="Arial"/>
          <w:i/>
          <w:iCs/>
          <w:kern w:val="0"/>
          <w:lang w:eastAsia="en-GB"/>
          <w14:ligatures w14:val="none"/>
        </w:rPr>
        <w:t>Online Harm and Abuse Statistics</w:t>
      </w:r>
      <w:r w:rsidRPr="002B3B07">
        <w:rPr>
          <w:rFonts w:ascii="Arial" w:eastAsia="Times New Roman" w:hAnsi="Arial" w:cs="Arial"/>
          <w:kern w:val="0"/>
          <w:lang w:eastAsia="en-GB"/>
          <w14:ligatures w14:val="none"/>
        </w:rPr>
        <w:t>. London: NSPCC.</w:t>
      </w:r>
    </w:p>
    <w:p w14:paraId="006A8776"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Ofcom (2023) </w:t>
      </w:r>
      <w:r w:rsidRPr="002B3B07">
        <w:rPr>
          <w:rFonts w:ascii="Arial" w:eastAsia="Times New Roman" w:hAnsi="Arial" w:cs="Arial"/>
          <w:i/>
          <w:iCs/>
          <w:kern w:val="0"/>
          <w:lang w:eastAsia="en-GB"/>
          <w14:ligatures w14:val="none"/>
        </w:rPr>
        <w:t>Children and Parents: Media Use and Attitudes Report</w:t>
      </w:r>
      <w:r w:rsidRPr="002B3B07">
        <w:rPr>
          <w:rFonts w:ascii="Arial" w:eastAsia="Times New Roman" w:hAnsi="Arial" w:cs="Arial"/>
          <w:kern w:val="0"/>
          <w:lang w:eastAsia="en-GB"/>
          <w14:ligatures w14:val="none"/>
        </w:rPr>
        <w:t>. London: Ofcom.</w:t>
      </w:r>
    </w:p>
    <w:p w14:paraId="11DB5FC9"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Ofsted (2022) </w:t>
      </w:r>
      <w:r w:rsidRPr="002B3B07">
        <w:rPr>
          <w:rFonts w:ascii="Arial" w:eastAsia="Times New Roman" w:hAnsi="Arial" w:cs="Arial"/>
          <w:i/>
          <w:iCs/>
          <w:kern w:val="0"/>
          <w:lang w:eastAsia="en-GB"/>
          <w14:ligatures w14:val="none"/>
        </w:rPr>
        <w:t>Online Safety in Schools</w:t>
      </w:r>
      <w:r w:rsidRPr="002B3B07">
        <w:rPr>
          <w:rFonts w:ascii="Arial" w:eastAsia="Times New Roman" w:hAnsi="Arial" w:cs="Arial"/>
          <w:kern w:val="0"/>
          <w:lang w:eastAsia="en-GB"/>
          <w14:ligatures w14:val="none"/>
        </w:rPr>
        <w:t>. London: Ofsted.</w:t>
      </w:r>
    </w:p>
    <w:p w14:paraId="27F6520D"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Royal Society for Public Health (2022) </w:t>
      </w:r>
      <w:r w:rsidRPr="002B3B07">
        <w:rPr>
          <w:rFonts w:ascii="Arial" w:eastAsia="Times New Roman" w:hAnsi="Arial" w:cs="Arial"/>
          <w:i/>
          <w:iCs/>
          <w:kern w:val="0"/>
          <w:lang w:eastAsia="en-GB"/>
          <w14:ligatures w14:val="none"/>
        </w:rPr>
        <w:t>Social Media and Young People’s Mental Health</w:t>
      </w:r>
      <w:r w:rsidRPr="002B3B07">
        <w:rPr>
          <w:rFonts w:ascii="Arial" w:eastAsia="Times New Roman" w:hAnsi="Arial" w:cs="Arial"/>
          <w:kern w:val="0"/>
          <w:lang w:eastAsia="en-GB"/>
          <w14:ligatures w14:val="none"/>
        </w:rPr>
        <w:t>. London: RSPH.</w:t>
      </w:r>
    </w:p>
    <w:p w14:paraId="2FB68C43" w14:textId="77777777" w:rsidR="002B3B07" w:rsidRPr="002B3B07" w:rsidRDefault="002B3B07" w:rsidP="002B3B07">
      <w:pPr>
        <w:numPr>
          <w:ilvl w:val="0"/>
          <w:numId w:val="1"/>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UK Council for Internet Safety (2023) </w:t>
      </w:r>
      <w:r w:rsidRPr="002B3B07">
        <w:rPr>
          <w:rFonts w:ascii="Arial" w:eastAsia="Times New Roman" w:hAnsi="Arial" w:cs="Arial"/>
          <w:i/>
          <w:iCs/>
          <w:kern w:val="0"/>
          <w:lang w:eastAsia="en-GB"/>
          <w14:ligatures w14:val="none"/>
        </w:rPr>
        <w:t>Education for a Connected World</w:t>
      </w:r>
      <w:r w:rsidRPr="002B3B07">
        <w:rPr>
          <w:rFonts w:ascii="Arial" w:eastAsia="Times New Roman" w:hAnsi="Arial" w:cs="Arial"/>
          <w:kern w:val="0"/>
          <w:lang w:eastAsia="en-GB"/>
          <w14:ligatures w14:val="none"/>
        </w:rPr>
        <w:t>. London: UKCIS.</w:t>
      </w:r>
    </w:p>
    <w:p w14:paraId="03F733F9" w14:textId="77777777" w:rsidR="002B3B07" w:rsidRPr="002B3B07" w:rsidRDefault="002B3B07" w:rsidP="002B3B07">
      <w:pPr>
        <w:numPr>
          <w:ilvl w:val="0"/>
          <w:numId w:val="2"/>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Department for Culture, Media and Sport (2023) </w:t>
      </w:r>
      <w:r w:rsidRPr="002B3B07">
        <w:rPr>
          <w:rFonts w:ascii="Arial" w:eastAsia="Times New Roman" w:hAnsi="Arial" w:cs="Arial"/>
          <w:i/>
          <w:iCs/>
          <w:kern w:val="0"/>
          <w:lang w:eastAsia="en-GB"/>
          <w14:ligatures w14:val="none"/>
        </w:rPr>
        <w:t>Online Safety Act 2023</w:t>
      </w:r>
      <w:r w:rsidRPr="002B3B07">
        <w:rPr>
          <w:rFonts w:ascii="Arial" w:eastAsia="Times New Roman" w:hAnsi="Arial" w:cs="Arial"/>
          <w:kern w:val="0"/>
          <w:lang w:eastAsia="en-GB"/>
          <w14:ligatures w14:val="none"/>
        </w:rPr>
        <w:t>. London: UK Government.</w:t>
      </w:r>
    </w:p>
    <w:p w14:paraId="3D919888" w14:textId="77777777" w:rsidR="002B3B07" w:rsidRPr="002B3B07" w:rsidRDefault="002B3B07" w:rsidP="002B3B07">
      <w:pPr>
        <w:numPr>
          <w:ilvl w:val="0"/>
          <w:numId w:val="2"/>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HM Government (2022) </w:t>
      </w:r>
      <w:r w:rsidRPr="002B3B07">
        <w:rPr>
          <w:rFonts w:ascii="Arial" w:eastAsia="Times New Roman" w:hAnsi="Arial" w:cs="Arial"/>
          <w:i/>
          <w:iCs/>
          <w:kern w:val="0"/>
          <w:lang w:eastAsia="en-GB"/>
          <w14:ligatures w14:val="none"/>
        </w:rPr>
        <w:t>Working Together to Safeguard Children</w:t>
      </w:r>
      <w:r w:rsidRPr="002B3B07">
        <w:rPr>
          <w:rFonts w:ascii="Arial" w:eastAsia="Times New Roman" w:hAnsi="Arial" w:cs="Arial"/>
          <w:kern w:val="0"/>
          <w:lang w:eastAsia="en-GB"/>
          <w14:ligatures w14:val="none"/>
        </w:rPr>
        <w:t>. London: HMSO.</w:t>
      </w:r>
    </w:p>
    <w:p w14:paraId="15957D07" w14:textId="77777777" w:rsidR="002B3B07" w:rsidRPr="002B3B07" w:rsidRDefault="002B3B07" w:rsidP="002B3B07">
      <w:pPr>
        <w:numPr>
          <w:ilvl w:val="0"/>
          <w:numId w:val="2"/>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Ofcom (2024) </w:t>
      </w:r>
      <w:r w:rsidRPr="002B3B07">
        <w:rPr>
          <w:rFonts w:ascii="Arial" w:eastAsia="Times New Roman" w:hAnsi="Arial" w:cs="Arial"/>
          <w:i/>
          <w:iCs/>
          <w:kern w:val="0"/>
          <w:lang w:eastAsia="en-GB"/>
          <w14:ligatures w14:val="none"/>
        </w:rPr>
        <w:t>Platform Safety Codes Report</w:t>
      </w:r>
      <w:r w:rsidRPr="002B3B07">
        <w:rPr>
          <w:rFonts w:ascii="Arial" w:eastAsia="Times New Roman" w:hAnsi="Arial" w:cs="Arial"/>
          <w:kern w:val="0"/>
          <w:lang w:eastAsia="en-GB"/>
          <w14:ligatures w14:val="none"/>
        </w:rPr>
        <w:t>. London: Ofcom.</w:t>
      </w:r>
    </w:p>
    <w:p w14:paraId="22EA28A5" w14:textId="77777777" w:rsidR="002B3B07" w:rsidRPr="002B3B07" w:rsidRDefault="002B3B07" w:rsidP="002B3B07">
      <w:pPr>
        <w:numPr>
          <w:ilvl w:val="0"/>
          <w:numId w:val="2"/>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UNICEF (2021) </w:t>
      </w:r>
      <w:r w:rsidRPr="002B3B07">
        <w:rPr>
          <w:rFonts w:ascii="Arial" w:eastAsia="Times New Roman" w:hAnsi="Arial" w:cs="Arial"/>
          <w:i/>
          <w:iCs/>
          <w:kern w:val="0"/>
          <w:lang w:eastAsia="en-GB"/>
          <w14:ligatures w14:val="none"/>
        </w:rPr>
        <w:t>Child Online Protection in the Digital Age</w:t>
      </w:r>
      <w:r w:rsidRPr="002B3B07">
        <w:rPr>
          <w:rFonts w:ascii="Arial" w:eastAsia="Times New Roman" w:hAnsi="Arial" w:cs="Arial"/>
          <w:kern w:val="0"/>
          <w:lang w:eastAsia="en-GB"/>
          <w14:ligatures w14:val="none"/>
        </w:rPr>
        <w:t>. New York: UNICEF.</w:t>
      </w:r>
    </w:p>
    <w:p w14:paraId="0C261723" w14:textId="77777777" w:rsidR="002B3B07" w:rsidRPr="002B3B07" w:rsidRDefault="002B3B07" w:rsidP="002B3B07">
      <w:pPr>
        <w:numPr>
          <w:ilvl w:val="0"/>
          <w:numId w:val="2"/>
        </w:numPr>
        <w:spacing w:after="0" w:line="480" w:lineRule="auto"/>
        <w:jc w:val="both"/>
        <w:rPr>
          <w:rFonts w:ascii="Arial" w:eastAsia="Times New Roman" w:hAnsi="Arial" w:cs="Arial"/>
          <w:kern w:val="0"/>
          <w:lang w:eastAsia="en-GB"/>
          <w14:ligatures w14:val="none"/>
        </w:rPr>
      </w:pPr>
      <w:r w:rsidRPr="002B3B07">
        <w:rPr>
          <w:rFonts w:ascii="Arial" w:eastAsia="Times New Roman" w:hAnsi="Arial" w:cs="Arial"/>
          <w:kern w:val="0"/>
          <w:lang w:eastAsia="en-GB"/>
          <w14:ligatures w14:val="none"/>
        </w:rPr>
        <w:t xml:space="preserve">UNESCO (2023) </w:t>
      </w:r>
      <w:r w:rsidRPr="002B3B07">
        <w:rPr>
          <w:rFonts w:ascii="Arial" w:eastAsia="Times New Roman" w:hAnsi="Arial" w:cs="Arial"/>
          <w:i/>
          <w:iCs/>
          <w:kern w:val="0"/>
          <w:lang w:eastAsia="en-GB"/>
          <w14:ligatures w14:val="none"/>
        </w:rPr>
        <w:t>Global Digital Citizenship Education</w:t>
      </w:r>
      <w:r w:rsidRPr="002B3B07">
        <w:rPr>
          <w:rFonts w:ascii="Arial" w:eastAsia="Times New Roman" w:hAnsi="Arial" w:cs="Arial"/>
          <w:kern w:val="0"/>
          <w:lang w:eastAsia="en-GB"/>
          <w14:ligatures w14:val="none"/>
        </w:rPr>
        <w:t>. Paris: UNESCO.</w:t>
      </w:r>
    </w:p>
    <w:p w14:paraId="3FF9196F" w14:textId="77777777" w:rsidR="002B3B07" w:rsidRPr="002B3B07" w:rsidRDefault="002B3B07" w:rsidP="002B3B07">
      <w:pPr>
        <w:spacing w:after="0" w:line="480" w:lineRule="auto"/>
        <w:jc w:val="both"/>
        <w:rPr>
          <w:rFonts w:ascii="Arial" w:hAnsi="Arial" w:cs="Arial"/>
        </w:rPr>
      </w:pPr>
    </w:p>
    <w:sectPr w:rsidR="002B3B07" w:rsidRPr="002B3B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C263E1"/>
    <w:multiLevelType w:val="multilevel"/>
    <w:tmpl w:val="0A5812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7911B67"/>
    <w:multiLevelType w:val="multilevel"/>
    <w:tmpl w:val="05D29C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2356160">
    <w:abstractNumId w:val="1"/>
  </w:num>
  <w:num w:numId="2" w16cid:durableId="1846746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07"/>
    <w:rsid w:val="00270B94"/>
    <w:rsid w:val="002A7951"/>
    <w:rsid w:val="002B3B07"/>
    <w:rsid w:val="003C7B16"/>
    <w:rsid w:val="003F074A"/>
    <w:rsid w:val="004A083D"/>
    <w:rsid w:val="00645D15"/>
    <w:rsid w:val="008043F3"/>
    <w:rsid w:val="008A4669"/>
    <w:rsid w:val="0095750F"/>
    <w:rsid w:val="00B12D1D"/>
    <w:rsid w:val="00EB043F"/>
    <w:rsid w:val="00F01A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4B48A"/>
  <w15:chartTrackingRefBased/>
  <w15:docId w15:val="{12AFA791-AC69-4FF3-B28F-E44070CE3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B07"/>
    <w:pPr>
      <w:spacing w:line="256" w:lineRule="auto"/>
    </w:pPr>
  </w:style>
  <w:style w:type="paragraph" w:styleId="Heading1">
    <w:name w:val="heading 1"/>
    <w:basedOn w:val="Normal"/>
    <w:next w:val="Normal"/>
    <w:link w:val="Heading1Char"/>
    <w:uiPriority w:val="9"/>
    <w:qFormat/>
    <w:rsid w:val="002B3B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B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B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B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B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B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B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B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B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B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B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B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B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B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B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B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B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B07"/>
    <w:rPr>
      <w:rFonts w:eastAsiaTheme="majorEastAsia" w:cstheme="majorBidi"/>
      <w:color w:val="272727" w:themeColor="text1" w:themeTint="D8"/>
    </w:rPr>
  </w:style>
  <w:style w:type="paragraph" w:styleId="Title">
    <w:name w:val="Title"/>
    <w:basedOn w:val="Normal"/>
    <w:next w:val="Normal"/>
    <w:link w:val="TitleChar"/>
    <w:uiPriority w:val="10"/>
    <w:qFormat/>
    <w:rsid w:val="002B3B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B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B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B07"/>
    <w:pPr>
      <w:spacing w:before="160"/>
      <w:jc w:val="center"/>
    </w:pPr>
    <w:rPr>
      <w:i/>
      <w:iCs/>
      <w:color w:val="404040" w:themeColor="text1" w:themeTint="BF"/>
    </w:rPr>
  </w:style>
  <w:style w:type="character" w:customStyle="1" w:styleId="QuoteChar">
    <w:name w:val="Quote Char"/>
    <w:basedOn w:val="DefaultParagraphFont"/>
    <w:link w:val="Quote"/>
    <w:uiPriority w:val="29"/>
    <w:rsid w:val="002B3B07"/>
    <w:rPr>
      <w:i/>
      <w:iCs/>
      <w:color w:val="404040" w:themeColor="text1" w:themeTint="BF"/>
    </w:rPr>
  </w:style>
  <w:style w:type="paragraph" w:styleId="ListParagraph">
    <w:name w:val="List Paragraph"/>
    <w:basedOn w:val="Normal"/>
    <w:uiPriority w:val="34"/>
    <w:qFormat/>
    <w:rsid w:val="002B3B07"/>
    <w:pPr>
      <w:ind w:left="720"/>
      <w:contextualSpacing/>
    </w:pPr>
  </w:style>
  <w:style w:type="character" w:styleId="IntenseEmphasis">
    <w:name w:val="Intense Emphasis"/>
    <w:basedOn w:val="DefaultParagraphFont"/>
    <w:uiPriority w:val="21"/>
    <w:qFormat/>
    <w:rsid w:val="002B3B07"/>
    <w:rPr>
      <w:i/>
      <w:iCs/>
      <w:color w:val="0F4761" w:themeColor="accent1" w:themeShade="BF"/>
    </w:rPr>
  </w:style>
  <w:style w:type="paragraph" w:styleId="IntenseQuote">
    <w:name w:val="Intense Quote"/>
    <w:basedOn w:val="Normal"/>
    <w:next w:val="Normal"/>
    <w:link w:val="IntenseQuoteChar"/>
    <w:uiPriority w:val="30"/>
    <w:qFormat/>
    <w:rsid w:val="002B3B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B07"/>
    <w:rPr>
      <w:i/>
      <w:iCs/>
      <w:color w:val="0F4761" w:themeColor="accent1" w:themeShade="BF"/>
    </w:rPr>
  </w:style>
  <w:style w:type="character" w:styleId="IntenseReference">
    <w:name w:val="Intense Reference"/>
    <w:basedOn w:val="DefaultParagraphFont"/>
    <w:uiPriority w:val="32"/>
    <w:qFormat/>
    <w:rsid w:val="002B3B0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23</Pages>
  <Words>6412</Words>
  <Characters>36550</Characters>
  <Application>Microsoft Office Word</Application>
  <DocSecurity>0</DocSecurity>
  <Lines>304</Lines>
  <Paragraphs>85</Paragraphs>
  <ScaleCrop>false</ScaleCrop>
  <Company/>
  <LinksUpToDate>false</LinksUpToDate>
  <CharactersWithSpaces>42877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5</cp:revision>
  <dcterms:created xsi:type="dcterms:W3CDTF">2026-02-21T13:45:00Z</dcterms:created>
  <dcterms:modified xsi:type="dcterms:W3CDTF">2026-03-07T07:54:00Z</dcterms:modified>
</cp:coreProperties>
</file>