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A1C463" w14:textId="77777777" w:rsidR="00C558B0" w:rsidRPr="00594FAC" w:rsidRDefault="00C558B0" w:rsidP="00594FAC">
      <w:pPr>
        <w:spacing w:line="360" w:lineRule="auto"/>
        <w:rPr>
          <w:rFonts w:ascii="Arial" w:hAnsi="Arial" w:cs="Arial"/>
          <w:szCs w:val="24"/>
        </w:rPr>
      </w:pPr>
      <w:r w:rsidRPr="00594FAC">
        <w:rPr>
          <w:rFonts w:ascii="Arial" w:hAnsi="Arial" w:cs="Arial"/>
          <w:noProof/>
        </w:rPr>
        <w:drawing>
          <wp:anchor distT="0" distB="0" distL="114300" distR="114300" simplePos="0" relativeHeight="251659264" behindDoc="0" locked="0" layoutInCell="1" allowOverlap="1" wp14:anchorId="4DB84120" wp14:editId="30A74FCD">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7F3B0" w14:textId="77777777" w:rsidR="00C558B0" w:rsidRPr="00594FAC" w:rsidRDefault="00C558B0" w:rsidP="00594FAC">
      <w:pPr>
        <w:spacing w:line="360" w:lineRule="auto"/>
        <w:rPr>
          <w:rFonts w:ascii="Arial" w:hAnsi="Arial" w:cs="Arial"/>
          <w:szCs w:val="24"/>
        </w:rPr>
      </w:pPr>
    </w:p>
    <w:p w14:paraId="554C8C17" w14:textId="77777777" w:rsidR="00C558B0" w:rsidRPr="00594FAC" w:rsidRDefault="00C558B0" w:rsidP="00594FAC">
      <w:pPr>
        <w:spacing w:line="360" w:lineRule="auto"/>
        <w:rPr>
          <w:rFonts w:ascii="Arial" w:hAnsi="Arial" w:cs="Arial"/>
          <w:szCs w:val="24"/>
        </w:rPr>
      </w:pPr>
    </w:p>
    <w:p w14:paraId="74A7306F" w14:textId="77777777" w:rsidR="00C558B0" w:rsidRPr="00594FAC" w:rsidRDefault="00C558B0" w:rsidP="00594FAC">
      <w:pPr>
        <w:spacing w:line="360" w:lineRule="auto"/>
        <w:rPr>
          <w:rFonts w:ascii="Arial" w:hAnsi="Arial" w:cs="Arial"/>
          <w:szCs w:val="24"/>
        </w:rPr>
      </w:pPr>
    </w:p>
    <w:p w14:paraId="4CFA099C" w14:textId="77777777" w:rsidR="00C558B0" w:rsidRPr="00594FAC" w:rsidRDefault="00C558B0" w:rsidP="00594FAC">
      <w:pPr>
        <w:tabs>
          <w:tab w:val="left" w:pos="6540"/>
        </w:tabs>
        <w:spacing w:line="360" w:lineRule="auto"/>
        <w:rPr>
          <w:rFonts w:ascii="Arial" w:hAnsi="Arial" w:cs="Arial"/>
          <w:sz w:val="28"/>
          <w:szCs w:val="28"/>
        </w:rPr>
      </w:pPr>
    </w:p>
    <w:p w14:paraId="2F4F861B" w14:textId="2A818303" w:rsidR="00C558B0" w:rsidRPr="001C0A20" w:rsidRDefault="00C558B0" w:rsidP="00594FAC">
      <w:pPr>
        <w:tabs>
          <w:tab w:val="left" w:pos="6540"/>
        </w:tabs>
        <w:spacing w:line="360" w:lineRule="auto"/>
        <w:rPr>
          <w:rFonts w:ascii="Arial" w:hAnsi="Arial" w:cs="Arial"/>
          <w:sz w:val="28"/>
          <w:szCs w:val="28"/>
        </w:rPr>
      </w:pPr>
      <w:r w:rsidRPr="001C0A20">
        <w:rPr>
          <w:rFonts w:ascii="Arial" w:hAnsi="Arial" w:cs="Arial"/>
          <w:b/>
          <w:bCs/>
          <w:sz w:val="28"/>
          <w:szCs w:val="28"/>
        </w:rPr>
        <w:t>Student name</w:t>
      </w:r>
      <w:r w:rsidRPr="001C0A20">
        <w:rPr>
          <w:rFonts w:ascii="Arial" w:hAnsi="Arial" w:cs="Arial"/>
          <w:sz w:val="28"/>
          <w:szCs w:val="28"/>
        </w:rPr>
        <w:t>:</w:t>
      </w:r>
      <w:r w:rsidR="001C0A20">
        <w:rPr>
          <w:rFonts w:ascii="Arial" w:hAnsi="Arial" w:cs="Arial"/>
          <w:sz w:val="28"/>
          <w:szCs w:val="28"/>
        </w:rPr>
        <w:t xml:space="preserve"> Cristea Florin Cristian</w:t>
      </w:r>
    </w:p>
    <w:p w14:paraId="18D88AE2" w14:textId="7F4EDBA7" w:rsidR="00C558B0" w:rsidRPr="001C0A20" w:rsidRDefault="00C558B0" w:rsidP="00594FAC">
      <w:pPr>
        <w:tabs>
          <w:tab w:val="left" w:pos="6540"/>
        </w:tabs>
        <w:spacing w:line="360" w:lineRule="auto"/>
        <w:rPr>
          <w:rFonts w:ascii="Arial" w:hAnsi="Arial" w:cs="Arial"/>
          <w:sz w:val="28"/>
          <w:szCs w:val="28"/>
        </w:rPr>
      </w:pPr>
      <w:r w:rsidRPr="001C0A20">
        <w:rPr>
          <w:rFonts w:ascii="Arial" w:hAnsi="Arial" w:cs="Arial"/>
          <w:b/>
          <w:bCs/>
          <w:sz w:val="28"/>
          <w:szCs w:val="28"/>
        </w:rPr>
        <w:t>Student ID</w:t>
      </w:r>
      <w:r w:rsidRPr="001C0A20">
        <w:rPr>
          <w:rFonts w:ascii="Arial" w:hAnsi="Arial" w:cs="Arial"/>
          <w:sz w:val="28"/>
          <w:szCs w:val="28"/>
        </w:rPr>
        <w:t>:</w:t>
      </w:r>
      <w:r w:rsidR="00427627">
        <w:rPr>
          <w:rFonts w:ascii="Arial" w:hAnsi="Arial" w:cs="Arial"/>
          <w:sz w:val="28"/>
          <w:szCs w:val="28"/>
        </w:rPr>
        <w:t xml:space="preserve"> </w:t>
      </w:r>
      <w:r w:rsidR="001C0A20">
        <w:rPr>
          <w:rFonts w:ascii="Arial" w:hAnsi="Arial" w:cs="Arial"/>
          <w:sz w:val="28"/>
          <w:szCs w:val="28"/>
        </w:rPr>
        <w:t>2328061</w:t>
      </w:r>
    </w:p>
    <w:p w14:paraId="4654C81C" w14:textId="77777777" w:rsidR="00C558B0" w:rsidRPr="001C0A20" w:rsidRDefault="00C558B0" w:rsidP="00594FAC">
      <w:pPr>
        <w:tabs>
          <w:tab w:val="left" w:pos="6540"/>
        </w:tabs>
        <w:spacing w:line="360" w:lineRule="auto"/>
        <w:rPr>
          <w:rFonts w:ascii="Arial" w:hAnsi="Arial" w:cs="Arial"/>
          <w:sz w:val="28"/>
          <w:szCs w:val="28"/>
        </w:rPr>
      </w:pPr>
    </w:p>
    <w:p w14:paraId="3D8DA301" w14:textId="0D9F4626" w:rsidR="00C558B0" w:rsidRPr="001C0A20" w:rsidRDefault="00C558B0" w:rsidP="00594FAC">
      <w:pPr>
        <w:tabs>
          <w:tab w:val="left" w:pos="6540"/>
        </w:tabs>
        <w:spacing w:line="360" w:lineRule="auto"/>
        <w:rPr>
          <w:rFonts w:ascii="Arial" w:hAnsi="Arial" w:cs="Arial"/>
          <w:b/>
          <w:bCs/>
          <w:sz w:val="28"/>
          <w:szCs w:val="28"/>
        </w:rPr>
      </w:pPr>
      <w:r w:rsidRPr="001C0A20">
        <w:rPr>
          <w:rFonts w:ascii="Arial" w:hAnsi="Arial" w:cs="Arial"/>
          <w:b/>
          <w:bCs/>
          <w:sz w:val="28"/>
          <w:szCs w:val="28"/>
        </w:rPr>
        <w:t>Module name</w:t>
      </w:r>
      <w:r w:rsidRPr="001C0A20">
        <w:rPr>
          <w:rFonts w:ascii="Arial" w:hAnsi="Arial" w:cs="Arial"/>
          <w:sz w:val="28"/>
          <w:szCs w:val="28"/>
        </w:rPr>
        <w:t xml:space="preserve">: </w:t>
      </w:r>
      <w:r w:rsidR="00887FBB" w:rsidRPr="001C0A20">
        <w:rPr>
          <w:rFonts w:ascii="Arial" w:hAnsi="Arial" w:cs="Arial"/>
          <w:b/>
          <w:bCs/>
          <w:sz w:val="28"/>
          <w:szCs w:val="28"/>
        </w:rPr>
        <w:t>Principles of Health and Social Care Practice</w:t>
      </w:r>
    </w:p>
    <w:p w14:paraId="3E48CEF6" w14:textId="5020399B" w:rsidR="00887FBB" w:rsidRPr="00491764" w:rsidRDefault="00887FBB" w:rsidP="00594FAC">
      <w:pPr>
        <w:tabs>
          <w:tab w:val="left" w:pos="6540"/>
        </w:tabs>
        <w:spacing w:line="360" w:lineRule="auto"/>
        <w:rPr>
          <w:rFonts w:ascii="Arial" w:hAnsi="Arial" w:cs="Arial"/>
          <w:sz w:val="28"/>
          <w:szCs w:val="28"/>
        </w:rPr>
      </w:pPr>
      <w:r w:rsidRPr="00491764">
        <w:rPr>
          <w:rFonts w:ascii="Arial" w:hAnsi="Arial" w:cs="Arial"/>
          <w:b/>
          <w:bCs/>
          <w:sz w:val="28"/>
          <w:szCs w:val="28"/>
        </w:rPr>
        <w:t xml:space="preserve">Component: </w:t>
      </w:r>
      <w:r w:rsidR="00427627">
        <w:rPr>
          <w:rFonts w:ascii="Arial" w:hAnsi="Arial" w:cs="Arial"/>
          <w:b/>
          <w:bCs/>
          <w:sz w:val="28"/>
          <w:szCs w:val="28"/>
        </w:rPr>
        <w:t xml:space="preserve">2 </w:t>
      </w:r>
    </w:p>
    <w:p w14:paraId="7DB3261D" w14:textId="54EA5EAC" w:rsidR="00C558B0" w:rsidRPr="00491764" w:rsidRDefault="00C558B0" w:rsidP="00594FAC">
      <w:pPr>
        <w:tabs>
          <w:tab w:val="left" w:pos="6540"/>
        </w:tabs>
        <w:spacing w:line="360" w:lineRule="auto"/>
        <w:rPr>
          <w:rFonts w:ascii="Arial" w:hAnsi="Arial" w:cs="Arial"/>
          <w:sz w:val="28"/>
          <w:szCs w:val="28"/>
        </w:rPr>
      </w:pPr>
      <w:r w:rsidRPr="00491764">
        <w:rPr>
          <w:rFonts w:ascii="Arial" w:hAnsi="Arial" w:cs="Arial"/>
          <w:b/>
          <w:bCs/>
          <w:sz w:val="28"/>
          <w:szCs w:val="28"/>
        </w:rPr>
        <w:t>Module code</w:t>
      </w:r>
      <w:r w:rsidRPr="00491764">
        <w:rPr>
          <w:rFonts w:ascii="Arial" w:hAnsi="Arial" w:cs="Arial"/>
          <w:sz w:val="28"/>
          <w:szCs w:val="28"/>
        </w:rPr>
        <w:t>:</w:t>
      </w:r>
      <w:r w:rsidR="00887FBB" w:rsidRPr="00491764">
        <w:rPr>
          <w:rFonts w:ascii="Arial" w:hAnsi="Arial" w:cs="Arial"/>
          <w:sz w:val="28"/>
          <w:szCs w:val="28"/>
        </w:rPr>
        <w:t xml:space="preserve"> </w:t>
      </w:r>
      <w:r w:rsidR="00887FBB" w:rsidRPr="00491764">
        <w:rPr>
          <w:rFonts w:ascii="Arial" w:hAnsi="Arial" w:cs="Arial"/>
          <w:b/>
          <w:bCs/>
          <w:sz w:val="28"/>
          <w:szCs w:val="28"/>
        </w:rPr>
        <w:t xml:space="preserve">BMHP5016 </w:t>
      </w:r>
    </w:p>
    <w:p w14:paraId="5CCA350C" w14:textId="68665EE8" w:rsidR="00C558B0" w:rsidRPr="001C0A20" w:rsidRDefault="00C558B0" w:rsidP="00594FAC">
      <w:pPr>
        <w:tabs>
          <w:tab w:val="left" w:pos="6540"/>
        </w:tabs>
        <w:spacing w:line="360" w:lineRule="auto"/>
        <w:rPr>
          <w:rFonts w:ascii="Arial" w:hAnsi="Arial" w:cs="Arial"/>
          <w:sz w:val="28"/>
          <w:szCs w:val="28"/>
        </w:rPr>
      </w:pPr>
      <w:r w:rsidRPr="001C0A20">
        <w:rPr>
          <w:rFonts w:ascii="Arial" w:hAnsi="Arial" w:cs="Arial"/>
          <w:b/>
          <w:bCs/>
          <w:sz w:val="28"/>
          <w:szCs w:val="28"/>
        </w:rPr>
        <w:t>Lecturer name</w:t>
      </w:r>
      <w:r w:rsidRPr="001C0A20">
        <w:rPr>
          <w:rFonts w:ascii="Arial" w:hAnsi="Arial" w:cs="Arial"/>
          <w:sz w:val="28"/>
          <w:szCs w:val="28"/>
        </w:rPr>
        <w:t>:</w:t>
      </w:r>
      <w:r w:rsidR="001C0A20" w:rsidRPr="001C0A20">
        <w:rPr>
          <w:rFonts w:ascii="Arial" w:hAnsi="Arial" w:cs="Arial"/>
          <w:sz w:val="28"/>
          <w:szCs w:val="28"/>
        </w:rPr>
        <w:t xml:space="preserve"> Dr. </w:t>
      </w:r>
      <w:proofErr w:type="spellStart"/>
      <w:r w:rsidR="001C0A20" w:rsidRPr="001C0A20">
        <w:rPr>
          <w:rFonts w:ascii="Arial" w:hAnsi="Arial" w:cs="Arial"/>
          <w:sz w:val="28"/>
          <w:szCs w:val="28"/>
        </w:rPr>
        <w:t>Itse</w:t>
      </w:r>
      <w:proofErr w:type="spellEnd"/>
      <w:r w:rsidR="001C0A20" w:rsidRPr="001C0A20">
        <w:rPr>
          <w:rFonts w:ascii="Arial" w:hAnsi="Arial" w:cs="Arial"/>
          <w:sz w:val="28"/>
          <w:szCs w:val="28"/>
        </w:rPr>
        <w:t xml:space="preserve"> O</w:t>
      </w:r>
      <w:r w:rsidR="001C0A20">
        <w:rPr>
          <w:rFonts w:ascii="Arial" w:hAnsi="Arial" w:cs="Arial"/>
          <w:sz w:val="28"/>
          <w:szCs w:val="28"/>
        </w:rPr>
        <w:t xml:space="preserve">laoye </w:t>
      </w:r>
    </w:p>
    <w:p w14:paraId="5461F9C8" w14:textId="77777777" w:rsidR="00C558B0" w:rsidRPr="001C0A20" w:rsidRDefault="00C558B0" w:rsidP="00594FAC">
      <w:pPr>
        <w:tabs>
          <w:tab w:val="left" w:pos="6540"/>
        </w:tabs>
        <w:spacing w:line="360" w:lineRule="auto"/>
        <w:rPr>
          <w:rFonts w:ascii="Arial" w:hAnsi="Arial" w:cs="Arial"/>
          <w:sz w:val="28"/>
          <w:szCs w:val="28"/>
        </w:rPr>
      </w:pPr>
    </w:p>
    <w:p w14:paraId="79C715ED" w14:textId="16914D07" w:rsidR="006D2F2D" w:rsidRPr="001C0A20" w:rsidRDefault="006D2F2D" w:rsidP="00594FAC">
      <w:pPr>
        <w:spacing w:line="360" w:lineRule="auto"/>
        <w:rPr>
          <w:rFonts w:ascii="Arial" w:hAnsi="Arial" w:cs="Arial"/>
        </w:rPr>
      </w:pPr>
      <w:r w:rsidRPr="001C0A20">
        <w:rPr>
          <w:rFonts w:ascii="Arial" w:hAnsi="Arial" w:cs="Arial"/>
        </w:rPr>
        <w:br w:type="page"/>
      </w:r>
    </w:p>
    <w:p w14:paraId="2E57CA7A" w14:textId="77777777" w:rsidR="00427627" w:rsidRPr="00427627" w:rsidRDefault="00427627" w:rsidP="00427627">
      <w:pPr>
        <w:spacing w:line="360" w:lineRule="auto"/>
        <w:rPr>
          <w:rFonts w:ascii="Arial" w:hAnsi="Arial" w:cs="Arial"/>
          <w:sz w:val="22"/>
        </w:rPr>
      </w:pPr>
      <w:r w:rsidRPr="00427627">
        <w:rPr>
          <w:rFonts w:ascii="Arial" w:hAnsi="Arial" w:cs="Arial"/>
          <w:b/>
          <w:bCs/>
          <w:sz w:val="22"/>
          <w:u w:val="single"/>
        </w:rPr>
        <w:lastRenderedPageBreak/>
        <w:t>A Critical Discussion of Ethics of Care as a Theory of Human Growth and Development Underpinning Person-Centred Care in Health and Social Care Essay</w:t>
      </w:r>
      <w:r w:rsidRPr="00427627">
        <w:rPr>
          <w:rFonts w:ascii="Arial" w:hAnsi="Arial" w:cs="Arial"/>
          <w:sz w:val="22"/>
        </w:rPr>
        <w:br/>
      </w:r>
      <w:r w:rsidRPr="00427627">
        <w:rPr>
          <w:rFonts w:ascii="Arial" w:hAnsi="Arial" w:cs="Arial"/>
          <w:sz w:val="22"/>
        </w:rPr>
        <w:br/>
      </w:r>
      <w:r w:rsidRPr="00427627">
        <w:rPr>
          <w:rFonts w:ascii="Arial" w:hAnsi="Arial" w:cs="Arial"/>
          <w:b/>
          <w:bCs/>
          <w:sz w:val="22"/>
        </w:rPr>
        <w:t>Introduction</w:t>
      </w:r>
      <w:r w:rsidRPr="00427627">
        <w:rPr>
          <w:rFonts w:ascii="Arial" w:hAnsi="Arial" w:cs="Arial"/>
          <w:sz w:val="22"/>
        </w:rPr>
        <w:br/>
      </w:r>
      <w:r w:rsidRPr="00427627">
        <w:rPr>
          <w:rFonts w:ascii="Arial" w:hAnsi="Arial" w:cs="Arial"/>
          <w:sz w:val="22"/>
        </w:rPr>
        <w:br/>
        <w:t>Person-centred care is a modern approach to health and social care that is generally accepted and supported. Person-centred care focuses on the individual’s needs, rights, values and lived experiences at the heart of decision-making. It views people as active partners in care rather than passive recipients of services. Person-centred care emphasises partnership, dignity, respect and shared responsibility. There are several theoretical underpinnings for the person-centred care approach, including ethics of care as a theory of moral and human development. The ethics of care is based on the concepts of relationality, empathy, interdependence and responsibility. It values connectedness over autonomy and concrete experience over abstract rules. The theory has had a significant impact on practice in the field and on policy frameworks that support person-centred care. In this essay, the theory of ethics of care is discussed. The essay explores the emergence and development of the theory, critiques of it and responses to these critiques, the application of the ethics of care to health and social care policy and practice, the problems and limitations in this application, and recommendations for improved support for effective person-centred care.</w:t>
      </w:r>
      <w:r w:rsidRPr="00427627">
        <w:rPr>
          <w:rFonts w:ascii="Arial" w:hAnsi="Arial" w:cs="Arial"/>
          <w:sz w:val="22"/>
        </w:rPr>
        <w:br/>
      </w:r>
      <w:r w:rsidRPr="00427627">
        <w:rPr>
          <w:rFonts w:ascii="Arial" w:hAnsi="Arial" w:cs="Arial"/>
          <w:sz w:val="22"/>
        </w:rPr>
        <w:br/>
      </w:r>
      <w:r w:rsidRPr="00427627">
        <w:rPr>
          <w:rFonts w:ascii="Arial" w:hAnsi="Arial" w:cs="Arial"/>
          <w:b/>
          <w:bCs/>
          <w:sz w:val="22"/>
        </w:rPr>
        <w:t>Emergence and Development of the Ethics of Care</w:t>
      </w:r>
      <w:r w:rsidRPr="00427627">
        <w:rPr>
          <w:rFonts w:ascii="Arial" w:hAnsi="Arial" w:cs="Arial"/>
          <w:sz w:val="22"/>
        </w:rPr>
        <w:br/>
      </w:r>
      <w:r w:rsidRPr="00427627">
        <w:rPr>
          <w:rFonts w:ascii="Arial" w:hAnsi="Arial" w:cs="Arial"/>
          <w:sz w:val="22"/>
        </w:rPr>
        <w:br/>
        <w:t>The theory of the ethics of care emerged in the early 1980s, particularly through the work of Carol Gilligan. Gilligan first presented the theory in her 1982 book In a Different Voice. Gilligan was a research student of Lawrence Kohlberg, who had proposed a developmental model of human moral reasoning that was based on a sequence of stages with defined characteristics. Kohlberg’s stages were justice-based, valuing rights, fairness and abstract principles of ethical conduct. Kohlberg’s research was primarily on boys and young men. Gilligan, in contrast, focused her work on women and girls and the moral decisions they made in their lives. She found that Kohlberg’s model did not well represent the type of moral reasoning women and girls engaged in.</w:t>
      </w:r>
      <w:r w:rsidRPr="00427627">
        <w:rPr>
          <w:rFonts w:ascii="Arial" w:hAnsi="Arial" w:cs="Arial"/>
          <w:sz w:val="22"/>
        </w:rPr>
        <w:br/>
      </w:r>
      <w:r w:rsidRPr="00427627">
        <w:rPr>
          <w:rFonts w:ascii="Arial" w:hAnsi="Arial" w:cs="Arial"/>
          <w:sz w:val="22"/>
        </w:rPr>
        <w:br/>
        <w:t xml:space="preserve">Gilligan found that women focused on ethics of care, empathy and responsibility for concrete relationships, rather than abstract reasoning. She also found that women and girls valued harmony in relationships over principles of fairness. In a different voice, Gilligan proposed that the “care perspective” was a valid and important framework for understanding human moral development. She argued that human development involves a growing capacity for </w:t>
      </w:r>
      <w:r w:rsidRPr="00427627">
        <w:rPr>
          <w:rFonts w:ascii="Arial" w:hAnsi="Arial" w:cs="Arial"/>
          <w:sz w:val="22"/>
        </w:rPr>
        <w:lastRenderedPageBreak/>
        <w:t>moral reasoning. Through a care perspective, this capacity involves sensitivity to the needs and feelings of others, prioritising connectedness and responsibility over separation and rules. The focus on relational maturity in Gilligan’s approach was novel in psychological theory and was important for framing human growth and development as well as moral development.</w:t>
      </w:r>
      <w:r w:rsidRPr="00427627">
        <w:rPr>
          <w:rFonts w:ascii="Arial" w:hAnsi="Arial" w:cs="Arial"/>
          <w:sz w:val="22"/>
        </w:rPr>
        <w:br/>
      </w:r>
      <w:r w:rsidRPr="00427627">
        <w:rPr>
          <w:rFonts w:ascii="Arial" w:hAnsi="Arial" w:cs="Arial"/>
          <w:sz w:val="22"/>
        </w:rPr>
        <w:br/>
        <w:t xml:space="preserve">Nel </w:t>
      </w:r>
      <w:proofErr w:type="spellStart"/>
      <w:r w:rsidRPr="00427627">
        <w:rPr>
          <w:rFonts w:ascii="Arial" w:hAnsi="Arial" w:cs="Arial"/>
          <w:sz w:val="22"/>
        </w:rPr>
        <w:t>Noddings</w:t>
      </w:r>
      <w:proofErr w:type="spellEnd"/>
      <w:r w:rsidRPr="00427627">
        <w:rPr>
          <w:rFonts w:ascii="Arial" w:hAnsi="Arial" w:cs="Arial"/>
          <w:sz w:val="22"/>
        </w:rPr>
        <w:t xml:space="preserve"> and Joan Tronto expanded and developed the idea of care ethics in the late 20th century. </w:t>
      </w:r>
      <w:proofErr w:type="spellStart"/>
      <w:r w:rsidRPr="00427627">
        <w:rPr>
          <w:rFonts w:ascii="Arial" w:hAnsi="Arial" w:cs="Arial"/>
          <w:sz w:val="22"/>
        </w:rPr>
        <w:t>Noddings</w:t>
      </w:r>
      <w:proofErr w:type="spellEnd"/>
      <w:r w:rsidRPr="00427627">
        <w:rPr>
          <w:rFonts w:ascii="Arial" w:hAnsi="Arial" w:cs="Arial"/>
          <w:sz w:val="22"/>
        </w:rPr>
        <w:t xml:space="preserve"> was an educator and theorist who placed the idea of care at the centre of human psychology. She believed that care was a primary orientation for human beings in the world. </w:t>
      </w:r>
      <w:proofErr w:type="spellStart"/>
      <w:r w:rsidRPr="00427627">
        <w:rPr>
          <w:rFonts w:ascii="Arial" w:hAnsi="Arial" w:cs="Arial"/>
          <w:sz w:val="22"/>
        </w:rPr>
        <w:t>Noddings</w:t>
      </w:r>
      <w:proofErr w:type="spellEnd"/>
      <w:r w:rsidRPr="00427627">
        <w:rPr>
          <w:rFonts w:ascii="Arial" w:hAnsi="Arial" w:cs="Arial"/>
          <w:sz w:val="22"/>
        </w:rPr>
        <w:t xml:space="preserve"> theorised that through care and receiving care, human beings were able to form empathy and emotional bonds with others. </w:t>
      </w:r>
      <w:proofErr w:type="spellStart"/>
      <w:r w:rsidRPr="00427627">
        <w:rPr>
          <w:rFonts w:ascii="Arial" w:hAnsi="Arial" w:cs="Arial"/>
          <w:sz w:val="22"/>
        </w:rPr>
        <w:t>Tronto</w:t>
      </w:r>
      <w:proofErr w:type="spellEnd"/>
      <w:r w:rsidRPr="00427627">
        <w:rPr>
          <w:rFonts w:ascii="Arial" w:hAnsi="Arial" w:cs="Arial"/>
          <w:sz w:val="22"/>
        </w:rPr>
        <w:t xml:space="preserve"> was a political scientist and theorist who brought an additional political and social dimension to the ethics of care. </w:t>
      </w:r>
      <w:proofErr w:type="spellStart"/>
      <w:r w:rsidRPr="00427627">
        <w:rPr>
          <w:rFonts w:ascii="Arial" w:hAnsi="Arial" w:cs="Arial"/>
          <w:sz w:val="22"/>
        </w:rPr>
        <w:t>Tronto</w:t>
      </w:r>
      <w:proofErr w:type="spellEnd"/>
      <w:r w:rsidRPr="00427627">
        <w:rPr>
          <w:rFonts w:ascii="Arial" w:hAnsi="Arial" w:cs="Arial"/>
          <w:sz w:val="22"/>
        </w:rPr>
        <w:t xml:space="preserve"> identified caring as a political and social practice in which power and social structures played a role. </w:t>
      </w:r>
      <w:proofErr w:type="spellStart"/>
      <w:r w:rsidRPr="00427627">
        <w:rPr>
          <w:rFonts w:ascii="Arial" w:hAnsi="Arial" w:cs="Arial"/>
          <w:sz w:val="22"/>
        </w:rPr>
        <w:t>Tronto</w:t>
      </w:r>
      <w:proofErr w:type="spellEnd"/>
      <w:r w:rsidRPr="00427627">
        <w:rPr>
          <w:rFonts w:ascii="Arial" w:hAnsi="Arial" w:cs="Arial"/>
          <w:sz w:val="22"/>
        </w:rPr>
        <w:t xml:space="preserve"> placed care at the heart of social justice, framing it as a practice that involved responsibility, dependency and social value. The phases of care were recognised as (1) caring about, (2) taking care of, (3) caregiving and (4) care-receiving. This work developed the ideas of the ethics of care into the social and political realm, and it further linked the idea of care to social policy and health and social care systems.</w:t>
      </w:r>
      <w:r w:rsidRPr="00427627">
        <w:rPr>
          <w:rFonts w:ascii="Arial" w:hAnsi="Arial" w:cs="Arial"/>
          <w:sz w:val="22"/>
        </w:rPr>
        <w:br/>
      </w:r>
      <w:r w:rsidRPr="00427627">
        <w:rPr>
          <w:rFonts w:ascii="Arial" w:hAnsi="Arial" w:cs="Arial"/>
          <w:sz w:val="22"/>
        </w:rPr>
        <w:br/>
      </w:r>
      <w:r w:rsidRPr="00427627">
        <w:rPr>
          <w:rFonts w:ascii="Arial" w:hAnsi="Arial" w:cs="Arial"/>
          <w:sz w:val="22"/>
        </w:rPr>
        <w:br/>
      </w:r>
      <w:r w:rsidRPr="00427627">
        <w:rPr>
          <w:rFonts w:ascii="Arial" w:hAnsi="Arial" w:cs="Arial"/>
          <w:b/>
          <w:bCs/>
          <w:sz w:val="22"/>
        </w:rPr>
        <w:t>Critiques of the Ethics of Care and Responses to These Critiques</w:t>
      </w:r>
      <w:r w:rsidRPr="00427627">
        <w:rPr>
          <w:rFonts w:ascii="Arial" w:hAnsi="Arial" w:cs="Arial"/>
          <w:sz w:val="22"/>
        </w:rPr>
        <w:br/>
      </w:r>
      <w:r w:rsidRPr="00427627">
        <w:rPr>
          <w:rFonts w:ascii="Arial" w:hAnsi="Arial" w:cs="Arial"/>
          <w:sz w:val="22"/>
        </w:rPr>
        <w:br/>
        <w:t>The ethics of care has received both support and critique since its emergence. One major strand of critique is the theory’s implicit gendering of care and its association with women. This critique argues that by identifying a different style of moral and human reasoning in women, the ethics of care reinforces the social construction of caring roles as naturally feminine. This, in turn, can naturalise the gendered division of caring labour and power and responsibility in both public and private life.</w:t>
      </w:r>
      <w:r w:rsidRPr="00427627">
        <w:rPr>
          <w:rFonts w:ascii="Arial" w:hAnsi="Arial" w:cs="Arial"/>
          <w:sz w:val="22"/>
        </w:rPr>
        <w:br/>
      </w:r>
      <w:r w:rsidRPr="00427627">
        <w:rPr>
          <w:rFonts w:ascii="Arial" w:hAnsi="Arial" w:cs="Arial"/>
          <w:sz w:val="22"/>
        </w:rPr>
        <w:br/>
        <w:t>Another major critique of the ethics of care is the lack of universal principles in the theory. This is in contrast to other major normative theories, such as utilitarianism and deontology, which have more explicit rules or decision-making strategies. The critique is that the ethics of care may lead to inconsistencies, subjectivity, and uncertainty in applied settings, such as complex health and social care systems that have to make difficult decisions to allocate finite resources to meet unmet needs.</w:t>
      </w:r>
      <w:r w:rsidRPr="00427627">
        <w:rPr>
          <w:rFonts w:ascii="Arial" w:hAnsi="Arial" w:cs="Arial"/>
          <w:sz w:val="22"/>
        </w:rPr>
        <w:br/>
      </w:r>
      <w:r w:rsidRPr="00427627">
        <w:rPr>
          <w:rFonts w:ascii="Arial" w:hAnsi="Arial" w:cs="Arial"/>
          <w:sz w:val="22"/>
        </w:rPr>
        <w:br/>
      </w:r>
    </w:p>
    <w:p w14:paraId="5DCB06C1" w14:textId="50CEF347" w:rsidR="00427627" w:rsidRPr="00427627" w:rsidRDefault="00427627" w:rsidP="00427627">
      <w:pPr>
        <w:spacing w:line="360" w:lineRule="auto"/>
        <w:rPr>
          <w:rFonts w:ascii="Arial" w:hAnsi="Arial" w:cs="Arial"/>
          <w:sz w:val="22"/>
        </w:rPr>
      </w:pPr>
      <w:r w:rsidRPr="00427627">
        <w:rPr>
          <w:rFonts w:ascii="Arial" w:hAnsi="Arial" w:cs="Arial"/>
          <w:sz w:val="22"/>
        </w:rPr>
        <w:lastRenderedPageBreak/>
        <w:t>A further critique of the theory is that it does not engage with structural inequalities. The ethics of care places heavy emphasis on face-to-face relationships and direct care between people. There has been less focus in the theory on how the gendered, classed, raced and ableist division of care work is socially constructed. Because of this, some commentators have argued that the theory lacks a strong sense of the political or engagement with the role of justice and injustice in the distribution of care.</w:t>
      </w:r>
      <w:r w:rsidRPr="00427627">
        <w:rPr>
          <w:rFonts w:ascii="Arial" w:hAnsi="Arial" w:cs="Arial"/>
          <w:sz w:val="22"/>
        </w:rPr>
        <w:br/>
      </w:r>
      <w:r w:rsidRPr="00427627">
        <w:rPr>
          <w:rFonts w:ascii="Arial" w:hAnsi="Arial" w:cs="Arial"/>
          <w:sz w:val="22"/>
        </w:rPr>
        <w:br/>
        <w:t>In response to these and other critiques of the ethics of care, several developments have been proposed by proponents and other scholars. In response to the gender critique, many have further developed the ethics of care as a more complex framework that accounts for intersections of power and the systemic nature of care relationships. Joan Tronto, for example, explicitly linked care to democratic theory and social justice. She argued that care should be viewed as a central public value rather than a natural and private role for women. Other later theorists have explicitly addressed issues of power, equality and social justice in the theory of care. Gilligan’s original work has also been interpreted as placing care and responsibility in a context of human interdependence, not as a gendered social value.</w:t>
      </w:r>
      <w:r w:rsidRPr="00427627">
        <w:rPr>
          <w:rFonts w:ascii="Arial" w:hAnsi="Arial" w:cs="Arial"/>
          <w:sz w:val="22"/>
        </w:rPr>
        <w:br/>
      </w:r>
      <w:r w:rsidRPr="00427627">
        <w:rPr>
          <w:rFonts w:ascii="Arial" w:hAnsi="Arial" w:cs="Arial"/>
          <w:sz w:val="22"/>
        </w:rPr>
        <w:br/>
      </w:r>
      <w:r w:rsidRPr="00427627">
        <w:rPr>
          <w:rFonts w:ascii="Arial" w:hAnsi="Arial" w:cs="Arial"/>
          <w:b/>
          <w:bCs/>
          <w:sz w:val="22"/>
        </w:rPr>
        <w:t>Application of the Ethics of Care in Health and Social Care Policy and Practice</w:t>
      </w:r>
      <w:r w:rsidRPr="00427627">
        <w:rPr>
          <w:rFonts w:ascii="Arial" w:hAnsi="Arial" w:cs="Arial"/>
          <w:sz w:val="22"/>
        </w:rPr>
        <w:br/>
      </w:r>
      <w:r w:rsidRPr="00427627">
        <w:rPr>
          <w:rFonts w:ascii="Arial" w:hAnsi="Arial" w:cs="Arial"/>
          <w:sz w:val="22"/>
        </w:rPr>
        <w:br/>
        <w:t>The ethics of care has influenced health and social care policy and practice both directly and through its contribution to the development of person-centred care. In clinical practice, the ethics of care supports an approach that values empathy, therapeutic relationships, active listening and shared decision-making. Rather than viewing care from a distanced and purely technical perspective, care ethics suggests that care is relational and that practitioners should work to understand the person’s emotional, social and cultural context.</w:t>
      </w:r>
      <w:r w:rsidRPr="00427627">
        <w:rPr>
          <w:rFonts w:ascii="Arial" w:hAnsi="Arial" w:cs="Arial"/>
          <w:sz w:val="22"/>
        </w:rPr>
        <w:br/>
      </w:r>
      <w:r w:rsidRPr="00427627">
        <w:rPr>
          <w:rFonts w:ascii="Arial" w:hAnsi="Arial" w:cs="Arial"/>
          <w:sz w:val="22"/>
        </w:rPr>
        <w:br/>
        <w:t>Care ethics has also influenced values and codes of practice in the professions of nursing and social work, among others. It supports a holistic approach to assessment and care planning, where practitioners consider a range of the person’s needs and capacities. This is closely aligned with person-centred planning, in which individuals are encouraged to express their goals and preferences, seek information and participate in decisions about the shape of their care.</w:t>
      </w:r>
      <w:r w:rsidRPr="00427627">
        <w:rPr>
          <w:rFonts w:ascii="Arial" w:hAnsi="Arial" w:cs="Arial"/>
          <w:sz w:val="22"/>
        </w:rPr>
        <w:br/>
      </w:r>
      <w:r w:rsidRPr="00427627">
        <w:rPr>
          <w:rFonts w:ascii="Arial" w:hAnsi="Arial" w:cs="Arial"/>
          <w:sz w:val="22"/>
        </w:rPr>
        <w:br/>
        <w:t xml:space="preserve">In terms of policy, the influence of the ethics of care is apparent in the importance placed on dignity, respect and compassion as core standards and values of care. In health and social care policies and laws in many jurisdictions, there is an increasing emphasis on continuity of care, relational support and coordinated services. This is particularly the case for older </w:t>
      </w:r>
      <w:r w:rsidRPr="00427627">
        <w:rPr>
          <w:rFonts w:ascii="Arial" w:hAnsi="Arial" w:cs="Arial"/>
          <w:sz w:val="22"/>
        </w:rPr>
        <w:lastRenderedPageBreak/>
        <w:t>people, people with disabilities and those with long-term conditions. The policy emphasis on integrated care systems, multidisciplinary teams and community-based support and resources is consistent with care ethics.</w:t>
      </w:r>
      <w:r w:rsidRPr="00427627">
        <w:rPr>
          <w:rFonts w:ascii="Arial" w:hAnsi="Arial" w:cs="Arial"/>
          <w:sz w:val="22"/>
        </w:rPr>
        <w:br/>
      </w:r>
      <w:r w:rsidRPr="00427627">
        <w:rPr>
          <w:rFonts w:ascii="Arial" w:hAnsi="Arial" w:cs="Arial"/>
          <w:sz w:val="22"/>
        </w:rPr>
        <w:br/>
        <w:t>The ethics of care also informs safeguarding policy, which obligates health and social care professionals to protect people from neglect and abuse. By emphasising attentiveness to vulnerability and responsiveness to need, care ethics reinforces the moral responsibility of professionals and organisations to support individual wellbeing. Safeguarding is therefore positioned not merely as a legal duty but as a relational and ethical commitment to others.</w:t>
      </w:r>
      <w:r w:rsidRPr="00427627">
        <w:rPr>
          <w:rFonts w:ascii="Arial" w:hAnsi="Arial" w:cs="Arial"/>
          <w:sz w:val="22"/>
        </w:rPr>
        <w:br/>
      </w:r>
      <w:r w:rsidRPr="00427627">
        <w:rPr>
          <w:rFonts w:ascii="Arial" w:hAnsi="Arial" w:cs="Arial"/>
          <w:sz w:val="22"/>
        </w:rPr>
        <w:br/>
      </w:r>
      <w:r w:rsidRPr="00427627">
        <w:rPr>
          <w:rFonts w:ascii="Arial" w:hAnsi="Arial" w:cs="Arial"/>
          <w:b/>
          <w:bCs/>
          <w:sz w:val="22"/>
        </w:rPr>
        <w:t>Problems and Limitations in the Application of Ethics of Care</w:t>
      </w:r>
      <w:r w:rsidRPr="00427627">
        <w:rPr>
          <w:rFonts w:ascii="Arial" w:hAnsi="Arial" w:cs="Arial"/>
          <w:sz w:val="22"/>
        </w:rPr>
        <w:br/>
      </w:r>
      <w:r w:rsidRPr="00427627">
        <w:rPr>
          <w:rFonts w:ascii="Arial" w:hAnsi="Arial" w:cs="Arial"/>
          <w:sz w:val="22"/>
        </w:rPr>
        <w:br/>
        <w:t>Despite the influence of care ethics on health and social care, there are significant problems and limitations in its application in real-world systems. A major issue in applying a care-based relational approach is the tension between this approach and the resource constraints of publicly funded services. In practice, high workloads, staff shortages, and time pressures make it difficult for practitioners to build and sustain the relationships with service users that care ethics requires.</w:t>
      </w:r>
      <w:r w:rsidRPr="00427627">
        <w:rPr>
          <w:rFonts w:ascii="Arial" w:hAnsi="Arial" w:cs="Arial"/>
          <w:sz w:val="22"/>
        </w:rPr>
        <w:br/>
      </w:r>
      <w:r w:rsidRPr="00427627">
        <w:rPr>
          <w:rFonts w:ascii="Arial" w:hAnsi="Arial" w:cs="Arial"/>
          <w:sz w:val="22"/>
        </w:rPr>
        <w:br/>
        <w:t>In many organisations, cultures and policies have developed that prioritise efficiency, targets and risk management over relational approaches to care. Standardised assessment tools and care pathways, performance indicators and screening tools, and audit and improvement programmes all support standardised responses to individual needs. This can reduce the time and opportunities for more flexible and personalised approaches to care and create what has been called a “task-oriented” form of care that is opposed to a person-centred approach.</w:t>
      </w:r>
      <w:r w:rsidRPr="00427627">
        <w:rPr>
          <w:rFonts w:ascii="Arial" w:hAnsi="Arial" w:cs="Arial"/>
          <w:sz w:val="22"/>
        </w:rPr>
        <w:br/>
      </w:r>
      <w:r w:rsidRPr="00427627">
        <w:rPr>
          <w:rFonts w:ascii="Arial" w:hAnsi="Arial" w:cs="Arial"/>
          <w:sz w:val="22"/>
        </w:rPr>
        <w:br/>
        <w:t>Emotional labour is another problem in the application of the ethics of care. Practitioners are encouraged to be deeply emotionally engaged with people who use services, which can create a psychological and emotional burden. Staff are at risk of compassion fatigue and burnout if they do not have sufficient supervision, reflective practice and access to mental health support.</w:t>
      </w:r>
      <w:r w:rsidRPr="00427627">
        <w:rPr>
          <w:rFonts w:ascii="Arial" w:hAnsi="Arial" w:cs="Arial"/>
          <w:sz w:val="22"/>
        </w:rPr>
        <w:br/>
      </w:r>
      <w:r w:rsidRPr="00427627">
        <w:rPr>
          <w:rFonts w:ascii="Arial" w:hAnsi="Arial" w:cs="Arial"/>
          <w:sz w:val="22"/>
        </w:rPr>
        <w:br/>
        <w:t xml:space="preserve">Care ethics also encounters some limitations when applied in different cultural settings. Western assumptions about care, autonomy and family responsibility are not necessarily universal and are shared differently in other countries and cultures. Person-centred practice must recognise cultural variation in values and norms and navigate potential </w:t>
      </w:r>
      <w:r w:rsidRPr="00427627">
        <w:rPr>
          <w:rFonts w:ascii="Arial" w:hAnsi="Arial" w:cs="Arial"/>
          <w:sz w:val="22"/>
        </w:rPr>
        <w:lastRenderedPageBreak/>
        <w:t>ethical dilemmas sensitively. For example, policy that over-emphasises individual choice may conflict with more family-based or collective cultural values and lead to ethical tension.</w:t>
      </w:r>
      <w:r w:rsidRPr="00427627">
        <w:rPr>
          <w:rFonts w:ascii="Arial" w:hAnsi="Arial" w:cs="Arial"/>
          <w:sz w:val="22"/>
        </w:rPr>
        <w:br/>
      </w:r>
      <w:r w:rsidRPr="00427627">
        <w:rPr>
          <w:rFonts w:ascii="Arial" w:hAnsi="Arial" w:cs="Arial"/>
          <w:sz w:val="22"/>
        </w:rPr>
        <w:br/>
        <w:t>Care ethics also has limitations in some complex applied ethical situations. For example, when it comes to end-of-life decision-making, care may conflict with individual autonomy, human rights and law. Mental health detention and supervised treatment orders are similarly complex. Safeguarding situations where there is risk of harm are often subject to complex risk assessment. Balancing care with other ethical frameworks such as human rights and social justice can be necessary in some complex situations.</w:t>
      </w:r>
      <w:r w:rsidRPr="00427627">
        <w:rPr>
          <w:rFonts w:ascii="Arial" w:hAnsi="Arial" w:cs="Arial"/>
          <w:sz w:val="22"/>
        </w:rPr>
        <w:br/>
      </w:r>
      <w:r w:rsidRPr="00427627">
        <w:rPr>
          <w:rFonts w:ascii="Arial" w:hAnsi="Arial" w:cs="Arial"/>
          <w:sz w:val="22"/>
        </w:rPr>
        <w:br/>
      </w:r>
      <w:r w:rsidRPr="00427627">
        <w:rPr>
          <w:rFonts w:ascii="Arial" w:hAnsi="Arial" w:cs="Arial"/>
          <w:b/>
          <w:bCs/>
          <w:sz w:val="22"/>
        </w:rPr>
        <w:t>Recommendations for Health and Social Care Policy and Practice</w:t>
      </w:r>
      <w:r w:rsidRPr="00427627">
        <w:rPr>
          <w:rFonts w:ascii="Arial" w:hAnsi="Arial" w:cs="Arial"/>
          <w:sz w:val="22"/>
        </w:rPr>
        <w:br/>
      </w:r>
      <w:r w:rsidRPr="00427627">
        <w:rPr>
          <w:rFonts w:ascii="Arial" w:hAnsi="Arial" w:cs="Arial"/>
          <w:sz w:val="22"/>
        </w:rPr>
        <w:br/>
        <w:t xml:space="preserve">The ethical of care can be further strengthened in its application to health and social care with a number of recommendations. One key change to policy frameworks is to better recognise relational work as a core and not optional aspect of quality </w:t>
      </w:r>
      <w:proofErr w:type="spellStart"/>
      <w:r w:rsidRPr="00427627">
        <w:rPr>
          <w:rFonts w:ascii="Arial" w:hAnsi="Arial" w:cs="Arial"/>
          <w:sz w:val="22"/>
        </w:rPr>
        <w:t>care.This</w:t>
      </w:r>
      <w:proofErr w:type="spellEnd"/>
      <w:r w:rsidRPr="00427627">
        <w:rPr>
          <w:rFonts w:ascii="Arial" w:hAnsi="Arial" w:cs="Arial"/>
          <w:sz w:val="22"/>
        </w:rPr>
        <w:t xml:space="preserve"> could include allocating sufficient time to interaction and continuity of care and investing in services that build relational capacity.</w:t>
      </w:r>
      <w:r w:rsidRPr="00427627">
        <w:rPr>
          <w:rFonts w:ascii="Arial" w:hAnsi="Arial" w:cs="Arial"/>
          <w:sz w:val="22"/>
        </w:rPr>
        <w:br/>
      </w:r>
      <w:r w:rsidRPr="00427627">
        <w:rPr>
          <w:rFonts w:ascii="Arial" w:hAnsi="Arial" w:cs="Arial"/>
          <w:sz w:val="22"/>
        </w:rPr>
        <w:br/>
        <w:t>Investment in workforce wellbeing is critical to supporting the application of care ethics in health and social care. Regular supervision, opportunities for reflective practice, and mental health support for practitioners can support the emotional demands of relational practice. Training programmes and professional development should include care ethics, cultural competence and effective communication skills as a core component.</w:t>
      </w:r>
      <w:r w:rsidRPr="00427627">
        <w:rPr>
          <w:rFonts w:ascii="Arial" w:hAnsi="Arial" w:cs="Arial"/>
          <w:sz w:val="22"/>
        </w:rPr>
        <w:br/>
      </w:r>
      <w:r w:rsidRPr="00427627">
        <w:rPr>
          <w:rFonts w:ascii="Arial" w:hAnsi="Arial" w:cs="Arial"/>
          <w:sz w:val="22"/>
        </w:rPr>
        <w:br/>
        <w:t>Policy should also promote co-production of care, in which service users and carers are actively involved in the design, delivery and evaluation of services. This approach recognises the mutuality and reciprocity in care relationships, which are key tenets of the ethics of care. Intersectional and culturally sensitive approaches should also be embedded into policy and service delivery to better address issues of inequality and diverse experiences of care.</w:t>
      </w:r>
      <w:r w:rsidRPr="00427627">
        <w:rPr>
          <w:rFonts w:ascii="Arial" w:hAnsi="Arial" w:cs="Arial"/>
          <w:sz w:val="22"/>
        </w:rPr>
        <w:br/>
      </w:r>
      <w:r w:rsidRPr="00427627">
        <w:rPr>
          <w:rFonts w:ascii="Arial" w:hAnsi="Arial" w:cs="Arial"/>
          <w:sz w:val="22"/>
        </w:rPr>
        <w:br/>
        <w:t>Finally, care ethics should be used in conjunction with other ethical frameworks, such as human rights and social justice models. A pluralistic approach to ethics would better support staff to navigate complex ethical situations that require both care and principles such as autonomy and safety.</w:t>
      </w:r>
      <w:r w:rsidRPr="00427627">
        <w:rPr>
          <w:rFonts w:ascii="Arial" w:hAnsi="Arial" w:cs="Arial"/>
          <w:sz w:val="22"/>
        </w:rPr>
        <w:br/>
      </w:r>
      <w:r w:rsidRPr="00427627">
        <w:rPr>
          <w:rFonts w:ascii="Arial" w:hAnsi="Arial" w:cs="Arial"/>
          <w:sz w:val="22"/>
        </w:rPr>
        <w:br/>
      </w:r>
    </w:p>
    <w:p w14:paraId="1E243764" w14:textId="7A4912A7" w:rsidR="006D2F2D" w:rsidRPr="00427627" w:rsidRDefault="00427627" w:rsidP="00427627">
      <w:pPr>
        <w:spacing w:line="360" w:lineRule="auto"/>
        <w:rPr>
          <w:rFonts w:ascii="Arial" w:hAnsi="Arial" w:cs="Arial"/>
          <w:sz w:val="22"/>
        </w:rPr>
      </w:pPr>
      <w:r w:rsidRPr="00427627">
        <w:rPr>
          <w:rFonts w:ascii="Arial" w:hAnsi="Arial" w:cs="Arial"/>
          <w:b/>
          <w:bCs/>
          <w:sz w:val="22"/>
        </w:rPr>
        <w:lastRenderedPageBreak/>
        <w:t>Conclusion</w:t>
      </w:r>
      <w:r w:rsidRPr="00427627">
        <w:rPr>
          <w:rFonts w:ascii="Arial" w:hAnsi="Arial" w:cs="Arial"/>
          <w:sz w:val="22"/>
        </w:rPr>
        <w:br/>
      </w:r>
      <w:r w:rsidRPr="00427627">
        <w:rPr>
          <w:rFonts w:ascii="Arial" w:hAnsi="Arial" w:cs="Arial"/>
          <w:sz w:val="22"/>
        </w:rPr>
        <w:br/>
        <w:t>The ethics of care is a theory of human moral and developmental growth that views connectedness, empathy and relational experiences as central to human life. The theory of ethics of care has significantly influenced health and social care policy and practice, particularly in the development of person-centred care. In particular, care ethics supports the principles of valuing people’s rights, listening to their voices and recognising their lived experience, being with and not just doing to them.</w:t>
      </w:r>
      <w:r w:rsidRPr="00427627">
        <w:rPr>
          <w:rFonts w:ascii="Arial" w:hAnsi="Arial" w:cs="Arial"/>
          <w:sz w:val="22"/>
        </w:rPr>
        <w:br/>
      </w:r>
      <w:r w:rsidRPr="00427627">
        <w:rPr>
          <w:rFonts w:ascii="Arial" w:hAnsi="Arial" w:cs="Arial"/>
          <w:sz w:val="22"/>
        </w:rPr>
        <w:br/>
        <w:t>In conclusion, the ethics of care remains highly relevant to modern health and social care systems and to the individual staff who work in these systems. With policy changes and investment in workforce development, the ethics of care can be more strongly embedded in health and social care and support the delivery of more humane, inclusive and effective care for all people.</w:t>
      </w:r>
    </w:p>
    <w:p w14:paraId="7E91A384" w14:textId="77777777" w:rsidR="00427627" w:rsidRPr="00427627" w:rsidRDefault="00427627" w:rsidP="00427627">
      <w:pPr>
        <w:spacing w:line="360" w:lineRule="auto"/>
        <w:rPr>
          <w:rFonts w:ascii="Arial" w:hAnsi="Arial" w:cs="Arial"/>
          <w:sz w:val="22"/>
        </w:rPr>
      </w:pPr>
    </w:p>
    <w:p w14:paraId="56CB8E4F" w14:textId="77777777" w:rsidR="00427627" w:rsidRPr="00427627" w:rsidRDefault="00427627" w:rsidP="00427627">
      <w:pPr>
        <w:spacing w:line="360" w:lineRule="auto"/>
        <w:rPr>
          <w:rFonts w:ascii="Arial" w:hAnsi="Arial" w:cs="Arial"/>
          <w:sz w:val="22"/>
        </w:rPr>
      </w:pPr>
    </w:p>
    <w:p w14:paraId="7DD08311" w14:textId="77777777" w:rsidR="00427627" w:rsidRPr="00427627" w:rsidRDefault="00427627" w:rsidP="00427627">
      <w:pPr>
        <w:spacing w:line="360" w:lineRule="auto"/>
        <w:rPr>
          <w:rFonts w:ascii="Arial" w:hAnsi="Arial" w:cs="Arial"/>
          <w:sz w:val="22"/>
        </w:rPr>
      </w:pPr>
    </w:p>
    <w:p w14:paraId="35616D20" w14:textId="77777777" w:rsidR="00427627" w:rsidRPr="00427627" w:rsidRDefault="00427627" w:rsidP="00427627">
      <w:pPr>
        <w:spacing w:line="360" w:lineRule="auto"/>
        <w:rPr>
          <w:rFonts w:ascii="Arial" w:hAnsi="Arial" w:cs="Arial"/>
          <w:sz w:val="22"/>
        </w:rPr>
      </w:pPr>
    </w:p>
    <w:p w14:paraId="39114BFF" w14:textId="77777777" w:rsidR="00427627" w:rsidRPr="00427627" w:rsidRDefault="00427627" w:rsidP="00427627">
      <w:pPr>
        <w:spacing w:line="360" w:lineRule="auto"/>
        <w:rPr>
          <w:rFonts w:ascii="Arial" w:hAnsi="Arial" w:cs="Arial"/>
          <w:sz w:val="22"/>
        </w:rPr>
      </w:pPr>
    </w:p>
    <w:p w14:paraId="1A5D7D38" w14:textId="77777777" w:rsidR="00427627" w:rsidRPr="00427627" w:rsidRDefault="00427627" w:rsidP="00427627">
      <w:pPr>
        <w:spacing w:line="360" w:lineRule="auto"/>
        <w:rPr>
          <w:rFonts w:ascii="Arial" w:hAnsi="Arial" w:cs="Arial"/>
          <w:sz w:val="22"/>
        </w:rPr>
      </w:pPr>
    </w:p>
    <w:p w14:paraId="0E4351B9" w14:textId="77777777" w:rsidR="00427627" w:rsidRPr="00427627" w:rsidRDefault="00427627" w:rsidP="00427627">
      <w:pPr>
        <w:spacing w:line="360" w:lineRule="auto"/>
        <w:rPr>
          <w:rFonts w:ascii="Arial" w:hAnsi="Arial" w:cs="Arial"/>
          <w:sz w:val="22"/>
        </w:rPr>
      </w:pPr>
    </w:p>
    <w:p w14:paraId="50040389" w14:textId="77777777" w:rsidR="00427627" w:rsidRPr="00427627" w:rsidRDefault="00427627" w:rsidP="00427627">
      <w:pPr>
        <w:spacing w:line="360" w:lineRule="auto"/>
        <w:rPr>
          <w:rFonts w:ascii="Arial" w:hAnsi="Arial" w:cs="Arial"/>
          <w:sz w:val="22"/>
        </w:rPr>
      </w:pPr>
    </w:p>
    <w:p w14:paraId="71D6C108" w14:textId="77777777" w:rsidR="00427627" w:rsidRPr="00427627" w:rsidRDefault="00427627" w:rsidP="00427627">
      <w:pPr>
        <w:spacing w:line="360" w:lineRule="auto"/>
        <w:rPr>
          <w:rFonts w:ascii="Arial" w:hAnsi="Arial" w:cs="Arial"/>
          <w:sz w:val="22"/>
        </w:rPr>
      </w:pPr>
    </w:p>
    <w:p w14:paraId="739C0551" w14:textId="77777777" w:rsidR="00427627" w:rsidRPr="00427627" w:rsidRDefault="00427627" w:rsidP="00427627">
      <w:pPr>
        <w:spacing w:line="360" w:lineRule="auto"/>
        <w:rPr>
          <w:rFonts w:ascii="Arial" w:hAnsi="Arial" w:cs="Arial"/>
          <w:sz w:val="22"/>
        </w:rPr>
      </w:pPr>
    </w:p>
    <w:p w14:paraId="5FD76894" w14:textId="77777777" w:rsidR="00427627" w:rsidRPr="00427627" w:rsidRDefault="00427627" w:rsidP="00427627">
      <w:pPr>
        <w:spacing w:line="360" w:lineRule="auto"/>
        <w:rPr>
          <w:rFonts w:ascii="Arial" w:hAnsi="Arial" w:cs="Arial"/>
          <w:sz w:val="22"/>
        </w:rPr>
      </w:pPr>
    </w:p>
    <w:p w14:paraId="0DE3B00A" w14:textId="77777777" w:rsidR="00427627" w:rsidRPr="00427627" w:rsidRDefault="00427627" w:rsidP="00427627">
      <w:pPr>
        <w:spacing w:line="360" w:lineRule="auto"/>
        <w:rPr>
          <w:rFonts w:ascii="Arial" w:hAnsi="Arial" w:cs="Arial"/>
          <w:sz w:val="22"/>
        </w:rPr>
      </w:pPr>
    </w:p>
    <w:p w14:paraId="5B781B3B" w14:textId="77777777" w:rsidR="00427627" w:rsidRPr="00427627" w:rsidRDefault="00427627" w:rsidP="00427627">
      <w:pPr>
        <w:spacing w:line="360" w:lineRule="auto"/>
        <w:rPr>
          <w:rFonts w:ascii="Arial" w:hAnsi="Arial" w:cs="Arial"/>
          <w:sz w:val="22"/>
        </w:rPr>
      </w:pPr>
    </w:p>
    <w:p w14:paraId="4E46BA69" w14:textId="77777777" w:rsidR="00427627" w:rsidRPr="00427627" w:rsidRDefault="00427627" w:rsidP="00427627">
      <w:pPr>
        <w:spacing w:line="360" w:lineRule="auto"/>
        <w:rPr>
          <w:rFonts w:ascii="Arial" w:hAnsi="Arial" w:cs="Arial"/>
          <w:sz w:val="22"/>
        </w:rPr>
      </w:pPr>
    </w:p>
    <w:p w14:paraId="24678D69" w14:textId="77777777" w:rsidR="00427627" w:rsidRPr="00427627" w:rsidRDefault="00427627" w:rsidP="00427627">
      <w:pPr>
        <w:spacing w:line="360" w:lineRule="auto"/>
        <w:rPr>
          <w:rFonts w:ascii="Arial" w:hAnsi="Arial" w:cs="Arial"/>
          <w:sz w:val="22"/>
        </w:rPr>
      </w:pPr>
    </w:p>
    <w:p w14:paraId="478960EB" w14:textId="77777777" w:rsidR="00427627" w:rsidRPr="00427627" w:rsidRDefault="00427627" w:rsidP="00427627">
      <w:pPr>
        <w:spacing w:line="360" w:lineRule="auto"/>
        <w:rPr>
          <w:rFonts w:ascii="Arial" w:hAnsi="Arial" w:cs="Arial"/>
          <w:sz w:val="22"/>
        </w:rPr>
      </w:pPr>
    </w:p>
    <w:p w14:paraId="5703BCD0" w14:textId="391D7D28" w:rsidR="00427627" w:rsidRPr="00427627" w:rsidRDefault="00427627" w:rsidP="00427627">
      <w:pPr>
        <w:spacing w:line="360" w:lineRule="auto"/>
        <w:rPr>
          <w:rFonts w:ascii="Arial" w:hAnsi="Arial" w:cs="Arial"/>
          <w:b/>
          <w:bCs/>
          <w:sz w:val="22"/>
          <w:u w:val="single"/>
        </w:rPr>
      </w:pPr>
      <w:r w:rsidRPr="00427627">
        <w:rPr>
          <w:rFonts w:ascii="Arial" w:hAnsi="Arial" w:cs="Arial"/>
          <w:b/>
          <w:bCs/>
          <w:sz w:val="22"/>
          <w:u w:val="single"/>
        </w:rPr>
        <w:lastRenderedPageBreak/>
        <w:t>REFERENCES</w:t>
      </w:r>
    </w:p>
    <w:p w14:paraId="19A25728" w14:textId="7292BD67" w:rsidR="00427627" w:rsidRPr="00427627" w:rsidRDefault="00427627" w:rsidP="00427627">
      <w:pPr>
        <w:spacing w:line="360" w:lineRule="auto"/>
        <w:rPr>
          <w:rFonts w:ascii="Arial" w:hAnsi="Arial" w:cs="Arial"/>
          <w:sz w:val="22"/>
        </w:rPr>
      </w:pPr>
      <w:r w:rsidRPr="00427627">
        <w:rPr>
          <w:rFonts w:ascii="Arial" w:hAnsi="Arial" w:cs="Arial"/>
          <w:sz w:val="22"/>
        </w:rPr>
        <w:t>Gilligan, C. (1982) In a different voice: Psychological theory and women’s development. Cambridge, MA: Harvard University Press.</w:t>
      </w:r>
      <w:r w:rsidRPr="00427627">
        <w:rPr>
          <w:rFonts w:ascii="Arial" w:hAnsi="Arial" w:cs="Arial"/>
          <w:sz w:val="22"/>
        </w:rPr>
        <w:br/>
      </w:r>
      <w:r w:rsidRPr="00427627">
        <w:rPr>
          <w:rFonts w:ascii="Arial" w:hAnsi="Arial" w:cs="Arial"/>
          <w:sz w:val="22"/>
        </w:rPr>
        <w:br/>
        <w:t>Kohlberg, L. (1981) Essays on moral development, Vol. I: The philosophy of moral development. San Francisco: Harper &amp; Row.</w:t>
      </w:r>
      <w:r w:rsidRPr="00427627">
        <w:rPr>
          <w:rFonts w:ascii="Arial" w:hAnsi="Arial" w:cs="Arial"/>
          <w:sz w:val="22"/>
        </w:rPr>
        <w:br/>
      </w:r>
      <w:r w:rsidRPr="00427627">
        <w:rPr>
          <w:rFonts w:ascii="Arial" w:hAnsi="Arial" w:cs="Arial"/>
          <w:sz w:val="22"/>
        </w:rPr>
        <w:br/>
      </w:r>
      <w:proofErr w:type="spellStart"/>
      <w:r w:rsidRPr="00427627">
        <w:rPr>
          <w:rFonts w:ascii="Arial" w:hAnsi="Arial" w:cs="Arial"/>
          <w:sz w:val="22"/>
        </w:rPr>
        <w:t>Noddings</w:t>
      </w:r>
      <w:proofErr w:type="spellEnd"/>
      <w:r w:rsidRPr="00427627">
        <w:rPr>
          <w:rFonts w:ascii="Arial" w:hAnsi="Arial" w:cs="Arial"/>
          <w:sz w:val="22"/>
        </w:rPr>
        <w:t>, N. (1984) Caring: A feminine approach to ethics and moral education. Berkeley: University of California Press.</w:t>
      </w:r>
      <w:r w:rsidRPr="00427627">
        <w:rPr>
          <w:rFonts w:ascii="Arial" w:hAnsi="Arial" w:cs="Arial"/>
          <w:sz w:val="22"/>
        </w:rPr>
        <w:br/>
      </w:r>
      <w:r w:rsidRPr="00427627">
        <w:rPr>
          <w:rFonts w:ascii="Arial" w:hAnsi="Arial" w:cs="Arial"/>
          <w:sz w:val="22"/>
        </w:rPr>
        <w:br/>
      </w:r>
      <w:proofErr w:type="spellStart"/>
      <w:r w:rsidRPr="00427627">
        <w:rPr>
          <w:rFonts w:ascii="Arial" w:hAnsi="Arial" w:cs="Arial"/>
          <w:sz w:val="22"/>
        </w:rPr>
        <w:t>Tronto</w:t>
      </w:r>
      <w:proofErr w:type="spellEnd"/>
      <w:r w:rsidRPr="00427627">
        <w:rPr>
          <w:rFonts w:ascii="Arial" w:hAnsi="Arial" w:cs="Arial"/>
          <w:sz w:val="22"/>
        </w:rPr>
        <w:t>, J.C. (1993) Moral boundaries: A political argument for an ethic of care. New York: Routledge.</w:t>
      </w:r>
      <w:r w:rsidRPr="00427627">
        <w:rPr>
          <w:rFonts w:ascii="Arial" w:hAnsi="Arial" w:cs="Arial"/>
          <w:sz w:val="22"/>
        </w:rPr>
        <w:br/>
      </w:r>
      <w:r w:rsidRPr="00427627">
        <w:rPr>
          <w:rFonts w:ascii="Arial" w:hAnsi="Arial" w:cs="Arial"/>
          <w:sz w:val="22"/>
        </w:rPr>
        <w:br/>
        <w:t>Held, V. (2006) The ethics of care: Personal, political, and global. Oxford: Oxford University Press.</w:t>
      </w:r>
      <w:r w:rsidRPr="00427627">
        <w:rPr>
          <w:rFonts w:ascii="Arial" w:hAnsi="Arial" w:cs="Arial"/>
          <w:sz w:val="22"/>
        </w:rPr>
        <w:br/>
      </w:r>
      <w:r w:rsidRPr="00427627">
        <w:rPr>
          <w:rFonts w:ascii="Arial" w:hAnsi="Arial" w:cs="Arial"/>
          <w:sz w:val="22"/>
        </w:rPr>
        <w:br/>
        <w:t>Fineman, M.A. (2008) ‘The vulnerable subject: Anchoring equality in the human condition’, Yale Journal of Law and Feminism, 20(1), pp. 1–23.</w:t>
      </w:r>
      <w:r w:rsidRPr="00427627">
        <w:rPr>
          <w:rFonts w:ascii="Arial" w:hAnsi="Arial" w:cs="Arial"/>
          <w:sz w:val="22"/>
        </w:rPr>
        <w:br/>
      </w:r>
      <w:r w:rsidRPr="00427627">
        <w:rPr>
          <w:rFonts w:ascii="Arial" w:hAnsi="Arial" w:cs="Arial"/>
          <w:sz w:val="22"/>
        </w:rPr>
        <w:br/>
      </w:r>
      <w:proofErr w:type="spellStart"/>
      <w:r w:rsidRPr="00427627">
        <w:rPr>
          <w:rFonts w:ascii="Arial" w:hAnsi="Arial" w:cs="Arial"/>
          <w:sz w:val="22"/>
        </w:rPr>
        <w:t>Sevenhuijsen</w:t>
      </w:r>
      <w:proofErr w:type="spellEnd"/>
      <w:r w:rsidRPr="00427627">
        <w:rPr>
          <w:rFonts w:ascii="Arial" w:hAnsi="Arial" w:cs="Arial"/>
          <w:sz w:val="22"/>
        </w:rPr>
        <w:t>, S. (1998) Citizenship and the ethics of care: Feminist considerations on justice, morality and politics. London: Routledge.</w:t>
      </w:r>
      <w:r w:rsidRPr="00427627">
        <w:rPr>
          <w:rFonts w:ascii="Arial" w:hAnsi="Arial" w:cs="Arial"/>
          <w:sz w:val="22"/>
        </w:rPr>
        <w:br/>
      </w:r>
      <w:r w:rsidRPr="00427627">
        <w:rPr>
          <w:rFonts w:ascii="Arial" w:hAnsi="Arial" w:cs="Arial"/>
          <w:sz w:val="22"/>
        </w:rPr>
        <w:br/>
        <w:t>Parker, D. and Smith, J. (2015) ‘Person-centred care: Lessons from care ethics’, Nursing Ethics, 22(8), pp. 911–922.</w:t>
      </w:r>
      <w:r w:rsidRPr="00427627">
        <w:rPr>
          <w:rFonts w:ascii="Arial" w:hAnsi="Arial" w:cs="Arial"/>
          <w:sz w:val="22"/>
        </w:rPr>
        <w:br/>
      </w:r>
      <w:r w:rsidRPr="00427627">
        <w:rPr>
          <w:rFonts w:ascii="Arial" w:hAnsi="Arial" w:cs="Arial"/>
          <w:sz w:val="22"/>
        </w:rPr>
        <w:br/>
        <w:t>McCormack, B. and McCance, T. (2010) Person-centred nursing: Theory and practice. Oxford: Wiley-Blackwell.</w:t>
      </w:r>
      <w:r w:rsidRPr="00427627">
        <w:rPr>
          <w:rFonts w:ascii="Arial" w:hAnsi="Arial" w:cs="Arial"/>
          <w:sz w:val="22"/>
        </w:rPr>
        <w:br/>
      </w:r>
      <w:r w:rsidRPr="00427627">
        <w:rPr>
          <w:rFonts w:ascii="Arial" w:hAnsi="Arial" w:cs="Arial"/>
          <w:sz w:val="22"/>
        </w:rPr>
        <w:br/>
        <w:t>Department of Health (2010) Equity and excellence: Liberating the NHS. London: The Stationery Office.</w:t>
      </w:r>
      <w:r w:rsidRPr="00427627">
        <w:rPr>
          <w:rFonts w:ascii="Arial" w:hAnsi="Arial" w:cs="Arial"/>
          <w:sz w:val="22"/>
        </w:rPr>
        <w:br/>
      </w:r>
      <w:r w:rsidRPr="00427627">
        <w:rPr>
          <w:rFonts w:ascii="Arial" w:hAnsi="Arial" w:cs="Arial"/>
          <w:sz w:val="22"/>
        </w:rPr>
        <w:br/>
        <w:t>World Health Organization (WHO) (2015) WHO global strategy on people-centred and integrated health services . Geneva: World Health Organization.</w:t>
      </w:r>
      <w:r w:rsidRPr="00427627">
        <w:rPr>
          <w:rFonts w:ascii="Arial" w:hAnsi="Arial" w:cs="Arial"/>
          <w:sz w:val="22"/>
        </w:rPr>
        <w:br/>
      </w:r>
      <w:r w:rsidRPr="00427627">
        <w:rPr>
          <w:rFonts w:ascii="Arial" w:hAnsi="Arial" w:cs="Arial"/>
          <w:sz w:val="22"/>
        </w:rPr>
        <w:br/>
        <w:t>Royal College of Nursing (RCN) (2015) Principles of nursing practice. London: RCN.</w:t>
      </w:r>
      <w:r w:rsidRPr="00427627">
        <w:rPr>
          <w:rFonts w:ascii="Arial" w:hAnsi="Arial" w:cs="Arial"/>
          <w:sz w:val="22"/>
        </w:rPr>
        <w:br/>
      </w:r>
      <w:r w:rsidRPr="00427627">
        <w:rPr>
          <w:rFonts w:ascii="Arial" w:hAnsi="Arial" w:cs="Arial"/>
          <w:sz w:val="22"/>
        </w:rPr>
        <w:br/>
      </w:r>
      <w:proofErr w:type="spellStart"/>
      <w:r w:rsidRPr="00427627">
        <w:rPr>
          <w:rFonts w:ascii="Arial" w:hAnsi="Arial" w:cs="Arial"/>
          <w:sz w:val="22"/>
        </w:rPr>
        <w:lastRenderedPageBreak/>
        <w:t>Tronto</w:t>
      </w:r>
      <w:proofErr w:type="spellEnd"/>
      <w:r w:rsidRPr="00427627">
        <w:rPr>
          <w:rFonts w:ascii="Arial" w:hAnsi="Arial" w:cs="Arial"/>
          <w:sz w:val="22"/>
        </w:rPr>
        <w:t>, J.C. (2013) Caring democracy: Markets, equality, and justice. New York: New York University Press.</w:t>
      </w:r>
      <w:r w:rsidRPr="00427627">
        <w:rPr>
          <w:rFonts w:ascii="Arial" w:hAnsi="Arial" w:cs="Arial"/>
          <w:sz w:val="22"/>
        </w:rPr>
        <w:br/>
      </w:r>
      <w:r w:rsidRPr="00427627">
        <w:rPr>
          <w:rFonts w:ascii="Arial" w:hAnsi="Arial" w:cs="Arial"/>
          <w:sz w:val="22"/>
        </w:rPr>
        <w:br/>
        <w:t xml:space="preserve">Banks, S. (2012) Ethics and values in social work. 4th </w:t>
      </w:r>
      <w:proofErr w:type="spellStart"/>
      <w:r w:rsidRPr="00427627">
        <w:rPr>
          <w:rFonts w:ascii="Arial" w:hAnsi="Arial" w:cs="Arial"/>
          <w:sz w:val="22"/>
        </w:rPr>
        <w:t>edn</w:t>
      </w:r>
      <w:proofErr w:type="spellEnd"/>
      <w:r w:rsidRPr="00427627">
        <w:rPr>
          <w:rFonts w:ascii="Arial" w:hAnsi="Arial" w:cs="Arial"/>
          <w:sz w:val="22"/>
        </w:rPr>
        <w:t>. Basingstoke: Palgrave Macmillan.</w:t>
      </w:r>
      <w:r w:rsidRPr="00427627">
        <w:rPr>
          <w:rFonts w:ascii="Arial" w:hAnsi="Arial" w:cs="Arial"/>
          <w:sz w:val="22"/>
        </w:rPr>
        <w:br/>
      </w:r>
      <w:r w:rsidRPr="00427627">
        <w:rPr>
          <w:rFonts w:ascii="Arial" w:hAnsi="Arial" w:cs="Arial"/>
          <w:sz w:val="22"/>
        </w:rPr>
        <w:br/>
        <w:t xml:space="preserve">Kittay, E.F. (1999) Love’s </w:t>
      </w:r>
      <w:proofErr w:type="spellStart"/>
      <w:r w:rsidRPr="00427627">
        <w:rPr>
          <w:rFonts w:ascii="Arial" w:hAnsi="Arial" w:cs="Arial"/>
          <w:sz w:val="22"/>
        </w:rPr>
        <w:t>labor</w:t>
      </w:r>
      <w:proofErr w:type="spellEnd"/>
      <w:r w:rsidRPr="00427627">
        <w:rPr>
          <w:rFonts w:ascii="Arial" w:hAnsi="Arial" w:cs="Arial"/>
          <w:sz w:val="22"/>
        </w:rPr>
        <w:t>: Essays on women, equality, and dependency. New York: Routledge.</w:t>
      </w:r>
      <w:r w:rsidRPr="00427627">
        <w:rPr>
          <w:rFonts w:ascii="Arial" w:hAnsi="Arial" w:cs="Arial"/>
          <w:sz w:val="22"/>
        </w:rPr>
        <w:br/>
      </w:r>
      <w:r w:rsidRPr="00427627">
        <w:rPr>
          <w:rFonts w:ascii="Arial" w:hAnsi="Arial" w:cs="Arial"/>
          <w:sz w:val="22"/>
        </w:rPr>
        <w:br/>
        <w:t>Lloyd, L. (2010) ‘The individual in social care: The ethics of care and person-centred practice’, Ethics and Social Welfare, 4(1), pp. 15–28.</w:t>
      </w:r>
      <w:r w:rsidRPr="00427627">
        <w:rPr>
          <w:rFonts w:ascii="Arial" w:hAnsi="Arial" w:cs="Arial"/>
          <w:sz w:val="22"/>
        </w:rPr>
        <w:br/>
      </w:r>
      <w:r w:rsidRPr="00427627">
        <w:rPr>
          <w:rFonts w:ascii="Arial" w:hAnsi="Arial" w:cs="Arial"/>
          <w:sz w:val="22"/>
        </w:rPr>
        <w:br/>
        <w:t xml:space="preserve">Glasby, J. and Dickinson, H. (2014) Partnership working in health and social care: What is integrated care and how can we deliver it? 2nd </w:t>
      </w:r>
      <w:proofErr w:type="spellStart"/>
      <w:r w:rsidRPr="00427627">
        <w:rPr>
          <w:rFonts w:ascii="Arial" w:hAnsi="Arial" w:cs="Arial"/>
          <w:sz w:val="22"/>
        </w:rPr>
        <w:t>edn</w:t>
      </w:r>
      <w:proofErr w:type="spellEnd"/>
      <w:r w:rsidRPr="00427627">
        <w:rPr>
          <w:rFonts w:ascii="Arial" w:hAnsi="Arial" w:cs="Arial"/>
          <w:sz w:val="22"/>
        </w:rPr>
        <w:t>. Bristol: Policy Press.</w:t>
      </w:r>
      <w:r w:rsidRPr="00427627">
        <w:rPr>
          <w:rFonts w:ascii="Arial" w:hAnsi="Arial" w:cs="Arial"/>
          <w:sz w:val="22"/>
        </w:rPr>
        <w:br/>
      </w:r>
      <w:r w:rsidRPr="00427627">
        <w:rPr>
          <w:rFonts w:ascii="Arial" w:hAnsi="Arial" w:cs="Arial"/>
          <w:sz w:val="22"/>
        </w:rPr>
        <w:br/>
        <w:t xml:space="preserve">Beauchamp, T.L. and Childress, J.F. (2019) Principles of biomedical ethics. 8th </w:t>
      </w:r>
      <w:proofErr w:type="spellStart"/>
      <w:r w:rsidRPr="00427627">
        <w:rPr>
          <w:rFonts w:ascii="Arial" w:hAnsi="Arial" w:cs="Arial"/>
          <w:sz w:val="22"/>
        </w:rPr>
        <w:t>edn</w:t>
      </w:r>
      <w:proofErr w:type="spellEnd"/>
      <w:r w:rsidRPr="00427627">
        <w:rPr>
          <w:rFonts w:ascii="Arial" w:hAnsi="Arial" w:cs="Arial"/>
          <w:sz w:val="22"/>
        </w:rPr>
        <w:t>. Oxford: Oxford University Press</w:t>
      </w:r>
    </w:p>
    <w:sectPr w:rsidR="00427627" w:rsidRPr="004276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910A79" w14:textId="77777777" w:rsidR="00834BDB" w:rsidRDefault="00834BDB" w:rsidP="00B21FE6">
      <w:pPr>
        <w:spacing w:after="0" w:line="240" w:lineRule="auto"/>
      </w:pPr>
      <w:r>
        <w:separator/>
      </w:r>
    </w:p>
  </w:endnote>
  <w:endnote w:type="continuationSeparator" w:id="0">
    <w:p w14:paraId="35B181AA" w14:textId="77777777" w:rsidR="00834BDB" w:rsidRDefault="00834BDB" w:rsidP="00B21F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E273B3" w14:textId="77777777" w:rsidR="00834BDB" w:rsidRDefault="00834BDB" w:rsidP="00B21FE6">
      <w:pPr>
        <w:spacing w:after="0" w:line="240" w:lineRule="auto"/>
      </w:pPr>
      <w:r>
        <w:separator/>
      </w:r>
    </w:p>
  </w:footnote>
  <w:footnote w:type="continuationSeparator" w:id="0">
    <w:p w14:paraId="3493A02B" w14:textId="77777777" w:rsidR="00834BDB" w:rsidRDefault="00834BDB" w:rsidP="00B21F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06929"/>
    <w:multiLevelType w:val="hybridMultilevel"/>
    <w:tmpl w:val="D0563026"/>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C808D1"/>
    <w:multiLevelType w:val="hybridMultilevel"/>
    <w:tmpl w:val="BC9AFFC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CDC744F"/>
    <w:multiLevelType w:val="hybridMultilevel"/>
    <w:tmpl w:val="08A4DDF2"/>
    <w:lvl w:ilvl="0" w:tplc="7774356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A66288"/>
    <w:multiLevelType w:val="hybridMultilevel"/>
    <w:tmpl w:val="CE7C2510"/>
    <w:lvl w:ilvl="0" w:tplc="42BC8A22">
      <w:start w:val="1"/>
      <w:numFmt w:val="bullet"/>
      <w:lvlText w:val=""/>
      <w:lvlJc w:val="left"/>
      <w:pPr>
        <w:ind w:left="720" w:hanging="360"/>
      </w:pPr>
      <w:rPr>
        <w:rFonts w:ascii="Symbol" w:hAnsi="Symbol" w:hint="default"/>
      </w:rPr>
    </w:lvl>
    <w:lvl w:ilvl="1" w:tplc="B980028C">
      <w:start w:val="1"/>
      <w:numFmt w:val="bullet"/>
      <w:lvlText w:val="o"/>
      <w:lvlJc w:val="left"/>
      <w:pPr>
        <w:ind w:left="1440" w:hanging="360"/>
      </w:pPr>
      <w:rPr>
        <w:rFonts w:ascii="Courier New" w:hAnsi="Courier New" w:hint="default"/>
      </w:rPr>
    </w:lvl>
    <w:lvl w:ilvl="2" w:tplc="205818A0">
      <w:start w:val="1"/>
      <w:numFmt w:val="bullet"/>
      <w:lvlText w:val=""/>
      <w:lvlJc w:val="left"/>
      <w:pPr>
        <w:ind w:left="2160" w:hanging="360"/>
      </w:pPr>
      <w:rPr>
        <w:rFonts w:ascii="Wingdings" w:hAnsi="Wingdings" w:hint="default"/>
      </w:rPr>
    </w:lvl>
    <w:lvl w:ilvl="3" w:tplc="1F6AAC58">
      <w:start w:val="1"/>
      <w:numFmt w:val="bullet"/>
      <w:lvlText w:val=""/>
      <w:lvlJc w:val="left"/>
      <w:pPr>
        <w:ind w:left="2880" w:hanging="360"/>
      </w:pPr>
      <w:rPr>
        <w:rFonts w:ascii="Symbol" w:hAnsi="Symbol" w:hint="default"/>
      </w:rPr>
    </w:lvl>
    <w:lvl w:ilvl="4" w:tplc="161A4ECE">
      <w:start w:val="1"/>
      <w:numFmt w:val="bullet"/>
      <w:lvlText w:val="o"/>
      <w:lvlJc w:val="left"/>
      <w:pPr>
        <w:ind w:left="3600" w:hanging="360"/>
      </w:pPr>
      <w:rPr>
        <w:rFonts w:ascii="Courier New" w:hAnsi="Courier New" w:hint="default"/>
      </w:rPr>
    </w:lvl>
    <w:lvl w:ilvl="5" w:tplc="AC085170">
      <w:start w:val="1"/>
      <w:numFmt w:val="bullet"/>
      <w:lvlText w:val=""/>
      <w:lvlJc w:val="left"/>
      <w:pPr>
        <w:ind w:left="4320" w:hanging="360"/>
      </w:pPr>
      <w:rPr>
        <w:rFonts w:ascii="Wingdings" w:hAnsi="Wingdings" w:hint="default"/>
      </w:rPr>
    </w:lvl>
    <w:lvl w:ilvl="6" w:tplc="A000C732">
      <w:start w:val="1"/>
      <w:numFmt w:val="bullet"/>
      <w:lvlText w:val=""/>
      <w:lvlJc w:val="left"/>
      <w:pPr>
        <w:ind w:left="5040" w:hanging="360"/>
      </w:pPr>
      <w:rPr>
        <w:rFonts w:ascii="Symbol" w:hAnsi="Symbol" w:hint="default"/>
      </w:rPr>
    </w:lvl>
    <w:lvl w:ilvl="7" w:tplc="71B841BA">
      <w:start w:val="1"/>
      <w:numFmt w:val="bullet"/>
      <w:lvlText w:val="o"/>
      <w:lvlJc w:val="left"/>
      <w:pPr>
        <w:ind w:left="5760" w:hanging="360"/>
      </w:pPr>
      <w:rPr>
        <w:rFonts w:ascii="Courier New" w:hAnsi="Courier New" w:hint="default"/>
      </w:rPr>
    </w:lvl>
    <w:lvl w:ilvl="8" w:tplc="CE0A151E">
      <w:start w:val="1"/>
      <w:numFmt w:val="bullet"/>
      <w:lvlText w:val=""/>
      <w:lvlJc w:val="left"/>
      <w:pPr>
        <w:ind w:left="6480" w:hanging="360"/>
      </w:pPr>
      <w:rPr>
        <w:rFonts w:ascii="Wingdings" w:hAnsi="Wingdings" w:hint="default"/>
      </w:rPr>
    </w:lvl>
  </w:abstractNum>
  <w:abstractNum w:abstractNumId="4" w15:restartNumberingAfterBreak="0">
    <w:nsid w:val="4E26486C"/>
    <w:multiLevelType w:val="hybridMultilevel"/>
    <w:tmpl w:val="44D283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66105348">
    <w:abstractNumId w:val="4"/>
  </w:num>
  <w:num w:numId="2" w16cid:durableId="201140407">
    <w:abstractNumId w:val="1"/>
  </w:num>
  <w:num w:numId="3" w16cid:durableId="490028398">
    <w:abstractNumId w:val="0"/>
  </w:num>
  <w:num w:numId="4" w16cid:durableId="350911784">
    <w:abstractNumId w:val="2"/>
  </w:num>
  <w:num w:numId="5" w16cid:durableId="9175987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58B0"/>
    <w:rsid w:val="00045DFC"/>
    <w:rsid w:val="00052089"/>
    <w:rsid w:val="00102F98"/>
    <w:rsid w:val="001333C2"/>
    <w:rsid w:val="001C0A20"/>
    <w:rsid w:val="001D345E"/>
    <w:rsid w:val="00220640"/>
    <w:rsid w:val="00293569"/>
    <w:rsid w:val="002D39BD"/>
    <w:rsid w:val="00317E3D"/>
    <w:rsid w:val="00350D4F"/>
    <w:rsid w:val="00427627"/>
    <w:rsid w:val="004827AE"/>
    <w:rsid w:val="00491764"/>
    <w:rsid w:val="004F5B88"/>
    <w:rsid w:val="0058218C"/>
    <w:rsid w:val="00594FAC"/>
    <w:rsid w:val="00610A5B"/>
    <w:rsid w:val="006524ED"/>
    <w:rsid w:val="00662D17"/>
    <w:rsid w:val="006D2F2D"/>
    <w:rsid w:val="006E1FF9"/>
    <w:rsid w:val="006E38AB"/>
    <w:rsid w:val="00785886"/>
    <w:rsid w:val="007F3A6A"/>
    <w:rsid w:val="00834BDB"/>
    <w:rsid w:val="00887FBB"/>
    <w:rsid w:val="008F6D4B"/>
    <w:rsid w:val="009A4C94"/>
    <w:rsid w:val="009A5D56"/>
    <w:rsid w:val="009E5C5F"/>
    <w:rsid w:val="00A11336"/>
    <w:rsid w:val="00AE7DDA"/>
    <w:rsid w:val="00B21FE6"/>
    <w:rsid w:val="00BC79FE"/>
    <w:rsid w:val="00C558B0"/>
    <w:rsid w:val="00D00A38"/>
    <w:rsid w:val="00D545BA"/>
    <w:rsid w:val="00D66C96"/>
    <w:rsid w:val="00E453FF"/>
    <w:rsid w:val="00E81204"/>
    <w:rsid w:val="00F40036"/>
    <w:rsid w:val="00F81510"/>
    <w:rsid w:val="00FA624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F7AB11"/>
  <w15:chartTrackingRefBased/>
  <w15:docId w15:val="{647EBCD7-631C-4DB8-B919-7AD492B6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58B0"/>
    <w:pPr>
      <w:spacing w:line="256" w:lineRule="auto"/>
    </w:pPr>
    <w:rPr>
      <w:rFonts w:ascii="Times New Roman" w:hAnsi="Times New Roman"/>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D2F2D"/>
    <w:pPr>
      <w:ind w:left="720"/>
      <w:contextualSpacing/>
    </w:pPr>
  </w:style>
  <w:style w:type="paragraph" w:styleId="Header">
    <w:name w:val="header"/>
    <w:basedOn w:val="Normal"/>
    <w:link w:val="HeaderChar"/>
    <w:uiPriority w:val="99"/>
    <w:unhideWhenUsed/>
    <w:rsid w:val="00B21F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1FE6"/>
    <w:rPr>
      <w:rFonts w:ascii="Times New Roman" w:hAnsi="Times New Roman"/>
      <w:sz w:val="24"/>
    </w:rPr>
  </w:style>
  <w:style w:type="paragraph" w:styleId="Footer">
    <w:name w:val="footer"/>
    <w:basedOn w:val="Normal"/>
    <w:link w:val="FooterChar"/>
    <w:uiPriority w:val="99"/>
    <w:unhideWhenUsed/>
    <w:rsid w:val="00B21F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1FE6"/>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97F99D-6BA7-4D9E-9302-8E8C67D9E9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2405</Words>
  <Characters>13712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Diola Bijlhout</dc:creator>
  <cp:keywords/>
  <dc:description/>
  <cp:lastModifiedBy>Florin Cristian Cristea (2328061)</cp:lastModifiedBy>
  <cp:revision>5</cp:revision>
  <dcterms:created xsi:type="dcterms:W3CDTF">2025-06-05T11:55:00Z</dcterms:created>
  <dcterms:modified xsi:type="dcterms:W3CDTF">2025-12-10T11:42:00Z</dcterms:modified>
</cp:coreProperties>
</file>