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C461E" w14:textId="6075F9FF" w:rsidR="00032D92" w:rsidRDefault="00DB25CE">
      <w:r>
        <w:rPr>
          <w:noProof/>
        </w:rPr>
        <w:drawing>
          <wp:inline distT="0" distB="0" distL="0" distR="0" wp14:anchorId="291C6FA6" wp14:editId="4BDFB6D5">
            <wp:extent cx="1810385" cy="725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0FE1797" w14:textId="273ED76C" w:rsidR="00DB25CE" w:rsidRPr="00DB25CE" w:rsidRDefault="00DB25CE">
      <w:pPr>
        <w:rPr>
          <w:rFonts w:ascii="Times New Roman" w:hAnsi="Times New Roman" w:cs="Times New Roman"/>
          <w:sz w:val="28"/>
          <w:szCs w:val="28"/>
        </w:rPr>
      </w:pPr>
      <w:r w:rsidRPr="00DB25CE">
        <w:rPr>
          <w:rFonts w:ascii="Times New Roman" w:hAnsi="Times New Roman" w:cs="Times New Roman"/>
          <w:sz w:val="28"/>
          <w:szCs w:val="28"/>
        </w:rPr>
        <w:t>BA Business Management</w:t>
      </w:r>
    </w:p>
    <w:p w14:paraId="6006F577" w14:textId="4B19914A" w:rsidR="00DB25CE" w:rsidRPr="00DB25CE" w:rsidRDefault="00DB25CE">
      <w:pPr>
        <w:rPr>
          <w:rFonts w:ascii="Times New Roman" w:hAnsi="Times New Roman" w:cs="Times New Roman"/>
          <w:sz w:val="28"/>
          <w:szCs w:val="28"/>
        </w:rPr>
      </w:pPr>
      <w:r w:rsidRPr="00DB25CE">
        <w:rPr>
          <w:rFonts w:ascii="Times New Roman" w:hAnsi="Times New Roman" w:cs="Times New Roman"/>
          <w:sz w:val="28"/>
          <w:szCs w:val="28"/>
        </w:rPr>
        <w:t>Module:  Managing People</w:t>
      </w:r>
    </w:p>
    <w:p w14:paraId="5304BD33" w14:textId="5E66E0C8" w:rsidR="00DB25CE" w:rsidRDefault="00DB25CE">
      <w:pPr>
        <w:rPr>
          <w:rFonts w:ascii="Times New Roman" w:hAnsi="Times New Roman" w:cs="Times New Roman"/>
          <w:sz w:val="28"/>
          <w:szCs w:val="28"/>
        </w:rPr>
      </w:pPr>
      <w:r w:rsidRPr="00DB25CE">
        <w:rPr>
          <w:rFonts w:ascii="Times New Roman" w:hAnsi="Times New Roman" w:cs="Times New Roman"/>
          <w:sz w:val="28"/>
          <w:szCs w:val="28"/>
        </w:rPr>
        <w:t>Module code: LCBB5004</w:t>
      </w:r>
    </w:p>
    <w:p w14:paraId="324E3CCF" w14:textId="2A794173" w:rsidR="0091323A" w:rsidRDefault="0091323A">
      <w:pPr>
        <w:rPr>
          <w:rFonts w:ascii="Times New Roman" w:hAnsi="Times New Roman" w:cs="Times New Roman"/>
          <w:sz w:val="28"/>
          <w:szCs w:val="28"/>
        </w:rPr>
      </w:pPr>
      <w:r>
        <w:rPr>
          <w:rFonts w:ascii="Times New Roman" w:hAnsi="Times New Roman" w:cs="Times New Roman"/>
          <w:sz w:val="28"/>
          <w:szCs w:val="28"/>
        </w:rPr>
        <w:t>Student Name:</w:t>
      </w:r>
      <w:r w:rsidR="00912FF5">
        <w:rPr>
          <w:rFonts w:ascii="Times New Roman" w:hAnsi="Times New Roman" w:cs="Times New Roman"/>
          <w:sz w:val="28"/>
          <w:szCs w:val="28"/>
        </w:rPr>
        <w:t xml:space="preserve"> Cristian </w:t>
      </w:r>
      <w:proofErr w:type="spellStart"/>
      <w:r w:rsidR="00912FF5">
        <w:rPr>
          <w:rFonts w:ascii="Times New Roman" w:hAnsi="Times New Roman" w:cs="Times New Roman"/>
          <w:sz w:val="28"/>
          <w:szCs w:val="28"/>
        </w:rPr>
        <w:t>Lupu</w:t>
      </w:r>
      <w:proofErr w:type="spellEnd"/>
    </w:p>
    <w:p w14:paraId="1517415F" w14:textId="17BC04D2" w:rsidR="0091323A" w:rsidRDefault="0091323A">
      <w:pPr>
        <w:rPr>
          <w:rFonts w:ascii="Times New Roman" w:hAnsi="Times New Roman" w:cs="Times New Roman"/>
          <w:sz w:val="28"/>
          <w:szCs w:val="28"/>
        </w:rPr>
      </w:pPr>
      <w:r>
        <w:rPr>
          <w:rFonts w:ascii="Times New Roman" w:hAnsi="Times New Roman" w:cs="Times New Roman"/>
          <w:sz w:val="28"/>
          <w:szCs w:val="28"/>
        </w:rPr>
        <w:t xml:space="preserve">Student ID: </w:t>
      </w:r>
      <w:r w:rsidR="0054531B">
        <w:rPr>
          <w:rFonts w:ascii="Times New Roman" w:hAnsi="Times New Roman" w:cs="Times New Roman"/>
          <w:sz w:val="28"/>
          <w:szCs w:val="28"/>
        </w:rPr>
        <w:t>211</w:t>
      </w:r>
      <w:r w:rsidR="00912FF5">
        <w:rPr>
          <w:rFonts w:ascii="Times New Roman" w:hAnsi="Times New Roman" w:cs="Times New Roman"/>
          <w:sz w:val="28"/>
          <w:szCs w:val="28"/>
        </w:rPr>
        <w:t>2677</w:t>
      </w:r>
    </w:p>
    <w:p w14:paraId="044453CA" w14:textId="77777777" w:rsidR="00DB25CE" w:rsidRDefault="00DB25CE">
      <w:pPr>
        <w:rPr>
          <w:rFonts w:ascii="Times New Roman" w:hAnsi="Times New Roman" w:cs="Times New Roman"/>
          <w:sz w:val="28"/>
          <w:szCs w:val="28"/>
        </w:rPr>
      </w:pPr>
    </w:p>
    <w:p w14:paraId="13D37D98" w14:textId="77777777" w:rsidR="00DB25CE" w:rsidRDefault="00DB25CE">
      <w:pPr>
        <w:rPr>
          <w:rFonts w:ascii="Times New Roman" w:hAnsi="Times New Roman" w:cs="Times New Roman"/>
          <w:sz w:val="28"/>
          <w:szCs w:val="28"/>
        </w:rPr>
      </w:pPr>
    </w:p>
    <w:p w14:paraId="3585126B" w14:textId="77777777" w:rsidR="00DB25CE" w:rsidRDefault="00DB25CE">
      <w:pPr>
        <w:rPr>
          <w:rFonts w:ascii="Times New Roman" w:hAnsi="Times New Roman" w:cs="Times New Roman"/>
          <w:sz w:val="28"/>
          <w:szCs w:val="28"/>
        </w:rPr>
      </w:pPr>
    </w:p>
    <w:p w14:paraId="6FE054D2" w14:textId="77777777" w:rsidR="00DB25CE" w:rsidRDefault="00DB25CE">
      <w:pPr>
        <w:rPr>
          <w:rFonts w:ascii="Times New Roman" w:hAnsi="Times New Roman" w:cs="Times New Roman"/>
          <w:sz w:val="28"/>
          <w:szCs w:val="28"/>
        </w:rPr>
      </w:pPr>
    </w:p>
    <w:p w14:paraId="345D099C" w14:textId="77777777" w:rsidR="00DB25CE" w:rsidRDefault="00DB25CE">
      <w:pPr>
        <w:rPr>
          <w:rFonts w:ascii="Times New Roman" w:hAnsi="Times New Roman" w:cs="Times New Roman"/>
          <w:sz w:val="28"/>
          <w:szCs w:val="28"/>
        </w:rPr>
      </w:pPr>
    </w:p>
    <w:p w14:paraId="58FE9423" w14:textId="77777777" w:rsidR="00DB25CE" w:rsidRDefault="00DB25CE">
      <w:pPr>
        <w:rPr>
          <w:rFonts w:ascii="Times New Roman" w:hAnsi="Times New Roman" w:cs="Times New Roman"/>
          <w:sz w:val="28"/>
          <w:szCs w:val="28"/>
        </w:rPr>
      </w:pPr>
    </w:p>
    <w:p w14:paraId="5E4B9230" w14:textId="77777777" w:rsidR="00DB25CE" w:rsidRDefault="00DB25CE">
      <w:pPr>
        <w:rPr>
          <w:rFonts w:ascii="Times New Roman" w:hAnsi="Times New Roman" w:cs="Times New Roman"/>
          <w:sz w:val="28"/>
          <w:szCs w:val="28"/>
        </w:rPr>
      </w:pPr>
    </w:p>
    <w:p w14:paraId="31542619" w14:textId="77777777" w:rsidR="00DB25CE" w:rsidRDefault="00DB25CE">
      <w:pPr>
        <w:rPr>
          <w:rFonts w:ascii="Times New Roman" w:hAnsi="Times New Roman" w:cs="Times New Roman"/>
          <w:sz w:val="28"/>
          <w:szCs w:val="28"/>
        </w:rPr>
      </w:pPr>
    </w:p>
    <w:p w14:paraId="1AD349D3" w14:textId="77777777" w:rsidR="00DB25CE" w:rsidRDefault="00DB25CE">
      <w:pPr>
        <w:rPr>
          <w:rFonts w:ascii="Times New Roman" w:hAnsi="Times New Roman" w:cs="Times New Roman"/>
          <w:sz w:val="28"/>
          <w:szCs w:val="28"/>
        </w:rPr>
      </w:pPr>
    </w:p>
    <w:p w14:paraId="13DB8ABF" w14:textId="77777777" w:rsidR="00DB25CE" w:rsidRDefault="00DB25CE">
      <w:pPr>
        <w:rPr>
          <w:rFonts w:ascii="Times New Roman" w:hAnsi="Times New Roman" w:cs="Times New Roman"/>
          <w:sz w:val="28"/>
          <w:szCs w:val="28"/>
        </w:rPr>
      </w:pPr>
    </w:p>
    <w:p w14:paraId="402D7679" w14:textId="77777777" w:rsidR="00DB25CE" w:rsidRDefault="00DB25CE">
      <w:pPr>
        <w:rPr>
          <w:rFonts w:ascii="Times New Roman" w:hAnsi="Times New Roman" w:cs="Times New Roman"/>
          <w:sz w:val="28"/>
          <w:szCs w:val="28"/>
        </w:rPr>
      </w:pPr>
    </w:p>
    <w:p w14:paraId="09989A27" w14:textId="77777777" w:rsidR="00DB25CE" w:rsidRDefault="00DB25CE">
      <w:pPr>
        <w:rPr>
          <w:rFonts w:ascii="Times New Roman" w:hAnsi="Times New Roman" w:cs="Times New Roman"/>
          <w:sz w:val="28"/>
          <w:szCs w:val="28"/>
        </w:rPr>
      </w:pPr>
    </w:p>
    <w:p w14:paraId="48520845" w14:textId="77777777" w:rsidR="00DB25CE" w:rsidRDefault="00DB25CE">
      <w:pPr>
        <w:rPr>
          <w:rFonts w:ascii="Times New Roman" w:hAnsi="Times New Roman" w:cs="Times New Roman"/>
          <w:sz w:val="28"/>
          <w:szCs w:val="28"/>
        </w:rPr>
      </w:pPr>
    </w:p>
    <w:p w14:paraId="35DDF901" w14:textId="77777777" w:rsidR="00DB25CE" w:rsidRDefault="00DB25CE">
      <w:pPr>
        <w:rPr>
          <w:rFonts w:ascii="Times New Roman" w:hAnsi="Times New Roman" w:cs="Times New Roman"/>
          <w:sz w:val="28"/>
          <w:szCs w:val="28"/>
        </w:rPr>
      </w:pPr>
    </w:p>
    <w:p w14:paraId="4D89B8FB" w14:textId="77777777" w:rsidR="00DB25CE" w:rsidRDefault="00DB25CE">
      <w:pPr>
        <w:rPr>
          <w:rFonts w:ascii="Times New Roman" w:hAnsi="Times New Roman" w:cs="Times New Roman"/>
          <w:sz w:val="28"/>
          <w:szCs w:val="28"/>
        </w:rPr>
      </w:pPr>
    </w:p>
    <w:p w14:paraId="4EA7BAA1" w14:textId="77777777" w:rsidR="00DB25CE" w:rsidRDefault="00DB25CE">
      <w:pPr>
        <w:rPr>
          <w:rFonts w:ascii="Times New Roman" w:hAnsi="Times New Roman" w:cs="Times New Roman"/>
          <w:sz w:val="28"/>
          <w:szCs w:val="28"/>
        </w:rPr>
      </w:pPr>
    </w:p>
    <w:p w14:paraId="51313DFB" w14:textId="77777777" w:rsidR="00DB25CE" w:rsidRDefault="00DB25CE">
      <w:pPr>
        <w:rPr>
          <w:rFonts w:ascii="Times New Roman" w:hAnsi="Times New Roman" w:cs="Times New Roman"/>
          <w:sz w:val="28"/>
          <w:szCs w:val="28"/>
        </w:rPr>
      </w:pPr>
    </w:p>
    <w:p w14:paraId="15C7A2FA" w14:textId="77777777" w:rsidR="00DB25CE" w:rsidRDefault="00DB25CE">
      <w:pPr>
        <w:rPr>
          <w:rFonts w:ascii="Times New Roman" w:hAnsi="Times New Roman" w:cs="Times New Roman"/>
          <w:sz w:val="28"/>
          <w:szCs w:val="28"/>
        </w:rPr>
      </w:pPr>
    </w:p>
    <w:p w14:paraId="4A331A47" w14:textId="77777777" w:rsidR="00DB25CE" w:rsidRDefault="00DB25CE">
      <w:pPr>
        <w:rPr>
          <w:rFonts w:ascii="Times New Roman" w:hAnsi="Times New Roman" w:cs="Times New Roman"/>
          <w:sz w:val="28"/>
          <w:szCs w:val="28"/>
        </w:rPr>
      </w:pPr>
    </w:p>
    <w:p w14:paraId="5495089B" w14:textId="77777777" w:rsidR="00DB25CE" w:rsidRDefault="00DB25CE">
      <w:pPr>
        <w:rPr>
          <w:rFonts w:ascii="Times New Roman" w:hAnsi="Times New Roman" w:cs="Times New Roman"/>
          <w:sz w:val="28"/>
          <w:szCs w:val="28"/>
        </w:rPr>
      </w:pPr>
    </w:p>
    <w:p w14:paraId="39FA1083" w14:textId="77777777" w:rsidR="00DB25CE" w:rsidRDefault="00DB25CE">
      <w:pPr>
        <w:rPr>
          <w:rFonts w:ascii="Times New Roman" w:hAnsi="Times New Roman" w:cs="Times New Roman"/>
          <w:sz w:val="28"/>
          <w:szCs w:val="28"/>
        </w:rPr>
      </w:pPr>
    </w:p>
    <w:p w14:paraId="5A781676" w14:textId="77777777" w:rsidR="00DB25CE" w:rsidRDefault="00DB25CE">
      <w:pPr>
        <w:rPr>
          <w:rFonts w:ascii="Times New Roman" w:hAnsi="Times New Roman" w:cs="Times New Roman"/>
          <w:sz w:val="28"/>
          <w:szCs w:val="28"/>
        </w:rPr>
      </w:pPr>
    </w:p>
    <w:p w14:paraId="29CDF946" w14:textId="63155824" w:rsidR="00DB25CE" w:rsidRDefault="00DB25CE">
      <w:pPr>
        <w:rPr>
          <w:rFonts w:ascii="Times New Roman" w:hAnsi="Times New Roman" w:cs="Times New Roman"/>
          <w:sz w:val="28"/>
          <w:szCs w:val="28"/>
        </w:rPr>
      </w:pPr>
      <w:r>
        <w:rPr>
          <w:rFonts w:ascii="Times New Roman" w:hAnsi="Times New Roman" w:cs="Times New Roman"/>
          <w:sz w:val="28"/>
          <w:szCs w:val="28"/>
        </w:rPr>
        <w:t>Table of Contents</w:t>
      </w:r>
    </w:p>
    <w:p w14:paraId="600B9582" w14:textId="4923FD16" w:rsidR="00DB25CE" w:rsidRDefault="00DB25CE">
      <w:pPr>
        <w:rPr>
          <w:rFonts w:ascii="Times New Roman" w:hAnsi="Times New Roman" w:cs="Times New Roman"/>
          <w:sz w:val="24"/>
          <w:szCs w:val="24"/>
        </w:rPr>
      </w:pPr>
      <w:r w:rsidRPr="00DB25CE">
        <w:rPr>
          <w:rFonts w:ascii="Times New Roman" w:hAnsi="Times New Roman" w:cs="Times New Roman"/>
          <w:sz w:val="24"/>
          <w:szCs w:val="24"/>
        </w:rPr>
        <w:t>Introduction</w:t>
      </w:r>
      <w:r>
        <w:rPr>
          <w:rFonts w:ascii="Times New Roman" w:hAnsi="Times New Roman" w:cs="Times New Roman"/>
          <w:sz w:val="24"/>
          <w:szCs w:val="24"/>
        </w:rPr>
        <w:t>…………………………………………………………………………………3</w:t>
      </w:r>
    </w:p>
    <w:p w14:paraId="2757C5B1" w14:textId="3E182293" w:rsidR="00DB25CE" w:rsidRDefault="00DB25CE">
      <w:pPr>
        <w:rPr>
          <w:rFonts w:ascii="Times New Roman" w:hAnsi="Times New Roman" w:cs="Times New Roman"/>
          <w:sz w:val="24"/>
          <w:szCs w:val="24"/>
        </w:rPr>
      </w:pPr>
      <w:r>
        <w:rPr>
          <w:rFonts w:ascii="Times New Roman" w:hAnsi="Times New Roman" w:cs="Times New Roman"/>
          <w:sz w:val="24"/>
          <w:szCs w:val="24"/>
        </w:rPr>
        <w:t>T</w:t>
      </w:r>
      <w:r w:rsidRPr="00DB25CE">
        <w:rPr>
          <w:rFonts w:ascii="Times New Roman" w:hAnsi="Times New Roman" w:cs="Times New Roman"/>
          <w:sz w:val="24"/>
          <w:szCs w:val="24"/>
        </w:rPr>
        <w:t>he affects and effects of employee attrition within the Nursing Industry in the UK</w:t>
      </w:r>
      <w:r>
        <w:rPr>
          <w:rFonts w:ascii="Times New Roman" w:hAnsi="Times New Roman" w:cs="Times New Roman"/>
          <w:sz w:val="24"/>
          <w:szCs w:val="24"/>
        </w:rPr>
        <w:t>………3</w:t>
      </w:r>
    </w:p>
    <w:p w14:paraId="14DB43B3" w14:textId="6FD55EAB" w:rsidR="00DB25CE" w:rsidRDefault="003C1ADE" w:rsidP="003C1ADE">
      <w:pPr>
        <w:rPr>
          <w:rFonts w:ascii="Times New Roman" w:hAnsi="Times New Roman" w:cs="Times New Roman"/>
          <w:sz w:val="24"/>
          <w:szCs w:val="24"/>
        </w:rPr>
      </w:pPr>
      <w:r w:rsidRPr="003C1ADE">
        <w:rPr>
          <w:rFonts w:ascii="Times New Roman" w:hAnsi="Times New Roman" w:cs="Times New Roman"/>
          <w:sz w:val="24"/>
          <w:szCs w:val="24"/>
        </w:rPr>
        <w:t>Identif</w:t>
      </w:r>
      <w:r>
        <w:rPr>
          <w:rFonts w:ascii="Times New Roman" w:hAnsi="Times New Roman" w:cs="Times New Roman"/>
          <w:sz w:val="24"/>
          <w:szCs w:val="24"/>
        </w:rPr>
        <w:t xml:space="preserve">ication of </w:t>
      </w:r>
      <w:r w:rsidRPr="003C1ADE">
        <w:rPr>
          <w:rFonts w:ascii="Times New Roman" w:hAnsi="Times New Roman" w:cs="Times New Roman"/>
          <w:sz w:val="24"/>
          <w:szCs w:val="24"/>
        </w:rPr>
        <w:t xml:space="preserve"> five monetary and five non-monetary existing retention schemes used by NHS for </w:t>
      </w:r>
      <w:r>
        <w:rPr>
          <w:rFonts w:ascii="Times New Roman" w:hAnsi="Times New Roman" w:cs="Times New Roman"/>
          <w:sz w:val="24"/>
          <w:szCs w:val="24"/>
        </w:rPr>
        <w:t xml:space="preserve"> </w:t>
      </w:r>
      <w:r w:rsidRPr="003C1ADE">
        <w:rPr>
          <w:rFonts w:ascii="Times New Roman" w:hAnsi="Times New Roman" w:cs="Times New Roman"/>
          <w:sz w:val="24"/>
          <w:szCs w:val="24"/>
        </w:rPr>
        <w:t>Nursing professionals</w:t>
      </w:r>
      <w:r>
        <w:rPr>
          <w:rFonts w:ascii="Times New Roman" w:hAnsi="Times New Roman" w:cs="Times New Roman"/>
          <w:sz w:val="24"/>
          <w:szCs w:val="24"/>
        </w:rPr>
        <w:t>……………………………………………………</w:t>
      </w:r>
      <w:r w:rsidR="005E3706">
        <w:rPr>
          <w:rFonts w:ascii="Times New Roman" w:hAnsi="Times New Roman" w:cs="Times New Roman"/>
          <w:sz w:val="24"/>
          <w:szCs w:val="24"/>
        </w:rPr>
        <w:t>.</w:t>
      </w:r>
      <w:r>
        <w:rPr>
          <w:rFonts w:ascii="Times New Roman" w:hAnsi="Times New Roman" w:cs="Times New Roman"/>
          <w:sz w:val="24"/>
          <w:szCs w:val="24"/>
        </w:rPr>
        <w:t>……….5</w:t>
      </w:r>
    </w:p>
    <w:p w14:paraId="0B6DB8CE" w14:textId="76263EFC" w:rsidR="006F06AB" w:rsidRDefault="006F06AB" w:rsidP="003C1ADE">
      <w:pPr>
        <w:rPr>
          <w:rFonts w:ascii="Times New Roman" w:hAnsi="Times New Roman" w:cs="Times New Roman"/>
          <w:sz w:val="24"/>
          <w:szCs w:val="24"/>
        </w:rPr>
      </w:pPr>
      <w:r>
        <w:rPr>
          <w:rFonts w:ascii="Times New Roman" w:hAnsi="Times New Roman" w:cs="Times New Roman"/>
          <w:sz w:val="24"/>
          <w:szCs w:val="24"/>
        </w:rPr>
        <w:t>R</w:t>
      </w:r>
      <w:r w:rsidRPr="006F06AB">
        <w:rPr>
          <w:rFonts w:ascii="Times New Roman" w:hAnsi="Times New Roman" w:cs="Times New Roman"/>
          <w:sz w:val="24"/>
          <w:szCs w:val="24"/>
        </w:rPr>
        <w:t>ecommendations, both in the short term and in the longer term to improve nurse retention in order to lower nurse attrition rate in the UK</w:t>
      </w:r>
      <w:r>
        <w:rPr>
          <w:rFonts w:ascii="Times New Roman" w:hAnsi="Times New Roman" w:cs="Times New Roman"/>
          <w:sz w:val="24"/>
          <w:szCs w:val="24"/>
        </w:rPr>
        <w:t>………………………………………………..7</w:t>
      </w:r>
    </w:p>
    <w:p w14:paraId="446DBE1F" w14:textId="7888453F" w:rsidR="006F06AB" w:rsidRDefault="006F06AB" w:rsidP="003C1ADE">
      <w:pPr>
        <w:rPr>
          <w:rFonts w:ascii="Times New Roman" w:hAnsi="Times New Roman" w:cs="Times New Roman"/>
          <w:sz w:val="24"/>
          <w:szCs w:val="24"/>
        </w:rPr>
      </w:pPr>
      <w:r>
        <w:rPr>
          <w:rFonts w:ascii="Times New Roman" w:hAnsi="Times New Roman" w:cs="Times New Roman"/>
          <w:sz w:val="24"/>
          <w:szCs w:val="24"/>
        </w:rPr>
        <w:t>Conclusion…………………………………………………………………………………..9</w:t>
      </w:r>
    </w:p>
    <w:p w14:paraId="7FAD40F2" w14:textId="401AD1A0" w:rsidR="006F06AB" w:rsidRPr="00DB25CE" w:rsidRDefault="006F06AB" w:rsidP="003C1ADE">
      <w:pPr>
        <w:rPr>
          <w:rFonts w:ascii="Times New Roman" w:hAnsi="Times New Roman" w:cs="Times New Roman"/>
          <w:sz w:val="24"/>
          <w:szCs w:val="24"/>
        </w:rPr>
      </w:pPr>
      <w:r>
        <w:rPr>
          <w:rFonts w:ascii="Times New Roman" w:hAnsi="Times New Roman" w:cs="Times New Roman"/>
          <w:sz w:val="24"/>
          <w:szCs w:val="24"/>
        </w:rPr>
        <w:t>References…………………………………………………………………………………..10</w:t>
      </w:r>
    </w:p>
    <w:p w14:paraId="09DD02D6" w14:textId="77777777" w:rsidR="00DB25CE" w:rsidRDefault="00DB25CE">
      <w:pPr>
        <w:rPr>
          <w:rFonts w:ascii="Times New Roman" w:hAnsi="Times New Roman" w:cs="Times New Roman"/>
          <w:sz w:val="28"/>
          <w:szCs w:val="28"/>
        </w:rPr>
      </w:pPr>
    </w:p>
    <w:p w14:paraId="1861C9BE" w14:textId="77777777" w:rsidR="00DB25CE" w:rsidRDefault="00DB25CE">
      <w:pPr>
        <w:rPr>
          <w:rFonts w:ascii="Times New Roman" w:hAnsi="Times New Roman" w:cs="Times New Roman"/>
          <w:sz w:val="28"/>
          <w:szCs w:val="28"/>
        </w:rPr>
      </w:pPr>
    </w:p>
    <w:p w14:paraId="643E7C5C" w14:textId="77777777" w:rsidR="00DB25CE" w:rsidRDefault="00DB25CE">
      <w:pPr>
        <w:rPr>
          <w:rFonts w:ascii="Times New Roman" w:hAnsi="Times New Roman" w:cs="Times New Roman"/>
          <w:sz w:val="28"/>
          <w:szCs w:val="28"/>
        </w:rPr>
      </w:pPr>
    </w:p>
    <w:p w14:paraId="42B3ED76" w14:textId="77777777" w:rsidR="00DB25CE" w:rsidRDefault="00DB25CE">
      <w:pPr>
        <w:rPr>
          <w:rFonts w:ascii="Times New Roman" w:hAnsi="Times New Roman" w:cs="Times New Roman"/>
          <w:sz w:val="28"/>
          <w:szCs w:val="28"/>
        </w:rPr>
      </w:pPr>
    </w:p>
    <w:p w14:paraId="03F2C259" w14:textId="77777777" w:rsidR="00DB25CE" w:rsidRDefault="00DB25CE">
      <w:pPr>
        <w:rPr>
          <w:rFonts w:ascii="Times New Roman" w:hAnsi="Times New Roman" w:cs="Times New Roman"/>
          <w:sz w:val="28"/>
          <w:szCs w:val="28"/>
        </w:rPr>
      </w:pPr>
    </w:p>
    <w:p w14:paraId="5F198CE8" w14:textId="77777777" w:rsidR="00DB25CE" w:rsidRDefault="00DB25CE">
      <w:pPr>
        <w:rPr>
          <w:rFonts w:ascii="Times New Roman" w:hAnsi="Times New Roman" w:cs="Times New Roman"/>
          <w:sz w:val="28"/>
          <w:szCs w:val="28"/>
        </w:rPr>
      </w:pPr>
    </w:p>
    <w:p w14:paraId="0CA955FC" w14:textId="77777777" w:rsidR="00DB25CE" w:rsidRDefault="00DB25CE">
      <w:pPr>
        <w:rPr>
          <w:rFonts w:ascii="Times New Roman" w:hAnsi="Times New Roman" w:cs="Times New Roman"/>
          <w:sz w:val="28"/>
          <w:szCs w:val="28"/>
        </w:rPr>
      </w:pPr>
    </w:p>
    <w:p w14:paraId="57D34618" w14:textId="77777777" w:rsidR="00DB25CE" w:rsidRDefault="00DB25CE">
      <w:pPr>
        <w:rPr>
          <w:rFonts w:ascii="Times New Roman" w:hAnsi="Times New Roman" w:cs="Times New Roman"/>
          <w:sz w:val="28"/>
          <w:szCs w:val="28"/>
        </w:rPr>
      </w:pPr>
    </w:p>
    <w:p w14:paraId="0D43C0D8" w14:textId="77777777" w:rsidR="00DB25CE" w:rsidRDefault="00DB25CE">
      <w:pPr>
        <w:rPr>
          <w:rFonts w:ascii="Times New Roman" w:hAnsi="Times New Roman" w:cs="Times New Roman"/>
          <w:sz w:val="28"/>
          <w:szCs w:val="28"/>
        </w:rPr>
      </w:pPr>
    </w:p>
    <w:p w14:paraId="5C74E6A6" w14:textId="77777777" w:rsidR="00DB25CE" w:rsidRDefault="00DB25CE">
      <w:pPr>
        <w:rPr>
          <w:rFonts w:ascii="Times New Roman" w:hAnsi="Times New Roman" w:cs="Times New Roman"/>
          <w:sz w:val="28"/>
          <w:szCs w:val="28"/>
        </w:rPr>
      </w:pPr>
    </w:p>
    <w:p w14:paraId="1582D0DE" w14:textId="77777777" w:rsidR="00DB25CE" w:rsidRDefault="00DB25CE">
      <w:pPr>
        <w:rPr>
          <w:rFonts w:ascii="Times New Roman" w:hAnsi="Times New Roman" w:cs="Times New Roman"/>
          <w:sz w:val="28"/>
          <w:szCs w:val="28"/>
        </w:rPr>
      </w:pPr>
    </w:p>
    <w:p w14:paraId="783E1E3D" w14:textId="77777777" w:rsidR="00DB25CE" w:rsidRDefault="00DB25CE">
      <w:pPr>
        <w:rPr>
          <w:rFonts w:ascii="Times New Roman" w:hAnsi="Times New Roman" w:cs="Times New Roman"/>
          <w:sz w:val="28"/>
          <w:szCs w:val="28"/>
        </w:rPr>
      </w:pPr>
    </w:p>
    <w:p w14:paraId="5FCE8189" w14:textId="77777777" w:rsidR="00DB25CE" w:rsidRDefault="00DB25CE">
      <w:pPr>
        <w:rPr>
          <w:rFonts w:ascii="Times New Roman" w:hAnsi="Times New Roman" w:cs="Times New Roman"/>
          <w:sz w:val="28"/>
          <w:szCs w:val="28"/>
        </w:rPr>
      </w:pPr>
    </w:p>
    <w:p w14:paraId="5891E944" w14:textId="77777777" w:rsidR="00DB25CE" w:rsidRDefault="00DB25CE">
      <w:pPr>
        <w:rPr>
          <w:rFonts w:ascii="Times New Roman" w:hAnsi="Times New Roman" w:cs="Times New Roman"/>
          <w:sz w:val="28"/>
          <w:szCs w:val="28"/>
        </w:rPr>
      </w:pPr>
    </w:p>
    <w:p w14:paraId="7C9C0A9B" w14:textId="77777777" w:rsidR="00DB25CE" w:rsidRDefault="00DB25CE">
      <w:pPr>
        <w:rPr>
          <w:rFonts w:ascii="Times New Roman" w:hAnsi="Times New Roman" w:cs="Times New Roman"/>
          <w:sz w:val="28"/>
          <w:szCs w:val="28"/>
        </w:rPr>
      </w:pPr>
    </w:p>
    <w:p w14:paraId="59A2CA20" w14:textId="77777777" w:rsidR="00DB25CE" w:rsidRDefault="00DB25CE">
      <w:pPr>
        <w:rPr>
          <w:rFonts w:ascii="Times New Roman" w:hAnsi="Times New Roman" w:cs="Times New Roman"/>
          <w:sz w:val="28"/>
          <w:szCs w:val="28"/>
        </w:rPr>
      </w:pPr>
    </w:p>
    <w:p w14:paraId="5825AD4D" w14:textId="77777777" w:rsidR="00DB25CE" w:rsidRDefault="00DB25CE">
      <w:pPr>
        <w:rPr>
          <w:rFonts w:ascii="Times New Roman" w:hAnsi="Times New Roman" w:cs="Times New Roman"/>
          <w:sz w:val="28"/>
          <w:szCs w:val="28"/>
        </w:rPr>
      </w:pPr>
    </w:p>
    <w:p w14:paraId="2E69024F" w14:textId="77777777" w:rsidR="00DB25CE" w:rsidRDefault="00DB25CE">
      <w:pPr>
        <w:rPr>
          <w:rFonts w:ascii="Times New Roman" w:hAnsi="Times New Roman" w:cs="Times New Roman"/>
          <w:sz w:val="28"/>
          <w:szCs w:val="28"/>
        </w:rPr>
      </w:pPr>
    </w:p>
    <w:p w14:paraId="6E7E5E23" w14:textId="77777777" w:rsidR="00DB25CE" w:rsidRDefault="00DB25CE">
      <w:pPr>
        <w:rPr>
          <w:rFonts w:ascii="Times New Roman" w:hAnsi="Times New Roman" w:cs="Times New Roman"/>
          <w:sz w:val="28"/>
          <w:szCs w:val="28"/>
        </w:rPr>
      </w:pPr>
    </w:p>
    <w:p w14:paraId="52F61076" w14:textId="77777777" w:rsidR="00DB25CE" w:rsidRDefault="00DB25CE">
      <w:pPr>
        <w:rPr>
          <w:rFonts w:ascii="Times New Roman" w:hAnsi="Times New Roman" w:cs="Times New Roman"/>
          <w:sz w:val="28"/>
          <w:szCs w:val="28"/>
        </w:rPr>
      </w:pPr>
    </w:p>
    <w:p w14:paraId="2559DE42" w14:textId="04EA0E24" w:rsidR="00DB25CE" w:rsidRPr="000F691F" w:rsidRDefault="00DB25CE">
      <w:pPr>
        <w:rPr>
          <w:rFonts w:ascii="Times New Roman" w:hAnsi="Times New Roman" w:cs="Times New Roman"/>
          <w:b/>
          <w:bCs/>
          <w:sz w:val="28"/>
          <w:szCs w:val="28"/>
        </w:rPr>
      </w:pPr>
      <w:r w:rsidRPr="000F691F">
        <w:rPr>
          <w:rFonts w:ascii="Times New Roman" w:hAnsi="Times New Roman" w:cs="Times New Roman"/>
          <w:b/>
          <w:bCs/>
          <w:sz w:val="28"/>
          <w:szCs w:val="28"/>
        </w:rPr>
        <w:t xml:space="preserve">Introduction </w:t>
      </w:r>
    </w:p>
    <w:p w14:paraId="4DEAC9E3" w14:textId="39481943" w:rsidR="00DB25CE" w:rsidRPr="000F691F" w:rsidRDefault="000F691F" w:rsidP="000F691F">
      <w:pPr>
        <w:spacing w:line="360" w:lineRule="auto"/>
        <w:jc w:val="both"/>
        <w:rPr>
          <w:rFonts w:ascii="Times New Roman" w:hAnsi="Times New Roman" w:cs="Times New Roman"/>
          <w:sz w:val="24"/>
          <w:szCs w:val="24"/>
        </w:rPr>
      </w:pPr>
      <w:r w:rsidRPr="000F691F">
        <w:rPr>
          <w:rFonts w:ascii="Times New Roman" w:hAnsi="Times New Roman" w:cs="Times New Roman"/>
          <w:sz w:val="24"/>
          <w:szCs w:val="24"/>
        </w:rPr>
        <w:t>The management of people involves the efficient guidance, supervision, and provision of assistance to staff members in order to attain personal, collective, and corporate objectives. Leadership is a fundamental concept in the field of people management, as it involves the establishment of unambiguous objectives and standards, the provision of assistance and direction to staff, and the cultivation of a constructive work environment. Motivation is another significant concept, as it involves comprehending their distinct requirements and ambitions and furnishing avenues for their advancement, maturation, and sense of worth. Effective communication is essential to establishing trust, cultivating a favourable work atmosphere, and guaranteeing that workers are well-informed and actively involved in their jobs. Performance management, employee engagement, diversity, and inclusion are significant concepts in the realm of personnel management, as they involve establishing unambiguous objectives and anticipations, furnishing consistent evaluations, and handling performance predicaments in a constructive and encouraging manner. The report aims to investigate the factors that contribute to employee turnover in the nursing profession in the UK and identify five monetary and five non-monetary existing retention strategies utilised by the NHS for nursing professionals and analyse each of these schemes critically. Also, will be give the suggestions, both in the near term and in the longer term, to increase nurse retention in order to minimise the nurse attrition rate in the UK and improve nurse retention.</w:t>
      </w:r>
    </w:p>
    <w:p w14:paraId="2D5A7DFA" w14:textId="4DF02C4B" w:rsidR="00DB25CE" w:rsidRPr="005E3706" w:rsidRDefault="00DB25CE">
      <w:pPr>
        <w:rPr>
          <w:rFonts w:ascii="Times New Roman" w:hAnsi="Times New Roman" w:cs="Times New Roman"/>
          <w:b/>
          <w:bCs/>
          <w:i/>
          <w:iCs/>
          <w:sz w:val="24"/>
          <w:szCs w:val="24"/>
          <w:u w:val="single"/>
        </w:rPr>
      </w:pPr>
      <w:r w:rsidRPr="005E3706">
        <w:rPr>
          <w:rFonts w:ascii="Times New Roman" w:hAnsi="Times New Roman" w:cs="Times New Roman"/>
          <w:b/>
          <w:bCs/>
          <w:i/>
          <w:iCs/>
          <w:sz w:val="24"/>
          <w:szCs w:val="24"/>
          <w:u w:val="single"/>
        </w:rPr>
        <w:t>The affects and effects of employee attrition within the Nursing Industry in the UK</w:t>
      </w:r>
    </w:p>
    <w:p w14:paraId="44BB744C" w14:textId="48D16BEC" w:rsidR="00DB25CE" w:rsidRPr="00DB25CE" w:rsidRDefault="00DB25CE" w:rsidP="00DB25CE">
      <w:pPr>
        <w:spacing w:line="360" w:lineRule="auto"/>
        <w:jc w:val="both"/>
        <w:rPr>
          <w:rFonts w:ascii="Times New Roman" w:hAnsi="Times New Roman" w:cs="Times New Roman"/>
          <w:sz w:val="24"/>
          <w:szCs w:val="24"/>
        </w:rPr>
      </w:pPr>
      <w:r w:rsidRPr="00DB25CE">
        <w:rPr>
          <w:rFonts w:ascii="Times New Roman" w:hAnsi="Times New Roman" w:cs="Times New Roman"/>
          <w:sz w:val="24"/>
          <w:szCs w:val="24"/>
        </w:rPr>
        <w:t xml:space="preserve">In recent years, employee turnover has emerged as a serious challenge for the nursing business in the United Kingdom (UK). During the twelve months leading up to June 2022, the National Health Service (NHS) had a total leave rate of 11.5%. This is the equivalent of one in nine nurses. This is high both in absolute numbers and in relation to the total number of workers, and it will have a substantial effect on the healthcare system in the United Kingdom. </w:t>
      </w:r>
      <w:r w:rsidR="008F363D">
        <w:rPr>
          <w:rFonts w:ascii="Times New Roman" w:hAnsi="Times New Roman" w:cs="Times New Roman"/>
          <w:sz w:val="24"/>
          <w:szCs w:val="24"/>
        </w:rPr>
        <w:t>(</w:t>
      </w:r>
      <w:r w:rsidR="008F363D" w:rsidRPr="008F363D">
        <w:rPr>
          <w:rFonts w:ascii="Times New Roman" w:hAnsi="Times New Roman" w:cs="Times New Roman"/>
          <w:i/>
          <w:iCs/>
          <w:sz w:val="24"/>
          <w:szCs w:val="24"/>
        </w:rPr>
        <w:t>digital.nhs.uk.data statistical, 202</w:t>
      </w:r>
      <w:r w:rsidR="008F363D">
        <w:rPr>
          <w:rFonts w:ascii="Times New Roman" w:hAnsi="Times New Roman" w:cs="Times New Roman"/>
          <w:i/>
          <w:iCs/>
          <w:sz w:val="24"/>
          <w:szCs w:val="24"/>
        </w:rPr>
        <w:t>2</w:t>
      </w:r>
      <w:r w:rsidR="008F363D">
        <w:rPr>
          <w:rFonts w:ascii="Times New Roman" w:hAnsi="Times New Roman" w:cs="Times New Roman"/>
          <w:sz w:val="24"/>
          <w:szCs w:val="24"/>
        </w:rPr>
        <w:t xml:space="preserve">). </w:t>
      </w:r>
      <w:r w:rsidRPr="00DB25CE">
        <w:rPr>
          <w:rFonts w:ascii="Times New Roman" w:hAnsi="Times New Roman" w:cs="Times New Roman"/>
          <w:sz w:val="24"/>
          <w:szCs w:val="24"/>
        </w:rPr>
        <w:t>Within the nursing sector in the UK, staff turnover may be attributed to a number of different factors. Burnout, which occurs often in the nursing profession, is one of the key causes. A nurse's physical and mental health might take a hit due to the demanding nature of their job, the long hours they are required to work, and the emotional stress that comes with providing care to patients</w:t>
      </w:r>
      <w:r>
        <w:rPr>
          <w:rFonts w:ascii="Times New Roman" w:hAnsi="Times New Roman" w:cs="Times New Roman"/>
          <w:sz w:val="24"/>
          <w:szCs w:val="24"/>
        </w:rPr>
        <w:t xml:space="preserve"> (</w:t>
      </w:r>
      <w:r w:rsidRPr="00DB25CE">
        <w:rPr>
          <w:rFonts w:ascii="Times New Roman" w:hAnsi="Times New Roman" w:cs="Times New Roman"/>
          <w:i/>
          <w:iCs/>
          <w:sz w:val="24"/>
          <w:szCs w:val="24"/>
        </w:rPr>
        <w:t>Nursing and Midwifery Council, 2022).</w:t>
      </w:r>
      <w:r w:rsidRPr="00DB25CE">
        <w:rPr>
          <w:rFonts w:ascii="Times New Roman" w:hAnsi="Times New Roman" w:cs="Times New Roman"/>
          <w:sz w:val="24"/>
          <w:szCs w:val="24"/>
        </w:rPr>
        <w:t xml:space="preserve"> The rate of burnout is especially high in community provider trusts and care trusts, which are organisations that offer closer health and social care services, primarily for older patients. This </w:t>
      </w:r>
      <w:r w:rsidRPr="00DB25CE">
        <w:rPr>
          <w:rFonts w:ascii="Times New Roman" w:hAnsi="Times New Roman" w:cs="Times New Roman"/>
          <w:sz w:val="24"/>
          <w:szCs w:val="24"/>
        </w:rPr>
        <w:lastRenderedPageBreak/>
        <w:t>is due to the fact that meeting the needs of older people who have complicated medical requirements may be very taxing, both physically and emotionally</w:t>
      </w:r>
      <w:r w:rsidR="008F363D">
        <w:rPr>
          <w:rFonts w:ascii="Times New Roman" w:hAnsi="Times New Roman" w:cs="Times New Roman"/>
          <w:sz w:val="24"/>
          <w:szCs w:val="24"/>
        </w:rPr>
        <w:t xml:space="preserve"> (</w:t>
      </w:r>
      <w:r w:rsidR="008F363D" w:rsidRPr="008F363D">
        <w:rPr>
          <w:rFonts w:ascii="Times New Roman" w:hAnsi="Times New Roman" w:cs="Times New Roman"/>
          <w:i/>
          <w:iCs/>
          <w:sz w:val="24"/>
          <w:szCs w:val="24"/>
        </w:rPr>
        <w:t>Shields and Ward, 2001).</w:t>
      </w:r>
    </w:p>
    <w:p w14:paraId="73B82B5A" w14:textId="5428B83A" w:rsidR="00DB25CE" w:rsidRPr="00DB25CE" w:rsidRDefault="00DB25CE" w:rsidP="00DB25CE">
      <w:pPr>
        <w:spacing w:line="360" w:lineRule="auto"/>
        <w:jc w:val="both"/>
        <w:rPr>
          <w:rFonts w:ascii="Times New Roman" w:hAnsi="Times New Roman" w:cs="Times New Roman"/>
          <w:sz w:val="24"/>
          <w:szCs w:val="24"/>
        </w:rPr>
      </w:pPr>
      <w:r w:rsidRPr="00DB25CE">
        <w:rPr>
          <w:rFonts w:ascii="Times New Roman" w:hAnsi="Times New Roman" w:cs="Times New Roman"/>
          <w:sz w:val="24"/>
          <w:szCs w:val="24"/>
        </w:rPr>
        <w:t>The combination of a low salary and bad working conditions is another factor that contributes to employee turnover. In addition to working long hours and dealing with challenging patients and co-workers, nurses often find that their salary and working circumstances do not adequately reflect the amount of professional expertise and personal responsibility that is expected of them</w:t>
      </w:r>
      <w:r w:rsidR="00F41AE8">
        <w:rPr>
          <w:rFonts w:ascii="Times New Roman" w:hAnsi="Times New Roman" w:cs="Times New Roman"/>
          <w:sz w:val="24"/>
          <w:szCs w:val="24"/>
        </w:rPr>
        <w:t xml:space="preserve"> (</w:t>
      </w:r>
      <w:r w:rsidR="00F41AE8" w:rsidRPr="00F41AE8">
        <w:rPr>
          <w:rFonts w:ascii="Times New Roman" w:hAnsi="Times New Roman" w:cs="Times New Roman"/>
          <w:i/>
          <w:iCs/>
          <w:sz w:val="24"/>
          <w:szCs w:val="24"/>
        </w:rPr>
        <w:t>Coomber and Barriball , 2007</w:t>
      </w:r>
      <w:r w:rsidR="00F41AE8">
        <w:rPr>
          <w:rFonts w:ascii="Times New Roman" w:hAnsi="Times New Roman" w:cs="Times New Roman"/>
          <w:sz w:val="24"/>
          <w:szCs w:val="24"/>
        </w:rPr>
        <w:t xml:space="preserve">). </w:t>
      </w:r>
      <w:r w:rsidRPr="00DB25CE">
        <w:rPr>
          <w:rFonts w:ascii="Times New Roman" w:hAnsi="Times New Roman" w:cs="Times New Roman"/>
          <w:sz w:val="24"/>
          <w:szCs w:val="24"/>
        </w:rPr>
        <w:t>As a consequence of this, many nurses have the experience of being devalued and unappreciated, which may result in a loss of motivation and the desire to quit the nursing profession.</w:t>
      </w:r>
      <w:r w:rsidR="008F363D">
        <w:rPr>
          <w:rFonts w:ascii="Times New Roman" w:hAnsi="Times New Roman" w:cs="Times New Roman"/>
          <w:sz w:val="24"/>
          <w:szCs w:val="24"/>
        </w:rPr>
        <w:t xml:space="preserve"> </w:t>
      </w:r>
      <w:r w:rsidRPr="00DB25CE">
        <w:rPr>
          <w:rFonts w:ascii="Times New Roman" w:hAnsi="Times New Roman" w:cs="Times New Roman"/>
          <w:sz w:val="24"/>
          <w:szCs w:val="24"/>
        </w:rPr>
        <w:t>The lack of possibilities for nurses to further their careers is another key issue that contributes to the high turnover rate of nurses. A great number of nurses have the impression that they have reached the pinnacle of their professional careers and that there is no further potential for progress. The absence of possibilities to advance in one's job might result in a loss of motivation as well as the desire to quit one's current line of work.</w:t>
      </w:r>
    </w:p>
    <w:p w14:paraId="4910C994" w14:textId="7703CC5A" w:rsidR="00DB25CE" w:rsidRPr="00DB25CE" w:rsidRDefault="00DB25CE" w:rsidP="00DB25CE">
      <w:pPr>
        <w:spacing w:line="360" w:lineRule="auto"/>
        <w:jc w:val="both"/>
        <w:rPr>
          <w:rFonts w:ascii="Times New Roman" w:hAnsi="Times New Roman" w:cs="Times New Roman"/>
          <w:sz w:val="24"/>
          <w:szCs w:val="24"/>
        </w:rPr>
      </w:pPr>
      <w:r w:rsidRPr="00DB25CE">
        <w:rPr>
          <w:rFonts w:ascii="Times New Roman" w:hAnsi="Times New Roman" w:cs="Times New Roman"/>
          <w:sz w:val="24"/>
          <w:szCs w:val="24"/>
        </w:rPr>
        <w:t xml:space="preserve">The number of people leaving their jobs in the nursing business in the UK has a number of repercussions for the nation's healthcare system. One of the principal repercussions is a lack of skilled nursing staff, which may lead to a decline in the overall quality of care provided to patients. This can be a significant problem. This may result in longer wait times, greater levels of patient discontent, and poorer clinical results for the patients. Due to the shortage of trained nurses, the remaining nurses are frequently required to take on additional duties and put in longer hours to make up for the </w:t>
      </w:r>
      <w:r w:rsidR="008F363D" w:rsidRPr="00DB25CE">
        <w:rPr>
          <w:rFonts w:ascii="Times New Roman" w:hAnsi="Times New Roman" w:cs="Times New Roman"/>
          <w:sz w:val="24"/>
          <w:szCs w:val="24"/>
        </w:rPr>
        <w:t>gap</w:t>
      </w:r>
      <w:r w:rsidR="00F41AE8">
        <w:rPr>
          <w:rFonts w:ascii="Times New Roman" w:hAnsi="Times New Roman" w:cs="Times New Roman"/>
          <w:sz w:val="24"/>
          <w:szCs w:val="24"/>
        </w:rPr>
        <w:t xml:space="preserve"> (</w:t>
      </w:r>
      <w:r w:rsidR="00F41AE8" w:rsidRPr="00F41AE8">
        <w:rPr>
          <w:rFonts w:ascii="Times New Roman" w:hAnsi="Times New Roman" w:cs="Times New Roman"/>
          <w:i/>
          <w:iCs/>
          <w:sz w:val="24"/>
          <w:szCs w:val="24"/>
        </w:rPr>
        <w:t>Alkahtani, 2015).</w:t>
      </w:r>
      <w:r w:rsidR="008F363D" w:rsidRPr="00DB25CE">
        <w:rPr>
          <w:rFonts w:ascii="Times New Roman" w:hAnsi="Times New Roman" w:cs="Times New Roman"/>
          <w:sz w:val="24"/>
          <w:szCs w:val="24"/>
        </w:rPr>
        <w:t>This</w:t>
      </w:r>
      <w:r w:rsidRPr="00DB25CE">
        <w:rPr>
          <w:rFonts w:ascii="Times New Roman" w:hAnsi="Times New Roman" w:cs="Times New Roman"/>
          <w:sz w:val="24"/>
          <w:szCs w:val="24"/>
        </w:rPr>
        <w:t xml:space="preserve"> may lead to increased stress and burnout among the surviving nurses.</w:t>
      </w:r>
      <w:r w:rsidR="008F363D">
        <w:rPr>
          <w:rFonts w:ascii="Times New Roman" w:hAnsi="Times New Roman" w:cs="Times New Roman"/>
          <w:sz w:val="24"/>
          <w:szCs w:val="24"/>
        </w:rPr>
        <w:t xml:space="preserve"> </w:t>
      </w:r>
      <w:r w:rsidRPr="00DB25CE">
        <w:rPr>
          <w:rFonts w:ascii="Times New Roman" w:hAnsi="Times New Roman" w:cs="Times New Roman"/>
          <w:sz w:val="24"/>
          <w:szCs w:val="24"/>
        </w:rPr>
        <w:t>The rising expense of recruiting and training new nurses is another consequence of the high turnover rate among nurses. It is possible that the costs associated with recruiting and training new nurses will be high, and doing so will divert time and resources away from the care of patients. This may also result in a decline in the quality of treatment provided since newly hired nurses may not have the same level of experience or expertise as their predecessors.</w:t>
      </w:r>
    </w:p>
    <w:p w14:paraId="37E1ABF8" w14:textId="504F5542" w:rsidR="00DB25CE" w:rsidRDefault="008F363D" w:rsidP="00DB25CE">
      <w:pPr>
        <w:spacing w:line="360" w:lineRule="auto"/>
        <w:jc w:val="both"/>
        <w:rPr>
          <w:rFonts w:ascii="Times New Roman" w:hAnsi="Times New Roman" w:cs="Times New Roman"/>
          <w:sz w:val="24"/>
          <w:szCs w:val="24"/>
        </w:rPr>
      </w:pPr>
      <w:r>
        <w:rPr>
          <w:rFonts w:ascii="Times New Roman" w:hAnsi="Times New Roman" w:cs="Times New Roman"/>
          <w:sz w:val="24"/>
          <w:szCs w:val="24"/>
        </w:rPr>
        <w:t>However</w:t>
      </w:r>
      <w:r w:rsidR="00DB25CE" w:rsidRPr="00DB25CE">
        <w:rPr>
          <w:rFonts w:ascii="Times New Roman" w:hAnsi="Times New Roman" w:cs="Times New Roman"/>
          <w:sz w:val="24"/>
          <w:szCs w:val="24"/>
        </w:rPr>
        <w:t>, staff turnover is a big problem in the nursing sector in the UK, which is caused by a variety of factors and has a range of negative repercussions. One of the key reasons for the high turnover rate in the nursing profession is the lack of opportunity for professional advancement, as well as factors such as burnout, low pay, and terrible working conditions. One of the key outcomes of nurse turnover is an increase in both the expense of recruiting and training new nurses as well as the number of trained nurses that are in short supply</w:t>
      </w:r>
      <w:r w:rsidR="00F41AE8">
        <w:rPr>
          <w:rFonts w:ascii="Times New Roman" w:hAnsi="Times New Roman" w:cs="Times New Roman"/>
          <w:sz w:val="24"/>
          <w:szCs w:val="24"/>
        </w:rPr>
        <w:t xml:space="preserve"> (</w:t>
      </w:r>
      <w:r w:rsidR="00F41AE8" w:rsidRPr="00F41AE8">
        <w:rPr>
          <w:rFonts w:ascii="Times New Roman" w:hAnsi="Times New Roman" w:cs="Times New Roman"/>
          <w:i/>
          <w:iCs/>
          <w:sz w:val="24"/>
          <w:szCs w:val="24"/>
        </w:rPr>
        <w:t>nhs-nursing-workforce, 2022).</w:t>
      </w:r>
      <w:r w:rsidR="00F41AE8">
        <w:rPr>
          <w:rFonts w:ascii="Times New Roman" w:hAnsi="Times New Roman" w:cs="Times New Roman"/>
          <w:sz w:val="24"/>
          <w:szCs w:val="24"/>
        </w:rPr>
        <w:t xml:space="preserve"> </w:t>
      </w:r>
      <w:r w:rsidR="00DB25CE" w:rsidRPr="00DB25CE">
        <w:rPr>
          <w:rFonts w:ascii="Times New Roman" w:hAnsi="Times New Roman" w:cs="Times New Roman"/>
          <w:sz w:val="24"/>
          <w:szCs w:val="24"/>
        </w:rPr>
        <w:t xml:space="preserve">It is essential for the healthcare business to address these challenges and put measures </w:t>
      </w:r>
      <w:r w:rsidR="00DB25CE" w:rsidRPr="00DB25CE">
        <w:rPr>
          <w:rFonts w:ascii="Times New Roman" w:hAnsi="Times New Roman" w:cs="Times New Roman"/>
          <w:sz w:val="24"/>
          <w:szCs w:val="24"/>
        </w:rPr>
        <w:lastRenderedPageBreak/>
        <w:t>in place to retain current nurses. These efforts might include improving salary and working conditions, creating chances for career advancement, and putting in place programmes to minimise stress and burnout.</w:t>
      </w:r>
    </w:p>
    <w:p w14:paraId="32EB6FC8" w14:textId="630C1D66" w:rsidR="000F691F" w:rsidRPr="005E3706" w:rsidRDefault="003C1ADE" w:rsidP="00DB25CE">
      <w:pPr>
        <w:spacing w:line="360" w:lineRule="auto"/>
        <w:jc w:val="both"/>
        <w:rPr>
          <w:rFonts w:ascii="Times New Roman" w:hAnsi="Times New Roman" w:cs="Times New Roman"/>
          <w:b/>
          <w:bCs/>
          <w:i/>
          <w:iCs/>
          <w:sz w:val="24"/>
          <w:szCs w:val="24"/>
          <w:u w:val="single"/>
        </w:rPr>
      </w:pPr>
      <w:r w:rsidRPr="005E3706">
        <w:rPr>
          <w:rFonts w:ascii="Times New Roman" w:hAnsi="Times New Roman" w:cs="Times New Roman"/>
          <w:b/>
          <w:bCs/>
          <w:i/>
          <w:iCs/>
          <w:sz w:val="24"/>
          <w:szCs w:val="24"/>
          <w:u w:val="single"/>
        </w:rPr>
        <w:t>Identification of  five monetary and five non-monetary existing retention schemes used by NHS for  Nursing professionals</w:t>
      </w:r>
    </w:p>
    <w:p w14:paraId="7D47C05D" w14:textId="21D7F572" w:rsidR="003C1ADE" w:rsidRDefault="003C1ADE" w:rsidP="00DB25CE">
      <w:pPr>
        <w:spacing w:line="360" w:lineRule="auto"/>
        <w:jc w:val="both"/>
        <w:rPr>
          <w:rFonts w:ascii="Times New Roman" w:hAnsi="Times New Roman" w:cs="Times New Roman"/>
          <w:sz w:val="24"/>
          <w:szCs w:val="24"/>
        </w:rPr>
      </w:pPr>
      <w:r w:rsidRPr="003C1ADE">
        <w:rPr>
          <w:rFonts w:ascii="Times New Roman" w:hAnsi="Times New Roman" w:cs="Times New Roman"/>
          <w:sz w:val="24"/>
          <w:szCs w:val="24"/>
        </w:rPr>
        <w:t>The National Health Service (NHS) in the United Kingdom (UK) is having trouble retaining nursing staff, which presents a considerable issue. The National Health Service (NHS) has developed a number of retention programmes in order to solve this difficulty and encourage nurses to remain employed with the organisation</w:t>
      </w:r>
      <w:r w:rsidR="00D801F4">
        <w:rPr>
          <w:rFonts w:ascii="Times New Roman" w:hAnsi="Times New Roman" w:cs="Times New Roman"/>
          <w:sz w:val="24"/>
          <w:szCs w:val="24"/>
        </w:rPr>
        <w:t xml:space="preserve"> (</w:t>
      </w:r>
      <w:r w:rsidR="00D801F4" w:rsidRPr="00D801F4">
        <w:rPr>
          <w:rFonts w:ascii="Times New Roman" w:hAnsi="Times New Roman" w:cs="Times New Roman"/>
          <w:i/>
          <w:iCs/>
          <w:sz w:val="24"/>
          <w:szCs w:val="24"/>
        </w:rPr>
        <w:t>Dhanabhakyam and Kokilambal, 2014).</w:t>
      </w:r>
    </w:p>
    <w:p w14:paraId="02D7C0E5" w14:textId="038675CB" w:rsidR="003C1ADE" w:rsidRPr="005E3706" w:rsidRDefault="003C1ADE" w:rsidP="00DB25CE">
      <w:pPr>
        <w:spacing w:line="360" w:lineRule="auto"/>
        <w:jc w:val="both"/>
        <w:rPr>
          <w:rFonts w:ascii="Times New Roman" w:hAnsi="Times New Roman" w:cs="Times New Roman"/>
          <w:b/>
          <w:bCs/>
          <w:i/>
          <w:iCs/>
          <w:sz w:val="24"/>
          <w:szCs w:val="24"/>
          <w:u w:val="single"/>
        </w:rPr>
      </w:pPr>
      <w:r w:rsidRPr="005E3706">
        <w:rPr>
          <w:rFonts w:ascii="Times New Roman" w:hAnsi="Times New Roman" w:cs="Times New Roman"/>
          <w:b/>
          <w:bCs/>
          <w:i/>
          <w:iCs/>
          <w:sz w:val="24"/>
          <w:szCs w:val="24"/>
          <w:u w:val="single"/>
        </w:rPr>
        <w:t>Monetary Retention Schemes</w:t>
      </w:r>
    </w:p>
    <w:p w14:paraId="68EA0816" w14:textId="55C67926" w:rsidR="003C1ADE" w:rsidRPr="003C1ADE" w:rsidRDefault="003C1ADE" w:rsidP="003C1ADE">
      <w:pPr>
        <w:spacing w:line="360" w:lineRule="auto"/>
        <w:jc w:val="both"/>
        <w:rPr>
          <w:rFonts w:ascii="Times New Roman" w:hAnsi="Times New Roman" w:cs="Times New Roman"/>
          <w:sz w:val="24"/>
          <w:szCs w:val="24"/>
        </w:rPr>
      </w:pPr>
      <w:r w:rsidRPr="003C1ADE">
        <w:rPr>
          <w:rFonts w:ascii="Times New Roman" w:hAnsi="Times New Roman" w:cs="Times New Roman"/>
          <w:b/>
          <w:bCs/>
          <w:sz w:val="24"/>
          <w:szCs w:val="24"/>
        </w:rPr>
        <w:t>Increases in Salary</w:t>
      </w:r>
      <w:r>
        <w:rPr>
          <w:rFonts w:ascii="Times New Roman" w:hAnsi="Times New Roman" w:cs="Times New Roman"/>
          <w:sz w:val="24"/>
          <w:szCs w:val="24"/>
        </w:rPr>
        <w:t xml:space="preserve">. </w:t>
      </w:r>
      <w:r w:rsidRPr="003C1ADE">
        <w:rPr>
          <w:rFonts w:ascii="Times New Roman" w:hAnsi="Times New Roman" w:cs="Times New Roman"/>
          <w:sz w:val="24"/>
          <w:szCs w:val="24"/>
        </w:rPr>
        <w:t>The National Health Service (NHS) often makes use of increases in salaries as one of its monetary retention strategies. By offering them a higher salary than they were previously receiving, this plan hopes to persuade registered nurses to stay with the company</w:t>
      </w:r>
      <w:r w:rsidR="00D801F4">
        <w:rPr>
          <w:rFonts w:ascii="Times New Roman" w:hAnsi="Times New Roman" w:cs="Times New Roman"/>
          <w:sz w:val="24"/>
          <w:szCs w:val="24"/>
        </w:rPr>
        <w:t xml:space="preserve"> (</w:t>
      </w:r>
      <w:r w:rsidR="00D801F4" w:rsidRPr="00D801F4">
        <w:rPr>
          <w:rFonts w:ascii="Times New Roman" w:hAnsi="Times New Roman" w:cs="Times New Roman"/>
          <w:i/>
          <w:iCs/>
          <w:sz w:val="24"/>
          <w:szCs w:val="24"/>
        </w:rPr>
        <w:t>nhs-nursing-workforce, 2022).</w:t>
      </w:r>
      <w:r w:rsidR="00D801F4" w:rsidRPr="00D801F4">
        <w:rPr>
          <w:rFonts w:ascii="Times New Roman" w:hAnsi="Times New Roman" w:cs="Times New Roman"/>
          <w:sz w:val="24"/>
          <w:szCs w:val="24"/>
        </w:rPr>
        <w:t xml:space="preserve"> </w:t>
      </w:r>
      <w:r w:rsidRPr="003C1ADE">
        <w:rPr>
          <w:rFonts w:ascii="Times New Roman" w:hAnsi="Times New Roman" w:cs="Times New Roman"/>
          <w:sz w:val="24"/>
          <w:szCs w:val="24"/>
        </w:rPr>
        <w:t xml:space="preserve"> Although this programme is successful in keeping nurses, the National Health Service (NHS) may not be able to afford to continue with it in the long run because of its high cost.</w:t>
      </w:r>
    </w:p>
    <w:p w14:paraId="75451B51" w14:textId="467056B4" w:rsidR="003C1ADE" w:rsidRPr="003C1ADE" w:rsidRDefault="003C1ADE" w:rsidP="003C1ADE">
      <w:pPr>
        <w:spacing w:line="360" w:lineRule="auto"/>
        <w:jc w:val="both"/>
        <w:rPr>
          <w:rFonts w:ascii="Times New Roman" w:hAnsi="Times New Roman" w:cs="Times New Roman"/>
          <w:sz w:val="24"/>
          <w:szCs w:val="24"/>
        </w:rPr>
      </w:pPr>
      <w:r w:rsidRPr="003C1ADE">
        <w:rPr>
          <w:rFonts w:ascii="Times New Roman" w:hAnsi="Times New Roman" w:cs="Times New Roman"/>
          <w:b/>
          <w:bCs/>
          <w:sz w:val="24"/>
          <w:szCs w:val="24"/>
        </w:rPr>
        <w:t>Sign-on incentives:</w:t>
      </w:r>
      <w:r w:rsidRPr="003C1ADE">
        <w:rPr>
          <w:rFonts w:ascii="Times New Roman" w:hAnsi="Times New Roman" w:cs="Times New Roman"/>
          <w:sz w:val="24"/>
          <w:szCs w:val="24"/>
        </w:rPr>
        <w:t xml:space="preserve"> Sign-on incentives are an additional method of monetary retention that is used by the NHS. This plan entails making additional payments in the form of bonuses to any new nurses who sign up with the company. When it comes to keeping nurses on staff over the long run, sign-on incentives may not be as beneficial as they are when it comes to luring new nurses in the short term.</w:t>
      </w:r>
      <w:r w:rsidR="00D801F4" w:rsidRPr="00D801F4">
        <w:rPr>
          <w:rFonts w:ascii="Times New Roman" w:hAnsi="Times New Roman" w:cs="Times New Roman"/>
          <w:sz w:val="24"/>
          <w:szCs w:val="24"/>
        </w:rPr>
        <w:t xml:space="preserve"> </w:t>
      </w:r>
      <w:r w:rsidR="00D801F4">
        <w:rPr>
          <w:rFonts w:ascii="Times New Roman" w:hAnsi="Times New Roman" w:cs="Times New Roman"/>
          <w:sz w:val="24"/>
          <w:szCs w:val="24"/>
        </w:rPr>
        <w:t>(</w:t>
      </w:r>
      <w:r w:rsidR="00D801F4" w:rsidRPr="00D801F4">
        <w:rPr>
          <w:rFonts w:ascii="Times New Roman" w:hAnsi="Times New Roman" w:cs="Times New Roman"/>
          <w:i/>
          <w:iCs/>
          <w:sz w:val="24"/>
          <w:szCs w:val="24"/>
        </w:rPr>
        <w:t>Macinati, 2008).</w:t>
      </w:r>
    </w:p>
    <w:p w14:paraId="7735DEC5" w14:textId="79C40DA5" w:rsidR="003C1ADE" w:rsidRPr="00D801F4" w:rsidRDefault="003C1ADE" w:rsidP="003C1ADE">
      <w:pPr>
        <w:spacing w:line="360" w:lineRule="auto"/>
        <w:jc w:val="both"/>
        <w:rPr>
          <w:rFonts w:ascii="Times New Roman" w:hAnsi="Times New Roman" w:cs="Times New Roman"/>
          <w:i/>
          <w:iCs/>
          <w:sz w:val="24"/>
          <w:szCs w:val="24"/>
        </w:rPr>
      </w:pPr>
      <w:r w:rsidRPr="003C1ADE">
        <w:rPr>
          <w:rFonts w:ascii="Times New Roman" w:hAnsi="Times New Roman" w:cs="Times New Roman"/>
          <w:b/>
          <w:bCs/>
          <w:sz w:val="24"/>
          <w:szCs w:val="24"/>
        </w:rPr>
        <w:t>Education and Training Reimbursement.</w:t>
      </w:r>
      <w:r>
        <w:rPr>
          <w:rFonts w:ascii="Times New Roman" w:hAnsi="Times New Roman" w:cs="Times New Roman"/>
          <w:b/>
          <w:bCs/>
          <w:sz w:val="24"/>
          <w:szCs w:val="24"/>
        </w:rPr>
        <w:t xml:space="preserve"> </w:t>
      </w:r>
      <w:r w:rsidRPr="003C1ADE">
        <w:rPr>
          <w:rFonts w:ascii="Times New Roman" w:hAnsi="Times New Roman" w:cs="Times New Roman"/>
          <w:sz w:val="24"/>
          <w:szCs w:val="24"/>
        </w:rPr>
        <w:t>The Education and Training Reimbursement Programme is a monetary retention system used by the NHS to encourage registered nurses to continue their education and abilities. Even though this programme is efficient in fostering professional growth, it may not be enough to address the fundamental issues that lead to nurse turnover, such as job exhaustion and a dearth of possibilities for career advancement</w:t>
      </w:r>
      <w:r w:rsidR="00D801F4" w:rsidRPr="00D801F4">
        <w:t xml:space="preserve"> </w:t>
      </w:r>
      <w:r w:rsidR="00D801F4">
        <w:t>(</w:t>
      </w:r>
      <w:r w:rsidR="00D801F4" w:rsidRPr="00D801F4">
        <w:rPr>
          <w:rFonts w:ascii="Times New Roman" w:hAnsi="Times New Roman" w:cs="Times New Roman"/>
          <w:i/>
          <w:iCs/>
          <w:sz w:val="24"/>
          <w:szCs w:val="24"/>
        </w:rPr>
        <w:t>World Health Organization, 2010).</w:t>
      </w:r>
    </w:p>
    <w:p w14:paraId="68B01E94" w14:textId="77777777" w:rsidR="003C1ADE" w:rsidRPr="003C1ADE" w:rsidRDefault="003C1ADE" w:rsidP="003C1ADE">
      <w:pPr>
        <w:spacing w:line="360" w:lineRule="auto"/>
        <w:jc w:val="both"/>
        <w:rPr>
          <w:rFonts w:ascii="Times New Roman" w:hAnsi="Times New Roman" w:cs="Times New Roman"/>
          <w:sz w:val="24"/>
          <w:szCs w:val="24"/>
        </w:rPr>
      </w:pPr>
      <w:r w:rsidRPr="003C1ADE">
        <w:rPr>
          <w:rFonts w:ascii="Times New Roman" w:hAnsi="Times New Roman" w:cs="Times New Roman"/>
          <w:b/>
          <w:bCs/>
          <w:sz w:val="24"/>
          <w:szCs w:val="24"/>
        </w:rPr>
        <w:t>Retirement Plans:</w:t>
      </w:r>
      <w:r w:rsidRPr="003C1ADE">
        <w:rPr>
          <w:rFonts w:ascii="Times New Roman" w:hAnsi="Times New Roman" w:cs="Times New Roman"/>
          <w:sz w:val="24"/>
          <w:szCs w:val="24"/>
        </w:rPr>
        <w:t xml:space="preserve"> Another method of monetary retention used by the NHS is known as retirement plans. Retirement plans include things like payments to pension plans or other retirement savings programmes. Plans for retirement may be useful in keeping nurses over the long run, but they might not be as appealing to younger nurses, who might not be ready to think about retirement just yet.</w:t>
      </w:r>
    </w:p>
    <w:p w14:paraId="34523C1F" w14:textId="47920D13" w:rsidR="003C1ADE" w:rsidRDefault="003C1ADE" w:rsidP="003C1ADE">
      <w:pPr>
        <w:spacing w:line="360" w:lineRule="auto"/>
        <w:jc w:val="both"/>
        <w:rPr>
          <w:rFonts w:ascii="Times New Roman" w:hAnsi="Times New Roman" w:cs="Times New Roman"/>
          <w:sz w:val="24"/>
          <w:szCs w:val="24"/>
        </w:rPr>
      </w:pPr>
      <w:r w:rsidRPr="003C1ADE">
        <w:rPr>
          <w:rFonts w:ascii="Times New Roman" w:hAnsi="Times New Roman" w:cs="Times New Roman"/>
          <w:b/>
          <w:bCs/>
          <w:sz w:val="24"/>
          <w:szCs w:val="24"/>
        </w:rPr>
        <w:t>Relocation aid The National Health Service (NHS</w:t>
      </w:r>
      <w:r w:rsidRPr="003C1ADE">
        <w:rPr>
          <w:rFonts w:ascii="Times New Roman" w:hAnsi="Times New Roman" w:cs="Times New Roman"/>
          <w:sz w:val="24"/>
          <w:szCs w:val="24"/>
        </w:rPr>
        <w:t>) has a financial retention programme called relocation aid that is designed to help nurses who are contemplating quitting the organisation because of a transfer. It is possible that providing relocation help is not a viable retention strategy for all nurses, despite the fact that it is a successful method for keeping nurses who would otherwise quit the organisation.</w:t>
      </w:r>
    </w:p>
    <w:p w14:paraId="31DF92C0" w14:textId="77777777" w:rsidR="003C1ADE" w:rsidRPr="005E3706" w:rsidRDefault="003C1ADE" w:rsidP="003C1ADE">
      <w:pPr>
        <w:spacing w:line="360" w:lineRule="auto"/>
        <w:jc w:val="both"/>
        <w:rPr>
          <w:rFonts w:ascii="Times New Roman" w:hAnsi="Times New Roman" w:cs="Times New Roman"/>
          <w:b/>
          <w:bCs/>
          <w:i/>
          <w:iCs/>
          <w:sz w:val="24"/>
          <w:szCs w:val="24"/>
          <w:u w:val="single"/>
        </w:rPr>
      </w:pPr>
      <w:r w:rsidRPr="005E3706">
        <w:rPr>
          <w:rFonts w:ascii="Times New Roman" w:hAnsi="Times New Roman" w:cs="Times New Roman"/>
          <w:b/>
          <w:bCs/>
          <w:i/>
          <w:iCs/>
          <w:sz w:val="24"/>
          <w:szCs w:val="24"/>
          <w:u w:val="single"/>
        </w:rPr>
        <w:t>Non-Monetary Retention Schemes</w:t>
      </w:r>
    </w:p>
    <w:p w14:paraId="690DA0BF" w14:textId="77777777" w:rsidR="003C1ADE" w:rsidRPr="003C1ADE" w:rsidRDefault="003C1ADE" w:rsidP="003C1ADE">
      <w:pPr>
        <w:spacing w:line="360" w:lineRule="auto"/>
        <w:jc w:val="both"/>
        <w:rPr>
          <w:rFonts w:ascii="Times New Roman" w:hAnsi="Times New Roman" w:cs="Times New Roman"/>
          <w:sz w:val="24"/>
          <w:szCs w:val="24"/>
        </w:rPr>
      </w:pPr>
      <w:r w:rsidRPr="003C1ADE">
        <w:rPr>
          <w:rFonts w:ascii="Times New Roman" w:hAnsi="Times New Roman" w:cs="Times New Roman"/>
          <w:sz w:val="24"/>
          <w:szCs w:val="24"/>
        </w:rPr>
        <w:t>The National Health Service (NHS) makes use of non-monetary retention strategies, such as flexible work arrangements, which include flexible scheduling, job sharing, and telecommuting, among other options. Although these programmes have the potential to be successful in enhancing work-life balance and increasing employee happiness, it is possible that they cannot be implemented in all workplaces.</w:t>
      </w:r>
    </w:p>
    <w:p w14:paraId="4ADCA6CA" w14:textId="046686F8" w:rsidR="003C1ADE" w:rsidRPr="003C1ADE" w:rsidRDefault="003C1ADE" w:rsidP="003C1ADE">
      <w:pPr>
        <w:spacing w:line="360" w:lineRule="auto"/>
        <w:jc w:val="both"/>
        <w:rPr>
          <w:rFonts w:ascii="Times New Roman" w:hAnsi="Times New Roman" w:cs="Times New Roman"/>
          <w:sz w:val="24"/>
          <w:szCs w:val="24"/>
        </w:rPr>
      </w:pPr>
      <w:r w:rsidRPr="003C1ADE">
        <w:rPr>
          <w:rFonts w:ascii="Times New Roman" w:hAnsi="Times New Roman" w:cs="Times New Roman"/>
          <w:sz w:val="24"/>
          <w:szCs w:val="24"/>
        </w:rPr>
        <w:t xml:space="preserve">The National Health Service (NHS) utilises a variety of non-monetary retention strategies, including </w:t>
      </w:r>
      <w:r w:rsidRPr="00D801F4">
        <w:rPr>
          <w:rFonts w:ascii="Times New Roman" w:hAnsi="Times New Roman" w:cs="Times New Roman"/>
          <w:b/>
          <w:bCs/>
          <w:sz w:val="24"/>
          <w:szCs w:val="24"/>
        </w:rPr>
        <w:t>professional development opportunities</w:t>
      </w:r>
      <w:r w:rsidRPr="003C1ADE">
        <w:rPr>
          <w:rFonts w:ascii="Times New Roman" w:hAnsi="Times New Roman" w:cs="Times New Roman"/>
          <w:sz w:val="24"/>
          <w:szCs w:val="24"/>
        </w:rPr>
        <w:t>. These non-monetary retention strategies include continuing education, mentorship, coaching, and leadership training. While these programmes are beneficial in encouraging professional growth, it is possible that they are not adequate in addressing the fundamental reasons for nurse turnover, such as poor pay and a lack of possibilities for career promotion.</w:t>
      </w:r>
      <w:r w:rsidR="006F06AB" w:rsidRPr="006F06AB">
        <w:rPr>
          <w:rFonts w:ascii="Times New Roman" w:hAnsi="Times New Roman" w:cs="Times New Roman"/>
          <w:sz w:val="24"/>
          <w:szCs w:val="24"/>
        </w:rPr>
        <w:t xml:space="preserve"> </w:t>
      </w:r>
      <w:r w:rsidR="006F06AB">
        <w:rPr>
          <w:rFonts w:ascii="Times New Roman" w:hAnsi="Times New Roman" w:cs="Times New Roman"/>
          <w:sz w:val="24"/>
          <w:szCs w:val="24"/>
        </w:rPr>
        <w:t>(</w:t>
      </w:r>
      <w:r w:rsidR="006F06AB" w:rsidRPr="006F06AB">
        <w:rPr>
          <w:rFonts w:ascii="Times New Roman" w:hAnsi="Times New Roman" w:cs="Times New Roman"/>
          <w:i/>
          <w:iCs/>
          <w:sz w:val="24"/>
          <w:szCs w:val="24"/>
        </w:rPr>
        <w:t>Dhanabhakyam and Kokilambal, 2014).</w:t>
      </w:r>
    </w:p>
    <w:p w14:paraId="0DF76056" w14:textId="77777777" w:rsidR="003C1ADE" w:rsidRPr="003C1ADE" w:rsidRDefault="003C1ADE" w:rsidP="003C1ADE">
      <w:pPr>
        <w:spacing w:line="360" w:lineRule="auto"/>
        <w:jc w:val="both"/>
        <w:rPr>
          <w:rFonts w:ascii="Times New Roman" w:hAnsi="Times New Roman" w:cs="Times New Roman"/>
          <w:sz w:val="24"/>
          <w:szCs w:val="24"/>
        </w:rPr>
      </w:pPr>
      <w:r w:rsidRPr="003C1ADE">
        <w:rPr>
          <w:rFonts w:ascii="Times New Roman" w:hAnsi="Times New Roman" w:cs="Times New Roman"/>
          <w:sz w:val="24"/>
          <w:szCs w:val="24"/>
        </w:rPr>
        <w:t xml:space="preserve">The National Health Service (NHS) uses a variety of non-financial retention strategies, including </w:t>
      </w:r>
      <w:r w:rsidRPr="00D801F4">
        <w:rPr>
          <w:rFonts w:ascii="Times New Roman" w:hAnsi="Times New Roman" w:cs="Times New Roman"/>
          <w:b/>
          <w:bCs/>
          <w:sz w:val="24"/>
          <w:szCs w:val="24"/>
        </w:rPr>
        <w:t>verbal praise, public recognition, prizes, and other incentives, as well as recognition and rewards programmes.</w:t>
      </w:r>
      <w:r w:rsidRPr="003C1ADE">
        <w:rPr>
          <w:rFonts w:ascii="Times New Roman" w:hAnsi="Times New Roman" w:cs="Times New Roman"/>
          <w:sz w:val="24"/>
          <w:szCs w:val="24"/>
        </w:rPr>
        <w:t xml:space="preserve"> Although these programmes have the potential to be successful in increasing employee engagement and pleasure on the job, it is possible that they will not be adequate in addressing the underlying reasons for nurse turnover.</w:t>
      </w:r>
    </w:p>
    <w:p w14:paraId="66378B9F" w14:textId="277D6C04" w:rsidR="003C1ADE" w:rsidRPr="003C1ADE" w:rsidRDefault="003C1ADE" w:rsidP="003C1ADE">
      <w:pPr>
        <w:spacing w:line="360" w:lineRule="auto"/>
        <w:jc w:val="both"/>
        <w:rPr>
          <w:rFonts w:ascii="Times New Roman" w:hAnsi="Times New Roman" w:cs="Times New Roman"/>
          <w:sz w:val="24"/>
          <w:szCs w:val="24"/>
        </w:rPr>
      </w:pPr>
      <w:r w:rsidRPr="00D801F4">
        <w:rPr>
          <w:rFonts w:ascii="Times New Roman" w:hAnsi="Times New Roman" w:cs="Times New Roman"/>
          <w:b/>
          <w:bCs/>
          <w:sz w:val="24"/>
          <w:szCs w:val="24"/>
        </w:rPr>
        <w:t>Work-Life Balance Programmes</w:t>
      </w:r>
      <w:r w:rsidR="00D801F4">
        <w:rPr>
          <w:rFonts w:ascii="Times New Roman" w:hAnsi="Times New Roman" w:cs="Times New Roman"/>
          <w:b/>
          <w:bCs/>
          <w:sz w:val="24"/>
          <w:szCs w:val="24"/>
        </w:rPr>
        <w:t>.</w:t>
      </w:r>
      <w:r w:rsidRPr="003C1ADE">
        <w:rPr>
          <w:rFonts w:ascii="Times New Roman" w:hAnsi="Times New Roman" w:cs="Times New Roman"/>
          <w:sz w:val="24"/>
          <w:szCs w:val="24"/>
        </w:rPr>
        <w:t xml:space="preserve"> The NHS uses a variety of non-monetary retention strategies, including work-life balance programmes such as support with eldercare, childcare, or wellness programmes. Although these programmes have the potential to be successful in increasing work-life balance and employee happiness, it is possible that they will require a large investment of resources and may not be applicable in all workplaces.</w:t>
      </w:r>
    </w:p>
    <w:p w14:paraId="7BF43E6E" w14:textId="0E95C8C5" w:rsidR="003C1ADE" w:rsidRDefault="003C1ADE" w:rsidP="003C1ADE">
      <w:pPr>
        <w:spacing w:line="360" w:lineRule="auto"/>
        <w:jc w:val="both"/>
        <w:rPr>
          <w:rFonts w:ascii="Times New Roman" w:hAnsi="Times New Roman" w:cs="Times New Roman"/>
          <w:sz w:val="24"/>
          <w:szCs w:val="24"/>
        </w:rPr>
      </w:pPr>
      <w:r w:rsidRPr="00D801F4">
        <w:rPr>
          <w:rFonts w:ascii="Times New Roman" w:hAnsi="Times New Roman" w:cs="Times New Roman"/>
          <w:b/>
          <w:bCs/>
          <w:sz w:val="24"/>
          <w:szCs w:val="24"/>
        </w:rPr>
        <w:t>Staff Engagement Programmes:</w:t>
      </w:r>
      <w:r w:rsidRPr="003C1ADE">
        <w:rPr>
          <w:rFonts w:ascii="Times New Roman" w:hAnsi="Times New Roman" w:cs="Times New Roman"/>
          <w:sz w:val="24"/>
          <w:szCs w:val="24"/>
        </w:rPr>
        <w:t xml:space="preserve"> The National Health Service (NHS) uses non-monetary retention strategies, such as staff engagement programmes, which include activities such as </w:t>
      </w:r>
      <w:r w:rsidR="00D801F4" w:rsidRPr="003C1ADE">
        <w:rPr>
          <w:rFonts w:ascii="Times New Roman" w:hAnsi="Times New Roman" w:cs="Times New Roman"/>
          <w:sz w:val="24"/>
          <w:szCs w:val="24"/>
        </w:rPr>
        <w:t>team building</w:t>
      </w:r>
      <w:r w:rsidRPr="003C1ADE">
        <w:rPr>
          <w:rFonts w:ascii="Times New Roman" w:hAnsi="Times New Roman" w:cs="Times New Roman"/>
          <w:sz w:val="24"/>
          <w:szCs w:val="24"/>
        </w:rPr>
        <w:t>, employee feedback, and employee appreciation programmes.</w:t>
      </w:r>
      <w:r w:rsidR="006F06AB" w:rsidRPr="006F06AB">
        <w:rPr>
          <w:rFonts w:ascii="Times New Roman" w:hAnsi="Times New Roman" w:cs="Times New Roman"/>
          <w:sz w:val="24"/>
          <w:szCs w:val="24"/>
        </w:rPr>
        <w:t xml:space="preserve"> </w:t>
      </w:r>
      <w:r w:rsidR="006F06AB">
        <w:rPr>
          <w:rFonts w:ascii="Times New Roman" w:hAnsi="Times New Roman" w:cs="Times New Roman"/>
          <w:sz w:val="24"/>
          <w:szCs w:val="24"/>
        </w:rPr>
        <w:t>(</w:t>
      </w:r>
      <w:r w:rsidR="006F06AB" w:rsidRPr="006F06AB">
        <w:rPr>
          <w:rFonts w:ascii="Times New Roman" w:hAnsi="Times New Roman" w:cs="Times New Roman"/>
          <w:i/>
          <w:iCs/>
          <w:sz w:val="24"/>
          <w:szCs w:val="24"/>
        </w:rPr>
        <w:t>Fapohunda, et. al., 2009).</w:t>
      </w:r>
      <w:r w:rsidRPr="003C1ADE">
        <w:rPr>
          <w:rFonts w:ascii="Times New Roman" w:hAnsi="Times New Roman" w:cs="Times New Roman"/>
          <w:sz w:val="24"/>
          <w:szCs w:val="24"/>
        </w:rPr>
        <w:t xml:space="preserve"> Although these programmes have the potential to be successful in increasing employee engagement and pleasure on the job, it is possible that they will not be adequate in addressing the underlying reasons for nurse turnover.</w:t>
      </w:r>
    </w:p>
    <w:p w14:paraId="2A94BEF4" w14:textId="77777777" w:rsidR="005E3706" w:rsidRPr="005E3706" w:rsidRDefault="005E3706" w:rsidP="005E3706">
      <w:pPr>
        <w:spacing w:line="360" w:lineRule="auto"/>
        <w:jc w:val="both"/>
        <w:rPr>
          <w:rFonts w:ascii="Times New Roman" w:hAnsi="Times New Roman" w:cs="Times New Roman"/>
          <w:b/>
          <w:bCs/>
          <w:i/>
          <w:iCs/>
          <w:sz w:val="24"/>
          <w:szCs w:val="24"/>
          <w:u w:val="single"/>
        </w:rPr>
      </w:pPr>
      <w:r w:rsidRPr="005E3706">
        <w:rPr>
          <w:rFonts w:ascii="Times New Roman" w:hAnsi="Times New Roman" w:cs="Times New Roman"/>
          <w:b/>
          <w:bCs/>
          <w:i/>
          <w:iCs/>
          <w:sz w:val="24"/>
          <w:szCs w:val="24"/>
          <w:u w:val="single"/>
        </w:rPr>
        <w:t>Recommendations to raise the number of registered nurses who stay in their jobs in the short term:</w:t>
      </w:r>
    </w:p>
    <w:p w14:paraId="276E659E" w14:textId="0ED7A31C" w:rsidR="005E3706" w:rsidRPr="005E3706" w:rsidRDefault="005E3706" w:rsidP="005E3706">
      <w:pPr>
        <w:spacing w:line="360" w:lineRule="auto"/>
        <w:jc w:val="both"/>
        <w:rPr>
          <w:rFonts w:ascii="Times New Roman" w:hAnsi="Times New Roman" w:cs="Times New Roman"/>
          <w:sz w:val="24"/>
          <w:szCs w:val="24"/>
        </w:rPr>
      </w:pPr>
      <w:r w:rsidRPr="005E3706">
        <w:rPr>
          <w:rFonts w:ascii="Times New Roman" w:hAnsi="Times New Roman" w:cs="Times New Roman"/>
          <w:b/>
          <w:bCs/>
          <w:sz w:val="24"/>
          <w:szCs w:val="24"/>
        </w:rPr>
        <w:t>Raise wages</w:t>
      </w:r>
      <w:r w:rsidRPr="005E3706">
        <w:rPr>
          <w:rFonts w:ascii="Times New Roman" w:hAnsi="Times New Roman" w:cs="Times New Roman"/>
          <w:sz w:val="24"/>
          <w:szCs w:val="24"/>
        </w:rPr>
        <w:t xml:space="preserve">: Raising wages is one of the most successful short-term tactics for retaining nurses, and it's also one of the most straightforward. </w:t>
      </w:r>
      <w:r>
        <w:rPr>
          <w:rFonts w:ascii="Times New Roman" w:hAnsi="Times New Roman" w:cs="Times New Roman"/>
          <w:sz w:val="24"/>
          <w:szCs w:val="24"/>
        </w:rPr>
        <w:t>(</w:t>
      </w:r>
      <w:r w:rsidRPr="005E3706">
        <w:rPr>
          <w:rFonts w:ascii="Times New Roman" w:hAnsi="Times New Roman" w:cs="Times New Roman"/>
          <w:i/>
          <w:iCs/>
          <w:sz w:val="24"/>
          <w:szCs w:val="24"/>
        </w:rPr>
        <w:t>Hayes, et. al., 2012).</w:t>
      </w:r>
      <w:r>
        <w:rPr>
          <w:rFonts w:ascii="Times New Roman" w:hAnsi="Times New Roman" w:cs="Times New Roman"/>
          <w:sz w:val="24"/>
          <w:szCs w:val="24"/>
        </w:rPr>
        <w:t xml:space="preserve"> </w:t>
      </w:r>
      <w:r w:rsidRPr="005E3706">
        <w:rPr>
          <w:rFonts w:ascii="Times New Roman" w:hAnsi="Times New Roman" w:cs="Times New Roman"/>
          <w:sz w:val="24"/>
          <w:szCs w:val="24"/>
        </w:rPr>
        <w:t>This may be accomplished via the provision of pay increases, sign-on bonuses, and many other monetary inducements in order to recruit and maintain a sufficient number of nurses.</w:t>
      </w:r>
    </w:p>
    <w:p w14:paraId="513D2E9C" w14:textId="25D113E6" w:rsidR="005E3706" w:rsidRPr="005E3706" w:rsidRDefault="005E3706" w:rsidP="005E3706">
      <w:pPr>
        <w:spacing w:line="360" w:lineRule="auto"/>
        <w:jc w:val="both"/>
        <w:rPr>
          <w:rFonts w:ascii="Times New Roman" w:hAnsi="Times New Roman" w:cs="Times New Roman"/>
          <w:sz w:val="24"/>
          <w:szCs w:val="24"/>
        </w:rPr>
      </w:pPr>
      <w:r w:rsidRPr="005E3706">
        <w:rPr>
          <w:rFonts w:ascii="Times New Roman" w:hAnsi="Times New Roman" w:cs="Times New Roman"/>
          <w:b/>
          <w:bCs/>
          <w:sz w:val="24"/>
          <w:szCs w:val="24"/>
        </w:rPr>
        <w:t>Enhance working circumstances:</w:t>
      </w:r>
      <w:r w:rsidRPr="005E3706">
        <w:rPr>
          <w:rFonts w:ascii="Times New Roman" w:hAnsi="Times New Roman" w:cs="Times New Roman"/>
          <w:sz w:val="24"/>
          <w:szCs w:val="24"/>
        </w:rPr>
        <w:t xml:space="preserve"> Improving working conditions, such as lowering workload, providing essential equipment and resources, and maintaining enough staffing levels, may assist in decreasing stress and burnout among nurses and enhancing their job satisfaction. Other benefits of improving working conditions include providing necessary equipment and resources and ensuring adequate staffing levels.</w:t>
      </w:r>
    </w:p>
    <w:p w14:paraId="3331EE74" w14:textId="63B84CBC" w:rsidR="005E3706" w:rsidRPr="005E3706" w:rsidRDefault="005E3706" w:rsidP="005E3706">
      <w:pPr>
        <w:spacing w:line="360" w:lineRule="auto"/>
        <w:jc w:val="both"/>
        <w:rPr>
          <w:rFonts w:ascii="Times New Roman" w:hAnsi="Times New Roman" w:cs="Times New Roman"/>
          <w:sz w:val="24"/>
          <w:szCs w:val="24"/>
        </w:rPr>
      </w:pPr>
      <w:r w:rsidRPr="005E3706">
        <w:rPr>
          <w:rFonts w:ascii="Times New Roman" w:hAnsi="Times New Roman" w:cs="Times New Roman"/>
          <w:b/>
          <w:bCs/>
          <w:sz w:val="24"/>
          <w:szCs w:val="24"/>
        </w:rPr>
        <w:t>Offer flexible work arrangements:</w:t>
      </w:r>
      <w:r w:rsidRPr="005E3706">
        <w:rPr>
          <w:rFonts w:ascii="Times New Roman" w:hAnsi="Times New Roman" w:cs="Times New Roman"/>
          <w:sz w:val="24"/>
          <w:szCs w:val="24"/>
        </w:rPr>
        <w:t xml:space="preserve"> Offering flexible work arrangements, such as part-time employment, job sharing, and telecommuting, may enhance work-life balance and job satisfaction among nurses</w:t>
      </w:r>
      <w:r>
        <w:rPr>
          <w:rFonts w:ascii="Times New Roman" w:hAnsi="Times New Roman" w:cs="Times New Roman"/>
          <w:sz w:val="24"/>
          <w:szCs w:val="24"/>
        </w:rPr>
        <w:t xml:space="preserve"> (</w:t>
      </w:r>
      <w:r w:rsidRPr="005E3706">
        <w:rPr>
          <w:rFonts w:ascii="Times New Roman" w:hAnsi="Times New Roman" w:cs="Times New Roman"/>
          <w:i/>
          <w:iCs/>
          <w:sz w:val="24"/>
          <w:szCs w:val="24"/>
        </w:rPr>
        <w:t>Buchan, et. al., 2019).</w:t>
      </w:r>
      <w:r w:rsidRPr="005E3706">
        <w:rPr>
          <w:rFonts w:ascii="Times New Roman" w:hAnsi="Times New Roman" w:cs="Times New Roman"/>
          <w:sz w:val="24"/>
          <w:szCs w:val="24"/>
        </w:rPr>
        <w:t xml:space="preserve"> Other examples of flexible work arrangements are job sharing and job switching.</w:t>
      </w:r>
    </w:p>
    <w:p w14:paraId="1D9596C8" w14:textId="77777777" w:rsidR="005E3706" w:rsidRPr="005E3706" w:rsidRDefault="005E3706" w:rsidP="005E3706">
      <w:pPr>
        <w:spacing w:line="360" w:lineRule="auto"/>
        <w:jc w:val="both"/>
        <w:rPr>
          <w:rFonts w:ascii="Times New Roman" w:hAnsi="Times New Roman" w:cs="Times New Roman"/>
          <w:sz w:val="24"/>
          <w:szCs w:val="24"/>
        </w:rPr>
      </w:pPr>
      <w:r w:rsidRPr="005E3706">
        <w:rPr>
          <w:rFonts w:ascii="Times New Roman" w:hAnsi="Times New Roman" w:cs="Times New Roman"/>
          <w:b/>
          <w:bCs/>
          <w:sz w:val="24"/>
          <w:szCs w:val="24"/>
        </w:rPr>
        <w:t>Provide chances for professional development:</w:t>
      </w:r>
      <w:r w:rsidRPr="005E3706">
        <w:rPr>
          <w:rFonts w:ascii="Times New Roman" w:hAnsi="Times New Roman" w:cs="Times New Roman"/>
          <w:sz w:val="24"/>
          <w:szCs w:val="24"/>
        </w:rPr>
        <w:t xml:space="preserve"> Providing opportunities for professional development, such as mentorship, coaching, and leadership training, may assist nurses in developing their abilities and advancing their careers, which can boost both their work satisfaction and their likelihood of staying with their current employer.</w:t>
      </w:r>
    </w:p>
    <w:p w14:paraId="6612AED9" w14:textId="11868C62" w:rsidR="005E3706" w:rsidRDefault="005E3706" w:rsidP="005E3706">
      <w:pPr>
        <w:spacing w:line="360" w:lineRule="auto"/>
        <w:jc w:val="both"/>
        <w:rPr>
          <w:rFonts w:ascii="Times New Roman" w:hAnsi="Times New Roman" w:cs="Times New Roman"/>
          <w:sz w:val="24"/>
          <w:szCs w:val="24"/>
        </w:rPr>
      </w:pPr>
      <w:r w:rsidRPr="005E3706">
        <w:rPr>
          <w:rFonts w:ascii="Times New Roman" w:hAnsi="Times New Roman" w:cs="Times New Roman"/>
          <w:b/>
          <w:bCs/>
          <w:sz w:val="24"/>
          <w:szCs w:val="24"/>
        </w:rPr>
        <w:t>Enhance communication and participation:</w:t>
      </w:r>
      <w:r w:rsidRPr="005E3706">
        <w:rPr>
          <w:rFonts w:ascii="Times New Roman" w:hAnsi="Times New Roman" w:cs="Times New Roman"/>
          <w:sz w:val="24"/>
          <w:szCs w:val="24"/>
        </w:rPr>
        <w:t xml:space="preserve"> enhancing communication and participation between management and nurses may assist in establishing trust and contribute to the development of a good work culture. This may be accomplished by holding frequent meetings, providing employees with channels for providing feedback, and instituting recognition and incentive programmes</w:t>
      </w:r>
      <w:r>
        <w:rPr>
          <w:rFonts w:ascii="Times New Roman" w:hAnsi="Times New Roman" w:cs="Times New Roman"/>
          <w:sz w:val="24"/>
          <w:szCs w:val="24"/>
        </w:rPr>
        <w:t xml:space="preserve"> (</w:t>
      </w:r>
      <w:r w:rsidRPr="005E3706">
        <w:rPr>
          <w:rFonts w:ascii="Times New Roman" w:hAnsi="Times New Roman" w:cs="Times New Roman"/>
          <w:i/>
          <w:iCs/>
          <w:sz w:val="24"/>
          <w:szCs w:val="24"/>
        </w:rPr>
        <w:t>Li, et. al., 2021)</w:t>
      </w:r>
    </w:p>
    <w:p w14:paraId="761CC6EF" w14:textId="77777777" w:rsidR="005E3706" w:rsidRDefault="005E3706" w:rsidP="005E3706">
      <w:pPr>
        <w:spacing w:line="360" w:lineRule="auto"/>
        <w:jc w:val="both"/>
        <w:rPr>
          <w:rFonts w:ascii="Times New Roman" w:hAnsi="Times New Roman" w:cs="Times New Roman"/>
          <w:sz w:val="24"/>
          <w:szCs w:val="24"/>
        </w:rPr>
      </w:pPr>
    </w:p>
    <w:p w14:paraId="1700AEEC" w14:textId="507D9475" w:rsidR="005E3706" w:rsidRPr="005E3706" w:rsidRDefault="005E3706" w:rsidP="005E3706">
      <w:pPr>
        <w:spacing w:line="360" w:lineRule="auto"/>
        <w:jc w:val="both"/>
        <w:rPr>
          <w:rFonts w:ascii="Times New Roman" w:hAnsi="Times New Roman" w:cs="Times New Roman"/>
          <w:b/>
          <w:bCs/>
          <w:i/>
          <w:iCs/>
          <w:sz w:val="24"/>
          <w:szCs w:val="24"/>
          <w:u w:val="single"/>
        </w:rPr>
      </w:pPr>
      <w:r w:rsidRPr="005E3706">
        <w:rPr>
          <w:rFonts w:ascii="Times New Roman" w:hAnsi="Times New Roman" w:cs="Times New Roman"/>
          <w:b/>
          <w:bCs/>
          <w:i/>
          <w:iCs/>
          <w:sz w:val="24"/>
          <w:szCs w:val="24"/>
          <w:u w:val="single"/>
        </w:rPr>
        <w:t>Recommendations for enhancing nurse retention in the long term.</w:t>
      </w:r>
    </w:p>
    <w:p w14:paraId="10434EB5" w14:textId="77777777" w:rsidR="005E3706" w:rsidRPr="005E3706" w:rsidRDefault="005E3706" w:rsidP="005E3706">
      <w:pPr>
        <w:spacing w:line="360" w:lineRule="auto"/>
        <w:jc w:val="both"/>
        <w:rPr>
          <w:rFonts w:ascii="Times New Roman" w:hAnsi="Times New Roman" w:cs="Times New Roman"/>
          <w:sz w:val="24"/>
          <w:szCs w:val="24"/>
        </w:rPr>
      </w:pPr>
      <w:r w:rsidRPr="005E3706">
        <w:rPr>
          <w:rFonts w:ascii="Times New Roman" w:hAnsi="Times New Roman" w:cs="Times New Roman"/>
          <w:sz w:val="24"/>
          <w:szCs w:val="24"/>
        </w:rPr>
        <w:t>It is crucial to address the fundamental reasons for nurse attrition, including burnout, insufficient career advancement prospects, and inadequate compensation, to enhance nurse retention over an extended period. The aforementioned objectives can be attained by employing focused tactics, such as augmenting remuneration, furnishing avenues for professional growth, and advocating equilibrium between work and personal life.</w:t>
      </w:r>
    </w:p>
    <w:p w14:paraId="012F275C" w14:textId="05E3589D" w:rsidR="005E3706" w:rsidRPr="005E3706" w:rsidRDefault="005E3706" w:rsidP="005E3706">
      <w:pPr>
        <w:spacing w:line="360" w:lineRule="auto"/>
        <w:jc w:val="both"/>
        <w:rPr>
          <w:rFonts w:ascii="Times New Roman" w:hAnsi="Times New Roman" w:cs="Times New Roman"/>
          <w:sz w:val="24"/>
          <w:szCs w:val="24"/>
        </w:rPr>
      </w:pPr>
      <w:r w:rsidRPr="005E3706">
        <w:rPr>
          <w:rFonts w:ascii="Times New Roman" w:hAnsi="Times New Roman" w:cs="Times New Roman"/>
          <w:b/>
          <w:bCs/>
          <w:sz w:val="24"/>
          <w:szCs w:val="24"/>
        </w:rPr>
        <w:t>The development of a comprehensive retention</w:t>
      </w:r>
      <w:r w:rsidRPr="005E3706">
        <w:rPr>
          <w:rFonts w:ascii="Times New Roman" w:hAnsi="Times New Roman" w:cs="Times New Roman"/>
          <w:sz w:val="24"/>
          <w:szCs w:val="24"/>
        </w:rPr>
        <w:t xml:space="preserve"> strategy is crucial for enhancing nurse retention in the long run. This strategy should include both monetary and non-monetary retention schemes. It is imperative to conduct periodic evaluations and revisions of this approach to ensure its continued efficacy in addressing the dynamic demands and obstacles encountered by nurses</w:t>
      </w:r>
      <w:r>
        <w:rPr>
          <w:rFonts w:ascii="Times New Roman" w:hAnsi="Times New Roman" w:cs="Times New Roman"/>
          <w:sz w:val="24"/>
          <w:szCs w:val="24"/>
        </w:rPr>
        <w:t xml:space="preserve"> (</w:t>
      </w:r>
      <w:r w:rsidRPr="005E3706">
        <w:rPr>
          <w:rFonts w:ascii="Times New Roman" w:hAnsi="Times New Roman" w:cs="Times New Roman"/>
          <w:i/>
          <w:iCs/>
          <w:sz w:val="24"/>
          <w:szCs w:val="24"/>
        </w:rPr>
        <w:t>Buchan, et. al., 2019).</w:t>
      </w:r>
    </w:p>
    <w:p w14:paraId="0905B158" w14:textId="77777777" w:rsidR="005E3706" w:rsidRPr="005E3706" w:rsidRDefault="005E3706" w:rsidP="005E3706">
      <w:pPr>
        <w:spacing w:line="360" w:lineRule="auto"/>
        <w:jc w:val="both"/>
        <w:rPr>
          <w:rFonts w:ascii="Times New Roman" w:hAnsi="Times New Roman" w:cs="Times New Roman"/>
          <w:sz w:val="24"/>
          <w:szCs w:val="24"/>
        </w:rPr>
      </w:pPr>
      <w:r w:rsidRPr="005E3706">
        <w:rPr>
          <w:rFonts w:ascii="Times New Roman" w:hAnsi="Times New Roman" w:cs="Times New Roman"/>
          <w:b/>
          <w:bCs/>
          <w:sz w:val="24"/>
          <w:szCs w:val="24"/>
        </w:rPr>
        <w:t>Enhancing diversity and inclusion</w:t>
      </w:r>
      <w:r w:rsidRPr="005E3706">
        <w:rPr>
          <w:rFonts w:ascii="Times New Roman" w:hAnsi="Times New Roman" w:cs="Times New Roman"/>
          <w:sz w:val="24"/>
          <w:szCs w:val="24"/>
        </w:rPr>
        <w:t xml:space="preserve"> in the workplace can foster a more favourable work environment and facilitate the recruitment and retention of a varied workforce. The attainment of this objective can be facilitated by implementing focused recruitment tactics, establishing employee resource collectives, and providing diversity and inclusivity instruction to both managers and staff.</w:t>
      </w:r>
    </w:p>
    <w:p w14:paraId="3A7123EF" w14:textId="4E94384E" w:rsidR="005E3706" w:rsidRPr="005E3706" w:rsidRDefault="005E3706" w:rsidP="005E3706">
      <w:pPr>
        <w:spacing w:line="360" w:lineRule="auto"/>
        <w:jc w:val="both"/>
        <w:rPr>
          <w:rFonts w:ascii="Times New Roman" w:hAnsi="Times New Roman" w:cs="Times New Roman"/>
          <w:sz w:val="24"/>
          <w:szCs w:val="24"/>
        </w:rPr>
      </w:pPr>
      <w:r w:rsidRPr="005E3706">
        <w:rPr>
          <w:rFonts w:ascii="Times New Roman" w:hAnsi="Times New Roman" w:cs="Times New Roman"/>
          <w:b/>
          <w:bCs/>
          <w:sz w:val="24"/>
          <w:szCs w:val="24"/>
        </w:rPr>
        <w:t>The promotion of employee</w:t>
      </w:r>
      <w:r w:rsidRPr="005E3706">
        <w:rPr>
          <w:rFonts w:ascii="Times New Roman" w:hAnsi="Times New Roman" w:cs="Times New Roman"/>
          <w:sz w:val="24"/>
          <w:szCs w:val="24"/>
        </w:rPr>
        <w:t xml:space="preserve"> health and well-being is crucial to reducing stress and burnout among nurses while also enhancing their job satisfaction and retention. </w:t>
      </w:r>
      <w:r w:rsidR="0091323A">
        <w:rPr>
          <w:rFonts w:ascii="Times New Roman" w:hAnsi="Times New Roman" w:cs="Times New Roman"/>
          <w:sz w:val="24"/>
          <w:szCs w:val="24"/>
        </w:rPr>
        <w:t>(</w:t>
      </w:r>
      <w:r w:rsidR="0091323A" w:rsidRPr="0091323A">
        <w:rPr>
          <w:rFonts w:ascii="Times New Roman" w:hAnsi="Times New Roman" w:cs="Times New Roman"/>
          <w:i/>
          <w:iCs/>
          <w:sz w:val="24"/>
          <w:szCs w:val="24"/>
        </w:rPr>
        <w:t>Brook, et. al., 2019).</w:t>
      </w:r>
      <w:r w:rsidR="0091323A">
        <w:rPr>
          <w:rFonts w:ascii="Times New Roman" w:hAnsi="Times New Roman" w:cs="Times New Roman"/>
          <w:sz w:val="24"/>
          <w:szCs w:val="24"/>
        </w:rPr>
        <w:t xml:space="preserve"> </w:t>
      </w:r>
      <w:r w:rsidRPr="005E3706">
        <w:rPr>
          <w:rFonts w:ascii="Times New Roman" w:hAnsi="Times New Roman" w:cs="Times New Roman"/>
          <w:sz w:val="24"/>
          <w:szCs w:val="24"/>
        </w:rPr>
        <w:t>This can be achieved through various measures such as wellness programmes, mental health support, and work-life balance initiatives.</w:t>
      </w:r>
    </w:p>
    <w:p w14:paraId="3A3F2F57" w14:textId="217C5830" w:rsidR="005E3706" w:rsidRDefault="005E3706" w:rsidP="005E3706">
      <w:pPr>
        <w:spacing w:line="360" w:lineRule="auto"/>
        <w:jc w:val="both"/>
        <w:rPr>
          <w:rFonts w:ascii="Times New Roman" w:hAnsi="Times New Roman" w:cs="Times New Roman"/>
          <w:sz w:val="24"/>
          <w:szCs w:val="24"/>
        </w:rPr>
      </w:pPr>
      <w:r w:rsidRPr="005E3706">
        <w:rPr>
          <w:rFonts w:ascii="Times New Roman" w:hAnsi="Times New Roman" w:cs="Times New Roman"/>
          <w:b/>
          <w:bCs/>
          <w:sz w:val="24"/>
          <w:szCs w:val="24"/>
        </w:rPr>
        <w:t>Cultivating a culture of continuous improvement</w:t>
      </w:r>
      <w:r w:rsidRPr="005E3706">
        <w:rPr>
          <w:rFonts w:ascii="Times New Roman" w:hAnsi="Times New Roman" w:cs="Times New Roman"/>
          <w:sz w:val="24"/>
          <w:szCs w:val="24"/>
        </w:rPr>
        <w:t xml:space="preserve"> is crucial for organisations to adapt to the dynamic needs and expectations of nurses and patients. This can be achieved through various means, including implementing employee feedback mechanisms, performance management systems, and innovation initiatives.</w:t>
      </w:r>
    </w:p>
    <w:p w14:paraId="56525445" w14:textId="693B56C1" w:rsidR="0091323A" w:rsidRPr="0091323A" w:rsidRDefault="0091323A" w:rsidP="005E3706">
      <w:pPr>
        <w:spacing w:line="360" w:lineRule="auto"/>
        <w:jc w:val="both"/>
        <w:rPr>
          <w:rFonts w:ascii="Times New Roman" w:hAnsi="Times New Roman" w:cs="Times New Roman"/>
          <w:b/>
          <w:bCs/>
          <w:sz w:val="24"/>
          <w:szCs w:val="24"/>
        </w:rPr>
      </w:pPr>
      <w:r w:rsidRPr="0091323A">
        <w:rPr>
          <w:rFonts w:ascii="Times New Roman" w:hAnsi="Times New Roman" w:cs="Times New Roman"/>
          <w:b/>
          <w:bCs/>
          <w:sz w:val="24"/>
          <w:szCs w:val="24"/>
        </w:rPr>
        <w:t>Conclusion</w:t>
      </w:r>
    </w:p>
    <w:p w14:paraId="486DAE3F" w14:textId="4DEC4CF6" w:rsidR="0091323A" w:rsidRDefault="0091323A" w:rsidP="005E3706">
      <w:pPr>
        <w:spacing w:line="360" w:lineRule="auto"/>
        <w:jc w:val="both"/>
        <w:rPr>
          <w:rFonts w:ascii="Times New Roman" w:hAnsi="Times New Roman" w:cs="Times New Roman"/>
          <w:sz w:val="24"/>
          <w:szCs w:val="24"/>
        </w:rPr>
      </w:pPr>
      <w:r w:rsidRPr="0091323A">
        <w:rPr>
          <w:rFonts w:ascii="Times New Roman" w:hAnsi="Times New Roman" w:cs="Times New Roman"/>
          <w:sz w:val="24"/>
          <w:szCs w:val="24"/>
        </w:rPr>
        <w:t>In conclusion, increasing the number of nurses who remain in the workforce in the UK calls for an all-encompassing strategy that caters to the immediate as well as the long-term requirements of nurses. The National Health Service (NHS) can guarantee that it has a trained and engaged nursing workforce to fulfil the requirements of patients both today and in the future if it implements targeted retention tactics and fosters a good work culture. This will lower the number of nurses who leave the service.</w:t>
      </w:r>
    </w:p>
    <w:p w14:paraId="499FCBDA" w14:textId="77777777" w:rsidR="00D801F4" w:rsidRDefault="00D801F4" w:rsidP="003C1ADE">
      <w:pPr>
        <w:spacing w:line="360" w:lineRule="auto"/>
        <w:jc w:val="both"/>
        <w:rPr>
          <w:rFonts w:ascii="Times New Roman" w:hAnsi="Times New Roman" w:cs="Times New Roman"/>
          <w:sz w:val="24"/>
          <w:szCs w:val="24"/>
        </w:rPr>
      </w:pPr>
    </w:p>
    <w:p w14:paraId="5AB7B3B4" w14:textId="77777777" w:rsidR="0091323A" w:rsidRDefault="0091323A" w:rsidP="003C1ADE">
      <w:pPr>
        <w:spacing w:line="360" w:lineRule="auto"/>
        <w:jc w:val="both"/>
        <w:rPr>
          <w:rFonts w:ascii="Times New Roman" w:hAnsi="Times New Roman" w:cs="Times New Roman"/>
          <w:sz w:val="24"/>
          <w:szCs w:val="24"/>
        </w:rPr>
      </w:pPr>
    </w:p>
    <w:p w14:paraId="4A7541C2" w14:textId="77777777" w:rsidR="0091323A" w:rsidRDefault="0091323A" w:rsidP="003C1ADE">
      <w:pPr>
        <w:spacing w:line="360" w:lineRule="auto"/>
        <w:jc w:val="both"/>
        <w:rPr>
          <w:rFonts w:ascii="Times New Roman" w:hAnsi="Times New Roman" w:cs="Times New Roman"/>
          <w:sz w:val="24"/>
          <w:szCs w:val="24"/>
        </w:rPr>
      </w:pPr>
    </w:p>
    <w:p w14:paraId="3806FE7F" w14:textId="77777777" w:rsidR="0091323A" w:rsidRDefault="0091323A" w:rsidP="003C1ADE">
      <w:pPr>
        <w:spacing w:line="360" w:lineRule="auto"/>
        <w:jc w:val="both"/>
        <w:rPr>
          <w:rFonts w:ascii="Times New Roman" w:hAnsi="Times New Roman" w:cs="Times New Roman"/>
          <w:sz w:val="24"/>
          <w:szCs w:val="24"/>
        </w:rPr>
      </w:pPr>
    </w:p>
    <w:p w14:paraId="581F8B49" w14:textId="77777777" w:rsidR="0091323A" w:rsidRDefault="0091323A" w:rsidP="003C1ADE">
      <w:pPr>
        <w:spacing w:line="360" w:lineRule="auto"/>
        <w:jc w:val="both"/>
        <w:rPr>
          <w:rFonts w:ascii="Times New Roman" w:hAnsi="Times New Roman" w:cs="Times New Roman"/>
          <w:sz w:val="24"/>
          <w:szCs w:val="24"/>
        </w:rPr>
      </w:pPr>
    </w:p>
    <w:p w14:paraId="2E796DEB" w14:textId="77777777" w:rsidR="0091323A" w:rsidRDefault="0091323A" w:rsidP="003C1ADE">
      <w:pPr>
        <w:spacing w:line="360" w:lineRule="auto"/>
        <w:jc w:val="both"/>
        <w:rPr>
          <w:rFonts w:ascii="Times New Roman" w:hAnsi="Times New Roman" w:cs="Times New Roman"/>
          <w:sz w:val="24"/>
          <w:szCs w:val="24"/>
        </w:rPr>
      </w:pPr>
    </w:p>
    <w:p w14:paraId="0FE71913" w14:textId="77777777" w:rsidR="0091323A" w:rsidRDefault="0091323A" w:rsidP="003C1ADE">
      <w:pPr>
        <w:spacing w:line="360" w:lineRule="auto"/>
        <w:jc w:val="both"/>
        <w:rPr>
          <w:rFonts w:ascii="Times New Roman" w:hAnsi="Times New Roman" w:cs="Times New Roman"/>
          <w:sz w:val="24"/>
          <w:szCs w:val="24"/>
        </w:rPr>
      </w:pPr>
    </w:p>
    <w:p w14:paraId="7F87D6DF" w14:textId="77777777" w:rsidR="0091323A" w:rsidRDefault="0091323A" w:rsidP="003C1ADE">
      <w:pPr>
        <w:spacing w:line="360" w:lineRule="auto"/>
        <w:jc w:val="both"/>
        <w:rPr>
          <w:rFonts w:ascii="Times New Roman" w:hAnsi="Times New Roman" w:cs="Times New Roman"/>
          <w:sz w:val="24"/>
          <w:szCs w:val="24"/>
        </w:rPr>
      </w:pPr>
    </w:p>
    <w:p w14:paraId="7436AC30" w14:textId="77777777" w:rsidR="0091323A" w:rsidRDefault="0091323A" w:rsidP="003C1ADE">
      <w:pPr>
        <w:spacing w:line="360" w:lineRule="auto"/>
        <w:jc w:val="both"/>
        <w:rPr>
          <w:rFonts w:ascii="Times New Roman" w:hAnsi="Times New Roman" w:cs="Times New Roman"/>
          <w:sz w:val="24"/>
          <w:szCs w:val="24"/>
        </w:rPr>
      </w:pPr>
    </w:p>
    <w:p w14:paraId="612018F2" w14:textId="77777777" w:rsidR="0091323A" w:rsidRDefault="0091323A" w:rsidP="003C1ADE">
      <w:pPr>
        <w:spacing w:line="360" w:lineRule="auto"/>
        <w:jc w:val="both"/>
        <w:rPr>
          <w:rFonts w:ascii="Times New Roman" w:hAnsi="Times New Roman" w:cs="Times New Roman"/>
          <w:sz w:val="24"/>
          <w:szCs w:val="24"/>
        </w:rPr>
      </w:pPr>
    </w:p>
    <w:p w14:paraId="259877FD" w14:textId="77777777" w:rsidR="0091323A" w:rsidRDefault="0091323A" w:rsidP="003C1ADE">
      <w:pPr>
        <w:spacing w:line="360" w:lineRule="auto"/>
        <w:jc w:val="both"/>
        <w:rPr>
          <w:rFonts w:ascii="Times New Roman" w:hAnsi="Times New Roman" w:cs="Times New Roman"/>
          <w:sz w:val="24"/>
          <w:szCs w:val="24"/>
        </w:rPr>
      </w:pPr>
    </w:p>
    <w:p w14:paraId="61BE2D33" w14:textId="77777777" w:rsidR="0091323A" w:rsidRDefault="0091323A" w:rsidP="003C1ADE">
      <w:pPr>
        <w:spacing w:line="360" w:lineRule="auto"/>
        <w:jc w:val="both"/>
        <w:rPr>
          <w:rFonts w:ascii="Times New Roman" w:hAnsi="Times New Roman" w:cs="Times New Roman"/>
          <w:sz w:val="24"/>
          <w:szCs w:val="24"/>
        </w:rPr>
      </w:pPr>
    </w:p>
    <w:p w14:paraId="3554FC9D" w14:textId="77777777" w:rsidR="0091323A" w:rsidRDefault="0091323A" w:rsidP="003C1ADE">
      <w:pPr>
        <w:spacing w:line="360" w:lineRule="auto"/>
        <w:jc w:val="both"/>
        <w:rPr>
          <w:rFonts w:ascii="Times New Roman" w:hAnsi="Times New Roman" w:cs="Times New Roman"/>
          <w:sz w:val="24"/>
          <w:szCs w:val="24"/>
        </w:rPr>
      </w:pPr>
    </w:p>
    <w:p w14:paraId="7E73EA2A" w14:textId="77777777" w:rsidR="0091323A" w:rsidRDefault="0091323A" w:rsidP="003C1ADE">
      <w:pPr>
        <w:spacing w:line="360" w:lineRule="auto"/>
        <w:jc w:val="both"/>
        <w:rPr>
          <w:rFonts w:ascii="Times New Roman" w:hAnsi="Times New Roman" w:cs="Times New Roman"/>
          <w:sz w:val="24"/>
          <w:szCs w:val="24"/>
        </w:rPr>
      </w:pPr>
    </w:p>
    <w:p w14:paraId="4254EA9D" w14:textId="77777777" w:rsidR="0091323A" w:rsidRDefault="0091323A" w:rsidP="003C1ADE">
      <w:pPr>
        <w:spacing w:line="360" w:lineRule="auto"/>
        <w:jc w:val="both"/>
        <w:rPr>
          <w:rFonts w:ascii="Times New Roman" w:hAnsi="Times New Roman" w:cs="Times New Roman"/>
          <w:sz w:val="24"/>
          <w:szCs w:val="24"/>
        </w:rPr>
      </w:pPr>
    </w:p>
    <w:p w14:paraId="3766B051" w14:textId="77777777" w:rsidR="0091323A" w:rsidRDefault="0091323A" w:rsidP="003C1ADE">
      <w:pPr>
        <w:spacing w:line="360" w:lineRule="auto"/>
        <w:jc w:val="both"/>
        <w:rPr>
          <w:rFonts w:ascii="Times New Roman" w:hAnsi="Times New Roman" w:cs="Times New Roman"/>
          <w:sz w:val="24"/>
          <w:szCs w:val="24"/>
        </w:rPr>
      </w:pPr>
    </w:p>
    <w:p w14:paraId="48407BC3" w14:textId="77777777" w:rsidR="0091323A" w:rsidRDefault="0091323A" w:rsidP="003C1ADE">
      <w:pPr>
        <w:spacing w:line="360" w:lineRule="auto"/>
        <w:jc w:val="both"/>
        <w:rPr>
          <w:rFonts w:ascii="Times New Roman" w:hAnsi="Times New Roman" w:cs="Times New Roman"/>
          <w:sz w:val="24"/>
          <w:szCs w:val="24"/>
        </w:rPr>
      </w:pPr>
    </w:p>
    <w:p w14:paraId="5456ED31" w14:textId="77777777" w:rsidR="0091323A" w:rsidRDefault="0091323A" w:rsidP="003C1ADE">
      <w:pPr>
        <w:spacing w:line="360" w:lineRule="auto"/>
        <w:jc w:val="both"/>
        <w:rPr>
          <w:rFonts w:ascii="Times New Roman" w:hAnsi="Times New Roman" w:cs="Times New Roman"/>
          <w:sz w:val="24"/>
          <w:szCs w:val="24"/>
        </w:rPr>
      </w:pPr>
    </w:p>
    <w:p w14:paraId="27DAD42F" w14:textId="77777777" w:rsidR="0091323A" w:rsidRDefault="0091323A" w:rsidP="003C1ADE">
      <w:pPr>
        <w:spacing w:line="360" w:lineRule="auto"/>
        <w:jc w:val="both"/>
        <w:rPr>
          <w:rFonts w:ascii="Times New Roman" w:hAnsi="Times New Roman" w:cs="Times New Roman"/>
          <w:sz w:val="24"/>
          <w:szCs w:val="24"/>
        </w:rPr>
      </w:pPr>
    </w:p>
    <w:p w14:paraId="69097C86" w14:textId="77777777" w:rsidR="0091323A" w:rsidRDefault="0091323A" w:rsidP="003C1ADE">
      <w:pPr>
        <w:spacing w:line="360" w:lineRule="auto"/>
        <w:jc w:val="both"/>
        <w:rPr>
          <w:rFonts w:ascii="Times New Roman" w:hAnsi="Times New Roman" w:cs="Times New Roman"/>
          <w:sz w:val="24"/>
          <w:szCs w:val="24"/>
        </w:rPr>
      </w:pPr>
    </w:p>
    <w:p w14:paraId="5B155C30" w14:textId="77777777" w:rsidR="0091323A" w:rsidRDefault="0091323A" w:rsidP="003C1ADE">
      <w:pPr>
        <w:spacing w:line="360" w:lineRule="auto"/>
        <w:jc w:val="both"/>
        <w:rPr>
          <w:rFonts w:ascii="Times New Roman" w:hAnsi="Times New Roman" w:cs="Times New Roman"/>
          <w:sz w:val="24"/>
          <w:szCs w:val="24"/>
        </w:rPr>
      </w:pPr>
    </w:p>
    <w:p w14:paraId="71CEC553" w14:textId="77777777" w:rsidR="0091323A" w:rsidRPr="003C1ADE" w:rsidRDefault="0091323A" w:rsidP="003C1ADE">
      <w:pPr>
        <w:spacing w:line="360" w:lineRule="auto"/>
        <w:jc w:val="both"/>
        <w:rPr>
          <w:rFonts w:ascii="Times New Roman" w:hAnsi="Times New Roman" w:cs="Times New Roman"/>
          <w:sz w:val="24"/>
          <w:szCs w:val="24"/>
        </w:rPr>
      </w:pPr>
    </w:p>
    <w:p w14:paraId="316836B2" w14:textId="51190A52" w:rsidR="00DB25CE" w:rsidRDefault="00DB25CE" w:rsidP="00DB25CE">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p w14:paraId="53A879ED" w14:textId="40072A9A" w:rsidR="00F41AE8" w:rsidRDefault="00F41AE8" w:rsidP="00DB25CE">
      <w:pPr>
        <w:spacing w:line="360" w:lineRule="auto"/>
        <w:jc w:val="both"/>
        <w:rPr>
          <w:rFonts w:ascii="Times New Roman" w:hAnsi="Times New Roman" w:cs="Times New Roman"/>
          <w:sz w:val="24"/>
          <w:szCs w:val="24"/>
        </w:rPr>
      </w:pPr>
      <w:r w:rsidRPr="00F41AE8">
        <w:rPr>
          <w:rFonts w:ascii="Times New Roman" w:hAnsi="Times New Roman" w:cs="Times New Roman"/>
          <w:sz w:val="24"/>
          <w:szCs w:val="24"/>
        </w:rPr>
        <w:t>Alkahtani, A.H., 2015. Investigating factors that influence employees' turnover intention: A review of existing empirical works. </w:t>
      </w:r>
      <w:r w:rsidRPr="00F41AE8">
        <w:rPr>
          <w:rFonts w:ascii="Times New Roman" w:hAnsi="Times New Roman" w:cs="Times New Roman"/>
          <w:i/>
          <w:iCs/>
          <w:sz w:val="24"/>
          <w:szCs w:val="24"/>
        </w:rPr>
        <w:t>International Journal of Business and Management</w:t>
      </w:r>
      <w:r w:rsidRPr="00F41AE8">
        <w:rPr>
          <w:rFonts w:ascii="Times New Roman" w:hAnsi="Times New Roman" w:cs="Times New Roman"/>
          <w:sz w:val="24"/>
          <w:szCs w:val="24"/>
        </w:rPr>
        <w:t>, </w:t>
      </w:r>
      <w:r w:rsidRPr="00F41AE8">
        <w:rPr>
          <w:rFonts w:ascii="Times New Roman" w:hAnsi="Times New Roman" w:cs="Times New Roman"/>
          <w:i/>
          <w:iCs/>
          <w:sz w:val="24"/>
          <w:szCs w:val="24"/>
        </w:rPr>
        <w:t>10</w:t>
      </w:r>
      <w:r w:rsidRPr="00F41AE8">
        <w:rPr>
          <w:rFonts w:ascii="Times New Roman" w:hAnsi="Times New Roman" w:cs="Times New Roman"/>
          <w:sz w:val="24"/>
          <w:szCs w:val="24"/>
        </w:rPr>
        <w:t>(12), p.152.</w:t>
      </w:r>
    </w:p>
    <w:p w14:paraId="25304AE4" w14:textId="440C7983" w:rsidR="005E3706" w:rsidRDefault="005E3706" w:rsidP="00DB25CE">
      <w:pPr>
        <w:spacing w:line="360" w:lineRule="auto"/>
        <w:jc w:val="both"/>
        <w:rPr>
          <w:rFonts w:ascii="Times New Roman" w:hAnsi="Times New Roman" w:cs="Times New Roman"/>
          <w:sz w:val="24"/>
          <w:szCs w:val="24"/>
        </w:rPr>
      </w:pPr>
      <w:r w:rsidRPr="005E3706">
        <w:rPr>
          <w:rFonts w:ascii="Times New Roman" w:hAnsi="Times New Roman" w:cs="Times New Roman"/>
          <w:sz w:val="24"/>
          <w:szCs w:val="24"/>
        </w:rPr>
        <w:t xml:space="preserve">Buchan, J., Charlesworth, A., Gershlick, B. and </w:t>
      </w:r>
      <w:proofErr w:type="spellStart"/>
      <w:r w:rsidRPr="005E3706">
        <w:rPr>
          <w:rFonts w:ascii="Times New Roman" w:hAnsi="Times New Roman" w:cs="Times New Roman"/>
          <w:sz w:val="24"/>
          <w:szCs w:val="24"/>
        </w:rPr>
        <w:t>Seccombe</w:t>
      </w:r>
      <w:proofErr w:type="spellEnd"/>
      <w:r w:rsidRPr="005E3706">
        <w:rPr>
          <w:rFonts w:ascii="Times New Roman" w:hAnsi="Times New Roman" w:cs="Times New Roman"/>
          <w:sz w:val="24"/>
          <w:szCs w:val="24"/>
        </w:rPr>
        <w:t>, I., 2019. A critical moment: NHS staffing trends, retention and attrition. </w:t>
      </w:r>
      <w:r w:rsidRPr="005E3706">
        <w:rPr>
          <w:rFonts w:ascii="Times New Roman" w:hAnsi="Times New Roman" w:cs="Times New Roman"/>
          <w:i/>
          <w:iCs/>
          <w:sz w:val="24"/>
          <w:szCs w:val="24"/>
        </w:rPr>
        <w:t>London: Health Foundation</w:t>
      </w:r>
      <w:r w:rsidRPr="005E3706">
        <w:rPr>
          <w:rFonts w:ascii="Times New Roman" w:hAnsi="Times New Roman" w:cs="Times New Roman"/>
          <w:sz w:val="24"/>
          <w:szCs w:val="24"/>
        </w:rPr>
        <w:t>.</w:t>
      </w:r>
    </w:p>
    <w:p w14:paraId="0081FAE4" w14:textId="02FDAD4C" w:rsidR="0091323A" w:rsidRDefault="0091323A" w:rsidP="00DB25CE">
      <w:pPr>
        <w:spacing w:line="360" w:lineRule="auto"/>
        <w:jc w:val="both"/>
        <w:rPr>
          <w:rFonts w:ascii="Times New Roman" w:hAnsi="Times New Roman" w:cs="Times New Roman"/>
          <w:sz w:val="24"/>
          <w:szCs w:val="24"/>
        </w:rPr>
      </w:pPr>
      <w:r w:rsidRPr="0091323A">
        <w:rPr>
          <w:rFonts w:ascii="Times New Roman" w:hAnsi="Times New Roman" w:cs="Times New Roman"/>
          <w:sz w:val="24"/>
          <w:szCs w:val="24"/>
        </w:rPr>
        <w:t xml:space="preserve">Brook, J., Aitken, L., Webb, R., </w:t>
      </w:r>
      <w:proofErr w:type="spellStart"/>
      <w:r w:rsidRPr="0091323A">
        <w:rPr>
          <w:rFonts w:ascii="Times New Roman" w:hAnsi="Times New Roman" w:cs="Times New Roman"/>
          <w:sz w:val="24"/>
          <w:szCs w:val="24"/>
        </w:rPr>
        <w:t>MacLaren</w:t>
      </w:r>
      <w:proofErr w:type="spellEnd"/>
      <w:r w:rsidRPr="0091323A">
        <w:rPr>
          <w:rFonts w:ascii="Times New Roman" w:hAnsi="Times New Roman" w:cs="Times New Roman"/>
          <w:sz w:val="24"/>
          <w:szCs w:val="24"/>
        </w:rPr>
        <w:t>, J. and Salmon, D., 2019. Characteristics of successful interventions to reduce turnover and increase retention of early career nurses: A systematic review. </w:t>
      </w:r>
      <w:r w:rsidRPr="0091323A">
        <w:rPr>
          <w:rFonts w:ascii="Times New Roman" w:hAnsi="Times New Roman" w:cs="Times New Roman"/>
          <w:i/>
          <w:iCs/>
          <w:sz w:val="24"/>
          <w:szCs w:val="24"/>
        </w:rPr>
        <w:t>International journal of nursing studies</w:t>
      </w:r>
      <w:r w:rsidRPr="0091323A">
        <w:rPr>
          <w:rFonts w:ascii="Times New Roman" w:hAnsi="Times New Roman" w:cs="Times New Roman"/>
          <w:sz w:val="24"/>
          <w:szCs w:val="24"/>
        </w:rPr>
        <w:t>, </w:t>
      </w:r>
      <w:r w:rsidRPr="0091323A">
        <w:rPr>
          <w:rFonts w:ascii="Times New Roman" w:hAnsi="Times New Roman" w:cs="Times New Roman"/>
          <w:i/>
          <w:iCs/>
          <w:sz w:val="24"/>
          <w:szCs w:val="24"/>
        </w:rPr>
        <w:t>91</w:t>
      </w:r>
      <w:r w:rsidRPr="0091323A">
        <w:rPr>
          <w:rFonts w:ascii="Times New Roman" w:hAnsi="Times New Roman" w:cs="Times New Roman"/>
          <w:sz w:val="24"/>
          <w:szCs w:val="24"/>
        </w:rPr>
        <w:t>, pp.47-59.</w:t>
      </w:r>
    </w:p>
    <w:p w14:paraId="11CDBC1F" w14:textId="6DE24926" w:rsidR="00F41AE8" w:rsidRDefault="00F41AE8" w:rsidP="00DB25CE">
      <w:pPr>
        <w:spacing w:line="360" w:lineRule="auto"/>
        <w:jc w:val="both"/>
        <w:rPr>
          <w:rFonts w:ascii="Times New Roman" w:hAnsi="Times New Roman" w:cs="Times New Roman"/>
          <w:sz w:val="24"/>
          <w:szCs w:val="24"/>
        </w:rPr>
      </w:pPr>
      <w:r w:rsidRPr="00F41AE8">
        <w:rPr>
          <w:rFonts w:ascii="Times New Roman" w:hAnsi="Times New Roman" w:cs="Times New Roman"/>
          <w:sz w:val="24"/>
          <w:szCs w:val="24"/>
        </w:rPr>
        <w:t xml:space="preserve">Coomber, B. and Barriball, K.L., </w:t>
      </w:r>
      <w:r>
        <w:rPr>
          <w:rFonts w:ascii="Times New Roman" w:hAnsi="Times New Roman" w:cs="Times New Roman"/>
          <w:sz w:val="24"/>
          <w:szCs w:val="24"/>
        </w:rPr>
        <w:t>(</w:t>
      </w:r>
      <w:r w:rsidRPr="00F41AE8">
        <w:rPr>
          <w:rFonts w:ascii="Times New Roman" w:hAnsi="Times New Roman" w:cs="Times New Roman"/>
          <w:sz w:val="24"/>
          <w:szCs w:val="24"/>
        </w:rPr>
        <w:t>2007</w:t>
      </w:r>
      <w:r>
        <w:rPr>
          <w:rFonts w:ascii="Times New Roman" w:hAnsi="Times New Roman" w:cs="Times New Roman"/>
          <w:sz w:val="24"/>
          <w:szCs w:val="24"/>
        </w:rPr>
        <w:t>)</w:t>
      </w:r>
      <w:r w:rsidRPr="00F41AE8">
        <w:rPr>
          <w:rFonts w:ascii="Times New Roman" w:hAnsi="Times New Roman" w:cs="Times New Roman"/>
          <w:sz w:val="24"/>
          <w:szCs w:val="24"/>
        </w:rPr>
        <w:t>. Impact of job satisfaction components on intent to leave and turnover for hospital-based nurses: a review of the research literature. </w:t>
      </w:r>
      <w:r w:rsidRPr="00F41AE8">
        <w:rPr>
          <w:rFonts w:ascii="Times New Roman" w:hAnsi="Times New Roman" w:cs="Times New Roman"/>
          <w:i/>
          <w:iCs/>
          <w:sz w:val="24"/>
          <w:szCs w:val="24"/>
        </w:rPr>
        <w:t>International journal of nursing studies</w:t>
      </w:r>
      <w:r w:rsidRPr="00F41AE8">
        <w:rPr>
          <w:rFonts w:ascii="Times New Roman" w:hAnsi="Times New Roman" w:cs="Times New Roman"/>
          <w:sz w:val="24"/>
          <w:szCs w:val="24"/>
        </w:rPr>
        <w:t>, </w:t>
      </w:r>
      <w:r w:rsidRPr="00F41AE8">
        <w:rPr>
          <w:rFonts w:ascii="Times New Roman" w:hAnsi="Times New Roman" w:cs="Times New Roman"/>
          <w:i/>
          <w:iCs/>
          <w:sz w:val="24"/>
          <w:szCs w:val="24"/>
        </w:rPr>
        <w:t>44</w:t>
      </w:r>
      <w:r w:rsidRPr="00F41AE8">
        <w:rPr>
          <w:rFonts w:ascii="Times New Roman" w:hAnsi="Times New Roman" w:cs="Times New Roman"/>
          <w:sz w:val="24"/>
          <w:szCs w:val="24"/>
        </w:rPr>
        <w:t>(2), pp.297-314.</w:t>
      </w:r>
    </w:p>
    <w:p w14:paraId="2F7FB1B9" w14:textId="147BEEEB" w:rsidR="00D801F4" w:rsidRDefault="00D801F4" w:rsidP="00DB25CE">
      <w:pPr>
        <w:spacing w:line="360" w:lineRule="auto"/>
        <w:jc w:val="both"/>
        <w:rPr>
          <w:rFonts w:ascii="Times New Roman" w:hAnsi="Times New Roman" w:cs="Times New Roman"/>
          <w:sz w:val="24"/>
          <w:szCs w:val="24"/>
        </w:rPr>
      </w:pPr>
      <w:r w:rsidRPr="00D801F4">
        <w:rPr>
          <w:rFonts w:ascii="Times New Roman" w:hAnsi="Times New Roman" w:cs="Times New Roman"/>
          <w:sz w:val="24"/>
          <w:szCs w:val="24"/>
        </w:rPr>
        <w:t>Dhanabhakyam, M. and Kokilambal, K., 2014. A study on existing talent management practice and its benefits across industries. </w:t>
      </w:r>
      <w:r w:rsidRPr="00D801F4">
        <w:rPr>
          <w:rFonts w:ascii="Times New Roman" w:hAnsi="Times New Roman" w:cs="Times New Roman"/>
          <w:i/>
          <w:iCs/>
          <w:sz w:val="24"/>
          <w:szCs w:val="24"/>
        </w:rPr>
        <w:t>International Journal of Research in Business Management</w:t>
      </w:r>
      <w:r w:rsidRPr="00D801F4">
        <w:rPr>
          <w:rFonts w:ascii="Times New Roman" w:hAnsi="Times New Roman" w:cs="Times New Roman"/>
          <w:sz w:val="24"/>
          <w:szCs w:val="24"/>
        </w:rPr>
        <w:t>, </w:t>
      </w:r>
      <w:r w:rsidRPr="00D801F4">
        <w:rPr>
          <w:rFonts w:ascii="Times New Roman" w:hAnsi="Times New Roman" w:cs="Times New Roman"/>
          <w:i/>
          <w:iCs/>
          <w:sz w:val="24"/>
          <w:szCs w:val="24"/>
        </w:rPr>
        <w:t>2</w:t>
      </w:r>
      <w:r w:rsidRPr="00D801F4">
        <w:rPr>
          <w:rFonts w:ascii="Times New Roman" w:hAnsi="Times New Roman" w:cs="Times New Roman"/>
          <w:sz w:val="24"/>
          <w:szCs w:val="24"/>
        </w:rPr>
        <w:t>(7), pp.23-36.</w:t>
      </w:r>
    </w:p>
    <w:p w14:paraId="7F50C6D4" w14:textId="216D6D92" w:rsidR="006F06AB" w:rsidRDefault="006F06AB" w:rsidP="00DB25CE">
      <w:pPr>
        <w:spacing w:line="360" w:lineRule="auto"/>
        <w:jc w:val="both"/>
        <w:rPr>
          <w:rFonts w:ascii="Times New Roman" w:hAnsi="Times New Roman" w:cs="Times New Roman"/>
          <w:sz w:val="24"/>
          <w:szCs w:val="24"/>
        </w:rPr>
      </w:pPr>
      <w:proofErr w:type="spellStart"/>
      <w:r w:rsidRPr="006F06AB">
        <w:rPr>
          <w:rFonts w:ascii="Times New Roman" w:hAnsi="Times New Roman" w:cs="Times New Roman"/>
          <w:sz w:val="24"/>
          <w:szCs w:val="24"/>
        </w:rPr>
        <w:t>Fapohunda</w:t>
      </w:r>
      <w:proofErr w:type="spellEnd"/>
      <w:r w:rsidRPr="006F06AB">
        <w:rPr>
          <w:rFonts w:ascii="Times New Roman" w:hAnsi="Times New Roman" w:cs="Times New Roman"/>
          <w:sz w:val="24"/>
          <w:szCs w:val="24"/>
        </w:rPr>
        <w:t xml:space="preserve">, B.O.L.A.J.I., </w:t>
      </w:r>
      <w:proofErr w:type="spellStart"/>
      <w:r w:rsidRPr="006F06AB">
        <w:rPr>
          <w:rFonts w:ascii="Times New Roman" w:hAnsi="Times New Roman" w:cs="Times New Roman"/>
          <w:sz w:val="24"/>
          <w:szCs w:val="24"/>
        </w:rPr>
        <w:t>Fronczak</w:t>
      </w:r>
      <w:proofErr w:type="spellEnd"/>
      <w:r w:rsidRPr="006F06AB">
        <w:rPr>
          <w:rFonts w:ascii="Times New Roman" w:hAnsi="Times New Roman" w:cs="Times New Roman"/>
          <w:sz w:val="24"/>
          <w:szCs w:val="24"/>
        </w:rPr>
        <w:t xml:space="preserve">, N.A.N.C.Y., </w:t>
      </w:r>
      <w:proofErr w:type="spellStart"/>
      <w:r w:rsidRPr="006F06AB">
        <w:rPr>
          <w:rFonts w:ascii="Times New Roman" w:hAnsi="Times New Roman" w:cs="Times New Roman"/>
          <w:sz w:val="24"/>
          <w:szCs w:val="24"/>
        </w:rPr>
        <w:t>Minichiello</w:t>
      </w:r>
      <w:proofErr w:type="spellEnd"/>
      <w:r w:rsidRPr="006F06AB">
        <w:rPr>
          <w:rFonts w:ascii="Times New Roman" w:hAnsi="Times New Roman" w:cs="Times New Roman"/>
          <w:sz w:val="24"/>
          <w:szCs w:val="24"/>
        </w:rPr>
        <w:t xml:space="preserve">, S.N., Buckner, B.A.T.E.S., </w:t>
      </w:r>
      <w:proofErr w:type="spellStart"/>
      <w:r w:rsidRPr="006F06AB">
        <w:rPr>
          <w:rFonts w:ascii="Times New Roman" w:hAnsi="Times New Roman" w:cs="Times New Roman"/>
          <w:sz w:val="24"/>
          <w:szCs w:val="24"/>
        </w:rPr>
        <w:t>Schenck-Yglesias</w:t>
      </w:r>
      <w:proofErr w:type="spellEnd"/>
      <w:r w:rsidRPr="006F06AB">
        <w:rPr>
          <w:rFonts w:ascii="Times New Roman" w:hAnsi="Times New Roman" w:cs="Times New Roman"/>
          <w:sz w:val="24"/>
          <w:szCs w:val="24"/>
        </w:rPr>
        <w:t xml:space="preserve">, C.A.T.H.E.R.I.N.E., Bates, C., Patil, P., Dal </w:t>
      </w:r>
      <w:proofErr w:type="spellStart"/>
      <w:r w:rsidRPr="006F06AB">
        <w:rPr>
          <w:rFonts w:ascii="Times New Roman" w:hAnsi="Times New Roman" w:cs="Times New Roman"/>
          <w:sz w:val="24"/>
          <w:szCs w:val="24"/>
        </w:rPr>
        <w:t>Poz</w:t>
      </w:r>
      <w:proofErr w:type="spellEnd"/>
      <w:r w:rsidRPr="006F06AB">
        <w:rPr>
          <w:rFonts w:ascii="Times New Roman" w:hAnsi="Times New Roman" w:cs="Times New Roman"/>
          <w:sz w:val="24"/>
          <w:szCs w:val="24"/>
        </w:rPr>
        <w:t xml:space="preserve">, M., Gupta, N., </w:t>
      </w:r>
      <w:proofErr w:type="spellStart"/>
      <w:r w:rsidRPr="006F06AB">
        <w:rPr>
          <w:rFonts w:ascii="Times New Roman" w:hAnsi="Times New Roman" w:cs="Times New Roman"/>
          <w:sz w:val="24"/>
          <w:szCs w:val="24"/>
        </w:rPr>
        <w:t>Quain</w:t>
      </w:r>
      <w:proofErr w:type="spellEnd"/>
      <w:r w:rsidRPr="006F06AB">
        <w:rPr>
          <w:rFonts w:ascii="Times New Roman" w:hAnsi="Times New Roman" w:cs="Times New Roman"/>
          <w:sz w:val="24"/>
          <w:szCs w:val="24"/>
        </w:rPr>
        <w:t xml:space="preserve">, E. and </w:t>
      </w:r>
      <w:proofErr w:type="spellStart"/>
      <w:r w:rsidRPr="006F06AB">
        <w:rPr>
          <w:rFonts w:ascii="Times New Roman" w:hAnsi="Times New Roman" w:cs="Times New Roman"/>
          <w:sz w:val="24"/>
          <w:szCs w:val="24"/>
        </w:rPr>
        <w:t>Soucat</w:t>
      </w:r>
      <w:proofErr w:type="spellEnd"/>
      <w:r w:rsidRPr="006F06AB">
        <w:rPr>
          <w:rFonts w:ascii="Times New Roman" w:hAnsi="Times New Roman" w:cs="Times New Roman"/>
          <w:sz w:val="24"/>
          <w:szCs w:val="24"/>
        </w:rPr>
        <w:t>, A.L.B., 2009. Use of facility-based assessments in health workforce analysis. </w:t>
      </w:r>
      <w:r w:rsidRPr="006F06AB">
        <w:rPr>
          <w:rFonts w:ascii="Times New Roman" w:hAnsi="Times New Roman" w:cs="Times New Roman"/>
          <w:i/>
          <w:iCs/>
          <w:sz w:val="24"/>
          <w:szCs w:val="24"/>
        </w:rPr>
        <w:t>Handbook on Monitoring and Evaluation of Human Resources for Health with special applications for low-and middle-income countries</w:t>
      </w:r>
      <w:r w:rsidRPr="006F06AB">
        <w:rPr>
          <w:rFonts w:ascii="Times New Roman" w:hAnsi="Times New Roman" w:cs="Times New Roman"/>
          <w:sz w:val="24"/>
          <w:szCs w:val="24"/>
        </w:rPr>
        <w:t>, pp.79-101.</w:t>
      </w:r>
    </w:p>
    <w:p w14:paraId="6B7F4BDE" w14:textId="29B4EFFD" w:rsidR="005E3706" w:rsidRDefault="005E3706" w:rsidP="00DB25CE">
      <w:pPr>
        <w:spacing w:line="360" w:lineRule="auto"/>
        <w:jc w:val="both"/>
        <w:rPr>
          <w:rFonts w:ascii="Times New Roman" w:hAnsi="Times New Roman" w:cs="Times New Roman"/>
          <w:sz w:val="24"/>
          <w:szCs w:val="24"/>
        </w:rPr>
      </w:pPr>
      <w:r w:rsidRPr="005E3706">
        <w:rPr>
          <w:rFonts w:ascii="Times New Roman" w:hAnsi="Times New Roman" w:cs="Times New Roman"/>
          <w:sz w:val="24"/>
          <w:szCs w:val="24"/>
        </w:rPr>
        <w:t xml:space="preserve">Hayes, L.J., O’Brien-Pallas, L., Duffield, C., </w:t>
      </w:r>
      <w:proofErr w:type="spellStart"/>
      <w:r w:rsidRPr="005E3706">
        <w:rPr>
          <w:rFonts w:ascii="Times New Roman" w:hAnsi="Times New Roman" w:cs="Times New Roman"/>
          <w:sz w:val="24"/>
          <w:szCs w:val="24"/>
        </w:rPr>
        <w:t>Shamian</w:t>
      </w:r>
      <w:proofErr w:type="spellEnd"/>
      <w:r w:rsidRPr="005E3706">
        <w:rPr>
          <w:rFonts w:ascii="Times New Roman" w:hAnsi="Times New Roman" w:cs="Times New Roman"/>
          <w:sz w:val="24"/>
          <w:szCs w:val="24"/>
        </w:rPr>
        <w:t xml:space="preserve">, J., Buchan, J., Hughes, F., </w:t>
      </w:r>
      <w:proofErr w:type="spellStart"/>
      <w:r w:rsidRPr="005E3706">
        <w:rPr>
          <w:rFonts w:ascii="Times New Roman" w:hAnsi="Times New Roman" w:cs="Times New Roman"/>
          <w:sz w:val="24"/>
          <w:szCs w:val="24"/>
        </w:rPr>
        <w:t>Laschinger</w:t>
      </w:r>
      <w:proofErr w:type="spellEnd"/>
      <w:r w:rsidRPr="005E3706">
        <w:rPr>
          <w:rFonts w:ascii="Times New Roman" w:hAnsi="Times New Roman" w:cs="Times New Roman"/>
          <w:sz w:val="24"/>
          <w:szCs w:val="24"/>
        </w:rPr>
        <w:t>, H.K.S. and North, N., 2012. Nurse turnover: a literature review–an update. </w:t>
      </w:r>
      <w:r w:rsidRPr="005E3706">
        <w:rPr>
          <w:rFonts w:ascii="Times New Roman" w:hAnsi="Times New Roman" w:cs="Times New Roman"/>
          <w:i/>
          <w:iCs/>
          <w:sz w:val="24"/>
          <w:szCs w:val="24"/>
        </w:rPr>
        <w:t>International journal of nursing studies</w:t>
      </w:r>
      <w:r w:rsidRPr="005E3706">
        <w:rPr>
          <w:rFonts w:ascii="Times New Roman" w:hAnsi="Times New Roman" w:cs="Times New Roman"/>
          <w:sz w:val="24"/>
          <w:szCs w:val="24"/>
        </w:rPr>
        <w:t>, </w:t>
      </w:r>
      <w:r w:rsidRPr="005E3706">
        <w:rPr>
          <w:rFonts w:ascii="Times New Roman" w:hAnsi="Times New Roman" w:cs="Times New Roman"/>
          <w:i/>
          <w:iCs/>
          <w:sz w:val="24"/>
          <w:szCs w:val="24"/>
        </w:rPr>
        <w:t>49</w:t>
      </w:r>
      <w:r w:rsidRPr="005E3706">
        <w:rPr>
          <w:rFonts w:ascii="Times New Roman" w:hAnsi="Times New Roman" w:cs="Times New Roman"/>
          <w:sz w:val="24"/>
          <w:szCs w:val="24"/>
        </w:rPr>
        <w:t>(7), pp.887-905.</w:t>
      </w:r>
    </w:p>
    <w:p w14:paraId="1207E4AE" w14:textId="6EFAC832" w:rsidR="005E3706" w:rsidRDefault="005E3706" w:rsidP="00DB25CE">
      <w:pPr>
        <w:spacing w:line="360" w:lineRule="auto"/>
        <w:jc w:val="both"/>
        <w:rPr>
          <w:rFonts w:ascii="Times New Roman" w:hAnsi="Times New Roman" w:cs="Times New Roman"/>
          <w:sz w:val="24"/>
          <w:szCs w:val="24"/>
        </w:rPr>
      </w:pPr>
      <w:r w:rsidRPr="005E3706">
        <w:rPr>
          <w:rFonts w:ascii="Times New Roman" w:hAnsi="Times New Roman" w:cs="Times New Roman"/>
          <w:sz w:val="24"/>
          <w:szCs w:val="24"/>
        </w:rPr>
        <w:t xml:space="preserve">Li, X., </w:t>
      </w:r>
      <w:proofErr w:type="spellStart"/>
      <w:r w:rsidRPr="005E3706">
        <w:rPr>
          <w:rFonts w:ascii="Times New Roman" w:hAnsi="Times New Roman" w:cs="Times New Roman"/>
          <w:sz w:val="24"/>
          <w:szCs w:val="24"/>
        </w:rPr>
        <w:t>Dorstyn</w:t>
      </w:r>
      <w:proofErr w:type="spellEnd"/>
      <w:r w:rsidRPr="005E3706">
        <w:rPr>
          <w:rFonts w:ascii="Times New Roman" w:hAnsi="Times New Roman" w:cs="Times New Roman"/>
          <w:sz w:val="24"/>
          <w:szCs w:val="24"/>
        </w:rPr>
        <w:t>, D., Mpofu, E., Liam, O., Li, Q., Zhang, C. and Ingman, S., 2021. Nursing assistants and resident satisfaction in long-term care: A systematic review. </w:t>
      </w:r>
      <w:r w:rsidRPr="005E3706">
        <w:rPr>
          <w:rFonts w:ascii="Times New Roman" w:hAnsi="Times New Roman" w:cs="Times New Roman"/>
          <w:i/>
          <w:iCs/>
          <w:sz w:val="24"/>
          <w:szCs w:val="24"/>
        </w:rPr>
        <w:t>Geriatric Nursing</w:t>
      </w:r>
      <w:r w:rsidRPr="005E3706">
        <w:rPr>
          <w:rFonts w:ascii="Times New Roman" w:hAnsi="Times New Roman" w:cs="Times New Roman"/>
          <w:sz w:val="24"/>
          <w:szCs w:val="24"/>
        </w:rPr>
        <w:t>, </w:t>
      </w:r>
      <w:r w:rsidRPr="005E3706">
        <w:rPr>
          <w:rFonts w:ascii="Times New Roman" w:hAnsi="Times New Roman" w:cs="Times New Roman"/>
          <w:i/>
          <w:iCs/>
          <w:sz w:val="24"/>
          <w:szCs w:val="24"/>
        </w:rPr>
        <w:t>42</w:t>
      </w:r>
      <w:r w:rsidRPr="005E3706">
        <w:rPr>
          <w:rFonts w:ascii="Times New Roman" w:hAnsi="Times New Roman" w:cs="Times New Roman"/>
          <w:sz w:val="24"/>
          <w:szCs w:val="24"/>
        </w:rPr>
        <w:t>(6), pp.1323-1331.</w:t>
      </w:r>
    </w:p>
    <w:p w14:paraId="4C373796" w14:textId="44BBFFD9" w:rsidR="00D801F4" w:rsidRDefault="00D801F4" w:rsidP="00DB25CE">
      <w:pPr>
        <w:spacing w:line="360" w:lineRule="auto"/>
        <w:jc w:val="both"/>
        <w:rPr>
          <w:rFonts w:ascii="Times New Roman" w:hAnsi="Times New Roman" w:cs="Times New Roman"/>
          <w:sz w:val="24"/>
          <w:szCs w:val="24"/>
        </w:rPr>
      </w:pPr>
      <w:r w:rsidRPr="00D801F4">
        <w:rPr>
          <w:rFonts w:ascii="Times New Roman" w:hAnsi="Times New Roman" w:cs="Times New Roman"/>
          <w:sz w:val="24"/>
          <w:szCs w:val="24"/>
        </w:rPr>
        <w:t>Macinati, M.S., 2008. The relationship between quality management systems and organizational performance in the Italian National Health Service. </w:t>
      </w:r>
      <w:r w:rsidRPr="00D801F4">
        <w:rPr>
          <w:rFonts w:ascii="Times New Roman" w:hAnsi="Times New Roman" w:cs="Times New Roman"/>
          <w:i/>
          <w:iCs/>
          <w:sz w:val="24"/>
          <w:szCs w:val="24"/>
        </w:rPr>
        <w:t>Health policy</w:t>
      </w:r>
      <w:r w:rsidRPr="00D801F4">
        <w:rPr>
          <w:rFonts w:ascii="Times New Roman" w:hAnsi="Times New Roman" w:cs="Times New Roman"/>
          <w:sz w:val="24"/>
          <w:szCs w:val="24"/>
        </w:rPr>
        <w:t>, </w:t>
      </w:r>
      <w:r w:rsidRPr="00D801F4">
        <w:rPr>
          <w:rFonts w:ascii="Times New Roman" w:hAnsi="Times New Roman" w:cs="Times New Roman"/>
          <w:i/>
          <w:iCs/>
          <w:sz w:val="24"/>
          <w:szCs w:val="24"/>
        </w:rPr>
        <w:t>85</w:t>
      </w:r>
      <w:r w:rsidRPr="00D801F4">
        <w:rPr>
          <w:rFonts w:ascii="Times New Roman" w:hAnsi="Times New Roman" w:cs="Times New Roman"/>
          <w:sz w:val="24"/>
          <w:szCs w:val="24"/>
        </w:rPr>
        <w:t>(2), pp.228-241.</w:t>
      </w:r>
    </w:p>
    <w:p w14:paraId="4C920E06" w14:textId="7A515648" w:rsidR="00DB25CE" w:rsidRDefault="008F363D" w:rsidP="00DB25CE">
      <w:pPr>
        <w:spacing w:line="360" w:lineRule="auto"/>
        <w:jc w:val="both"/>
        <w:rPr>
          <w:rFonts w:ascii="Times New Roman" w:hAnsi="Times New Roman" w:cs="Times New Roman"/>
          <w:sz w:val="24"/>
          <w:szCs w:val="24"/>
        </w:rPr>
      </w:pPr>
      <w:r w:rsidRPr="008F363D">
        <w:rPr>
          <w:rFonts w:ascii="Times New Roman" w:hAnsi="Times New Roman" w:cs="Times New Roman"/>
          <w:sz w:val="24"/>
          <w:szCs w:val="24"/>
        </w:rPr>
        <w:t>Nursing and Midwifery Council 2022</w:t>
      </w:r>
      <w:r w:rsidR="00D801F4">
        <w:rPr>
          <w:rFonts w:ascii="Times New Roman" w:hAnsi="Times New Roman" w:cs="Times New Roman"/>
          <w:sz w:val="24"/>
          <w:szCs w:val="24"/>
        </w:rPr>
        <w:t>.</w:t>
      </w:r>
      <w:r w:rsidRPr="008F363D">
        <w:rPr>
          <w:rFonts w:ascii="Times New Roman" w:hAnsi="Times New Roman" w:cs="Times New Roman"/>
          <w:sz w:val="24"/>
          <w:szCs w:val="24"/>
        </w:rPr>
        <w:t xml:space="preserve"> The nursing and midwifery workforce in the UK Retrieved from </w:t>
      </w:r>
      <w:hyperlink r:id="rId5" w:tgtFrame="_new" w:history="1">
        <w:r w:rsidRPr="008F363D">
          <w:rPr>
            <w:rStyle w:val="Hyperlink"/>
            <w:rFonts w:ascii="Times New Roman" w:hAnsi="Times New Roman" w:cs="Times New Roman"/>
            <w:sz w:val="24"/>
            <w:szCs w:val="24"/>
          </w:rPr>
          <w:t>https://www.nmc.org.uk/globalassets/sitedocuments/data-and-research/workforce-report-2022.pdf</w:t>
        </w:r>
      </w:hyperlink>
      <w:r>
        <w:rPr>
          <w:rFonts w:ascii="Times New Roman" w:hAnsi="Times New Roman" w:cs="Times New Roman"/>
          <w:sz w:val="24"/>
          <w:szCs w:val="24"/>
        </w:rPr>
        <w:t xml:space="preserve"> ( Accessed 22/04/2023)</w:t>
      </w:r>
    </w:p>
    <w:p w14:paraId="5BAAC36F" w14:textId="4F062E39" w:rsidR="008F363D" w:rsidRDefault="008F363D" w:rsidP="008F363D">
      <w:pPr>
        <w:spacing w:line="360" w:lineRule="auto"/>
        <w:jc w:val="both"/>
        <w:rPr>
          <w:rFonts w:ascii="Times New Roman" w:hAnsi="Times New Roman" w:cs="Times New Roman"/>
          <w:sz w:val="24"/>
          <w:szCs w:val="24"/>
        </w:rPr>
      </w:pPr>
      <w:r w:rsidRPr="008F363D">
        <w:rPr>
          <w:rFonts w:ascii="Times New Roman" w:hAnsi="Times New Roman" w:cs="Times New Roman"/>
          <w:sz w:val="24"/>
          <w:szCs w:val="24"/>
          <w:lang w:bidi="en-GB"/>
        </w:rPr>
        <w:t>Source:</w:t>
      </w:r>
      <w:hyperlink r:id="rId6">
        <w:r w:rsidRPr="008F363D">
          <w:rPr>
            <w:rStyle w:val="Hyperlink"/>
            <w:rFonts w:ascii="Times New Roman" w:hAnsi="Times New Roman" w:cs="Times New Roman"/>
            <w:sz w:val="24"/>
            <w:szCs w:val="24"/>
            <w:lang w:bidi="en-GB"/>
          </w:rPr>
          <w:t>https://digital.nhs.uk/data</w:t>
        </w:r>
      </w:hyperlink>
      <w:hyperlink r:id="rId7">
        <w:r w:rsidRPr="008F363D">
          <w:rPr>
            <w:rStyle w:val="Hyperlink"/>
            <w:rFonts w:ascii="Times New Roman" w:hAnsi="Times New Roman" w:cs="Times New Roman"/>
            <w:sz w:val="24"/>
            <w:szCs w:val="24"/>
            <w:lang w:bidi="en-GB"/>
          </w:rPr>
          <w:t>-</w:t>
        </w:r>
      </w:hyperlink>
      <w:hyperlink r:id="rId8">
        <w:r w:rsidRPr="008F363D">
          <w:rPr>
            <w:rStyle w:val="Hyperlink"/>
            <w:rFonts w:ascii="Times New Roman" w:hAnsi="Times New Roman" w:cs="Times New Roman"/>
            <w:sz w:val="24"/>
            <w:szCs w:val="24"/>
            <w:lang w:bidi="en-GB"/>
          </w:rPr>
          <w:t>and</w:t>
        </w:r>
      </w:hyperlink>
      <w:hyperlink r:id="rId9">
        <w:r w:rsidRPr="008F363D">
          <w:rPr>
            <w:rStyle w:val="Hyperlink"/>
            <w:rFonts w:ascii="Times New Roman" w:hAnsi="Times New Roman" w:cs="Times New Roman"/>
            <w:sz w:val="24"/>
            <w:szCs w:val="24"/>
            <w:lang w:bidi="en-GB"/>
          </w:rPr>
          <w:t>-</w:t>
        </w:r>
      </w:hyperlink>
      <w:hyperlink r:id="rId10">
        <w:r w:rsidRPr="008F363D">
          <w:rPr>
            <w:rStyle w:val="Hyperlink"/>
            <w:rFonts w:ascii="Times New Roman" w:hAnsi="Times New Roman" w:cs="Times New Roman"/>
            <w:sz w:val="24"/>
            <w:szCs w:val="24"/>
            <w:lang w:bidi="en-GB"/>
          </w:rPr>
          <w:t>information/publications/statistical/nhs</w:t>
        </w:r>
      </w:hyperlink>
      <w:hyperlink r:id="rId11">
        <w:r w:rsidRPr="008F363D">
          <w:rPr>
            <w:rStyle w:val="Hyperlink"/>
            <w:rFonts w:ascii="Times New Roman" w:hAnsi="Times New Roman" w:cs="Times New Roman"/>
            <w:sz w:val="24"/>
            <w:szCs w:val="24"/>
            <w:lang w:bidi="en-GB"/>
          </w:rPr>
          <w:t>-</w:t>
        </w:r>
      </w:hyperlink>
      <w:hyperlink r:id="rId12">
        <w:r w:rsidRPr="008F363D">
          <w:rPr>
            <w:rStyle w:val="Hyperlink"/>
            <w:rFonts w:ascii="Times New Roman" w:hAnsi="Times New Roman" w:cs="Times New Roman"/>
            <w:sz w:val="24"/>
            <w:szCs w:val="24"/>
            <w:lang w:bidi="en-GB"/>
          </w:rPr>
          <w:t>vacancies</w:t>
        </w:r>
      </w:hyperlink>
      <w:hyperlink r:id="rId13">
        <w:r w:rsidRPr="008F363D">
          <w:rPr>
            <w:rStyle w:val="Hyperlink"/>
            <w:rFonts w:ascii="Times New Roman" w:hAnsi="Times New Roman" w:cs="Times New Roman"/>
            <w:sz w:val="24"/>
            <w:szCs w:val="24"/>
            <w:lang w:bidi="en-GB"/>
          </w:rPr>
          <w:t>-</w:t>
        </w:r>
      </w:hyperlink>
      <w:hyperlink r:id="rId14">
        <w:r w:rsidRPr="008F363D">
          <w:rPr>
            <w:rStyle w:val="Hyperlink"/>
            <w:rFonts w:ascii="Times New Roman" w:hAnsi="Times New Roman" w:cs="Times New Roman"/>
            <w:sz w:val="24"/>
            <w:szCs w:val="24"/>
            <w:lang w:bidi="en-GB"/>
          </w:rPr>
          <w:t>survey/april</w:t>
        </w:r>
      </w:hyperlink>
      <w:hyperlink r:id="rId15"/>
      <w:hyperlink r:id="rId16">
        <w:r w:rsidRPr="008F363D">
          <w:rPr>
            <w:rStyle w:val="Hyperlink"/>
            <w:rFonts w:ascii="Times New Roman" w:hAnsi="Times New Roman" w:cs="Times New Roman"/>
            <w:sz w:val="24"/>
            <w:szCs w:val="24"/>
            <w:lang w:bidi="en-GB"/>
          </w:rPr>
          <w:t>2015</w:t>
        </w:r>
      </w:hyperlink>
      <w:hyperlink r:id="rId17">
        <w:r w:rsidRPr="008F363D">
          <w:rPr>
            <w:rStyle w:val="Hyperlink"/>
            <w:rFonts w:ascii="Times New Roman" w:hAnsi="Times New Roman" w:cs="Times New Roman"/>
            <w:sz w:val="24"/>
            <w:szCs w:val="24"/>
            <w:lang w:bidi="en-GB"/>
          </w:rPr>
          <w:t>---</w:t>
        </w:r>
      </w:hyperlink>
      <w:hyperlink r:id="rId18">
        <w:r w:rsidRPr="008F363D">
          <w:rPr>
            <w:rStyle w:val="Hyperlink"/>
            <w:rFonts w:ascii="Times New Roman" w:hAnsi="Times New Roman" w:cs="Times New Roman"/>
            <w:sz w:val="24"/>
            <w:szCs w:val="24"/>
            <w:lang w:bidi="en-GB"/>
          </w:rPr>
          <w:t>june</w:t>
        </w:r>
      </w:hyperlink>
      <w:hyperlink r:id="rId19">
        <w:r w:rsidRPr="008F363D">
          <w:rPr>
            <w:rStyle w:val="Hyperlink"/>
            <w:rFonts w:ascii="Times New Roman" w:hAnsi="Times New Roman" w:cs="Times New Roman"/>
            <w:sz w:val="24"/>
            <w:szCs w:val="24"/>
            <w:lang w:bidi="en-GB"/>
          </w:rPr>
          <w:t>-</w:t>
        </w:r>
      </w:hyperlink>
      <w:hyperlink r:id="rId20">
        <w:r w:rsidRPr="008F363D">
          <w:rPr>
            <w:rStyle w:val="Hyperlink"/>
            <w:rFonts w:ascii="Times New Roman" w:hAnsi="Times New Roman" w:cs="Times New Roman"/>
            <w:sz w:val="24"/>
            <w:szCs w:val="24"/>
            <w:lang w:bidi="en-GB"/>
          </w:rPr>
          <w:t>2022</w:t>
        </w:r>
      </w:hyperlink>
      <w:hyperlink r:id="rId21">
        <w:r w:rsidRPr="008F363D">
          <w:rPr>
            <w:rStyle w:val="Hyperlink"/>
            <w:rFonts w:ascii="Times New Roman" w:hAnsi="Times New Roman" w:cs="Times New Roman"/>
            <w:sz w:val="24"/>
            <w:szCs w:val="24"/>
            <w:lang w:bidi="en-GB"/>
          </w:rPr>
          <w:t>-</w:t>
        </w:r>
      </w:hyperlink>
      <w:hyperlink r:id="rId22">
        <w:r w:rsidRPr="008F363D">
          <w:rPr>
            <w:rStyle w:val="Hyperlink"/>
            <w:rFonts w:ascii="Times New Roman" w:hAnsi="Times New Roman" w:cs="Times New Roman"/>
            <w:sz w:val="24"/>
            <w:szCs w:val="24"/>
            <w:lang w:bidi="en-GB"/>
          </w:rPr>
          <w:t>experimental</w:t>
        </w:r>
      </w:hyperlink>
      <w:hyperlink r:id="rId23">
        <w:r w:rsidRPr="008F363D">
          <w:rPr>
            <w:rStyle w:val="Hyperlink"/>
            <w:rFonts w:ascii="Times New Roman" w:hAnsi="Times New Roman" w:cs="Times New Roman"/>
            <w:sz w:val="24"/>
            <w:szCs w:val="24"/>
            <w:lang w:bidi="en-GB"/>
          </w:rPr>
          <w:t>-</w:t>
        </w:r>
      </w:hyperlink>
      <w:hyperlink r:id="rId24">
        <w:r w:rsidRPr="008F363D">
          <w:rPr>
            <w:rStyle w:val="Hyperlink"/>
            <w:rFonts w:ascii="Times New Roman" w:hAnsi="Times New Roman" w:cs="Times New Roman"/>
            <w:sz w:val="24"/>
            <w:szCs w:val="24"/>
            <w:lang w:bidi="en-GB"/>
          </w:rPr>
          <w:t>statistics</w:t>
        </w:r>
      </w:hyperlink>
      <w:hyperlink r:id="rId25">
        <w:r w:rsidRPr="008F363D">
          <w:rPr>
            <w:rStyle w:val="Hyperlink"/>
            <w:rFonts w:ascii="Times New Roman" w:hAnsi="Times New Roman" w:cs="Times New Roman"/>
            <w:sz w:val="24"/>
            <w:szCs w:val="24"/>
            <w:lang w:bidi="en-GB"/>
          </w:rPr>
          <w:t xml:space="preserve"> </w:t>
        </w:r>
      </w:hyperlink>
      <w:r>
        <w:rPr>
          <w:rFonts w:ascii="Times New Roman" w:hAnsi="Times New Roman" w:cs="Times New Roman"/>
          <w:sz w:val="24"/>
          <w:szCs w:val="24"/>
        </w:rPr>
        <w:t>(Accessed 22/04/2023)</w:t>
      </w:r>
    </w:p>
    <w:p w14:paraId="23961987" w14:textId="06D8A6DC" w:rsidR="00F41AE8" w:rsidRDefault="00F41AE8" w:rsidP="008F363D">
      <w:pPr>
        <w:spacing w:line="360" w:lineRule="auto"/>
        <w:jc w:val="both"/>
        <w:rPr>
          <w:rFonts w:ascii="Times New Roman" w:hAnsi="Times New Roman" w:cs="Times New Roman"/>
          <w:sz w:val="24"/>
          <w:szCs w:val="24"/>
          <w:lang w:bidi="en-GB"/>
        </w:rPr>
      </w:pPr>
      <w:r w:rsidRPr="00F41AE8">
        <w:rPr>
          <w:rFonts w:ascii="Times New Roman" w:hAnsi="Times New Roman" w:cs="Times New Roman"/>
          <w:sz w:val="24"/>
          <w:szCs w:val="24"/>
          <w:lang w:bidi="en-GB"/>
        </w:rPr>
        <w:t xml:space="preserve">Source: </w:t>
      </w:r>
      <w:hyperlink r:id="rId26">
        <w:r w:rsidRPr="00F41AE8">
          <w:rPr>
            <w:rStyle w:val="Hyperlink"/>
            <w:rFonts w:ascii="Times New Roman" w:hAnsi="Times New Roman" w:cs="Times New Roman"/>
            <w:sz w:val="24"/>
            <w:szCs w:val="24"/>
            <w:lang w:bidi="en-GB"/>
          </w:rPr>
          <w:t>https://www.kingsfund.org.uk/blog/2022/10/nhs</w:t>
        </w:r>
      </w:hyperlink>
      <w:hyperlink r:id="rId27">
        <w:r w:rsidRPr="00F41AE8">
          <w:rPr>
            <w:rStyle w:val="Hyperlink"/>
            <w:rFonts w:ascii="Times New Roman" w:hAnsi="Times New Roman" w:cs="Times New Roman"/>
            <w:sz w:val="24"/>
            <w:szCs w:val="24"/>
            <w:lang w:bidi="en-GB"/>
          </w:rPr>
          <w:t>-</w:t>
        </w:r>
      </w:hyperlink>
      <w:hyperlink r:id="rId28">
        <w:r w:rsidRPr="00F41AE8">
          <w:rPr>
            <w:rStyle w:val="Hyperlink"/>
            <w:rFonts w:ascii="Times New Roman" w:hAnsi="Times New Roman" w:cs="Times New Roman"/>
            <w:sz w:val="24"/>
            <w:szCs w:val="24"/>
            <w:lang w:bidi="en-GB"/>
          </w:rPr>
          <w:t>nursing</w:t>
        </w:r>
      </w:hyperlink>
      <w:hyperlink r:id="rId29">
        <w:r w:rsidRPr="00F41AE8">
          <w:rPr>
            <w:rStyle w:val="Hyperlink"/>
            <w:rFonts w:ascii="Times New Roman" w:hAnsi="Times New Roman" w:cs="Times New Roman"/>
            <w:sz w:val="24"/>
            <w:szCs w:val="24"/>
            <w:lang w:bidi="en-GB"/>
          </w:rPr>
          <w:t>-</w:t>
        </w:r>
      </w:hyperlink>
      <w:hyperlink r:id="rId30">
        <w:r w:rsidRPr="00F41AE8">
          <w:rPr>
            <w:rStyle w:val="Hyperlink"/>
            <w:rFonts w:ascii="Times New Roman" w:hAnsi="Times New Roman" w:cs="Times New Roman"/>
            <w:sz w:val="24"/>
            <w:szCs w:val="24"/>
            <w:lang w:bidi="en-GB"/>
          </w:rPr>
          <w:t>workforce</w:t>
        </w:r>
      </w:hyperlink>
      <w:hyperlink r:id="rId31">
        <w:r w:rsidRPr="00F41AE8">
          <w:rPr>
            <w:rStyle w:val="Hyperlink"/>
            <w:rFonts w:ascii="Times New Roman" w:hAnsi="Times New Roman" w:cs="Times New Roman"/>
            <w:sz w:val="24"/>
            <w:szCs w:val="24"/>
            <w:lang w:bidi="en-GB"/>
          </w:rPr>
          <w:t xml:space="preserve"> </w:t>
        </w:r>
      </w:hyperlink>
      <w:r w:rsidRPr="00F41AE8">
        <w:rPr>
          <w:rFonts w:ascii="Times New Roman" w:hAnsi="Times New Roman" w:cs="Times New Roman"/>
          <w:sz w:val="24"/>
          <w:szCs w:val="24"/>
          <w:lang w:bidi="en-GB"/>
        </w:rPr>
        <w:t xml:space="preserve"> </w:t>
      </w:r>
      <w:r>
        <w:rPr>
          <w:rFonts w:ascii="Times New Roman" w:hAnsi="Times New Roman" w:cs="Times New Roman"/>
          <w:sz w:val="24"/>
          <w:szCs w:val="24"/>
          <w:lang w:bidi="en-GB"/>
        </w:rPr>
        <w:t>(Accessed 22/04/2023)</w:t>
      </w:r>
    </w:p>
    <w:p w14:paraId="43D4D933" w14:textId="7336FAE3" w:rsidR="008F363D" w:rsidRPr="008F363D" w:rsidRDefault="008F363D" w:rsidP="008F363D">
      <w:pPr>
        <w:spacing w:line="360" w:lineRule="auto"/>
        <w:jc w:val="both"/>
        <w:rPr>
          <w:rFonts w:ascii="Times New Roman" w:hAnsi="Times New Roman" w:cs="Times New Roman"/>
          <w:sz w:val="24"/>
          <w:szCs w:val="24"/>
          <w:lang w:bidi="en-GB"/>
        </w:rPr>
      </w:pPr>
      <w:r w:rsidRPr="008F363D">
        <w:rPr>
          <w:rFonts w:ascii="Times New Roman" w:hAnsi="Times New Roman" w:cs="Times New Roman"/>
          <w:sz w:val="24"/>
          <w:szCs w:val="24"/>
          <w:lang w:bidi="en-GB"/>
        </w:rPr>
        <w:t>Shields, M.A. and Ward, M., 2001. Improving nurse retention in the National Health Service in England: the impact of job satisfaction on intentions to quit. </w:t>
      </w:r>
      <w:r w:rsidRPr="008F363D">
        <w:rPr>
          <w:rFonts w:ascii="Times New Roman" w:hAnsi="Times New Roman" w:cs="Times New Roman"/>
          <w:i/>
          <w:iCs/>
          <w:sz w:val="24"/>
          <w:szCs w:val="24"/>
          <w:lang w:bidi="en-GB"/>
        </w:rPr>
        <w:t>Journal of health economics</w:t>
      </w:r>
      <w:r w:rsidRPr="008F363D">
        <w:rPr>
          <w:rFonts w:ascii="Times New Roman" w:hAnsi="Times New Roman" w:cs="Times New Roman"/>
          <w:sz w:val="24"/>
          <w:szCs w:val="24"/>
          <w:lang w:bidi="en-GB"/>
        </w:rPr>
        <w:t>, </w:t>
      </w:r>
      <w:r w:rsidRPr="008F363D">
        <w:rPr>
          <w:rFonts w:ascii="Times New Roman" w:hAnsi="Times New Roman" w:cs="Times New Roman"/>
          <w:i/>
          <w:iCs/>
          <w:sz w:val="24"/>
          <w:szCs w:val="24"/>
          <w:lang w:bidi="en-GB"/>
        </w:rPr>
        <w:t>20</w:t>
      </w:r>
      <w:r w:rsidRPr="008F363D">
        <w:rPr>
          <w:rFonts w:ascii="Times New Roman" w:hAnsi="Times New Roman" w:cs="Times New Roman"/>
          <w:sz w:val="24"/>
          <w:szCs w:val="24"/>
          <w:lang w:bidi="en-GB"/>
        </w:rPr>
        <w:t>(5), pp.677-701.</w:t>
      </w:r>
    </w:p>
    <w:p w14:paraId="4936B0C9" w14:textId="47B4B08C" w:rsidR="008F363D" w:rsidRPr="00DB25CE" w:rsidRDefault="00D801F4" w:rsidP="00DB25CE">
      <w:pPr>
        <w:spacing w:line="360" w:lineRule="auto"/>
        <w:jc w:val="both"/>
        <w:rPr>
          <w:rFonts w:ascii="Times New Roman" w:hAnsi="Times New Roman" w:cs="Times New Roman"/>
          <w:sz w:val="24"/>
          <w:szCs w:val="24"/>
        </w:rPr>
      </w:pPr>
      <w:r w:rsidRPr="00D801F4">
        <w:rPr>
          <w:rFonts w:ascii="Times New Roman" w:hAnsi="Times New Roman" w:cs="Times New Roman"/>
          <w:sz w:val="24"/>
          <w:szCs w:val="24"/>
        </w:rPr>
        <w:t>World Health Organization, 2010. </w:t>
      </w:r>
      <w:r w:rsidRPr="00D801F4">
        <w:rPr>
          <w:rFonts w:ascii="Times New Roman" w:hAnsi="Times New Roman" w:cs="Times New Roman"/>
          <w:i/>
          <w:iCs/>
          <w:sz w:val="24"/>
          <w:szCs w:val="24"/>
        </w:rPr>
        <w:t>Increasing access to health workers in remote and rural areas through improved retention: global policy recommendations</w:t>
      </w:r>
      <w:r w:rsidRPr="00D801F4">
        <w:rPr>
          <w:rFonts w:ascii="Times New Roman" w:hAnsi="Times New Roman" w:cs="Times New Roman"/>
          <w:sz w:val="24"/>
          <w:szCs w:val="24"/>
        </w:rPr>
        <w:t>. World Health Organization.</w:t>
      </w:r>
    </w:p>
    <w:sectPr w:rsidR="008F363D" w:rsidRPr="00DB25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5CE"/>
    <w:rsid w:val="00032D92"/>
    <w:rsid w:val="000F691F"/>
    <w:rsid w:val="003C1ADE"/>
    <w:rsid w:val="0054531B"/>
    <w:rsid w:val="005E3706"/>
    <w:rsid w:val="006F06AB"/>
    <w:rsid w:val="008F363D"/>
    <w:rsid w:val="00912FF5"/>
    <w:rsid w:val="0091323A"/>
    <w:rsid w:val="00C618FB"/>
    <w:rsid w:val="00D801F4"/>
    <w:rsid w:val="00DB00EF"/>
    <w:rsid w:val="00DB25CE"/>
    <w:rsid w:val="00F41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7B5F9"/>
  <w15:chartTrackingRefBased/>
  <w15:docId w15:val="{5EC5349E-8E4B-4AEE-BF1F-603F39B07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363D"/>
    <w:rPr>
      <w:color w:val="0563C1" w:themeColor="hyperlink"/>
      <w:u w:val="single"/>
    </w:rPr>
  </w:style>
  <w:style w:type="character" w:styleId="UnresolvedMention">
    <w:name w:val="Unresolved Mention"/>
    <w:basedOn w:val="DefaultParagraphFont"/>
    <w:uiPriority w:val="99"/>
    <w:semiHidden/>
    <w:unhideWhenUsed/>
    <w:rsid w:val="008F36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nhs-vacancies-survey/april-2015---june-2022-experimental-statistics" TargetMode="External" /><Relationship Id="rId13" Type="http://schemas.openxmlformats.org/officeDocument/2006/relationships/hyperlink" Target="https://digital.nhs.uk/data-and-information/publications/statistical/nhs-vacancies-survey/april-2015---june-2022-experimental-statistics" TargetMode="External" /><Relationship Id="rId18" Type="http://schemas.openxmlformats.org/officeDocument/2006/relationships/hyperlink" Target="https://digital.nhs.uk/data-and-information/publications/statistical/nhs-vacancies-survey/april-2015---june-2022-experimental-statistics" TargetMode="External" /><Relationship Id="rId26" Type="http://schemas.openxmlformats.org/officeDocument/2006/relationships/hyperlink" Target="https://www.kingsfund.org.uk/blog/2022/10/nhs-nursing-workforce" TargetMode="External" /><Relationship Id="rId3" Type="http://schemas.openxmlformats.org/officeDocument/2006/relationships/webSettings" Target="webSettings.xml" /><Relationship Id="rId21" Type="http://schemas.openxmlformats.org/officeDocument/2006/relationships/hyperlink" Target="https://digital.nhs.uk/data-and-information/publications/statistical/nhs-vacancies-survey/april-2015---june-2022-experimental-statistics" TargetMode="External" /><Relationship Id="rId7" Type="http://schemas.openxmlformats.org/officeDocument/2006/relationships/hyperlink" Target="https://digital.nhs.uk/data-and-information/publications/statistical/nhs-vacancies-survey/april-2015---june-2022-experimental-statistics" TargetMode="External" /><Relationship Id="rId12" Type="http://schemas.openxmlformats.org/officeDocument/2006/relationships/hyperlink" Target="https://digital.nhs.uk/data-and-information/publications/statistical/nhs-vacancies-survey/april-2015---june-2022-experimental-statistics" TargetMode="External" /><Relationship Id="rId17" Type="http://schemas.openxmlformats.org/officeDocument/2006/relationships/hyperlink" Target="https://digital.nhs.uk/data-and-information/publications/statistical/nhs-vacancies-survey/april-2015---june-2022-experimental-statistics" TargetMode="External" /><Relationship Id="rId25" Type="http://schemas.openxmlformats.org/officeDocument/2006/relationships/hyperlink" Target="https://digital.nhs.uk/data-and-information/publications/statistical/nhs-vacancies-survey/april-2015---june-2022-experimental-statistics" TargetMode="External" /><Relationship Id="rId33"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hyperlink" Target="https://digital.nhs.uk/data-and-information/publications/statistical/nhs-vacancies-survey/april-2015---june-2022-experimental-statistics" TargetMode="External" /><Relationship Id="rId20" Type="http://schemas.openxmlformats.org/officeDocument/2006/relationships/hyperlink" Target="https://digital.nhs.uk/data-and-information/publications/statistical/nhs-vacancies-survey/april-2015---june-2022-experimental-statistics" TargetMode="External" /><Relationship Id="rId29" Type="http://schemas.openxmlformats.org/officeDocument/2006/relationships/hyperlink" Target="https://www.kingsfund.org.uk/blog/2022/10/nhs-nursing-workforce" TargetMode="External" /><Relationship Id="rId1" Type="http://schemas.openxmlformats.org/officeDocument/2006/relationships/styles" Target="styles.xml" /><Relationship Id="rId6" Type="http://schemas.openxmlformats.org/officeDocument/2006/relationships/hyperlink" Target="https://digital.nhs.uk/data-and-information/publications/statistical/nhs-vacancies-survey/april-2015---june-2022-experimental-statistics" TargetMode="External" /><Relationship Id="rId11" Type="http://schemas.openxmlformats.org/officeDocument/2006/relationships/hyperlink" Target="https://digital.nhs.uk/data-and-information/publications/statistical/nhs-vacancies-survey/april-2015---june-2022-experimental-statistics" TargetMode="External" /><Relationship Id="rId24" Type="http://schemas.openxmlformats.org/officeDocument/2006/relationships/hyperlink" Target="https://digital.nhs.uk/data-and-information/publications/statistical/nhs-vacancies-survey/april-2015---june-2022-experimental-statistics" TargetMode="External" /><Relationship Id="rId32" Type="http://schemas.openxmlformats.org/officeDocument/2006/relationships/fontTable" Target="fontTable.xml" /><Relationship Id="rId5" Type="http://schemas.openxmlformats.org/officeDocument/2006/relationships/hyperlink" Target="https://www.nmc.org.uk/globalassets/sitedocuments/data-and-research/workforce-report-2022.pdf" TargetMode="External" /><Relationship Id="rId15" Type="http://schemas.openxmlformats.org/officeDocument/2006/relationships/hyperlink" Target="https://digital.nhs.uk/data-and-information/publications/statistical/nhs-vacancies-survey/april-2015---june-2022-experimental-statistics" TargetMode="External" /><Relationship Id="rId23" Type="http://schemas.openxmlformats.org/officeDocument/2006/relationships/hyperlink" Target="https://digital.nhs.uk/data-and-information/publications/statistical/nhs-vacancies-survey/april-2015---june-2022-experimental-statistics" TargetMode="External" /><Relationship Id="rId28" Type="http://schemas.openxmlformats.org/officeDocument/2006/relationships/hyperlink" Target="https://www.kingsfund.org.uk/blog/2022/10/nhs-nursing-workforce" TargetMode="External" /><Relationship Id="rId10" Type="http://schemas.openxmlformats.org/officeDocument/2006/relationships/hyperlink" Target="https://digital.nhs.uk/data-and-information/publications/statistical/nhs-vacancies-survey/april-2015---june-2022-experimental-statistics" TargetMode="External" /><Relationship Id="rId19" Type="http://schemas.openxmlformats.org/officeDocument/2006/relationships/hyperlink" Target="https://digital.nhs.uk/data-and-information/publications/statistical/nhs-vacancies-survey/april-2015---june-2022-experimental-statistics" TargetMode="External" /><Relationship Id="rId31" Type="http://schemas.openxmlformats.org/officeDocument/2006/relationships/hyperlink" Target="https://www.kingsfund.org.uk/blog/2022/10/nhs-nursing-workforce" TargetMode="External" /><Relationship Id="rId4" Type="http://schemas.openxmlformats.org/officeDocument/2006/relationships/image" Target="media/image1.png" /><Relationship Id="rId9" Type="http://schemas.openxmlformats.org/officeDocument/2006/relationships/hyperlink" Target="https://digital.nhs.uk/data-and-information/publications/statistical/nhs-vacancies-survey/april-2015---june-2022-experimental-statistics" TargetMode="External" /><Relationship Id="rId14" Type="http://schemas.openxmlformats.org/officeDocument/2006/relationships/hyperlink" Target="https://digital.nhs.uk/data-and-information/publications/statistical/nhs-vacancies-survey/april-2015---june-2022-experimental-statistics" TargetMode="External" /><Relationship Id="rId22" Type="http://schemas.openxmlformats.org/officeDocument/2006/relationships/hyperlink" Target="https://digital.nhs.uk/data-and-information/publications/statistical/nhs-vacancies-survey/april-2015---june-2022-experimental-statistics" TargetMode="External" /><Relationship Id="rId27" Type="http://schemas.openxmlformats.org/officeDocument/2006/relationships/hyperlink" Target="https://www.kingsfund.org.uk/blog/2022/10/nhs-nursing-workforce" TargetMode="External" /><Relationship Id="rId30" Type="http://schemas.openxmlformats.org/officeDocument/2006/relationships/hyperlink" Target="https://www.kingsfund.org.uk/blog/2022/10/nhs-nursing-workforc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3405</Words>
  <Characters>19414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julietta</dc:creator>
  <cp:keywords/>
  <dc:description/>
  <cp:lastModifiedBy>Cristian Lupu</cp:lastModifiedBy>
  <cp:revision>2</cp:revision>
  <dcterms:created xsi:type="dcterms:W3CDTF">2023-04-26T18:58:00Z</dcterms:created>
  <dcterms:modified xsi:type="dcterms:W3CDTF">2023-04-26T18:58:00Z</dcterms:modified>
</cp:coreProperties>
</file>