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58F65B" w14:textId="77777777" w:rsidR="004B5E4A" w:rsidRDefault="004B5E4A" w:rsidP="00386E7C">
      <w:pPr>
        <w:jc w:val="center"/>
        <w:rPr>
          <w:rFonts w:ascii="Bookman Old Style" w:hAnsi="Bookman Old Style"/>
          <w:b/>
          <w:bCs/>
          <w:sz w:val="24"/>
          <w:szCs w:val="24"/>
          <w:u w:val="single"/>
        </w:rPr>
      </w:pPr>
    </w:p>
    <w:p w14:paraId="4B33CB10" w14:textId="77777777" w:rsidR="004B5E4A" w:rsidRPr="00816611" w:rsidRDefault="004B5E4A" w:rsidP="004B5E4A">
      <w:pPr>
        <w:spacing w:line="480" w:lineRule="auto"/>
        <w:jc w:val="center"/>
        <w:rPr>
          <w:rFonts w:ascii="Times New Roman" w:hAnsi="Times New Roman" w:cs="Times New Roman"/>
          <w:sz w:val="24"/>
          <w:szCs w:val="24"/>
        </w:rPr>
      </w:pPr>
      <w:r w:rsidRPr="00816611">
        <w:rPr>
          <w:rFonts w:ascii="Times New Roman" w:hAnsi="Times New Roman" w:cs="Times New Roman"/>
          <w:sz w:val="24"/>
          <w:szCs w:val="24"/>
        </w:rPr>
        <w:t>Student's Name</w:t>
      </w:r>
      <w:r>
        <w:rPr>
          <w:rFonts w:ascii="Times New Roman" w:hAnsi="Times New Roman" w:cs="Times New Roman"/>
          <w:sz w:val="24"/>
          <w:szCs w:val="24"/>
        </w:rPr>
        <w:t xml:space="preserve">: </w:t>
      </w:r>
      <w:proofErr w:type="spellStart"/>
      <w:r>
        <w:rPr>
          <w:rFonts w:ascii="Times New Roman" w:hAnsi="Times New Roman" w:cs="Times New Roman"/>
          <w:sz w:val="24"/>
          <w:szCs w:val="24"/>
        </w:rPr>
        <w:t>Nifa</w:t>
      </w:r>
      <w:proofErr w:type="spellEnd"/>
      <w:r>
        <w:rPr>
          <w:rFonts w:ascii="Times New Roman" w:hAnsi="Times New Roman" w:cs="Times New Roman"/>
          <w:sz w:val="24"/>
          <w:szCs w:val="24"/>
        </w:rPr>
        <w:t xml:space="preserve"> Begum</w:t>
      </w:r>
    </w:p>
    <w:p w14:paraId="1D01FE5B" w14:textId="3AC6B312" w:rsidR="004B5E4A" w:rsidRPr="00124395" w:rsidRDefault="004B5E4A" w:rsidP="004B5E4A">
      <w:pPr>
        <w:spacing w:line="480" w:lineRule="auto"/>
        <w:jc w:val="center"/>
        <w:rPr>
          <w:rFonts w:ascii="Times New Roman" w:hAnsi="Times New Roman" w:cs="Times New Roman"/>
          <w:sz w:val="24"/>
          <w:szCs w:val="24"/>
        </w:rPr>
      </w:pPr>
      <w:r w:rsidRPr="004B5E4A">
        <w:rPr>
          <w:rFonts w:ascii="Times New Roman" w:hAnsi="Times New Roman" w:cs="Times New Roman"/>
          <w:sz w:val="24"/>
          <w:szCs w:val="24"/>
          <w:lang w:val="en-GB"/>
        </w:rPr>
        <w:t xml:space="preserve">Tutor: </w:t>
      </w:r>
      <w:r w:rsidR="002630D1">
        <w:rPr>
          <w:rFonts w:ascii="Times New Roman" w:hAnsi="Times New Roman" w:cs="Times New Roman"/>
          <w:sz w:val="24"/>
          <w:szCs w:val="24"/>
          <w:lang w:val="en-GB"/>
        </w:rPr>
        <w:t>James Drew</w:t>
      </w:r>
    </w:p>
    <w:p w14:paraId="70879EDB" w14:textId="52410716" w:rsidR="004B5E4A" w:rsidRPr="00665E0E" w:rsidRDefault="004B5E4A" w:rsidP="004B5E4A">
      <w:pPr>
        <w:spacing w:line="480" w:lineRule="auto"/>
        <w:jc w:val="center"/>
        <w:rPr>
          <w:rFonts w:ascii="Times New Roman" w:hAnsi="Times New Roman" w:cs="Times New Roman"/>
          <w:sz w:val="24"/>
          <w:szCs w:val="24"/>
        </w:rPr>
      </w:pPr>
      <w:r w:rsidRPr="00665E0E">
        <w:rPr>
          <w:rFonts w:ascii="Times New Roman" w:hAnsi="Times New Roman" w:cs="Times New Roman"/>
          <w:sz w:val="24"/>
          <w:szCs w:val="24"/>
        </w:rPr>
        <w:t>Course:</w:t>
      </w:r>
      <w:r w:rsidR="005E390C">
        <w:rPr>
          <w:rFonts w:ascii="Times New Roman" w:hAnsi="Times New Roman" w:cs="Times New Roman"/>
          <w:sz w:val="24"/>
          <w:szCs w:val="24"/>
        </w:rPr>
        <w:t xml:space="preserve"> Legal Process </w:t>
      </w:r>
      <w:r w:rsidRPr="00665E0E">
        <w:rPr>
          <w:rFonts w:ascii="Times New Roman" w:hAnsi="Times New Roman" w:cs="Times New Roman"/>
          <w:sz w:val="24"/>
          <w:szCs w:val="24"/>
        </w:rPr>
        <w:t>BMPL</w:t>
      </w:r>
      <w:r w:rsidR="005E390C">
        <w:rPr>
          <w:rFonts w:ascii="Times New Roman" w:hAnsi="Times New Roman" w:cs="Times New Roman"/>
          <w:sz w:val="24"/>
          <w:szCs w:val="24"/>
        </w:rPr>
        <w:t xml:space="preserve"> 40</w:t>
      </w:r>
      <w:r w:rsidR="00891933">
        <w:rPr>
          <w:rFonts w:ascii="Times New Roman" w:hAnsi="Times New Roman" w:cs="Times New Roman"/>
          <w:sz w:val="24"/>
          <w:szCs w:val="24"/>
        </w:rPr>
        <w:t>11</w:t>
      </w:r>
    </w:p>
    <w:p w14:paraId="1DE6216F" w14:textId="4F36CE19" w:rsidR="004B5E4A" w:rsidRPr="00816611" w:rsidRDefault="004B5E4A" w:rsidP="004B5E4A">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Assignment Title: </w:t>
      </w:r>
      <w:r w:rsidR="005E390C">
        <w:rPr>
          <w:rFonts w:ascii="Times New Roman" w:hAnsi="Times New Roman" w:cs="Times New Roman"/>
          <w:sz w:val="24"/>
          <w:szCs w:val="24"/>
        </w:rPr>
        <w:t>Common Law</w:t>
      </w:r>
    </w:p>
    <w:p w14:paraId="209D6C21" w14:textId="439C8321" w:rsidR="004B5E4A" w:rsidRPr="00816611" w:rsidRDefault="004B5E4A" w:rsidP="004B5E4A">
      <w:pPr>
        <w:spacing w:line="480" w:lineRule="auto"/>
        <w:jc w:val="center"/>
        <w:rPr>
          <w:rFonts w:ascii="Times New Roman" w:hAnsi="Times New Roman" w:cs="Times New Roman"/>
          <w:sz w:val="24"/>
          <w:szCs w:val="24"/>
        </w:rPr>
      </w:pPr>
      <w:proofErr w:type="gramStart"/>
      <w:r w:rsidRPr="00816611">
        <w:rPr>
          <w:rFonts w:ascii="Times New Roman" w:hAnsi="Times New Roman" w:cs="Times New Roman"/>
          <w:sz w:val="24"/>
          <w:szCs w:val="24"/>
        </w:rPr>
        <w:t>Date</w:t>
      </w:r>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 8/03/2023</w:t>
      </w:r>
    </w:p>
    <w:p w14:paraId="23CD0AC8" w14:textId="77777777" w:rsidR="004B5E4A" w:rsidRDefault="004B5E4A" w:rsidP="004B5E4A">
      <w:pPr>
        <w:rPr>
          <w:rFonts w:ascii="Bookman Old Style" w:hAnsi="Bookman Old Style"/>
          <w:b/>
          <w:bCs/>
          <w:sz w:val="24"/>
          <w:szCs w:val="24"/>
          <w:u w:val="single"/>
        </w:rPr>
      </w:pPr>
    </w:p>
    <w:p w14:paraId="6428B23E" w14:textId="346F1032" w:rsidR="004623E9" w:rsidRDefault="00386E7C" w:rsidP="00386E7C">
      <w:pPr>
        <w:jc w:val="center"/>
        <w:rPr>
          <w:rFonts w:ascii="Bookman Old Style" w:hAnsi="Bookman Old Style"/>
          <w:b/>
          <w:bCs/>
          <w:sz w:val="24"/>
          <w:szCs w:val="24"/>
          <w:u w:val="single"/>
        </w:rPr>
      </w:pPr>
      <w:r>
        <w:rPr>
          <w:rFonts w:ascii="Bookman Old Style" w:hAnsi="Bookman Old Style"/>
          <w:b/>
          <w:bCs/>
          <w:sz w:val="24"/>
          <w:szCs w:val="24"/>
          <w:u w:val="single"/>
        </w:rPr>
        <w:t>COMMON LAW</w:t>
      </w:r>
    </w:p>
    <w:p w14:paraId="084AD064" w14:textId="77777777" w:rsidR="00386E7C" w:rsidRDefault="00386E7C" w:rsidP="00795761">
      <w:pPr>
        <w:spacing w:line="360" w:lineRule="auto"/>
        <w:ind w:firstLine="720"/>
        <w:jc w:val="both"/>
        <w:rPr>
          <w:rFonts w:ascii="Bookman Old Style" w:hAnsi="Bookman Old Style"/>
          <w:sz w:val="24"/>
          <w:szCs w:val="24"/>
        </w:rPr>
      </w:pPr>
      <w:r>
        <w:rPr>
          <w:rFonts w:ascii="Bookman Old Style" w:hAnsi="Bookman Old Style"/>
          <w:sz w:val="24"/>
          <w:szCs w:val="24"/>
        </w:rPr>
        <w:t>The objective</w:t>
      </w:r>
      <w:r w:rsidR="00D24216">
        <w:rPr>
          <w:rFonts w:ascii="Bookman Old Style" w:hAnsi="Bookman Old Style"/>
          <w:sz w:val="24"/>
          <w:szCs w:val="24"/>
        </w:rPr>
        <w:t xml:space="preserve"> of this assessment essay </w:t>
      </w:r>
      <w:r>
        <w:rPr>
          <w:rFonts w:ascii="Bookman Old Style" w:hAnsi="Bookman Old Style"/>
          <w:sz w:val="24"/>
          <w:szCs w:val="24"/>
        </w:rPr>
        <w:t>revolves around the analysis of legal system of England in resonance with the common law and the principles of the common law thereof</w:t>
      </w:r>
      <w:r w:rsidR="00D24216">
        <w:rPr>
          <w:rFonts w:ascii="Bookman Old Style" w:hAnsi="Bookman Old Style"/>
          <w:sz w:val="24"/>
          <w:szCs w:val="24"/>
        </w:rPr>
        <w:t>. In the instant essay we will be concerned with the analysis as to what is meant by common law, how it originated in England and how is still in field in the legal system of England. In doing so we shall also discuss, in alternative, as to what is the civil law, how it originated and will contrast the same with common law</w:t>
      </w:r>
      <w:r w:rsidR="00795761">
        <w:rPr>
          <w:rFonts w:ascii="Bookman Old Style" w:hAnsi="Bookman Old Style"/>
          <w:sz w:val="24"/>
          <w:szCs w:val="24"/>
        </w:rPr>
        <w:t xml:space="preserve"> system </w:t>
      </w:r>
      <w:proofErr w:type="gramStart"/>
      <w:r w:rsidR="00795761">
        <w:rPr>
          <w:rFonts w:ascii="Bookman Old Style" w:hAnsi="Bookman Old Style"/>
          <w:sz w:val="24"/>
          <w:szCs w:val="24"/>
        </w:rPr>
        <w:t>so as to</w:t>
      </w:r>
      <w:proofErr w:type="gramEnd"/>
      <w:r w:rsidR="00795761">
        <w:rPr>
          <w:rFonts w:ascii="Bookman Old Style" w:hAnsi="Bookman Old Style"/>
          <w:sz w:val="24"/>
          <w:szCs w:val="24"/>
        </w:rPr>
        <w:t xml:space="preserve"> have a better understanding of the common law system</w:t>
      </w:r>
      <w:r w:rsidR="00D24216">
        <w:rPr>
          <w:rFonts w:ascii="Bookman Old Style" w:hAnsi="Bookman Old Style"/>
          <w:sz w:val="24"/>
          <w:szCs w:val="24"/>
        </w:rPr>
        <w:t xml:space="preserve">. </w:t>
      </w:r>
      <w:r w:rsidR="00795761">
        <w:rPr>
          <w:rFonts w:ascii="Bookman Old Style" w:hAnsi="Bookman Old Style"/>
          <w:sz w:val="24"/>
          <w:szCs w:val="24"/>
        </w:rPr>
        <w:t>To begin with we shall start with the common law.</w:t>
      </w:r>
    </w:p>
    <w:p w14:paraId="392933F7" w14:textId="77777777" w:rsidR="007F483F" w:rsidRDefault="00D46DE4" w:rsidP="009F03A8">
      <w:pPr>
        <w:spacing w:line="360" w:lineRule="auto"/>
        <w:ind w:firstLine="720"/>
        <w:jc w:val="both"/>
        <w:rPr>
          <w:rFonts w:ascii="Bookman Old Style" w:hAnsi="Bookman Old Style"/>
          <w:sz w:val="24"/>
          <w:szCs w:val="24"/>
        </w:rPr>
      </w:pPr>
      <w:r>
        <w:rPr>
          <w:rFonts w:ascii="Bookman Old Style" w:hAnsi="Bookman Old Style"/>
          <w:sz w:val="24"/>
          <w:szCs w:val="24"/>
        </w:rPr>
        <w:t>Broadly speaking, the main legal systems prevailing in the world of today are common law system and civil law system. The</w:t>
      </w:r>
      <w:r w:rsidR="00795761">
        <w:rPr>
          <w:rFonts w:ascii="Bookman Old Style" w:hAnsi="Bookman Old Style"/>
          <w:sz w:val="24"/>
          <w:szCs w:val="24"/>
        </w:rPr>
        <w:t xml:space="preserve"> law can be divided into </w:t>
      </w:r>
      <w:r w:rsidR="006C7166">
        <w:rPr>
          <w:rFonts w:ascii="Bookman Old Style" w:hAnsi="Bookman Old Style"/>
          <w:i/>
          <w:iCs/>
          <w:sz w:val="24"/>
          <w:szCs w:val="24"/>
        </w:rPr>
        <w:t xml:space="preserve">lex non scripta </w:t>
      </w:r>
      <w:r w:rsidR="006C7166">
        <w:rPr>
          <w:rFonts w:ascii="Bookman Old Style" w:hAnsi="Bookman Old Style"/>
          <w:sz w:val="24"/>
          <w:szCs w:val="24"/>
        </w:rPr>
        <w:t xml:space="preserve">and </w:t>
      </w:r>
      <w:r w:rsidR="006C7166">
        <w:rPr>
          <w:rFonts w:ascii="Bookman Old Style" w:hAnsi="Bookman Old Style"/>
          <w:i/>
          <w:iCs/>
          <w:sz w:val="24"/>
          <w:szCs w:val="24"/>
        </w:rPr>
        <w:t>lex scripta</w:t>
      </w:r>
      <w:r w:rsidR="006C7166">
        <w:rPr>
          <w:rFonts w:ascii="Bookman Old Style" w:hAnsi="Bookman Old Style"/>
          <w:sz w:val="24"/>
          <w:szCs w:val="24"/>
        </w:rPr>
        <w:t xml:space="preserve">. </w:t>
      </w:r>
      <w:r w:rsidR="00376F5C">
        <w:rPr>
          <w:rFonts w:ascii="Bookman Old Style" w:hAnsi="Bookman Old Style"/>
          <w:sz w:val="24"/>
          <w:szCs w:val="24"/>
        </w:rPr>
        <w:t xml:space="preserve">The </w:t>
      </w:r>
      <w:r w:rsidR="00376F5C">
        <w:rPr>
          <w:rFonts w:ascii="Bookman Old Style" w:hAnsi="Bookman Old Style"/>
          <w:i/>
          <w:iCs/>
          <w:sz w:val="24"/>
          <w:szCs w:val="24"/>
        </w:rPr>
        <w:t xml:space="preserve">lex non scripta </w:t>
      </w:r>
      <w:r w:rsidR="00376F5C">
        <w:rPr>
          <w:rFonts w:ascii="Bookman Old Style" w:hAnsi="Bookman Old Style"/>
          <w:sz w:val="24"/>
          <w:szCs w:val="24"/>
        </w:rPr>
        <w:t xml:space="preserve">means unwritten law and, therefore, refers to the common law. </w:t>
      </w:r>
      <w:r w:rsidR="002B0708">
        <w:rPr>
          <w:rFonts w:ascii="Bookman Old Style" w:hAnsi="Bookman Old Style"/>
          <w:sz w:val="24"/>
          <w:szCs w:val="24"/>
        </w:rPr>
        <w:t xml:space="preserve">On the other </w:t>
      </w:r>
      <w:proofErr w:type="gramStart"/>
      <w:r w:rsidR="002B0708">
        <w:rPr>
          <w:rFonts w:ascii="Bookman Old Style" w:hAnsi="Bookman Old Style"/>
          <w:sz w:val="24"/>
          <w:szCs w:val="24"/>
        </w:rPr>
        <w:t>hand</w:t>
      </w:r>
      <w:proofErr w:type="gramEnd"/>
      <w:r w:rsidR="002B0708">
        <w:rPr>
          <w:rFonts w:ascii="Bookman Old Style" w:hAnsi="Bookman Old Style"/>
          <w:sz w:val="24"/>
          <w:szCs w:val="24"/>
        </w:rPr>
        <w:t xml:space="preserve"> </w:t>
      </w:r>
      <w:r w:rsidR="002B0708">
        <w:rPr>
          <w:rFonts w:ascii="Bookman Old Style" w:hAnsi="Bookman Old Style"/>
          <w:i/>
          <w:iCs/>
          <w:sz w:val="24"/>
          <w:szCs w:val="24"/>
        </w:rPr>
        <w:t xml:space="preserve">lex scripta </w:t>
      </w:r>
      <w:r w:rsidR="002B0708">
        <w:rPr>
          <w:rFonts w:ascii="Bookman Old Style" w:hAnsi="Bookman Old Style"/>
          <w:sz w:val="24"/>
          <w:szCs w:val="24"/>
        </w:rPr>
        <w:t xml:space="preserve">means written law which refers to the civil law system of law. </w:t>
      </w:r>
      <w:r w:rsidR="00E2558B">
        <w:rPr>
          <w:rFonts w:ascii="Bookman Old Style" w:hAnsi="Bookman Old Style"/>
          <w:sz w:val="24"/>
          <w:szCs w:val="24"/>
        </w:rPr>
        <w:t xml:space="preserve">While considering this means it comes to mind as to how the common law is </w:t>
      </w:r>
      <w:r w:rsidR="00E2558B">
        <w:rPr>
          <w:rFonts w:ascii="Bookman Old Style" w:hAnsi="Bookman Old Style"/>
          <w:i/>
          <w:iCs/>
          <w:sz w:val="24"/>
          <w:szCs w:val="24"/>
        </w:rPr>
        <w:t xml:space="preserve">lex non scripta </w:t>
      </w:r>
      <w:proofErr w:type="gramStart"/>
      <w:r w:rsidR="00E2558B">
        <w:rPr>
          <w:rFonts w:ascii="Bookman Old Style" w:hAnsi="Bookman Old Style"/>
          <w:sz w:val="24"/>
          <w:szCs w:val="24"/>
        </w:rPr>
        <w:t>i.e.</w:t>
      </w:r>
      <w:proofErr w:type="gramEnd"/>
      <w:r w:rsidR="00E2558B">
        <w:rPr>
          <w:rFonts w:ascii="Bookman Old Style" w:hAnsi="Bookman Old Style"/>
          <w:sz w:val="24"/>
          <w:szCs w:val="24"/>
        </w:rPr>
        <w:t xml:space="preserve"> the unwritten law and the answer to this lies i</w:t>
      </w:r>
      <w:r w:rsidR="00084FE8">
        <w:rPr>
          <w:rFonts w:ascii="Bookman Old Style" w:hAnsi="Bookman Old Style"/>
          <w:sz w:val="24"/>
          <w:szCs w:val="24"/>
        </w:rPr>
        <w:t>n the nature of the common law</w:t>
      </w:r>
      <w:r w:rsidR="00276951">
        <w:rPr>
          <w:rFonts w:ascii="Bookman Old Style" w:hAnsi="Bookman Old Style"/>
          <w:sz w:val="24"/>
          <w:szCs w:val="24"/>
        </w:rPr>
        <w:t xml:space="preserve"> and the sources of common law which are mainly the </w:t>
      </w:r>
      <w:r w:rsidR="00FB523C">
        <w:rPr>
          <w:rFonts w:ascii="Bookman Old Style" w:hAnsi="Bookman Old Style"/>
          <w:sz w:val="24"/>
          <w:szCs w:val="24"/>
        </w:rPr>
        <w:t xml:space="preserve">general customs as well as </w:t>
      </w:r>
      <w:r w:rsidR="00FB523C">
        <w:rPr>
          <w:rFonts w:ascii="Bookman Old Style" w:hAnsi="Bookman Old Style"/>
          <w:sz w:val="24"/>
          <w:szCs w:val="24"/>
        </w:rPr>
        <w:lastRenderedPageBreak/>
        <w:t xml:space="preserve">particular customs prevailing in the particular parts of England and of course judicial precedents. </w:t>
      </w:r>
      <w:r w:rsidR="00D55162">
        <w:rPr>
          <w:rFonts w:ascii="Bookman Old Style" w:hAnsi="Bookman Old Style"/>
          <w:sz w:val="24"/>
          <w:szCs w:val="24"/>
        </w:rPr>
        <w:t>It is because of judicial precedents that the common law is also called as judge made law</w:t>
      </w:r>
      <w:r w:rsidR="002F5F52">
        <w:rPr>
          <w:rFonts w:ascii="Bookman Old Style" w:hAnsi="Bookman Old Style"/>
          <w:sz w:val="24"/>
          <w:szCs w:val="24"/>
        </w:rPr>
        <w:t xml:space="preserve"> and it is also sometimes refe</w:t>
      </w:r>
      <w:r w:rsidR="00DC5DF7">
        <w:rPr>
          <w:rFonts w:ascii="Bookman Old Style" w:hAnsi="Bookman Old Style"/>
          <w:sz w:val="24"/>
          <w:szCs w:val="24"/>
        </w:rPr>
        <w:t>rred to as customary law for the reason</w:t>
      </w:r>
      <w:r w:rsidR="002F5F52">
        <w:rPr>
          <w:rFonts w:ascii="Bookman Old Style" w:hAnsi="Bookman Old Style"/>
          <w:sz w:val="24"/>
          <w:szCs w:val="24"/>
        </w:rPr>
        <w:t xml:space="preserve"> of being based on customs</w:t>
      </w:r>
      <w:r w:rsidR="00D55162">
        <w:rPr>
          <w:rFonts w:ascii="Bookman Old Style" w:hAnsi="Bookman Old Style"/>
          <w:sz w:val="24"/>
          <w:szCs w:val="24"/>
        </w:rPr>
        <w:t xml:space="preserve">. </w:t>
      </w:r>
      <w:r w:rsidR="005A61C1">
        <w:rPr>
          <w:rFonts w:ascii="Bookman Old Style" w:hAnsi="Bookman Old Style"/>
          <w:sz w:val="24"/>
          <w:szCs w:val="24"/>
        </w:rPr>
        <w:t>We shall discuss the concept of judicial precedents in the later part of this essay.</w:t>
      </w:r>
      <w:r w:rsidR="00E56B07">
        <w:rPr>
          <w:rFonts w:ascii="Bookman Old Style" w:hAnsi="Bookman Old Style"/>
          <w:sz w:val="24"/>
          <w:szCs w:val="24"/>
        </w:rPr>
        <w:t xml:space="preserve"> </w:t>
      </w:r>
      <w:r w:rsidR="00546398">
        <w:rPr>
          <w:rFonts w:ascii="Bookman Old Style" w:hAnsi="Bookman Old Style"/>
          <w:sz w:val="24"/>
          <w:szCs w:val="24"/>
        </w:rPr>
        <w:t xml:space="preserve">When it comes to customs, the common law of England can be </w:t>
      </w:r>
      <w:proofErr w:type="spellStart"/>
      <w:r w:rsidR="00546398">
        <w:rPr>
          <w:rFonts w:ascii="Bookman Old Style" w:hAnsi="Bookman Old Style"/>
          <w:sz w:val="24"/>
          <w:szCs w:val="24"/>
        </w:rPr>
        <w:t>indentified</w:t>
      </w:r>
      <w:proofErr w:type="spellEnd"/>
      <w:r w:rsidR="00546398">
        <w:rPr>
          <w:rFonts w:ascii="Bookman Old Style" w:hAnsi="Bookman Old Style"/>
          <w:sz w:val="24"/>
          <w:szCs w:val="24"/>
        </w:rPr>
        <w:t xml:space="preserve"> with reference to general customs and p</w:t>
      </w:r>
      <w:r w:rsidR="00546398" w:rsidRPr="009F03A8">
        <w:rPr>
          <w:rFonts w:ascii="Bookman Old Style" w:hAnsi="Bookman Old Style"/>
          <w:sz w:val="24"/>
          <w:szCs w:val="24"/>
        </w:rPr>
        <w:t>articular customs that are prevalent in certain part of England</w:t>
      </w:r>
      <w:r w:rsidR="009F03A8" w:rsidRPr="009F03A8">
        <w:rPr>
          <w:rFonts w:ascii="Bookman Old Style" w:hAnsi="Bookman Old Style"/>
          <w:sz w:val="24"/>
          <w:szCs w:val="24"/>
        </w:rPr>
        <w:t xml:space="preserve"> (</w:t>
      </w:r>
      <w:proofErr w:type="spellStart"/>
      <w:r w:rsidR="009F03A8" w:rsidRPr="009F03A8">
        <w:rPr>
          <w:rFonts w:ascii="Bookman Old Style" w:hAnsi="Bookman Old Style"/>
          <w:sz w:val="24"/>
          <w:szCs w:val="24"/>
        </w:rPr>
        <w:t>LawTeacher</w:t>
      </w:r>
      <w:proofErr w:type="spellEnd"/>
      <w:r w:rsidR="009F03A8" w:rsidRPr="009F03A8">
        <w:rPr>
          <w:rFonts w:ascii="Bookman Old Style" w:hAnsi="Bookman Old Style"/>
          <w:sz w:val="24"/>
          <w:szCs w:val="24"/>
        </w:rPr>
        <w:t>, 2013)</w:t>
      </w:r>
      <w:r w:rsidR="009F03A8">
        <w:rPr>
          <w:rFonts w:ascii="Bookman Old Style" w:hAnsi="Bookman Old Style"/>
          <w:sz w:val="24"/>
          <w:szCs w:val="24"/>
        </w:rPr>
        <w:t>.</w:t>
      </w:r>
      <w:r w:rsidR="00546398">
        <w:rPr>
          <w:rFonts w:ascii="Bookman Old Style" w:hAnsi="Bookman Old Style"/>
          <w:sz w:val="24"/>
          <w:szCs w:val="24"/>
        </w:rPr>
        <w:t xml:space="preserve"> </w:t>
      </w:r>
      <w:r w:rsidR="002F5F52">
        <w:rPr>
          <w:rFonts w:ascii="Bookman Old Style" w:hAnsi="Bookman Old Style"/>
          <w:sz w:val="24"/>
          <w:szCs w:val="24"/>
        </w:rPr>
        <w:t>The general customs are</w:t>
      </w:r>
      <w:r w:rsidR="001213F6">
        <w:rPr>
          <w:rFonts w:ascii="Bookman Old Style" w:hAnsi="Bookman Old Style"/>
          <w:sz w:val="24"/>
          <w:szCs w:val="24"/>
        </w:rPr>
        <w:t xml:space="preserve"> </w:t>
      </w:r>
      <w:r w:rsidR="00B75123">
        <w:rPr>
          <w:rFonts w:ascii="Bookman Old Style" w:hAnsi="Bookman Old Style"/>
          <w:sz w:val="24"/>
          <w:szCs w:val="24"/>
        </w:rPr>
        <w:t xml:space="preserve">uniformly applied in the whole of England the part of common law which they form, which is significant one, is rigid one. </w:t>
      </w:r>
      <w:proofErr w:type="gramStart"/>
      <w:r w:rsidR="00B75123">
        <w:rPr>
          <w:rFonts w:ascii="Bookman Old Style" w:hAnsi="Bookman Old Style"/>
          <w:sz w:val="24"/>
          <w:szCs w:val="24"/>
        </w:rPr>
        <w:t>Particular customs</w:t>
      </w:r>
      <w:proofErr w:type="gramEnd"/>
      <w:r w:rsidR="00B75123">
        <w:rPr>
          <w:rFonts w:ascii="Bookman Old Style" w:hAnsi="Bookman Old Style"/>
          <w:sz w:val="24"/>
          <w:szCs w:val="24"/>
        </w:rPr>
        <w:t xml:space="preserve"> are the ones that are applied to citizens of the certain area of England for the most part of them. </w:t>
      </w:r>
      <w:r w:rsidR="006A4941">
        <w:rPr>
          <w:rFonts w:ascii="Bookman Old Style" w:hAnsi="Bookman Old Style"/>
          <w:sz w:val="24"/>
          <w:szCs w:val="24"/>
        </w:rPr>
        <w:t xml:space="preserve">Apart from these, there are certain laws of </w:t>
      </w:r>
      <w:proofErr w:type="gramStart"/>
      <w:r w:rsidR="006A4941">
        <w:rPr>
          <w:rFonts w:ascii="Bookman Old Style" w:hAnsi="Bookman Old Style"/>
          <w:sz w:val="24"/>
          <w:szCs w:val="24"/>
        </w:rPr>
        <w:t>particular nature</w:t>
      </w:r>
      <w:proofErr w:type="gramEnd"/>
      <w:r w:rsidR="006A4941">
        <w:rPr>
          <w:rFonts w:ascii="Bookman Old Style" w:hAnsi="Bookman Old Style"/>
          <w:sz w:val="24"/>
          <w:szCs w:val="24"/>
        </w:rPr>
        <w:t xml:space="preserve"> which are adopted as of custom b</w:t>
      </w:r>
      <w:r w:rsidR="006A4941" w:rsidRPr="009F03A8">
        <w:rPr>
          <w:rFonts w:ascii="Bookman Old Style" w:hAnsi="Bookman Old Style"/>
          <w:sz w:val="24"/>
          <w:szCs w:val="24"/>
        </w:rPr>
        <w:t>y certain courts having general and extensive jurisdiction</w:t>
      </w:r>
      <w:r w:rsidR="009F03A8" w:rsidRPr="009F03A8">
        <w:rPr>
          <w:rFonts w:ascii="Bookman Old Style" w:hAnsi="Bookman Old Style"/>
          <w:sz w:val="24"/>
          <w:szCs w:val="24"/>
        </w:rPr>
        <w:t xml:space="preserve"> (LexisNexis, </w:t>
      </w:r>
      <w:r w:rsidR="009F03A8" w:rsidRPr="009F03A8">
        <w:rPr>
          <w:rFonts w:ascii="Bookman Old Style" w:hAnsi="Bookman Old Style"/>
          <w:i/>
          <w:iCs/>
          <w:sz w:val="24"/>
          <w:szCs w:val="24"/>
        </w:rPr>
        <w:t>COMMON LAW</w:t>
      </w:r>
      <w:r w:rsidR="009F03A8" w:rsidRPr="009F03A8">
        <w:rPr>
          <w:rFonts w:ascii="Bookman Old Style" w:hAnsi="Bookman Old Style"/>
          <w:sz w:val="24"/>
          <w:szCs w:val="24"/>
        </w:rPr>
        <w:t>)</w:t>
      </w:r>
      <w:r w:rsidR="006A4941">
        <w:rPr>
          <w:rFonts w:ascii="Bookman Old Style" w:hAnsi="Bookman Old Style"/>
          <w:sz w:val="24"/>
          <w:szCs w:val="24"/>
        </w:rPr>
        <w:t>.</w:t>
      </w:r>
    </w:p>
    <w:p w14:paraId="7CBB67F0" w14:textId="77777777" w:rsidR="00FC3B9A" w:rsidRPr="00AA59E1" w:rsidRDefault="0072540C" w:rsidP="009F03A8">
      <w:pPr>
        <w:spacing w:line="360" w:lineRule="auto"/>
        <w:ind w:firstLine="720"/>
        <w:jc w:val="both"/>
        <w:rPr>
          <w:rFonts w:ascii="Bookman Old Style" w:hAnsi="Bookman Old Style"/>
          <w:sz w:val="24"/>
          <w:szCs w:val="24"/>
        </w:rPr>
      </w:pPr>
      <w:r>
        <w:rPr>
          <w:rFonts w:ascii="Bookman Old Style" w:hAnsi="Bookman Old Style"/>
          <w:sz w:val="24"/>
          <w:szCs w:val="24"/>
        </w:rPr>
        <w:t>The origin of the common law in England was not an abrupt process but a gradual one and the common law in England has developed over the course of centuries</w:t>
      </w:r>
      <w:r w:rsidR="009F03A8">
        <w:rPr>
          <w:rFonts w:ascii="Bookman Old Style" w:hAnsi="Bookman Old Style"/>
          <w:sz w:val="24"/>
          <w:szCs w:val="24"/>
        </w:rPr>
        <w:t xml:space="preserve"> </w:t>
      </w:r>
      <w:r w:rsidR="009F03A8" w:rsidRPr="009F03A8">
        <w:rPr>
          <w:rFonts w:ascii="Bookman Old Style" w:hAnsi="Bookman Old Style"/>
          <w:sz w:val="24"/>
          <w:szCs w:val="24"/>
        </w:rPr>
        <w:t>(Ewart, 1904)</w:t>
      </w:r>
      <w:r>
        <w:rPr>
          <w:rFonts w:ascii="Bookman Old Style" w:hAnsi="Bookman Old Style"/>
          <w:sz w:val="24"/>
          <w:szCs w:val="24"/>
        </w:rPr>
        <w:t xml:space="preserve">. </w:t>
      </w:r>
      <w:r w:rsidR="00AA59E1">
        <w:rPr>
          <w:rFonts w:ascii="Bookman Old Style" w:hAnsi="Bookman Old Style"/>
          <w:sz w:val="24"/>
          <w:szCs w:val="24"/>
        </w:rPr>
        <w:t xml:space="preserve">The common law originated in England early in the Middle Ages when </w:t>
      </w:r>
      <w:r w:rsidR="00AA59E1">
        <w:rPr>
          <w:rFonts w:ascii="Bookman Old Style" w:hAnsi="Bookman Old Style"/>
          <w:i/>
          <w:iCs/>
          <w:sz w:val="24"/>
          <w:szCs w:val="24"/>
        </w:rPr>
        <w:t xml:space="preserve">Curia Regis </w:t>
      </w:r>
      <w:r w:rsidR="00AA59E1">
        <w:rPr>
          <w:rFonts w:ascii="Bookman Old Style" w:hAnsi="Bookman Old Style"/>
          <w:sz w:val="24"/>
          <w:szCs w:val="24"/>
        </w:rPr>
        <w:t>or King’s Court had been set up near London at Westminster</w:t>
      </w:r>
      <w:r w:rsidR="00611174">
        <w:rPr>
          <w:rFonts w:ascii="Bookman Old Style" w:hAnsi="Bookman Old Style"/>
          <w:sz w:val="24"/>
          <w:szCs w:val="24"/>
        </w:rPr>
        <w:t xml:space="preserve"> for almost </w:t>
      </w:r>
      <w:proofErr w:type="gramStart"/>
      <w:r w:rsidR="00611174">
        <w:rPr>
          <w:rFonts w:ascii="Bookman Old Style" w:hAnsi="Bookman Old Style"/>
          <w:sz w:val="24"/>
          <w:szCs w:val="24"/>
        </w:rPr>
        <w:t>all of</w:t>
      </w:r>
      <w:proofErr w:type="gramEnd"/>
      <w:r w:rsidR="00611174">
        <w:rPr>
          <w:rFonts w:ascii="Bookman Old Style" w:hAnsi="Bookman Old Style"/>
          <w:sz w:val="24"/>
          <w:szCs w:val="24"/>
        </w:rPr>
        <w:t xml:space="preserve"> the England</w:t>
      </w:r>
      <w:r w:rsidR="00AA59E1">
        <w:rPr>
          <w:rFonts w:ascii="Bookman Old Style" w:hAnsi="Bookman Old Style"/>
          <w:sz w:val="24"/>
          <w:szCs w:val="24"/>
        </w:rPr>
        <w:t>.</w:t>
      </w:r>
      <w:r w:rsidR="00611174">
        <w:rPr>
          <w:rFonts w:ascii="Bookman Old Style" w:hAnsi="Bookman Old Style"/>
          <w:sz w:val="24"/>
          <w:szCs w:val="24"/>
        </w:rPr>
        <w:t xml:space="preserve"> The said Court did not provide any substance rights and instead procedural </w:t>
      </w:r>
      <w:r w:rsidR="00AA351E">
        <w:rPr>
          <w:rFonts w:ascii="Bookman Old Style" w:hAnsi="Bookman Old Style"/>
          <w:sz w:val="24"/>
          <w:szCs w:val="24"/>
        </w:rPr>
        <w:t>remedies were awarded by it the working out of which has produced, over the course of time, today’s legal system wherein the substantive rights take precedence over the procedure</w:t>
      </w:r>
      <w:r w:rsidR="009F03A8">
        <w:rPr>
          <w:rFonts w:ascii="Bookman Old Style" w:hAnsi="Bookman Old Style"/>
          <w:sz w:val="24"/>
          <w:szCs w:val="24"/>
        </w:rPr>
        <w:t xml:space="preserve"> </w:t>
      </w:r>
      <w:r w:rsidR="009F03A8" w:rsidRPr="009F03A8">
        <w:rPr>
          <w:rFonts w:ascii="Bookman Old Style" w:hAnsi="Bookman Old Style"/>
          <w:sz w:val="24"/>
          <w:szCs w:val="24"/>
        </w:rPr>
        <w:t>(Glendon et al., 2023)</w:t>
      </w:r>
      <w:r w:rsidR="00AA351E">
        <w:rPr>
          <w:rFonts w:ascii="Bookman Old Style" w:hAnsi="Bookman Old Style"/>
          <w:sz w:val="24"/>
          <w:szCs w:val="24"/>
        </w:rPr>
        <w:t xml:space="preserve">. </w:t>
      </w:r>
      <w:r w:rsidR="00AA59E1">
        <w:rPr>
          <w:rFonts w:ascii="Bookman Old Style" w:hAnsi="Bookman Old Style"/>
          <w:sz w:val="24"/>
          <w:szCs w:val="24"/>
        </w:rPr>
        <w:t xml:space="preserve"> </w:t>
      </w:r>
    </w:p>
    <w:p w14:paraId="3C8F60E4" w14:textId="77777777" w:rsidR="00D027DE" w:rsidRDefault="00203B4B" w:rsidP="00E97F37">
      <w:pPr>
        <w:spacing w:line="360" w:lineRule="auto"/>
        <w:ind w:firstLine="720"/>
        <w:jc w:val="both"/>
        <w:rPr>
          <w:rFonts w:ascii="Bookman Old Style" w:hAnsi="Bookman Old Style"/>
          <w:sz w:val="24"/>
          <w:szCs w:val="24"/>
        </w:rPr>
      </w:pPr>
      <w:r>
        <w:rPr>
          <w:rFonts w:ascii="Bookman Old Style" w:hAnsi="Bookman Old Style"/>
          <w:sz w:val="24"/>
          <w:szCs w:val="24"/>
        </w:rPr>
        <w:t xml:space="preserve">In England the common law largely became to be formed in the time after that of the Norman Conquest that took place in 1066. </w:t>
      </w:r>
      <w:proofErr w:type="gramStart"/>
      <w:r>
        <w:rPr>
          <w:rFonts w:ascii="Bookman Old Style" w:hAnsi="Bookman Old Style"/>
          <w:sz w:val="24"/>
          <w:szCs w:val="24"/>
        </w:rPr>
        <w:t>Previous to</w:t>
      </w:r>
      <w:proofErr w:type="gramEnd"/>
      <w:r>
        <w:rPr>
          <w:rFonts w:ascii="Bookman Old Style" w:hAnsi="Bookman Old Style"/>
          <w:sz w:val="24"/>
          <w:szCs w:val="24"/>
        </w:rPr>
        <w:t xml:space="preserve"> that period, during the time of Anglo-Saxons, a body of rules had been developed and the said rules resembled the ones that were applied by the Germanic people. </w:t>
      </w:r>
      <w:r w:rsidR="001A7A9B">
        <w:rPr>
          <w:rFonts w:ascii="Bookman Old Style" w:hAnsi="Bookman Old Style"/>
          <w:sz w:val="24"/>
          <w:szCs w:val="24"/>
        </w:rPr>
        <w:t xml:space="preserve">The church used to play a great part in the government and most of the matters were governed by the local customs. </w:t>
      </w:r>
      <w:r w:rsidR="00D33861">
        <w:rPr>
          <w:rFonts w:ascii="Bookman Old Style" w:hAnsi="Bookman Old Style"/>
          <w:sz w:val="24"/>
          <w:szCs w:val="24"/>
        </w:rPr>
        <w:t xml:space="preserve">At that time, crimes were considered as wrongs for which compensation was paid to the victims. </w:t>
      </w:r>
      <w:r w:rsidR="00E73474">
        <w:rPr>
          <w:rFonts w:ascii="Bookman Old Style" w:hAnsi="Bookman Old Style"/>
          <w:sz w:val="24"/>
          <w:szCs w:val="24"/>
        </w:rPr>
        <w:t>A gradual shift from the Anglo-Saxon law occurred after the</w:t>
      </w:r>
      <w:r w:rsidR="00A05DB9">
        <w:rPr>
          <w:rFonts w:ascii="Bookman Old Style" w:hAnsi="Bookman Old Style"/>
          <w:sz w:val="24"/>
          <w:szCs w:val="24"/>
        </w:rPr>
        <w:t xml:space="preserve"> Norman Conquest where “feudal </w:t>
      </w:r>
      <w:r w:rsidR="00A05DB9">
        <w:rPr>
          <w:rFonts w:ascii="Bookman Old Style" w:hAnsi="Bookman Old Style"/>
          <w:sz w:val="24"/>
          <w:szCs w:val="24"/>
        </w:rPr>
        <w:lastRenderedPageBreak/>
        <w:t xml:space="preserve">vassals of the king” were allotted land and the concept of public crimes was attributed to the serious wrongs where, instead of fines or compensation, </w:t>
      </w:r>
      <w:r w:rsidR="00021F7A">
        <w:rPr>
          <w:rFonts w:ascii="Bookman Old Style" w:hAnsi="Bookman Old Style"/>
          <w:sz w:val="24"/>
          <w:szCs w:val="24"/>
        </w:rPr>
        <w:t xml:space="preserve">offenders were awarded death or forfeiture of property. </w:t>
      </w:r>
      <w:r w:rsidR="00163569">
        <w:rPr>
          <w:rFonts w:ascii="Bookman Old Style" w:hAnsi="Bookman Old Style"/>
          <w:sz w:val="24"/>
          <w:szCs w:val="24"/>
        </w:rPr>
        <w:t xml:space="preserve">The dominate position that the royal courts had acquired earlier unified and provided consistency to the common law as the royal judges used to visit towns on circuit and with this law of Westminster was applied there, both in criminal and civil cases. The common law was declared by these </w:t>
      </w:r>
      <w:proofErr w:type="gramStart"/>
      <w:r w:rsidR="00163569">
        <w:rPr>
          <w:rFonts w:ascii="Bookman Old Style" w:hAnsi="Bookman Old Style"/>
          <w:sz w:val="24"/>
          <w:szCs w:val="24"/>
        </w:rPr>
        <w:t>judges</w:t>
      </w:r>
      <w:proofErr w:type="gramEnd"/>
      <w:r w:rsidR="00163569">
        <w:rPr>
          <w:rFonts w:ascii="Bookman Old Style" w:hAnsi="Bookman Old Style"/>
          <w:sz w:val="24"/>
          <w:szCs w:val="24"/>
        </w:rPr>
        <w:t xml:space="preserve"> and it was presumed that the same is applicable everywhere </w:t>
      </w:r>
      <w:r w:rsidR="00584860">
        <w:rPr>
          <w:rFonts w:ascii="Bookman Old Style" w:hAnsi="Bookman Old Style"/>
          <w:sz w:val="24"/>
          <w:szCs w:val="24"/>
        </w:rPr>
        <w:t xml:space="preserve">where custom was identified or proved. </w:t>
      </w:r>
      <w:r w:rsidR="00B154CD">
        <w:rPr>
          <w:rFonts w:ascii="Bookman Old Style" w:hAnsi="Bookman Old Style"/>
          <w:sz w:val="24"/>
          <w:szCs w:val="24"/>
        </w:rPr>
        <w:t xml:space="preserve">This system of centralization had its role in minimizing the effect of Roman </w:t>
      </w:r>
      <w:r w:rsidR="006D4957">
        <w:rPr>
          <w:rFonts w:ascii="Bookman Old Style" w:hAnsi="Bookman Old Style"/>
          <w:sz w:val="24"/>
          <w:szCs w:val="24"/>
        </w:rPr>
        <w:t>law</w:t>
      </w:r>
      <w:r w:rsidR="00B154CD">
        <w:rPr>
          <w:rFonts w:ascii="Bookman Old Style" w:hAnsi="Bookman Old Style"/>
          <w:sz w:val="24"/>
          <w:szCs w:val="24"/>
        </w:rPr>
        <w:t xml:space="preserve"> </w:t>
      </w:r>
      <w:r w:rsidR="007A788A">
        <w:rPr>
          <w:rFonts w:ascii="Bookman Old Style" w:hAnsi="Bookman Old Style"/>
          <w:sz w:val="24"/>
          <w:szCs w:val="24"/>
        </w:rPr>
        <w:t>in the England and it was in thirteenth century when three types of central courts namely King’s Bench, Exchequer and Common Pleas administered the common law</w:t>
      </w:r>
      <w:r w:rsidR="009A6643">
        <w:rPr>
          <w:rFonts w:ascii="Bookman Old Style" w:hAnsi="Bookman Old Style"/>
          <w:sz w:val="24"/>
          <w:szCs w:val="24"/>
        </w:rPr>
        <w:t xml:space="preserve"> with such a consistency that it was possible to predict the outcome of the case</w:t>
      </w:r>
      <w:r w:rsidR="00641B89">
        <w:rPr>
          <w:rFonts w:ascii="Bookman Old Style" w:hAnsi="Bookman Old Style"/>
          <w:sz w:val="24"/>
          <w:szCs w:val="24"/>
        </w:rPr>
        <w:t xml:space="preserve"> </w:t>
      </w:r>
      <w:r w:rsidR="00641B89" w:rsidRPr="00641B89">
        <w:rPr>
          <w:rFonts w:ascii="Bookman Old Style" w:hAnsi="Bookman Old Style"/>
          <w:sz w:val="24"/>
          <w:szCs w:val="24"/>
        </w:rPr>
        <w:t>(Thomas, 1956)</w:t>
      </w:r>
      <w:r w:rsidR="009A6643">
        <w:rPr>
          <w:rFonts w:ascii="Bookman Old Style" w:hAnsi="Bookman Old Style"/>
          <w:sz w:val="24"/>
          <w:szCs w:val="24"/>
        </w:rPr>
        <w:t>.</w:t>
      </w:r>
      <w:r w:rsidR="008C7B3A">
        <w:rPr>
          <w:rFonts w:ascii="Bookman Old Style" w:hAnsi="Bookman Old Style"/>
          <w:sz w:val="24"/>
          <w:szCs w:val="24"/>
        </w:rPr>
        <w:t xml:space="preserve"> </w:t>
      </w:r>
      <w:r w:rsidR="009B13BF">
        <w:rPr>
          <w:rFonts w:ascii="Bookman Old Style" w:hAnsi="Bookman Old Style"/>
          <w:sz w:val="24"/>
          <w:szCs w:val="24"/>
        </w:rPr>
        <w:t xml:space="preserve">It is noteworthy that the common law was applied with consistency as well as rigidity and the same approach gave birth to </w:t>
      </w:r>
      <w:r w:rsidR="0008666F">
        <w:rPr>
          <w:rFonts w:ascii="Bookman Old Style" w:hAnsi="Bookman Old Style"/>
          <w:sz w:val="24"/>
          <w:szCs w:val="24"/>
        </w:rPr>
        <w:t xml:space="preserve">the concept of </w:t>
      </w:r>
      <w:r w:rsidR="009B13BF">
        <w:rPr>
          <w:rFonts w:ascii="Bookman Old Style" w:hAnsi="Bookman Old Style"/>
          <w:sz w:val="24"/>
          <w:szCs w:val="24"/>
        </w:rPr>
        <w:t>equity</w:t>
      </w:r>
      <w:r w:rsidR="00237614">
        <w:rPr>
          <w:rFonts w:ascii="Bookman Old Style" w:hAnsi="Bookman Old Style"/>
          <w:sz w:val="24"/>
          <w:szCs w:val="24"/>
        </w:rPr>
        <w:t xml:space="preserve"> which was administered by the Courts of Chancery</w:t>
      </w:r>
      <w:r w:rsidR="009B13BF">
        <w:rPr>
          <w:rFonts w:ascii="Bookman Old Style" w:hAnsi="Bookman Old Style"/>
          <w:sz w:val="24"/>
          <w:szCs w:val="24"/>
        </w:rPr>
        <w:t xml:space="preserve">. </w:t>
      </w:r>
      <w:r w:rsidR="007F2C11">
        <w:rPr>
          <w:rFonts w:ascii="Bookman Old Style" w:hAnsi="Bookman Old Style"/>
          <w:sz w:val="24"/>
          <w:szCs w:val="24"/>
        </w:rPr>
        <w:t>Compared with the common law, equity cannot be said to be a complete system of law. At its best it can be said that equity was introduced to alleviate the rigidness of the common law and to minimize its defects. So, it can be argued that equity, in a way, supplemented the common law</w:t>
      </w:r>
      <w:r w:rsidR="00E97F37">
        <w:rPr>
          <w:rFonts w:ascii="Bookman Old Style" w:hAnsi="Bookman Old Style"/>
          <w:sz w:val="24"/>
          <w:szCs w:val="24"/>
        </w:rPr>
        <w:t xml:space="preserve"> </w:t>
      </w:r>
      <w:r w:rsidR="00E97F37" w:rsidRPr="00E97F37">
        <w:rPr>
          <w:rFonts w:ascii="Bookman Old Style" w:hAnsi="Bookman Old Style"/>
          <w:sz w:val="24"/>
          <w:szCs w:val="24"/>
        </w:rPr>
        <w:t>(</w:t>
      </w:r>
      <w:proofErr w:type="spellStart"/>
      <w:r w:rsidR="00E97F37" w:rsidRPr="00E97F37">
        <w:rPr>
          <w:rFonts w:ascii="Bookman Old Style" w:hAnsi="Bookman Old Style"/>
          <w:sz w:val="24"/>
          <w:szCs w:val="24"/>
        </w:rPr>
        <w:t>Sial</w:t>
      </w:r>
      <w:proofErr w:type="spellEnd"/>
      <w:r w:rsidR="00E97F37" w:rsidRPr="00E97F37">
        <w:rPr>
          <w:rFonts w:ascii="Bookman Old Style" w:hAnsi="Bookman Old Style"/>
          <w:sz w:val="24"/>
          <w:szCs w:val="24"/>
        </w:rPr>
        <w:t>, 2018)</w:t>
      </w:r>
      <w:r w:rsidR="007F2C11">
        <w:rPr>
          <w:rFonts w:ascii="Bookman Old Style" w:hAnsi="Bookman Old Style"/>
          <w:sz w:val="24"/>
          <w:szCs w:val="24"/>
        </w:rPr>
        <w:t>.</w:t>
      </w:r>
    </w:p>
    <w:p w14:paraId="6384EAA9" w14:textId="77777777" w:rsidR="007F105C" w:rsidRPr="00F23A77" w:rsidRDefault="00193323" w:rsidP="00291F93">
      <w:pPr>
        <w:spacing w:line="360" w:lineRule="auto"/>
        <w:jc w:val="both"/>
        <w:rPr>
          <w:rFonts w:ascii="Bookman Old Style" w:hAnsi="Bookman Old Style"/>
          <w:color w:val="000000" w:themeColor="text1"/>
          <w:sz w:val="24"/>
          <w:szCs w:val="24"/>
        </w:rPr>
      </w:pPr>
      <w:r>
        <w:rPr>
          <w:rFonts w:ascii="Bookman Old Style" w:hAnsi="Bookman Old Style"/>
          <w:sz w:val="24"/>
          <w:szCs w:val="24"/>
        </w:rPr>
        <w:tab/>
        <w:t>As mentioned earlier, the common law system is heav</w:t>
      </w:r>
      <w:r w:rsidR="00362496">
        <w:rPr>
          <w:rFonts w:ascii="Bookman Old Style" w:hAnsi="Bookman Old Style"/>
          <w:sz w:val="24"/>
          <w:szCs w:val="24"/>
        </w:rPr>
        <w:t>ily based on precedents which are</w:t>
      </w:r>
      <w:r>
        <w:rPr>
          <w:rFonts w:ascii="Bookman Old Style" w:hAnsi="Bookman Old Style"/>
          <w:sz w:val="24"/>
          <w:szCs w:val="24"/>
        </w:rPr>
        <w:t xml:space="preserve"> based on the doctrine or principle of </w:t>
      </w:r>
      <w:r w:rsidRPr="00193323">
        <w:rPr>
          <w:rFonts w:ascii="Bookman Old Style" w:hAnsi="Bookman Old Style"/>
          <w:i/>
          <w:iCs/>
          <w:sz w:val="24"/>
          <w:szCs w:val="24"/>
        </w:rPr>
        <w:t>stare decisis</w:t>
      </w:r>
      <w:r w:rsidR="00C8311E">
        <w:rPr>
          <w:rFonts w:ascii="Bookman Old Style" w:hAnsi="Bookman Old Style"/>
          <w:i/>
          <w:iCs/>
          <w:sz w:val="24"/>
          <w:szCs w:val="24"/>
        </w:rPr>
        <w:t xml:space="preserve"> at non </w:t>
      </w:r>
      <w:proofErr w:type="spellStart"/>
      <w:r w:rsidR="00C8311E">
        <w:rPr>
          <w:rFonts w:ascii="Bookman Old Style" w:hAnsi="Bookman Old Style"/>
          <w:i/>
          <w:iCs/>
          <w:sz w:val="24"/>
          <w:szCs w:val="24"/>
        </w:rPr>
        <w:t>quieta</w:t>
      </w:r>
      <w:proofErr w:type="spellEnd"/>
      <w:r w:rsidR="00C8311E">
        <w:rPr>
          <w:rFonts w:ascii="Bookman Old Style" w:hAnsi="Bookman Old Style"/>
          <w:i/>
          <w:iCs/>
          <w:sz w:val="24"/>
          <w:szCs w:val="24"/>
        </w:rPr>
        <w:t xml:space="preserve"> movere</w:t>
      </w:r>
      <w:r w:rsidR="00C8311E">
        <w:rPr>
          <w:rFonts w:ascii="Bookman Old Style" w:hAnsi="Bookman Old Style"/>
          <w:sz w:val="24"/>
          <w:szCs w:val="24"/>
        </w:rPr>
        <w:t xml:space="preserve"> which means “to stand by the things decided and not disturb settled points.”</w:t>
      </w:r>
      <w:r w:rsidR="00060644">
        <w:rPr>
          <w:rFonts w:ascii="Bookman Old Style" w:hAnsi="Bookman Old Style"/>
          <w:sz w:val="24"/>
          <w:szCs w:val="24"/>
        </w:rPr>
        <w:t xml:space="preserve"> This doctrine calls for the binding nature of the precedents whereby judges are bound by earlier judicial decisions specially that of the superior courts</w:t>
      </w:r>
      <w:r w:rsidR="00B80662">
        <w:rPr>
          <w:rFonts w:ascii="Bookman Old Style" w:hAnsi="Bookman Old Style"/>
          <w:sz w:val="24"/>
          <w:szCs w:val="24"/>
        </w:rPr>
        <w:t xml:space="preserve"> </w:t>
      </w:r>
      <w:r w:rsidR="00B80662" w:rsidRPr="00B80662">
        <w:rPr>
          <w:rFonts w:ascii="Bookman Old Style" w:hAnsi="Bookman Old Style"/>
          <w:sz w:val="24"/>
          <w:szCs w:val="24"/>
        </w:rPr>
        <w:t xml:space="preserve">(LexisNexis, </w:t>
      </w:r>
      <w:r w:rsidR="00B80662" w:rsidRPr="00B80662">
        <w:rPr>
          <w:rFonts w:ascii="Bookman Old Style" w:hAnsi="Bookman Old Style"/>
          <w:i/>
          <w:iCs/>
          <w:sz w:val="24"/>
          <w:szCs w:val="24"/>
        </w:rPr>
        <w:t>Stare decisis</w:t>
      </w:r>
      <w:r w:rsidR="00B80662" w:rsidRPr="00B80662">
        <w:rPr>
          <w:rFonts w:ascii="Bookman Old Style" w:hAnsi="Bookman Old Style"/>
          <w:sz w:val="24"/>
          <w:szCs w:val="24"/>
        </w:rPr>
        <w:t>)</w:t>
      </w:r>
      <w:r w:rsidR="00060644">
        <w:rPr>
          <w:rFonts w:ascii="Bookman Old Style" w:hAnsi="Bookman Old Style"/>
          <w:sz w:val="24"/>
          <w:szCs w:val="24"/>
        </w:rPr>
        <w:t>.</w:t>
      </w:r>
      <w:r w:rsidR="00185325">
        <w:rPr>
          <w:rFonts w:ascii="Bookman Old Style" w:hAnsi="Bookman Old Style"/>
          <w:sz w:val="24"/>
          <w:szCs w:val="24"/>
        </w:rPr>
        <w:t xml:space="preserve"> The binding nature of the said earlier judicial decisions is derived from the judicial reasoning or </w:t>
      </w:r>
      <w:r w:rsidR="00185325">
        <w:rPr>
          <w:rFonts w:ascii="Bookman Old Style" w:hAnsi="Bookman Old Style"/>
          <w:i/>
          <w:iCs/>
          <w:sz w:val="24"/>
          <w:szCs w:val="24"/>
        </w:rPr>
        <w:t>ratio de</w:t>
      </w:r>
      <w:r w:rsidR="009754AB">
        <w:rPr>
          <w:rFonts w:ascii="Bookman Old Style" w:hAnsi="Bookman Old Style"/>
          <w:i/>
          <w:iCs/>
          <w:sz w:val="24"/>
          <w:szCs w:val="24"/>
        </w:rPr>
        <w:t xml:space="preserve">cidendi </w:t>
      </w:r>
      <w:r w:rsidR="00C5407F">
        <w:rPr>
          <w:rFonts w:ascii="Bookman Old Style" w:hAnsi="Bookman Old Style"/>
          <w:sz w:val="24"/>
          <w:szCs w:val="24"/>
        </w:rPr>
        <w:t xml:space="preserve">which </w:t>
      </w:r>
      <w:proofErr w:type="gramStart"/>
      <w:r w:rsidR="00C5407F">
        <w:rPr>
          <w:rFonts w:ascii="Bookman Old Style" w:hAnsi="Bookman Old Style"/>
          <w:sz w:val="24"/>
          <w:szCs w:val="24"/>
        </w:rPr>
        <w:t>in itself has</w:t>
      </w:r>
      <w:proofErr w:type="gramEnd"/>
      <w:r w:rsidR="00C5407F">
        <w:rPr>
          <w:rFonts w:ascii="Bookman Old Style" w:hAnsi="Bookman Old Style"/>
          <w:sz w:val="24"/>
          <w:szCs w:val="24"/>
        </w:rPr>
        <w:t xml:space="preserve"> the force of law</w:t>
      </w:r>
      <w:r w:rsidR="00B933B2" w:rsidRPr="00B933B2">
        <w:rPr>
          <w:rFonts w:ascii="Bookman Old Style" w:hAnsi="Bookman Old Style"/>
          <w:sz w:val="24"/>
          <w:szCs w:val="24"/>
        </w:rPr>
        <w:t xml:space="preserve"> (LexisNexis, </w:t>
      </w:r>
      <w:r w:rsidR="00B933B2" w:rsidRPr="00B933B2">
        <w:rPr>
          <w:rFonts w:ascii="Bookman Old Style" w:hAnsi="Bookman Old Style"/>
          <w:i/>
          <w:iCs/>
          <w:sz w:val="24"/>
          <w:szCs w:val="24"/>
        </w:rPr>
        <w:t>Ratio Decidendi</w:t>
      </w:r>
      <w:r w:rsidR="00B933B2" w:rsidRPr="00B933B2">
        <w:rPr>
          <w:rFonts w:ascii="Bookman Old Style" w:hAnsi="Bookman Old Style"/>
          <w:sz w:val="24"/>
          <w:szCs w:val="24"/>
        </w:rPr>
        <w:t>)</w:t>
      </w:r>
      <w:r w:rsidR="00C5407F">
        <w:rPr>
          <w:rFonts w:ascii="Bookman Old Style" w:hAnsi="Bookman Old Style"/>
          <w:sz w:val="24"/>
          <w:szCs w:val="24"/>
        </w:rPr>
        <w:t>.</w:t>
      </w:r>
      <w:r w:rsidR="001B3DDE">
        <w:rPr>
          <w:rFonts w:ascii="Bookman Old Style" w:hAnsi="Bookman Old Style"/>
          <w:sz w:val="24"/>
          <w:szCs w:val="24"/>
        </w:rPr>
        <w:t xml:space="preserve"> </w:t>
      </w:r>
      <w:r w:rsidR="00D310B1">
        <w:rPr>
          <w:rFonts w:ascii="Bookman Old Style" w:hAnsi="Bookman Old Style"/>
          <w:sz w:val="24"/>
          <w:szCs w:val="24"/>
        </w:rPr>
        <w:t xml:space="preserve">The doctrine of </w:t>
      </w:r>
      <w:r w:rsidR="00D310B1" w:rsidRPr="00193323">
        <w:rPr>
          <w:rFonts w:ascii="Bookman Old Style" w:hAnsi="Bookman Old Style"/>
          <w:i/>
          <w:iCs/>
          <w:sz w:val="24"/>
          <w:szCs w:val="24"/>
        </w:rPr>
        <w:t>stare decisis</w:t>
      </w:r>
      <w:r w:rsidR="00D310B1">
        <w:rPr>
          <w:rFonts w:ascii="Bookman Old Style" w:hAnsi="Bookman Old Style"/>
          <w:sz w:val="24"/>
          <w:szCs w:val="24"/>
        </w:rPr>
        <w:t xml:space="preserve"> is</w:t>
      </w:r>
      <w:r w:rsidR="00D310B1" w:rsidRPr="00DD7BD8">
        <w:rPr>
          <w:rFonts w:ascii="Bookman Old Style" w:hAnsi="Bookman Old Style"/>
          <w:color w:val="000000" w:themeColor="text1"/>
          <w:sz w:val="24"/>
          <w:szCs w:val="24"/>
        </w:rPr>
        <w:t xml:space="preserve"> also discussed and illustrated in many </w:t>
      </w:r>
      <w:r w:rsidR="00250564" w:rsidRPr="00DD7BD8">
        <w:rPr>
          <w:rFonts w:ascii="Bookman Old Style" w:hAnsi="Bookman Old Style"/>
          <w:color w:val="000000" w:themeColor="text1"/>
          <w:sz w:val="24"/>
          <w:szCs w:val="24"/>
        </w:rPr>
        <w:t xml:space="preserve">leading </w:t>
      </w:r>
      <w:r w:rsidR="00D310B1" w:rsidRPr="00DD7BD8">
        <w:rPr>
          <w:rFonts w:ascii="Bookman Old Style" w:hAnsi="Bookman Old Style"/>
          <w:color w:val="000000" w:themeColor="text1"/>
          <w:sz w:val="24"/>
          <w:szCs w:val="24"/>
        </w:rPr>
        <w:t xml:space="preserve">cases such as </w:t>
      </w:r>
      <w:r w:rsidR="00B933B2">
        <w:rPr>
          <w:rFonts w:ascii="Bookman Old Style" w:hAnsi="Bookman Old Style"/>
          <w:color w:val="000000" w:themeColor="text1"/>
          <w:sz w:val="24"/>
          <w:szCs w:val="24"/>
        </w:rPr>
        <w:t>‘</w:t>
      </w:r>
      <w:r w:rsidR="00250564" w:rsidRPr="00B933B2">
        <w:rPr>
          <w:rFonts w:ascii="Bookman Old Style" w:hAnsi="Bookman Old Style"/>
          <w:color w:val="000000" w:themeColor="text1"/>
          <w:sz w:val="24"/>
          <w:szCs w:val="24"/>
          <w:shd w:val="clear" w:color="auto" w:fill="FFFFFF"/>
        </w:rPr>
        <w:t xml:space="preserve">Young v Bristol </w:t>
      </w:r>
      <w:proofErr w:type="spellStart"/>
      <w:r w:rsidR="00250564" w:rsidRPr="00B933B2">
        <w:rPr>
          <w:rFonts w:ascii="Bookman Old Style" w:hAnsi="Bookman Old Style"/>
          <w:color w:val="000000" w:themeColor="text1"/>
          <w:sz w:val="24"/>
          <w:szCs w:val="24"/>
          <w:shd w:val="clear" w:color="auto" w:fill="FFFFFF"/>
        </w:rPr>
        <w:t>Aeroplane</w:t>
      </w:r>
      <w:proofErr w:type="spellEnd"/>
      <w:r w:rsidR="00250564" w:rsidRPr="00B933B2">
        <w:rPr>
          <w:rFonts w:ascii="Bookman Old Style" w:hAnsi="Bookman Old Style"/>
          <w:color w:val="000000" w:themeColor="text1"/>
          <w:sz w:val="24"/>
          <w:szCs w:val="24"/>
          <w:shd w:val="clear" w:color="auto" w:fill="FFFFFF"/>
        </w:rPr>
        <w:t xml:space="preserve"> Co Lt</w:t>
      </w:r>
      <w:r w:rsidR="00687A28" w:rsidRPr="00B933B2">
        <w:rPr>
          <w:rFonts w:ascii="Bookman Old Style" w:hAnsi="Bookman Old Style"/>
          <w:color w:val="000000" w:themeColor="text1"/>
          <w:sz w:val="24"/>
          <w:szCs w:val="24"/>
          <w:shd w:val="clear" w:color="auto" w:fill="FFFFFF"/>
        </w:rPr>
        <w:t>d</w:t>
      </w:r>
      <w:r w:rsidR="00B933B2" w:rsidRPr="00B933B2">
        <w:rPr>
          <w:rFonts w:ascii="Bookman Old Style" w:hAnsi="Bookman Old Style"/>
          <w:color w:val="000000" w:themeColor="text1"/>
          <w:sz w:val="24"/>
          <w:szCs w:val="24"/>
          <w:shd w:val="clear" w:color="auto" w:fill="FFFFFF"/>
        </w:rPr>
        <w:t>’</w:t>
      </w:r>
      <w:r w:rsidR="00B933B2">
        <w:rPr>
          <w:rFonts w:ascii="Bookman Old Style" w:hAnsi="Bookman Old Style"/>
          <w:i/>
          <w:iCs/>
          <w:color w:val="000000" w:themeColor="text1"/>
          <w:sz w:val="24"/>
          <w:szCs w:val="24"/>
          <w:shd w:val="clear" w:color="auto" w:fill="FFFFFF"/>
        </w:rPr>
        <w:t xml:space="preserve"> </w:t>
      </w:r>
      <w:r w:rsidR="00B933B2" w:rsidRPr="00B933B2">
        <w:rPr>
          <w:rFonts w:ascii="Bookman Old Style" w:hAnsi="Bookman Old Style"/>
          <w:color w:val="000000" w:themeColor="text1"/>
          <w:sz w:val="24"/>
          <w:szCs w:val="24"/>
          <w:shd w:val="clear" w:color="auto" w:fill="FFFFFF"/>
        </w:rPr>
        <w:t>(1944)</w:t>
      </w:r>
      <w:r w:rsidR="00250564" w:rsidRPr="00DD7BD8">
        <w:rPr>
          <w:rFonts w:ascii="Bookman Old Style" w:hAnsi="Bookman Old Style"/>
          <w:color w:val="000000" w:themeColor="text1"/>
          <w:sz w:val="24"/>
          <w:szCs w:val="24"/>
        </w:rPr>
        <w:t xml:space="preserve">, </w:t>
      </w:r>
      <w:r w:rsidR="00B933B2" w:rsidRPr="00B933B2">
        <w:rPr>
          <w:rFonts w:ascii="Bookman Old Style" w:hAnsi="Bookman Old Style"/>
          <w:i/>
          <w:iCs/>
          <w:color w:val="000000" w:themeColor="text1"/>
          <w:sz w:val="24"/>
          <w:szCs w:val="24"/>
        </w:rPr>
        <w:t>‘</w:t>
      </w:r>
      <w:r w:rsidR="00250564" w:rsidRPr="00B933B2">
        <w:rPr>
          <w:rFonts w:ascii="Bookman Old Style" w:hAnsi="Bookman Old Style"/>
          <w:i/>
          <w:iCs/>
          <w:color w:val="000000" w:themeColor="text1"/>
          <w:sz w:val="24"/>
          <w:szCs w:val="24"/>
          <w:shd w:val="clear" w:color="auto" w:fill="FFFFFF"/>
        </w:rPr>
        <w:t>Cassell &amp; Co Ltd v Broome</w:t>
      </w:r>
      <w:r w:rsidR="00B933B2">
        <w:rPr>
          <w:rStyle w:val="FootnoteReference"/>
          <w:rFonts w:ascii="Bookman Old Style" w:hAnsi="Bookman Old Style"/>
          <w:i/>
          <w:iCs/>
          <w:color w:val="000000" w:themeColor="text1"/>
          <w:sz w:val="24"/>
          <w:szCs w:val="24"/>
          <w:shd w:val="clear" w:color="auto" w:fill="FFFFFF"/>
        </w:rPr>
        <w:t>’</w:t>
      </w:r>
      <w:r w:rsidR="00127C4D">
        <w:rPr>
          <w:rFonts w:ascii="Bookman Old Style" w:hAnsi="Bookman Old Style"/>
          <w:i/>
          <w:iCs/>
          <w:color w:val="000000" w:themeColor="text1"/>
          <w:sz w:val="24"/>
          <w:szCs w:val="24"/>
          <w:shd w:val="clear" w:color="auto" w:fill="FFFFFF"/>
        </w:rPr>
        <w:t xml:space="preserve"> (1972)</w:t>
      </w:r>
      <w:r w:rsidR="00250564" w:rsidRPr="00DD7BD8">
        <w:rPr>
          <w:rFonts w:ascii="Bookman Old Style" w:hAnsi="Bookman Old Style"/>
          <w:color w:val="000000" w:themeColor="text1"/>
          <w:sz w:val="24"/>
          <w:szCs w:val="24"/>
        </w:rPr>
        <w:t xml:space="preserve">, </w:t>
      </w:r>
      <w:r w:rsidR="00127C4D" w:rsidRPr="00127C4D">
        <w:rPr>
          <w:rFonts w:ascii="Bookman Old Style" w:hAnsi="Bookman Old Style"/>
          <w:color w:val="000000" w:themeColor="text1"/>
          <w:sz w:val="24"/>
          <w:szCs w:val="24"/>
        </w:rPr>
        <w:t>‘</w:t>
      </w:r>
      <w:proofErr w:type="spellStart"/>
      <w:r w:rsidR="00250564" w:rsidRPr="00127C4D">
        <w:rPr>
          <w:rFonts w:ascii="Bookman Old Style" w:hAnsi="Bookman Old Style"/>
          <w:color w:val="000000" w:themeColor="text1"/>
          <w:sz w:val="24"/>
          <w:szCs w:val="24"/>
          <w:shd w:val="clear" w:color="auto" w:fill="FFFFFF"/>
        </w:rPr>
        <w:t>Trendtex</w:t>
      </w:r>
      <w:proofErr w:type="spellEnd"/>
      <w:r w:rsidR="00250564" w:rsidRPr="00127C4D">
        <w:rPr>
          <w:rFonts w:ascii="Bookman Old Style" w:hAnsi="Bookman Old Style"/>
          <w:color w:val="000000" w:themeColor="text1"/>
          <w:sz w:val="24"/>
          <w:szCs w:val="24"/>
          <w:shd w:val="clear" w:color="auto" w:fill="FFFFFF"/>
        </w:rPr>
        <w:t xml:space="preserve"> Trading Corporation Ltd v Central Bank of Nigeria</w:t>
      </w:r>
      <w:r w:rsidR="00127C4D">
        <w:rPr>
          <w:rFonts w:ascii="Bookman Old Style" w:hAnsi="Bookman Old Style"/>
          <w:color w:val="000000" w:themeColor="text1"/>
          <w:sz w:val="24"/>
          <w:szCs w:val="24"/>
          <w:shd w:val="clear" w:color="auto" w:fill="FFFFFF"/>
        </w:rPr>
        <w:t xml:space="preserve"> (1977)</w:t>
      </w:r>
      <w:r w:rsidR="00250564" w:rsidRPr="00DD7BD8">
        <w:rPr>
          <w:rFonts w:ascii="Bookman Old Style" w:hAnsi="Bookman Old Style"/>
          <w:color w:val="000000" w:themeColor="text1"/>
          <w:sz w:val="24"/>
          <w:szCs w:val="24"/>
        </w:rPr>
        <w:t xml:space="preserve"> and </w:t>
      </w:r>
      <w:r w:rsidR="00DD7BD8" w:rsidRPr="00127C4D">
        <w:rPr>
          <w:rFonts w:ascii="Bookman Old Style" w:hAnsi="Bookman Old Style"/>
          <w:color w:val="000000" w:themeColor="text1"/>
          <w:sz w:val="24"/>
          <w:szCs w:val="24"/>
          <w:shd w:val="clear" w:color="auto" w:fill="FFFFFF"/>
        </w:rPr>
        <w:lastRenderedPageBreak/>
        <w:t>R v Simpson</w:t>
      </w:r>
      <w:r w:rsidR="00127C4D" w:rsidRPr="00127C4D">
        <w:rPr>
          <w:rFonts w:ascii="Bookman Old Style" w:hAnsi="Bookman Old Style"/>
          <w:color w:val="000000" w:themeColor="text1"/>
          <w:sz w:val="24"/>
          <w:szCs w:val="24"/>
          <w:shd w:val="clear" w:color="auto" w:fill="FFFFFF"/>
        </w:rPr>
        <w:t xml:space="preserve"> (2003)</w:t>
      </w:r>
      <w:r w:rsidR="00DD7BD8">
        <w:rPr>
          <w:rFonts w:ascii="Bookman Old Style" w:hAnsi="Bookman Old Style"/>
          <w:color w:val="000000" w:themeColor="text1"/>
          <w:sz w:val="24"/>
          <w:szCs w:val="24"/>
        </w:rPr>
        <w:t>.</w:t>
      </w:r>
      <w:r w:rsidR="00F27343">
        <w:rPr>
          <w:rFonts w:ascii="Bookman Old Style" w:hAnsi="Bookman Old Style"/>
          <w:color w:val="000000" w:themeColor="text1"/>
          <w:sz w:val="24"/>
          <w:szCs w:val="24"/>
        </w:rPr>
        <w:t xml:space="preserve"> </w:t>
      </w:r>
      <w:r w:rsidR="007F105C">
        <w:rPr>
          <w:rFonts w:ascii="Bookman Old Style" w:hAnsi="Bookman Old Style"/>
          <w:color w:val="000000" w:themeColor="text1"/>
          <w:sz w:val="24"/>
          <w:szCs w:val="24"/>
        </w:rPr>
        <w:t xml:space="preserve">The common law has developed from such judicial decisions where the law is derived by the judge from the earlier decisions. </w:t>
      </w:r>
      <w:r w:rsidR="005C1996">
        <w:rPr>
          <w:rFonts w:ascii="Bookman Old Style" w:hAnsi="Bookman Old Style"/>
          <w:color w:val="000000" w:themeColor="text1"/>
          <w:sz w:val="24"/>
          <w:szCs w:val="24"/>
        </w:rPr>
        <w:t xml:space="preserve">So, the judges in the common law system of England do not formulate “abstract legal rules” </w:t>
      </w:r>
      <w:r w:rsidR="00962FBA">
        <w:rPr>
          <w:rFonts w:ascii="Bookman Old Style" w:hAnsi="Bookman Old Style"/>
          <w:color w:val="000000" w:themeColor="text1"/>
          <w:sz w:val="24"/>
          <w:szCs w:val="24"/>
        </w:rPr>
        <w:t>for the de</w:t>
      </w:r>
      <w:r w:rsidR="007158FB">
        <w:rPr>
          <w:rFonts w:ascii="Bookman Old Style" w:hAnsi="Bookman Old Style"/>
          <w:color w:val="000000" w:themeColor="text1"/>
          <w:sz w:val="24"/>
          <w:szCs w:val="24"/>
        </w:rPr>
        <w:t>cision of any future cases as the common law is not concerned with “deductively deriving results from general legal principles” but “inductively working out principles from individuals”</w:t>
      </w:r>
      <w:r w:rsidR="009442E4">
        <w:rPr>
          <w:rFonts w:ascii="Bookman Old Style" w:hAnsi="Bookman Old Style"/>
          <w:color w:val="000000" w:themeColor="text1"/>
          <w:sz w:val="24"/>
          <w:szCs w:val="24"/>
        </w:rPr>
        <w:t>. This makes the common law a judge made law</w:t>
      </w:r>
      <w:r w:rsidR="00291F93">
        <w:rPr>
          <w:rFonts w:ascii="Bookman Old Style" w:hAnsi="Bookman Old Style"/>
          <w:color w:val="000000" w:themeColor="text1"/>
          <w:sz w:val="24"/>
          <w:szCs w:val="24"/>
        </w:rPr>
        <w:t xml:space="preserve"> </w:t>
      </w:r>
      <w:r w:rsidR="00291F93" w:rsidRPr="00CE20BE">
        <w:rPr>
          <w:rFonts w:ascii="Bookman Old Style" w:hAnsi="Bookman Old Style"/>
          <w:sz w:val="24"/>
          <w:szCs w:val="24"/>
        </w:rPr>
        <w:t>(KISCHEL, 2020)</w:t>
      </w:r>
      <w:r w:rsidR="009442E4">
        <w:rPr>
          <w:rFonts w:ascii="Bookman Old Style" w:hAnsi="Bookman Old Style"/>
          <w:color w:val="000000" w:themeColor="text1"/>
          <w:sz w:val="24"/>
          <w:szCs w:val="24"/>
        </w:rPr>
        <w:t>.</w:t>
      </w:r>
      <w:r w:rsidR="00F23A77">
        <w:rPr>
          <w:rFonts w:ascii="Bookman Old Style" w:hAnsi="Bookman Old Style"/>
          <w:color w:val="000000" w:themeColor="text1"/>
          <w:sz w:val="24"/>
          <w:szCs w:val="24"/>
        </w:rPr>
        <w:t xml:space="preserve"> It is pertinent to note that the doctrine of </w:t>
      </w:r>
      <w:r w:rsidR="00F23A77" w:rsidRPr="00193323">
        <w:rPr>
          <w:rFonts w:ascii="Bookman Old Style" w:hAnsi="Bookman Old Style"/>
          <w:i/>
          <w:iCs/>
          <w:sz w:val="24"/>
          <w:szCs w:val="24"/>
        </w:rPr>
        <w:t>stare decisis</w:t>
      </w:r>
      <w:r w:rsidR="00F23A77">
        <w:rPr>
          <w:rFonts w:ascii="Bookman Old Style" w:hAnsi="Bookman Old Style"/>
          <w:i/>
          <w:iCs/>
          <w:sz w:val="24"/>
          <w:szCs w:val="24"/>
        </w:rPr>
        <w:t xml:space="preserve"> </w:t>
      </w:r>
      <w:r w:rsidR="00F23A77">
        <w:rPr>
          <w:rFonts w:ascii="Bookman Old Style" w:hAnsi="Bookman Old Style"/>
          <w:sz w:val="24"/>
          <w:szCs w:val="24"/>
        </w:rPr>
        <w:t>is based on the hierarchy of the courts which means that the judicial decisions or precedents of the higher courts are binding on lower courts. For example, a decision made by the Supreme Court of England would be binding on the England’s Court of Appeal and the High Court.</w:t>
      </w:r>
    </w:p>
    <w:p w14:paraId="7D2B3B72" w14:textId="77777777" w:rsidR="00C74290" w:rsidRDefault="00C46442" w:rsidP="00BE4EF2">
      <w:pPr>
        <w:spacing w:line="360" w:lineRule="auto"/>
        <w:jc w:val="both"/>
        <w:rPr>
          <w:rFonts w:ascii="Bookman Old Style" w:hAnsi="Bookman Old Style"/>
          <w:color w:val="000000" w:themeColor="text1"/>
          <w:sz w:val="24"/>
          <w:szCs w:val="24"/>
        </w:rPr>
      </w:pPr>
      <w:r>
        <w:rPr>
          <w:rFonts w:ascii="Bookman Old Style" w:hAnsi="Bookman Old Style"/>
          <w:color w:val="000000" w:themeColor="text1"/>
          <w:sz w:val="24"/>
          <w:szCs w:val="24"/>
        </w:rPr>
        <w:tab/>
        <w:t>The civil law system is a system which, in contrast to a common law system, is based on written and codified law</w:t>
      </w:r>
      <w:r w:rsidR="00BB0585">
        <w:rPr>
          <w:rFonts w:ascii="Bookman Old Style" w:hAnsi="Bookman Old Style"/>
          <w:color w:val="000000" w:themeColor="text1"/>
          <w:sz w:val="24"/>
          <w:szCs w:val="24"/>
        </w:rPr>
        <w:t xml:space="preserve"> that is created by the states</w:t>
      </w:r>
      <w:r w:rsidR="00EA7685">
        <w:rPr>
          <w:rFonts w:ascii="Bookman Old Style" w:hAnsi="Bookman Old Style"/>
          <w:color w:val="000000" w:themeColor="text1"/>
          <w:sz w:val="24"/>
          <w:szCs w:val="24"/>
        </w:rPr>
        <w:t xml:space="preserve">. </w:t>
      </w:r>
      <w:r w:rsidR="00140111">
        <w:rPr>
          <w:rFonts w:ascii="Bookman Old Style" w:hAnsi="Bookman Old Style"/>
          <w:color w:val="000000" w:themeColor="text1"/>
          <w:sz w:val="24"/>
          <w:szCs w:val="24"/>
        </w:rPr>
        <w:t xml:space="preserve">It is the oldest system in world and finds its </w:t>
      </w:r>
      <w:r w:rsidR="002E111A">
        <w:rPr>
          <w:rFonts w:ascii="Bookman Old Style" w:hAnsi="Bookman Old Style"/>
          <w:color w:val="000000" w:themeColor="text1"/>
          <w:sz w:val="24"/>
          <w:szCs w:val="24"/>
        </w:rPr>
        <w:t>origin in ancient Roman system. T</w:t>
      </w:r>
      <w:r w:rsidR="0028640F">
        <w:rPr>
          <w:rFonts w:ascii="Bookman Old Style" w:hAnsi="Bookman Old Style"/>
          <w:color w:val="000000" w:themeColor="text1"/>
          <w:sz w:val="24"/>
          <w:szCs w:val="24"/>
        </w:rPr>
        <w:t xml:space="preserve">he legal system in a civil law regime is an inquisitorial one wherein the courts or judges </w:t>
      </w:r>
      <w:r w:rsidR="00CA4B17">
        <w:rPr>
          <w:rFonts w:ascii="Bookman Old Style" w:hAnsi="Bookman Old Style"/>
          <w:color w:val="000000" w:themeColor="text1"/>
          <w:sz w:val="24"/>
          <w:szCs w:val="24"/>
        </w:rPr>
        <w:t>are more pr</w:t>
      </w:r>
      <w:r w:rsidR="00B443F9">
        <w:rPr>
          <w:rFonts w:ascii="Bookman Old Style" w:hAnsi="Bookman Old Style"/>
          <w:color w:val="000000" w:themeColor="text1"/>
          <w:sz w:val="24"/>
          <w:szCs w:val="24"/>
        </w:rPr>
        <w:t>o-active in questioning the witnesses, preparing the evidence and finding the facts</w:t>
      </w:r>
      <w:r w:rsidR="00CA4B17">
        <w:rPr>
          <w:rFonts w:ascii="Bookman Old Style" w:hAnsi="Bookman Old Style"/>
          <w:color w:val="000000" w:themeColor="text1"/>
          <w:sz w:val="24"/>
          <w:szCs w:val="24"/>
        </w:rPr>
        <w:t xml:space="preserve">. On the other hand, in the common law system the legal system is adversarial one where the role of the judges is minimum as compared to that of the judges in an inquisitorial system. Under adversarial system </w:t>
      </w:r>
      <w:r w:rsidR="00F17C37">
        <w:rPr>
          <w:rFonts w:ascii="Bookman Old Style" w:hAnsi="Bookman Old Style"/>
          <w:color w:val="000000" w:themeColor="text1"/>
          <w:sz w:val="24"/>
          <w:szCs w:val="24"/>
        </w:rPr>
        <w:t xml:space="preserve">a </w:t>
      </w:r>
      <w:r w:rsidR="00CA4B17">
        <w:rPr>
          <w:rFonts w:ascii="Bookman Old Style" w:hAnsi="Bookman Old Style"/>
          <w:color w:val="000000" w:themeColor="text1"/>
          <w:sz w:val="24"/>
          <w:szCs w:val="24"/>
        </w:rPr>
        <w:t>judge</w:t>
      </w:r>
      <w:r w:rsidR="00F17C37">
        <w:rPr>
          <w:rFonts w:ascii="Bookman Old Style" w:hAnsi="Bookman Old Style"/>
          <w:color w:val="000000" w:themeColor="text1"/>
          <w:sz w:val="24"/>
          <w:szCs w:val="24"/>
        </w:rPr>
        <w:t>’</w:t>
      </w:r>
      <w:r w:rsidR="00CA4B17">
        <w:rPr>
          <w:rFonts w:ascii="Bookman Old Style" w:hAnsi="Bookman Old Style"/>
          <w:color w:val="000000" w:themeColor="text1"/>
          <w:sz w:val="24"/>
          <w:szCs w:val="24"/>
        </w:rPr>
        <w:t xml:space="preserve">s </w:t>
      </w:r>
      <w:r w:rsidR="00F17C37">
        <w:rPr>
          <w:rFonts w:ascii="Bookman Old Style" w:hAnsi="Bookman Old Style"/>
          <w:color w:val="000000" w:themeColor="text1"/>
          <w:sz w:val="24"/>
          <w:szCs w:val="24"/>
        </w:rPr>
        <w:t>role is to fairly apply the law and matter of evidence is left to the parties who argue their case and fact finding is left to the jury.</w:t>
      </w:r>
      <w:r w:rsidR="00B6709A">
        <w:rPr>
          <w:rFonts w:ascii="Bookman Old Style" w:hAnsi="Bookman Old Style"/>
          <w:color w:val="000000" w:themeColor="text1"/>
          <w:sz w:val="24"/>
          <w:szCs w:val="24"/>
        </w:rPr>
        <w:t xml:space="preserve"> There is no jury in an inquisitorial system based under civil law system.</w:t>
      </w:r>
      <w:r w:rsidR="009C46E5">
        <w:rPr>
          <w:rFonts w:ascii="Bookman Old Style" w:hAnsi="Bookman Old Style"/>
          <w:color w:val="000000" w:themeColor="text1"/>
          <w:sz w:val="24"/>
          <w:szCs w:val="24"/>
        </w:rPr>
        <w:t xml:space="preserve"> Moreover, as discussed above, the common law system employs inductive reasoning whereas the civil law system</w:t>
      </w:r>
      <w:r w:rsidR="005C1B9B">
        <w:rPr>
          <w:rFonts w:ascii="Bookman Old Style" w:hAnsi="Bookman Old Style"/>
          <w:color w:val="000000" w:themeColor="text1"/>
          <w:sz w:val="24"/>
          <w:szCs w:val="24"/>
        </w:rPr>
        <w:t xml:space="preserve"> on the other hand employs deductive reasoning.</w:t>
      </w:r>
      <w:r w:rsidR="004B513C">
        <w:rPr>
          <w:rFonts w:ascii="Bookman Old Style" w:hAnsi="Bookman Old Style"/>
          <w:color w:val="000000" w:themeColor="text1"/>
          <w:sz w:val="24"/>
          <w:szCs w:val="24"/>
        </w:rPr>
        <w:t xml:space="preserve"> Furthermore, the judiciary in a common law system is centralized one and the same is separate from the state in their legal process of making law. In a civil law system, on the other hand, the judiciary is </w:t>
      </w:r>
      <w:r w:rsidR="006E6EC9">
        <w:rPr>
          <w:rFonts w:ascii="Bookman Old Style" w:hAnsi="Bookman Old Style"/>
          <w:color w:val="000000" w:themeColor="text1"/>
          <w:sz w:val="24"/>
          <w:szCs w:val="24"/>
        </w:rPr>
        <w:t xml:space="preserve">reliant more on state in terms of policy and </w:t>
      </w:r>
      <w:r w:rsidR="008F2B15">
        <w:rPr>
          <w:rFonts w:ascii="Bookman Old Style" w:hAnsi="Bookman Old Style"/>
          <w:color w:val="000000" w:themeColor="text1"/>
          <w:sz w:val="24"/>
          <w:szCs w:val="24"/>
        </w:rPr>
        <w:t xml:space="preserve">reasoning and </w:t>
      </w:r>
      <w:r w:rsidR="00950CE3">
        <w:rPr>
          <w:rFonts w:ascii="Bookman Old Style" w:hAnsi="Bookman Old Style"/>
          <w:color w:val="000000" w:themeColor="text1"/>
          <w:sz w:val="24"/>
          <w:szCs w:val="24"/>
        </w:rPr>
        <w:t>applies the law that i</w:t>
      </w:r>
      <w:r w:rsidR="00950CE3" w:rsidRPr="00BE4EF2">
        <w:rPr>
          <w:rFonts w:ascii="Bookman Old Style" w:hAnsi="Bookman Old Style"/>
          <w:color w:val="000000" w:themeColor="text1"/>
          <w:sz w:val="24"/>
          <w:szCs w:val="24"/>
        </w:rPr>
        <w:t>s codified by the state</w:t>
      </w:r>
      <w:r w:rsidR="00BE4EF2" w:rsidRPr="00BE4EF2">
        <w:rPr>
          <w:rFonts w:ascii="Bookman Old Style" w:hAnsi="Bookman Old Style"/>
          <w:color w:val="000000" w:themeColor="text1"/>
          <w:sz w:val="24"/>
          <w:szCs w:val="24"/>
        </w:rPr>
        <w:t xml:space="preserve"> </w:t>
      </w:r>
      <w:r w:rsidR="00BE4EF2" w:rsidRPr="00BE4EF2">
        <w:rPr>
          <w:rFonts w:ascii="Bookman Old Style" w:hAnsi="Bookman Old Style"/>
          <w:sz w:val="24"/>
          <w:szCs w:val="24"/>
        </w:rPr>
        <w:t>(Berkeley Law,</w:t>
      </w:r>
      <w:r w:rsidR="00BE4EF2">
        <w:rPr>
          <w:rFonts w:ascii="Bookman Old Style" w:hAnsi="Bookman Old Style"/>
          <w:sz w:val="24"/>
          <w:szCs w:val="24"/>
        </w:rPr>
        <w:t xml:space="preserve"> </w:t>
      </w:r>
      <w:r w:rsidR="00BE4EF2" w:rsidRPr="00BE4EF2">
        <w:rPr>
          <w:rFonts w:ascii="Bookman Old Style" w:hAnsi="Bookman Old Style"/>
          <w:sz w:val="24"/>
          <w:szCs w:val="24"/>
        </w:rPr>
        <w:t>2010)</w:t>
      </w:r>
      <w:r w:rsidR="00950CE3">
        <w:rPr>
          <w:rFonts w:ascii="Bookman Old Style" w:hAnsi="Bookman Old Style"/>
          <w:color w:val="000000" w:themeColor="text1"/>
          <w:sz w:val="24"/>
          <w:szCs w:val="24"/>
        </w:rPr>
        <w:t>.</w:t>
      </w:r>
      <w:r w:rsidR="00C74290">
        <w:rPr>
          <w:rFonts w:ascii="Bookman Old Style" w:hAnsi="Bookman Old Style"/>
          <w:color w:val="000000" w:themeColor="text1"/>
          <w:sz w:val="24"/>
          <w:szCs w:val="24"/>
        </w:rPr>
        <w:t xml:space="preserve"> </w:t>
      </w:r>
    </w:p>
    <w:p w14:paraId="7E946D63" w14:textId="77777777" w:rsidR="00C74290" w:rsidRPr="001F06D4" w:rsidRDefault="00C74290" w:rsidP="001F06D4">
      <w:pPr>
        <w:spacing w:line="360" w:lineRule="auto"/>
        <w:jc w:val="both"/>
        <w:rPr>
          <w:rFonts w:ascii="Bookman Old Style" w:hAnsi="Bookman Old Style"/>
          <w:color w:val="000000" w:themeColor="text1"/>
          <w:sz w:val="24"/>
          <w:szCs w:val="24"/>
        </w:rPr>
      </w:pPr>
      <w:r>
        <w:rPr>
          <w:rFonts w:ascii="Bookman Old Style" w:hAnsi="Bookman Old Style"/>
          <w:color w:val="000000" w:themeColor="text1"/>
          <w:sz w:val="24"/>
          <w:szCs w:val="24"/>
        </w:rPr>
        <w:lastRenderedPageBreak/>
        <w:tab/>
        <w:t xml:space="preserve">In a civil law </w:t>
      </w:r>
      <w:proofErr w:type="gramStart"/>
      <w:r>
        <w:rPr>
          <w:rFonts w:ascii="Bookman Old Style" w:hAnsi="Bookman Old Style"/>
          <w:color w:val="000000" w:themeColor="text1"/>
          <w:sz w:val="24"/>
          <w:szCs w:val="24"/>
        </w:rPr>
        <w:t>country</w:t>
      </w:r>
      <w:proofErr w:type="gramEnd"/>
      <w:r>
        <w:rPr>
          <w:rFonts w:ascii="Bookman Old Style" w:hAnsi="Bookman Old Style"/>
          <w:color w:val="000000" w:themeColor="text1"/>
          <w:sz w:val="24"/>
          <w:szCs w:val="24"/>
        </w:rPr>
        <w:t xml:space="preserve"> a written constitution always exists but in England, which is a common law country, there exists no written constitution. </w:t>
      </w:r>
      <w:r w:rsidR="00CA4146">
        <w:rPr>
          <w:rFonts w:ascii="Bookman Old Style" w:hAnsi="Bookman Old Style"/>
          <w:color w:val="000000" w:themeColor="text1"/>
          <w:sz w:val="24"/>
          <w:szCs w:val="24"/>
        </w:rPr>
        <w:t>Another great difference between a civil law system and a common law system is that a common law system heavily relies on precedents as mentioned above, whereas in a civil law system there is no reliance on earlier decided cases.</w:t>
      </w:r>
      <w:r w:rsidR="006942EE">
        <w:rPr>
          <w:rFonts w:ascii="Bookman Old Style" w:hAnsi="Bookman Old Style"/>
          <w:color w:val="000000" w:themeColor="text1"/>
          <w:sz w:val="24"/>
          <w:szCs w:val="24"/>
        </w:rPr>
        <w:t xml:space="preserve"> </w:t>
      </w:r>
      <w:r w:rsidR="00D258FC">
        <w:rPr>
          <w:rFonts w:ascii="Bookman Old Style" w:hAnsi="Bookman Old Style"/>
          <w:color w:val="000000" w:themeColor="text1"/>
          <w:sz w:val="24"/>
          <w:szCs w:val="24"/>
        </w:rPr>
        <w:t xml:space="preserve">Moreover, the writings of the legal scholars have much impact in civil law systems whereas such writings have little or no impact under common law systems. </w:t>
      </w:r>
      <w:proofErr w:type="gramStart"/>
      <w:r w:rsidR="006942EE">
        <w:rPr>
          <w:rFonts w:ascii="Bookman Old Style" w:hAnsi="Bookman Old Style"/>
          <w:color w:val="000000" w:themeColor="text1"/>
          <w:sz w:val="24"/>
          <w:szCs w:val="24"/>
        </w:rPr>
        <w:t>Both of the said</w:t>
      </w:r>
      <w:proofErr w:type="gramEnd"/>
      <w:r w:rsidR="006942EE">
        <w:rPr>
          <w:rFonts w:ascii="Bookman Old Style" w:hAnsi="Bookman Old Style"/>
          <w:color w:val="000000" w:themeColor="text1"/>
          <w:sz w:val="24"/>
          <w:szCs w:val="24"/>
        </w:rPr>
        <w:t xml:space="preserve"> systems also differ in terms of sources of their respective </w:t>
      </w:r>
      <w:r w:rsidR="000E2DEE">
        <w:rPr>
          <w:rFonts w:ascii="Bookman Old Style" w:hAnsi="Bookman Old Style"/>
          <w:color w:val="000000" w:themeColor="text1"/>
          <w:sz w:val="24"/>
          <w:szCs w:val="24"/>
        </w:rPr>
        <w:t>laws</w:t>
      </w:r>
      <w:r w:rsidR="001F06D4">
        <w:rPr>
          <w:rFonts w:ascii="Bookman Old Style" w:hAnsi="Bookman Old Style"/>
          <w:color w:val="000000" w:themeColor="text1"/>
          <w:sz w:val="24"/>
          <w:szCs w:val="24"/>
        </w:rPr>
        <w:t xml:space="preserve"> </w:t>
      </w:r>
      <w:r w:rsidR="001F06D4" w:rsidRPr="001F06D4">
        <w:rPr>
          <w:rFonts w:ascii="Bookman Old Style" w:hAnsi="Bookman Old Style"/>
          <w:sz w:val="24"/>
          <w:szCs w:val="24"/>
        </w:rPr>
        <w:t xml:space="preserve">(Study.com, </w:t>
      </w:r>
      <w:r w:rsidR="001F06D4" w:rsidRPr="001F06D4">
        <w:rPr>
          <w:rFonts w:ascii="Bookman Old Style" w:hAnsi="Bookman Old Style"/>
          <w:i/>
          <w:iCs/>
          <w:sz w:val="24"/>
          <w:szCs w:val="24"/>
        </w:rPr>
        <w:t>Common Law Examples &amp; Systems</w:t>
      </w:r>
      <w:r w:rsidR="001F06D4" w:rsidRPr="001F06D4">
        <w:rPr>
          <w:rFonts w:ascii="Bookman Old Style" w:hAnsi="Bookman Old Style"/>
          <w:sz w:val="24"/>
          <w:szCs w:val="24"/>
        </w:rPr>
        <w:t>)</w:t>
      </w:r>
      <w:r w:rsidR="000E2DEE" w:rsidRPr="001F06D4">
        <w:rPr>
          <w:rFonts w:ascii="Bookman Old Style" w:hAnsi="Bookman Old Style"/>
          <w:color w:val="000000" w:themeColor="text1"/>
          <w:sz w:val="24"/>
          <w:szCs w:val="24"/>
        </w:rPr>
        <w:t>.</w:t>
      </w:r>
    </w:p>
    <w:p w14:paraId="0431C579" w14:textId="17F8A8A5" w:rsidR="001469B9" w:rsidRDefault="00842A80" w:rsidP="005E390C">
      <w:pPr>
        <w:spacing w:line="360" w:lineRule="auto"/>
        <w:jc w:val="both"/>
        <w:rPr>
          <w:rFonts w:ascii="Bookman Old Style" w:hAnsi="Bookman Old Style"/>
          <w:color w:val="000000" w:themeColor="text1"/>
          <w:sz w:val="24"/>
          <w:szCs w:val="24"/>
        </w:rPr>
      </w:pPr>
      <w:r>
        <w:rPr>
          <w:rFonts w:ascii="Bookman Old Style" w:hAnsi="Bookman Old Style"/>
          <w:color w:val="000000" w:themeColor="text1"/>
          <w:sz w:val="24"/>
          <w:szCs w:val="24"/>
        </w:rPr>
        <w:tab/>
        <w:t>From what has been discussed above, it can be safely concluded that a common law legal system has marked differences from a legal system established under t</w:t>
      </w:r>
      <w:r w:rsidR="00A46AC6">
        <w:rPr>
          <w:rFonts w:ascii="Bookman Old Style" w:hAnsi="Bookman Old Style"/>
          <w:color w:val="000000" w:themeColor="text1"/>
          <w:sz w:val="24"/>
          <w:szCs w:val="24"/>
        </w:rPr>
        <w:t>he civil law legal system and the legal system of England predominantly has all the characteristics of a common law legal system based on the common law principles.</w:t>
      </w:r>
    </w:p>
    <w:p w14:paraId="396A8108" w14:textId="77777777" w:rsidR="005E390C" w:rsidRPr="005E390C" w:rsidRDefault="005E390C" w:rsidP="005E390C">
      <w:pPr>
        <w:spacing w:line="360" w:lineRule="auto"/>
        <w:jc w:val="both"/>
        <w:rPr>
          <w:rFonts w:ascii="Bookman Old Style" w:hAnsi="Bookman Old Style"/>
          <w:color w:val="000000" w:themeColor="text1"/>
          <w:sz w:val="24"/>
          <w:szCs w:val="24"/>
        </w:rPr>
      </w:pPr>
    </w:p>
    <w:p w14:paraId="047178B8" w14:textId="77777777" w:rsidR="001469B9" w:rsidRDefault="001469B9" w:rsidP="007F483F">
      <w:pPr>
        <w:spacing w:line="360" w:lineRule="auto"/>
        <w:jc w:val="both"/>
        <w:rPr>
          <w:rFonts w:ascii="Bookman Old Style" w:hAnsi="Bookman Old Style"/>
          <w:sz w:val="24"/>
          <w:szCs w:val="24"/>
        </w:rPr>
      </w:pPr>
    </w:p>
    <w:p w14:paraId="1030E272" w14:textId="77777777" w:rsidR="007F483F" w:rsidRDefault="007F483F" w:rsidP="007F483F">
      <w:pPr>
        <w:spacing w:line="360" w:lineRule="auto"/>
        <w:jc w:val="both"/>
        <w:rPr>
          <w:rFonts w:ascii="Bookman Old Style" w:hAnsi="Bookman Old Style"/>
          <w:sz w:val="24"/>
          <w:szCs w:val="24"/>
        </w:rPr>
      </w:pPr>
    </w:p>
    <w:p w14:paraId="4CD324E0" w14:textId="77777777" w:rsidR="006E2617" w:rsidRDefault="006E2617" w:rsidP="007F483F">
      <w:pPr>
        <w:spacing w:line="360" w:lineRule="auto"/>
        <w:jc w:val="both"/>
        <w:rPr>
          <w:rFonts w:ascii="Bookman Old Style" w:hAnsi="Bookman Old Style"/>
          <w:sz w:val="24"/>
          <w:szCs w:val="24"/>
        </w:rPr>
      </w:pPr>
    </w:p>
    <w:p w14:paraId="5B3A80DC" w14:textId="77777777" w:rsidR="007F483F" w:rsidRDefault="002A50F6" w:rsidP="007F483F">
      <w:pPr>
        <w:spacing w:line="360" w:lineRule="auto"/>
        <w:jc w:val="both"/>
        <w:rPr>
          <w:rFonts w:ascii="Bookman Old Style" w:hAnsi="Bookman Old Style"/>
          <w:b/>
          <w:bCs/>
          <w:sz w:val="24"/>
          <w:szCs w:val="24"/>
          <w:u w:val="single"/>
        </w:rPr>
      </w:pPr>
      <w:r>
        <w:rPr>
          <w:rFonts w:ascii="Bookman Old Style" w:hAnsi="Bookman Old Style"/>
          <w:b/>
          <w:bCs/>
          <w:sz w:val="24"/>
          <w:szCs w:val="24"/>
          <w:u w:val="single"/>
        </w:rPr>
        <w:t>BIBLIOGRAPHY</w:t>
      </w:r>
    </w:p>
    <w:p w14:paraId="6E6E6FCE" w14:textId="77777777" w:rsidR="008A6EB9" w:rsidRPr="00670F55" w:rsidRDefault="002A50F6" w:rsidP="00670F55">
      <w:pPr>
        <w:spacing w:line="360" w:lineRule="auto"/>
        <w:jc w:val="both"/>
        <w:rPr>
          <w:rFonts w:ascii="Bookman Old Style" w:hAnsi="Bookman Old Style"/>
          <w:b/>
          <w:bCs/>
          <w:sz w:val="24"/>
          <w:szCs w:val="24"/>
        </w:rPr>
      </w:pPr>
      <w:r>
        <w:rPr>
          <w:rFonts w:ascii="Bookman Old Style" w:hAnsi="Bookman Old Style"/>
          <w:b/>
          <w:bCs/>
          <w:sz w:val="24"/>
          <w:szCs w:val="24"/>
        </w:rPr>
        <w:t>Case Law</w:t>
      </w:r>
    </w:p>
    <w:p w14:paraId="1DC423A8" w14:textId="77777777" w:rsidR="008A6EB9" w:rsidRPr="00B86B46" w:rsidRDefault="008A6EB9" w:rsidP="008A6EB9">
      <w:pPr>
        <w:pStyle w:val="ListParagraph"/>
        <w:numPr>
          <w:ilvl w:val="0"/>
          <w:numId w:val="3"/>
        </w:numPr>
        <w:spacing w:line="360" w:lineRule="auto"/>
        <w:jc w:val="both"/>
        <w:rPr>
          <w:rFonts w:ascii="Bookman Old Style" w:hAnsi="Bookman Old Style"/>
          <w:b/>
          <w:bCs/>
          <w:sz w:val="24"/>
          <w:szCs w:val="24"/>
        </w:rPr>
      </w:pPr>
      <w:r w:rsidRPr="00B86B46">
        <w:rPr>
          <w:rFonts w:ascii="Bookman Old Style" w:hAnsi="Bookman Old Style"/>
          <w:i/>
          <w:iCs/>
          <w:color w:val="000000" w:themeColor="text1"/>
          <w:sz w:val="24"/>
          <w:szCs w:val="24"/>
          <w:shd w:val="clear" w:color="auto" w:fill="FFFFFF"/>
        </w:rPr>
        <w:t>Cassell &amp; Co Ltd v Broome</w:t>
      </w:r>
      <w:r w:rsidRPr="00B86B46">
        <w:rPr>
          <w:rFonts w:ascii="Bookman Old Style" w:hAnsi="Bookman Old Style"/>
          <w:color w:val="000000" w:themeColor="text1"/>
          <w:sz w:val="24"/>
          <w:szCs w:val="24"/>
          <w:shd w:val="clear" w:color="auto" w:fill="FFFFFF"/>
        </w:rPr>
        <w:t> </w:t>
      </w:r>
      <w:hyperlink r:id="rId7" w:tooltip="All England Law Reports" w:history="1">
        <w:r w:rsidRPr="00B86B46">
          <w:rPr>
            <w:rStyle w:val="Hyperlink"/>
            <w:rFonts w:ascii="Bookman Old Style" w:hAnsi="Bookman Old Style"/>
            <w:color w:val="000000" w:themeColor="text1"/>
            <w:sz w:val="24"/>
            <w:szCs w:val="24"/>
            <w:u w:val="none"/>
            <w:bdr w:val="none" w:sz="0" w:space="0" w:color="auto" w:frame="1"/>
            <w:shd w:val="clear" w:color="auto" w:fill="FFFFFF"/>
          </w:rPr>
          <w:t>[1972] 1 All ER 801</w:t>
        </w:r>
      </w:hyperlink>
    </w:p>
    <w:p w14:paraId="08989437" w14:textId="77777777" w:rsidR="008A6EB9" w:rsidRPr="004B5E4A" w:rsidRDefault="008A6EB9" w:rsidP="008A6EB9">
      <w:pPr>
        <w:pStyle w:val="ListParagraph"/>
        <w:numPr>
          <w:ilvl w:val="0"/>
          <w:numId w:val="3"/>
        </w:numPr>
        <w:spacing w:line="360" w:lineRule="auto"/>
        <w:jc w:val="both"/>
        <w:rPr>
          <w:rFonts w:ascii="Bookman Old Style" w:hAnsi="Bookman Old Style"/>
          <w:b/>
          <w:bCs/>
          <w:sz w:val="24"/>
          <w:szCs w:val="24"/>
          <w:lang w:val="nb-NO"/>
        </w:rPr>
      </w:pPr>
      <w:r w:rsidRPr="004B5E4A">
        <w:rPr>
          <w:rFonts w:ascii="Bookman Old Style" w:hAnsi="Bookman Old Style"/>
          <w:i/>
          <w:iCs/>
          <w:color w:val="000000" w:themeColor="text1"/>
          <w:sz w:val="24"/>
          <w:szCs w:val="24"/>
          <w:shd w:val="clear" w:color="auto" w:fill="FFFFFF"/>
          <w:lang w:val="nb-NO"/>
        </w:rPr>
        <w:t>R v Simpson</w:t>
      </w:r>
      <w:r w:rsidRPr="004B5E4A">
        <w:rPr>
          <w:rFonts w:ascii="Bookman Old Style" w:hAnsi="Bookman Old Style"/>
          <w:color w:val="000000" w:themeColor="text1"/>
          <w:sz w:val="24"/>
          <w:szCs w:val="24"/>
          <w:shd w:val="clear" w:color="auto" w:fill="FFFFFF"/>
          <w:lang w:val="nb-NO"/>
        </w:rPr>
        <w:t> </w:t>
      </w:r>
      <w:hyperlink r:id="rId8" w:tooltip="All England Law Reports" w:history="1">
        <w:r w:rsidRPr="004B5E4A">
          <w:rPr>
            <w:rStyle w:val="Hyperlink"/>
            <w:rFonts w:ascii="Bookman Old Style" w:hAnsi="Bookman Old Style"/>
            <w:color w:val="000000" w:themeColor="text1"/>
            <w:sz w:val="24"/>
            <w:szCs w:val="24"/>
            <w:u w:val="none"/>
            <w:bdr w:val="none" w:sz="0" w:space="0" w:color="auto" w:frame="1"/>
            <w:shd w:val="clear" w:color="auto" w:fill="FFFFFF"/>
            <w:lang w:val="nb-NO"/>
          </w:rPr>
          <w:t>[2003] 3 All ER 531</w:t>
        </w:r>
      </w:hyperlink>
    </w:p>
    <w:p w14:paraId="607AAD96" w14:textId="77777777" w:rsidR="008A6EB9" w:rsidRPr="00B86B46" w:rsidRDefault="008A6EB9" w:rsidP="008A6EB9">
      <w:pPr>
        <w:pStyle w:val="ListParagraph"/>
        <w:numPr>
          <w:ilvl w:val="0"/>
          <w:numId w:val="3"/>
        </w:numPr>
        <w:spacing w:line="360" w:lineRule="auto"/>
        <w:jc w:val="both"/>
        <w:rPr>
          <w:rFonts w:ascii="Bookman Old Style" w:hAnsi="Bookman Old Style"/>
          <w:b/>
          <w:bCs/>
          <w:sz w:val="24"/>
          <w:szCs w:val="24"/>
        </w:rPr>
      </w:pPr>
      <w:proofErr w:type="spellStart"/>
      <w:r w:rsidRPr="00B86B46">
        <w:rPr>
          <w:rFonts w:ascii="Bookman Old Style" w:hAnsi="Bookman Old Style"/>
          <w:i/>
          <w:iCs/>
          <w:color w:val="000000" w:themeColor="text1"/>
          <w:sz w:val="24"/>
          <w:szCs w:val="24"/>
          <w:shd w:val="clear" w:color="auto" w:fill="FFFFFF"/>
        </w:rPr>
        <w:t>Trendtex</w:t>
      </w:r>
      <w:proofErr w:type="spellEnd"/>
      <w:r w:rsidRPr="00B86B46">
        <w:rPr>
          <w:rFonts w:ascii="Bookman Old Style" w:hAnsi="Bookman Old Style"/>
          <w:i/>
          <w:iCs/>
          <w:color w:val="000000" w:themeColor="text1"/>
          <w:sz w:val="24"/>
          <w:szCs w:val="24"/>
          <w:shd w:val="clear" w:color="auto" w:fill="FFFFFF"/>
        </w:rPr>
        <w:t xml:space="preserve"> Trading Corporation Ltd v Central Bank of Nigeria</w:t>
      </w:r>
      <w:r w:rsidRPr="00B86B46">
        <w:rPr>
          <w:rFonts w:ascii="Bookman Old Style" w:hAnsi="Bookman Old Style"/>
          <w:color w:val="000000" w:themeColor="text1"/>
          <w:sz w:val="24"/>
          <w:szCs w:val="24"/>
          <w:shd w:val="clear" w:color="auto" w:fill="FFFFFF"/>
        </w:rPr>
        <w:t> </w:t>
      </w:r>
      <w:hyperlink r:id="rId9" w:tooltip="All England Law Reports" w:history="1">
        <w:r w:rsidRPr="00B86B46">
          <w:rPr>
            <w:rStyle w:val="Hyperlink"/>
            <w:rFonts w:ascii="Bookman Old Style" w:hAnsi="Bookman Old Style"/>
            <w:color w:val="000000" w:themeColor="text1"/>
            <w:sz w:val="24"/>
            <w:szCs w:val="24"/>
            <w:u w:val="none"/>
            <w:bdr w:val="none" w:sz="0" w:space="0" w:color="auto" w:frame="1"/>
            <w:shd w:val="clear" w:color="auto" w:fill="FFFFFF"/>
          </w:rPr>
          <w:t>[1977] 1 All ER 881</w:t>
        </w:r>
      </w:hyperlink>
    </w:p>
    <w:p w14:paraId="5D6248C1" w14:textId="77777777" w:rsidR="008A6EB9" w:rsidRPr="00B86B46" w:rsidRDefault="008A6EB9" w:rsidP="008A6EB9">
      <w:pPr>
        <w:pStyle w:val="ListParagraph"/>
        <w:numPr>
          <w:ilvl w:val="0"/>
          <w:numId w:val="3"/>
        </w:numPr>
        <w:spacing w:line="360" w:lineRule="auto"/>
        <w:jc w:val="both"/>
        <w:rPr>
          <w:rFonts w:ascii="Bookman Old Style" w:hAnsi="Bookman Old Style"/>
          <w:b/>
          <w:bCs/>
          <w:sz w:val="24"/>
          <w:szCs w:val="24"/>
        </w:rPr>
      </w:pPr>
      <w:r w:rsidRPr="00B86B46">
        <w:rPr>
          <w:rFonts w:ascii="Bookman Old Style" w:hAnsi="Bookman Old Style"/>
          <w:i/>
          <w:iCs/>
          <w:color w:val="000000" w:themeColor="text1"/>
          <w:sz w:val="24"/>
          <w:szCs w:val="24"/>
          <w:shd w:val="clear" w:color="auto" w:fill="FFFFFF"/>
        </w:rPr>
        <w:t xml:space="preserve">Young v Bristol </w:t>
      </w:r>
      <w:proofErr w:type="spellStart"/>
      <w:r w:rsidRPr="00B86B46">
        <w:rPr>
          <w:rFonts w:ascii="Bookman Old Style" w:hAnsi="Bookman Old Style"/>
          <w:i/>
          <w:iCs/>
          <w:color w:val="000000" w:themeColor="text1"/>
          <w:sz w:val="24"/>
          <w:szCs w:val="24"/>
          <w:shd w:val="clear" w:color="auto" w:fill="FFFFFF"/>
        </w:rPr>
        <w:t>Aeroplane</w:t>
      </w:r>
      <w:proofErr w:type="spellEnd"/>
      <w:r w:rsidRPr="00B86B46">
        <w:rPr>
          <w:rFonts w:ascii="Bookman Old Style" w:hAnsi="Bookman Old Style"/>
          <w:color w:val="000000" w:themeColor="text1"/>
          <w:sz w:val="24"/>
          <w:szCs w:val="24"/>
          <w:shd w:val="clear" w:color="auto" w:fill="FFFFFF"/>
        </w:rPr>
        <w:t xml:space="preserve"> </w:t>
      </w:r>
      <w:r w:rsidRPr="00B86B46">
        <w:rPr>
          <w:rFonts w:ascii="Bookman Old Style" w:hAnsi="Bookman Old Style"/>
          <w:i/>
          <w:iCs/>
          <w:color w:val="000000" w:themeColor="text1"/>
          <w:sz w:val="24"/>
          <w:szCs w:val="24"/>
          <w:shd w:val="clear" w:color="auto" w:fill="FFFFFF"/>
        </w:rPr>
        <w:t>Co Ltd</w:t>
      </w:r>
      <w:r w:rsidRPr="00B86B46">
        <w:rPr>
          <w:rFonts w:ascii="Bookman Old Style" w:hAnsi="Bookman Old Style"/>
          <w:color w:val="000000" w:themeColor="text1"/>
          <w:sz w:val="24"/>
          <w:szCs w:val="24"/>
          <w:shd w:val="clear" w:color="auto" w:fill="FFFFFF"/>
        </w:rPr>
        <w:t> </w:t>
      </w:r>
      <w:hyperlink r:id="rId10" w:tooltip="All England Law Reports" w:history="1">
        <w:r w:rsidRPr="00B86B46">
          <w:rPr>
            <w:rStyle w:val="Hyperlink"/>
            <w:rFonts w:ascii="Bookman Old Style" w:hAnsi="Bookman Old Style"/>
            <w:color w:val="000000" w:themeColor="text1"/>
            <w:sz w:val="24"/>
            <w:szCs w:val="24"/>
            <w:u w:val="none"/>
            <w:bdr w:val="none" w:sz="0" w:space="0" w:color="auto" w:frame="1"/>
            <w:shd w:val="clear" w:color="auto" w:fill="FFFFFF"/>
          </w:rPr>
          <w:t>[1944] 2 All ER 293</w:t>
        </w:r>
      </w:hyperlink>
    </w:p>
    <w:p w14:paraId="1E8DF838" w14:textId="77777777" w:rsidR="00DD3B08" w:rsidRPr="00DD3B08" w:rsidRDefault="00DD3B08" w:rsidP="00DD3B08">
      <w:pPr>
        <w:pStyle w:val="ListParagraph"/>
        <w:spacing w:line="360" w:lineRule="auto"/>
        <w:jc w:val="both"/>
        <w:rPr>
          <w:rFonts w:ascii="Bookman Old Style" w:hAnsi="Bookman Old Style"/>
          <w:b/>
          <w:bCs/>
          <w:sz w:val="24"/>
          <w:szCs w:val="24"/>
        </w:rPr>
      </w:pPr>
    </w:p>
    <w:p w14:paraId="4679640F" w14:textId="77777777" w:rsidR="005E390C" w:rsidRDefault="005E390C" w:rsidP="008A6EB9">
      <w:pPr>
        <w:spacing w:line="360" w:lineRule="auto"/>
        <w:jc w:val="both"/>
        <w:rPr>
          <w:rFonts w:ascii="Bookman Old Style" w:hAnsi="Bookman Old Style"/>
          <w:b/>
          <w:bCs/>
          <w:sz w:val="24"/>
          <w:szCs w:val="24"/>
        </w:rPr>
      </w:pPr>
    </w:p>
    <w:p w14:paraId="47784998" w14:textId="694CE851" w:rsidR="008A6EB9" w:rsidRPr="008A6EB9" w:rsidRDefault="002A50F6" w:rsidP="008A6EB9">
      <w:pPr>
        <w:spacing w:line="360" w:lineRule="auto"/>
        <w:jc w:val="both"/>
        <w:rPr>
          <w:rFonts w:ascii="Bookman Old Style" w:hAnsi="Bookman Old Style"/>
          <w:b/>
          <w:bCs/>
          <w:sz w:val="24"/>
          <w:szCs w:val="24"/>
        </w:rPr>
      </w:pPr>
      <w:r w:rsidRPr="002A50F6">
        <w:rPr>
          <w:rFonts w:ascii="Bookman Old Style" w:hAnsi="Bookman Old Style"/>
          <w:b/>
          <w:bCs/>
          <w:sz w:val="24"/>
          <w:szCs w:val="24"/>
        </w:rPr>
        <w:t>Ref</w:t>
      </w:r>
      <w:r>
        <w:rPr>
          <w:rFonts w:ascii="Bookman Old Style" w:hAnsi="Bookman Old Style"/>
          <w:b/>
          <w:bCs/>
          <w:sz w:val="24"/>
          <w:szCs w:val="24"/>
        </w:rPr>
        <w:t>e</w:t>
      </w:r>
      <w:r w:rsidRPr="002A50F6">
        <w:rPr>
          <w:rFonts w:ascii="Bookman Old Style" w:hAnsi="Bookman Old Style"/>
          <w:b/>
          <w:bCs/>
          <w:sz w:val="24"/>
          <w:szCs w:val="24"/>
        </w:rPr>
        <w:t>rences</w:t>
      </w:r>
      <w:r w:rsidR="005E390C">
        <w:rPr>
          <w:rFonts w:ascii="Bookman Old Style" w:hAnsi="Bookman Old Style"/>
          <w:b/>
          <w:bCs/>
          <w:sz w:val="24"/>
          <w:szCs w:val="24"/>
        </w:rPr>
        <w:t xml:space="preserve"> list</w:t>
      </w:r>
    </w:p>
    <w:p w14:paraId="6CAC3078" w14:textId="77777777" w:rsidR="008A6EB9" w:rsidRDefault="008A6EB9" w:rsidP="008A6EB9">
      <w:pPr>
        <w:pStyle w:val="NormalWeb"/>
        <w:numPr>
          <w:ilvl w:val="0"/>
          <w:numId w:val="1"/>
        </w:numPr>
      </w:pPr>
      <w:r>
        <w:t xml:space="preserve">Ewart, J.S. (1904) “What is the common </w:t>
      </w:r>
      <w:proofErr w:type="gramStart"/>
      <w:r>
        <w:t>law?,</w:t>
      </w:r>
      <w:proofErr w:type="gramEnd"/>
      <w:r>
        <w:t xml:space="preserve">” </w:t>
      </w:r>
      <w:r>
        <w:rPr>
          <w:i/>
          <w:iCs/>
        </w:rPr>
        <w:t>Columbia Law Review</w:t>
      </w:r>
      <w:r>
        <w:t xml:space="preserve">, 4(2), pp. 116–126. Available at: https://doi.org/10.2307/1109168. </w:t>
      </w:r>
    </w:p>
    <w:p w14:paraId="24CC6D26" w14:textId="77777777" w:rsidR="008A6EB9" w:rsidRDefault="008A6EB9" w:rsidP="008A6EB9">
      <w:pPr>
        <w:pStyle w:val="NormalWeb"/>
        <w:numPr>
          <w:ilvl w:val="0"/>
          <w:numId w:val="1"/>
        </w:numPr>
      </w:pPr>
      <w:r>
        <w:t xml:space="preserve">Glendon, M.A., Lewis, A.D.E. and </w:t>
      </w:r>
      <w:proofErr w:type="spellStart"/>
      <w:r>
        <w:t>Kiralfy</w:t>
      </w:r>
      <w:proofErr w:type="spellEnd"/>
      <w:r>
        <w:t xml:space="preserve">, A.R. (2023) </w:t>
      </w:r>
      <w:r>
        <w:rPr>
          <w:i/>
          <w:iCs/>
        </w:rPr>
        <w:t>Common law</w:t>
      </w:r>
      <w:r>
        <w:t xml:space="preserve">, </w:t>
      </w:r>
      <w:proofErr w:type="spellStart"/>
      <w:r>
        <w:rPr>
          <w:i/>
          <w:iCs/>
        </w:rPr>
        <w:t>Encyclopædia</w:t>
      </w:r>
      <w:proofErr w:type="spellEnd"/>
      <w:r>
        <w:rPr>
          <w:i/>
          <w:iCs/>
        </w:rPr>
        <w:t xml:space="preserve"> Britannica</w:t>
      </w:r>
      <w:r>
        <w:t xml:space="preserve">. </w:t>
      </w:r>
      <w:proofErr w:type="spellStart"/>
      <w:r>
        <w:t>Encyclopædia</w:t>
      </w:r>
      <w:proofErr w:type="spellEnd"/>
      <w:r>
        <w:t xml:space="preserve"> Britannica, inc. Available at: https://www.britannica.com/topic/common-law (Accessed: March 3, 2023). </w:t>
      </w:r>
    </w:p>
    <w:p w14:paraId="51840087" w14:textId="77777777" w:rsidR="008A6EB9" w:rsidRDefault="008A6EB9" w:rsidP="008A6EB9">
      <w:pPr>
        <w:pStyle w:val="NormalWeb"/>
        <w:numPr>
          <w:ilvl w:val="0"/>
          <w:numId w:val="1"/>
        </w:numPr>
      </w:pPr>
      <w:r>
        <w:t xml:space="preserve">KISCHEL, U.W.E. (2020) </w:t>
      </w:r>
      <w:r>
        <w:rPr>
          <w:i/>
          <w:iCs/>
        </w:rPr>
        <w:t>Comparative law</w:t>
      </w:r>
      <w:r>
        <w:t>. OXFORD UNIV Press.</w:t>
      </w:r>
    </w:p>
    <w:p w14:paraId="50151DF3" w14:textId="77777777" w:rsidR="008A6EB9" w:rsidRDefault="008A6EB9" w:rsidP="008A6EB9">
      <w:pPr>
        <w:pStyle w:val="NormalWeb"/>
        <w:numPr>
          <w:ilvl w:val="0"/>
          <w:numId w:val="1"/>
        </w:numPr>
      </w:pPr>
      <w:proofErr w:type="spellStart"/>
      <w:r w:rsidRPr="00EA1132">
        <w:t>LawTeacher</w:t>
      </w:r>
      <w:proofErr w:type="spellEnd"/>
      <w:r w:rsidRPr="00EA1132">
        <w:t xml:space="preserve">. November 2013. What is Common </w:t>
      </w:r>
      <w:proofErr w:type="gramStart"/>
      <w:r w:rsidRPr="00EA1132">
        <w:t>Law?.</w:t>
      </w:r>
      <w:proofErr w:type="gramEnd"/>
      <w:r w:rsidRPr="00EA1132">
        <w:t xml:space="preserve"> [online]. Available from: https://www.lawteacher.net/free-law-essays/administrative-law/what-is-common-law-administrative-</w:t>
      </w:r>
      <w:r>
        <w:t>law-essay.php?vref=1 [Accessed 4</w:t>
      </w:r>
      <w:r w:rsidRPr="00EA1132">
        <w:t xml:space="preserve"> March 2023].</w:t>
      </w:r>
    </w:p>
    <w:p w14:paraId="552AC420" w14:textId="77777777" w:rsidR="008A6EB9" w:rsidRDefault="008A6EB9" w:rsidP="008A6EB9">
      <w:pPr>
        <w:pStyle w:val="NormalWeb"/>
        <w:numPr>
          <w:ilvl w:val="0"/>
          <w:numId w:val="1"/>
        </w:numPr>
      </w:pPr>
      <w:r>
        <w:t xml:space="preserve">LexisNexis (no date) </w:t>
      </w:r>
      <w:r>
        <w:rPr>
          <w:i/>
          <w:iCs/>
        </w:rPr>
        <w:t>Ratio Decidendi</w:t>
      </w:r>
      <w:r>
        <w:t xml:space="preserve">, </w:t>
      </w:r>
      <w:r>
        <w:rPr>
          <w:i/>
          <w:iCs/>
        </w:rPr>
        <w:t>LexisNexis</w:t>
      </w:r>
      <w:r>
        <w:t xml:space="preserve">. Available at: https://plus.lexis.com/uk/document/?pdmfid=1001073&amp;pddocfullpath=%2Fshared%2Fdocument%2Fanalytical-materials-uk%2Furn%3AcontentItem%3A61CD-SK33-GXFD-82CX-00000-00&amp;crid=3f4692bb-2f32-4419-8468-313e72a3baf7 (Accessed: March 4, 2023). </w:t>
      </w:r>
    </w:p>
    <w:p w14:paraId="64B2D916" w14:textId="77777777" w:rsidR="008A6EB9" w:rsidRDefault="008A6EB9" w:rsidP="008A6EB9">
      <w:pPr>
        <w:pStyle w:val="NormalWeb"/>
        <w:numPr>
          <w:ilvl w:val="0"/>
          <w:numId w:val="1"/>
        </w:numPr>
      </w:pPr>
      <w:r>
        <w:t xml:space="preserve">LexisNexis (no date) </w:t>
      </w:r>
      <w:r>
        <w:rPr>
          <w:i/>
          <w:iCs/>
        </w:rPr>
        <w:t>Stare decisis</w:t>
      </w:r>
      <w:r>
        <w:t xml:space="preserve">, </w:t>
      </w:r>
      <w:r>
        <w:rPr>
          <w:i/>
          <w:iCs/>
        </w:rPr>
        <w:t>LexisNexis</w:t>
      </w:r>
      <w:r>
        <w:t xml:space="preserve">. Available at: https://plus.lexis.com/uk/document/?pdmfid=1001073&amp;crid=6d54cf38-c3d5-4344-a5fb-266f95f73762&amp;pddocfullpath=%2Fshared%2Fdocument%2Fpractical-guidance-uk%2Furn%3AcontentItem%3A57Y6-14C1-DXRG-732J-00000-00&amp;pdcontentcomponentid=363732&amp;pdteaserkey=&amp;pdislpamode=false&amp;pddocumentnumber=1&amp;pdworkfolderlocatorid=NOT_SAVED_IN_WORKFOLDER&amp;ecomp=ht5k&amp;earg=sr0&amp;prid=88bb98dd-74ac-49c8-a5ac-6eca04a80e40 (Accessed: March 4, 2023). </w:t>
      </w:r>
    </w:p>
    <w:p w14:paraId="3C3F1C8D" w14:textId="77777777" w:rsidR="008A6EB9" w:rsidRDefault="008A6EB9" w:rsidP="008A6EB9">
      <w:pPr>
        <w:pStyle w:val="NormalWeb"/>
        <w:numPr>
          <w:ilvl w:val="0"/>
          <w:numId w:val="1"/>
        </w:numPr>
      </w:pPr>
      <w:proofErr w:type="spellStart"/>
      <w:r>
        <w:t>Sial</w:t>
      </w:r>
      <w:proofErr w:type="spellEnd"/>
      <w:r>
        <w:t xml:space="preserve">, M.M. (2018) </w:t>
      </w:r>
      <w:r w:rsidRPr="00AE46A6">
        <w:rPr>
          <w:i/>
          <w:iCs/>
        </w:rPr>
        <w:t>COMMON LAW AND EQUITY</w:t>
      </w:r>
      <w:r>
        <w:t xml:space="preserve">, </w:t>
      </w:r>
      <w:r w:rsidRPr="00AE46A6">
        <w:rPr>
          <w:i/>
          <w:iCs/>
        </w:rPr>
        <w:t>Academia.edu</w:t>
      </w:r>
      <w:r>
        <w:t xml:space="preserve">. Available at: https://www.academia.edu/36491615/COMMON_LAW_AND_EQUITY (Accessed: March 4, 2023). </w:t>
      </w:r>
    </w:p>
    <w:p w14:paraId="5C3714DA" w14:textId="77777777" w:rsidR="008A6EB9" w:rsidRDefault="008A6EB9" w:rsidP="008A6EB9">
      <w:pPr>
        <w:pStyle w:val="NormalWeb"/>
        <w:numPr>
          <w:ilvl w:val="0"/>
          <w:numId w:val="1"/>
        </w:numPr>
      </w:pPr>
      <w:r>
        <w:t xml:space="preserve">Study.com (no date) </w:t>
      </w:r>
      <w:r>
        <w:rPr>
          <w:i/>
          <w:iCs/>
        </w:rPr>
        <w:t>Common Law Examples &amp; Systems</w:t>
      </w:r>
      <w:r>
        <w:t xml:space="preserve">, </w:t>
      </w:r>
      <w:r>
        <w:rPr>
          <w:i/>
          <w:iCs/>
        </w:rPr>
        <w:t>Study.com</w:t>
      </w:r>
      <w:r>
        <w:t>. Available at: https://study.com/learn/lesson/what-is-english-common-law.html (Accessed: March 5, 2023).</w:t>
      </w:r>
    </w:p>
    <w:p w14:paraId="4827E1E9" w14:textId="77777777" w:rsidR="008A6EB9" w:rsidRPr="00015B03" w:rsidRDefault="008A6EB9" w:rsidP="008A6EB9">
      <w:pPr>
        <w:pStyle w:val="NormalWeb"/>
        <w:numPr>
          <w:ilvl w:val="0"/>
          <w:numId w:val="1"/>
        </w:numPr>
      </w:pPr>
      <w:r>
        <w:rPr>
          <w:i/>
          <w:iCs/>
        </w:rPr>
        <w:t>THE COMMON LAW AND CIVIL LAW TRADITIONS</w:t>
      </w:r>
      <w:r>
        <w:t xml:space="preserve"> (2010) </w:t>
      </w:r>
      <w:r>
        <w:rPr>
          <w:i/>
          <w:iCs/>
        </w:rPr>
        <w:t>Berkeley Law</w:t>
      </w:r>
      <w:r>
        <w:t xml:space="preserve">. Robbins Collections. Available at: https://www.law.berkeley.edu/wp-content/uploads/2017/11/CommonLawCivilLawTraditions.pdf (Accessed: March 5, 2023).  </w:t>
      </w:r>
    </w:p>
    <w:p w14:paraId="3D128501" w14:textId="77777777" w:rsidR="008A6EB9" w:rsidRDefault="008A6EB9" w:rsidP="008A6EB9">
      <w:pPr>
        <w:pStyle w:val="NormalWeb"/>
        <w:numPr>
          <w:ilvl w:val="0"/>
          <w:numId w:val="1"/>
        </w:numPr>
      </w:pPr>
      <w:r>
        <w:t xml:space="preserve">Thomas, P.T.F. (1956) </w:t>
      </w:r>
      <w:r>
        <w:rPr>
          <w:i/>
          <w:iCs/>
        </w:rPr>
        <w:t>A concise history of common law</w:t>
      </w:r>
      <w:r>
        <w:t xml:space="preserve">. 5th </w:t>
      </w:r>
      <w:proofErr w:type="spellStart"/>
      <w:r>
        <w:t>edn</w:t>
      </w:r>
      <w:proofErr w:type="spellEnd"/>
      <w:r>
        <w:t>. London: Butterworth.</w:t>
      </w:r>
    </w:p>
    <w:p w14:paraId="0A855DA5" w14:textId="77777777" w:rsidR="008A6EB9" w:rsidRDefault="008A6EB9" w:rsidP="008A6EB9">
      <w:pPr>
        <w:pStyle w:val="NormalWeb"/>
        <w:numPr>
          <w:ilvl w:val="0"/>
          <w:numId w:val="1"/>
        </w:numPr>
      </w:pPr>
      <w:r>
        <w:t xml:space="preserve">Words and Phrases Legally Defined (no date) </w:t>
      </w:r>
      <w:r>
        <w:rPr>
          <w:i/>
          <w:iCs/>
        </w:rPr>
        <w:t>COMMON LAW</w:t>
      </w:r>
      <w:r>
        <w:t xml:space="preserve">, </w:t>
      </w:r>
      <w:r>
        <w:rPr>
          <w:i/>
          <w:iCs/>
        </w:rPr>
        <w:t>LexisNexis</w:t>
      </w:r>
      <w:r>
        <w:t xml:space="preserve">. Available at: https://plus.lexis.com/uk/document/documentlink/?pdmfid=1001073&amp;crid=d80df97b-41cf-4067-8a2a-db5f02b70dbc&amp;pddocfullpath=%2Fshared%2Fdocument%2Fanalytical-materials-uk%2Furn%3AcontentItem%3A610S-8V43-CGXG-01GF-00000-00&amp;pdcontentcomponentid=367076&amp;pdproductcontenttypeid=urn%3Apct%3A237&amp;pdiskwicview=false&amp;pdpinpoint=_0KMN_2_C_COMMON_LAW_HTDICT-TERM&amp;ecomp=-k4k&amp;prid=0e50702e-51cb-4b21-8572-e5b8105486c3&amp;federationidp=4HKXSX59158&amp;cbc=0 (Accessed: March 3, 2023). </w:t>
      </w:r>
    </w:p>
    <w:p w14:paraId="39663418" w14:textId="77777777" w:rsidR="008A6EB9" w:rsidRPr="002A50F6" w:rsidRDefault="008A6EB9" w:rsidP="007F483F">
      <w:pPr>
        <w:spacing w:line="360" w:lineRule="auto"/>
        <w:jc w:val="both"/>
        <w:rPr>
          <w:rFonts w:ascii="Bookman Old Style" w:hAnsi="Bookman Old Style"/>
          <w:b/>
          <w:bCs/>
          <w:sz w:val="24"/>
          <w:szCs w:val="24"/>
        </w:rPr>
      </w:pPr>
    </w:p>
    <w:sectPr w:rsidR="008A6EB9" w:rsidRPr="002A50F6" w:rsidSect="00E35A0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076A93" w14:textId="77777777" w:rsidR="00E07AFC" w:rsidRDefault="00E07AFC" w:rsidP="00AA002D">
      <w:pPr>
        <w:spacing w:after="0" w:line="240" w:lineRule="auto"/>
      </w:pPr>
      <w:r>
        <w:separator/>
      </w:r>
    </w:p>
  </w:endnote>
  <w:endnote w:type="continuationSeparator" w:id="0">
    <w:p w14:paraId="528446FB" w14:textId="77777777" w:rsidR="00E07AFC" w:rsidRDefault="00E07AFC" w:rsidP="00AA00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A07A03" w14:textId="77777777" w:rsidR="00E07AFC" w:rsidRDefault="00E07AFC" w:rsidP="00AA002D">
      <w:pPr>
        <w:spacing w:after="0" w:line="240" w:lineRule="auto"/>
      </w:pPr>
      <w:r>
        <w:separator/>
      </w:r>
    </w:p>
  </w:footnote>
  <w:footnote w:type="continuationSeparator" w:id="0">
    <w:p w14:paraId="5B60E887" w14:textId="77777777" w:rsidR="00E07AFC" w:rsidRDefault="00E07AFC" w:rsidP="00AA00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F90143"/>
    <w:multiLevelType w:val="hybridMultilevel"/>
    <w:tmpl w:val="943435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D41568D"/>
    <w:multiLevelType w:val="hybridMultilevel"/>
    <w:tmpl w:val="7DC205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DAF2B25"/>
    <w:multiLevelType w:val="hybridMultilevel"/>
    <w:tmpl w:val="4F34E742"/>
    <w:lvl w:ilvl="0" w:tplc="78B429BA">
      <w:start w:val="1"/>
      <w:numFmt w:val="decimal"/>
      <w:lvlText w:val="%1."/>
      <w:lvlJc w:val="left"/>
      <w:pPr>
        <w:ind w:left="720" w:hanging="360"/>
      </w:pPr>
      <w:rPr>
        <w:rFonts w:hint="default"/>
        <w:b w:val="0"/>
        <w:b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10681323">
    <w:abstractNumId w:val="0"/>
  </w:num>
  <w:num w:numId="2" w16cid:durableId="48042253">
    <w:abstractNumId w:val="1"/>
  </w:num>
  <w:num w:numId="3" w16cid:durableId="12160474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86E7C"/>
    <w:rsid w:val="00000026"/>
    <w:rsid w:val="00015B03"/>
    <w:rsid w:val="00021F7A"/>
    <w:rsid w:val="00060644"/>
    <w:rsid w:val="000612AA"/>
    <w:rsid w:val="00084FE8"/>
    <w:rsid w:val="0008666F"/>
    <w:rsid w:val="000D5125"/>
    <w:rsid w:val="000E2DEE"/>
    <w:rsid w:val="00112F9A"/>
    <w:rsid w:val="001213F6"/>
    <w:rsid w:val="00127C4D"/>
    <w:rsid w:val="00140111"/>
    <w:rsid w:val="001469B9"/>
    <w:rsid w:val="001600B5"/>
    <w:rsid w:val="00163569"/>
    <w:rsid w:val="00185325"/>
    <w:rsid w:val="001910E0"/>
    <w:rsid w:val="00193323"/>
    <w:rsid w:val="001A7A9B"/>
    <w:rsid w:val="001B3DDE"/>
    <w:rsid w:val="001C6521"/>
    <w:rsid w:val="001F06D4"/>
    <w:rsid w:val="00203B4B"/>
    <w:rsid w:val="00237614"/>
    <w:rsid w:val="00250564"/>
    <w:rsid w:val="002630D1"/>
    <w:rsid w:val="00276951"/>
    <w:rsid w:val="0028640F"/>
    <w:rsid w:val="00291F93"/>
    <w:rsid w:val="0029682E"/>
    <w:rsid w:val="00296BBD"/>
    <w:rsid w:val="002A50F6"/>
    <w:rsid w:val="002B0708"/>
    <w:rsid w:val="002E111A"/>
    <w:rsid w:val="002F5F52"/>
    <w:rsid w:val="00362496"/>
    <w:rsid w:val="00376F5C"/>
    <w:rsid w:val="00386E7C"/>
    <w:rsid w:val="003A0D38"/>
    <w:rsid w:val="003C4E86"/>
    <w:rsid w:val="003E6F51"/>
    <w:rsid w:val="00421648"/>
    <w:rsid w:val="004361E2"/>
    <w:rsid w:val="00477AD3"/>
    <w:rsid w:val="004B513C"/>
    <w:rsid w:val="004B5E4A"/>
    <w:rsid w:val="0051626E"/>
    <w:rsid w:val="00517C7C"/>
    <w:rsid w:val="00546398"/>
    <w:rsid w:val="00564DB6"/>
    <w:rsid w:val="0058382A"/>
    <w:rsid w:val="00584860"/>
    <w:rsid w:val="005A61C1"/>
    <w:rsid w:val="005B3776"/>
    <w:rsid w:val="005C1996"/>
    <w:rsid w:val="005C1B9B"/>
    <w:rsid w:val="005C54B4"/>
    <w:rsid w:val="005E390C"/>
    <w:rsid w:val="00611174"/>
    <w:rsid w:val="006316FE"/>
    <w:rsid w:val="00641B89"/>
    <w:rsid w:val="00646254"/>
    <w:rsid w:val="00661746"/>
    <w:rsid w:val="00670F55"/>
    <w:rsid w:val="00687A28"/>
    <w:rsid w:val="006942EE"/>
    <w:rsid w:val="006A4941"/>
    <w:rsid w:val="006C7166"/>
    <w:rsid w:val="006D4957"/>
    <w:rsid w:val="006E2617"/>
    <w:rsid w:val="006E6EC9"/>
    <w:rsid w:val="007158FB"/>
    <w:rsid w:val="0072540C"/>
    <w:rsid w:val="00793B9A"/>
    <w:rsid w:val="00795761"/>
    <w:rsid w:val="007A788A"/>
    <w:rsid w:val="007F105C"/>
    <w:rsid w:val="007F2C11"/>
    <w:rsid w:val="007F483F"/>
    <w:rsid w:val="007F4AFE"/>
    <w:rsid w:val="0080318B"/>
    <w:rsid w:val="008173D9"/>
    <w:rsid w:val="00842A80"/>
    <w:rsid w:val="00865399"/>
    <w:rsid w:val="00891933"/>
    <w:rsid w:val="008A6EB9"/>
    <w:rsid w:val="008C6D9E"/>
    <w:rsid w:val="008C7B3A"/>
    <w:rsid w:val="008D7E8E"/>
    <w:rsid w:val="008F2B15"/>
    <w:rsid w:val="00917679"/>
    <w:rsid w:val="00937456"/>
    <w:rsid w:val="009442E4"/>
    <w:rsid w:val="00950CE3"/>
    <w:rsid w:val="00962FBA"/>
    <w:rsid w:val="009754AB"/>
    <w:rsid w:val="009A6643"/>
    <w:rsid w:val="009B13BF"/>
    <w:rsid w:val="009B5C46"/>
    <w:rsid w:val="009B6384"/>
    <w:rsid w:val="009C46E5"/>
    <w:rsid w:val="009F03A8"/>
    <w:rsid w:val="00A05DB9"/>
    <w:rsid w:val="00A46AC6"/>
    <w:rsid w:val="00AA002D"/>
    <w:rsid w:val="00AA351E"/>
    <w:rsid w:val="00AA59E1"/>
    <w:rsid w:val="00AE46A6"/>
    <w:rsid w:val="00B154CD"/>
    <w:rsid w:val="00B443F9"/>
    <w:rsid w:val="00B57CBA"/>
    <w:rsid w:val="00B6709A"/>
    <w:rsid w:val="00B75123"/>
    <w:rsid w:val="00B75407"/>
    <w:rsid w:val="00B80662"/>
    <w:rsid w:val="00B86B46"/>
    <w:rsid w:val="00B9265D"/>
    <w:rsid w:val="00B933B2"/>
    <w:rsid w:val="00BB0585"/>
    <w:rsid w:val="00BE4EF2"/>
    <w:rsid w:val="00C46442"/>
    <w:rsid w:val="00C5407F"/>
    <w:rsid w:val="00C74290"/>
    <w:rsid w:val="00C8311E"/>
    <w:rsid w:val="00C85E21"/>
    <w:rsid w:val="00CA4146"/>
    <w:rsid w:val="00CA4B17"/>
    <w:rsid w:val="00CC1E67"/>
    <w:rsid w:val="00CE20BE"/>
    <w:rsid w:val="00D027DE"/>
    <w:rsid w:val="00D24216"/>
    <w:rsid w:val="00D258FC"/>
    <w:rsid w:val="00D310B1"/>
    <w:rsid w:val="00D33861"/>
    <w:rsid w:val="00D46DE4"/>
    <w:rsid w:val="00D55162"/>
    <w:rsid w:val="00DC5DF7"/>
    <w:rsid w:val="00DD3B08"/>
    <w:rsid w:val="00DD7BD8"/>
    <w:rsid w:val="00E07AFC"/>
    <w:rsid w:val="00E2558B"/>
    <w:rsid w:val="00E35A00"/>
    <w:rsid w:val="00E35C29"/>
    <w:rsid w:val="00E56B07"/>
    <w:rsid w:val="00E73474"/>
    <w:rsid w:val="00E97F37"/>
    <w:rsid w:val="00EA1132"/>
    <w:rsid w:val="00EA7685"/>
    <w:rsid w:val="00EB7ACC"/>
    <w:rsid w:val="00ED6E10"/>
    <w:rsid w:val="00EF2DED"/>
    <w:rsid w:val="00EF5A4D"/>
    <w:rsid w:val="00F17C37"/>
    <w:rsid w:val="00F23A77"/>
    <w:rsid w:val="00F27343"/>
    <w:rsid w:val="00FB523C"/>
    <w:rsid w:val="00FC3B9A"/>
  </w:rsids>
  <m:mathPr>
    <m:mathFont m:val="Cambria Math"/>
    <m:brkBin m:val="before"/>
    <m:brkBinSub m:val="--"/>
    <m:smallFrac/>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357EC"/>
  <w15:docId w15:val="{DEBD1FC4-37DA-40DD-8E4E-C69CC366F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5A0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A002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A002D"/>
    <w:rPr>
      <w:sz w:val="20"/>
      <w:szCs w:val="20"/>
    </w:rPr>
  </w:style>
  <w:style w:type="character" w:styleId="FootnoteReference">
    <w:name w:val="footnote reference"/>
    <w:basedOn w:val="DefaultParagraphFont"/>
    <w:uiPriority w:val="99"/>
    <w:semiHidden/>
    <w:unhideWhenUsed/>
    <w:rsid w:val="00AA002D"/>
    <w:rPr>
      <w:vertAlign w:val="superscript"/>
    </w:rPr>
  </w:style>
  <w:style w:type="paragraph" w:styleId="ListParagraph">
    <w:name w:val="List Paragraph"/>
    <w:basedOn w:val="Normal"/>
    <w:uiPriority w:val="34"/>
    <w:qFormat/>
    <w:rsid w:val="007F483F"/>
    <w:pPr>
      <w:ind w:left="720"/>
      <w:contextualSpacing/>
    </w:pPr>
  </w:style>
  <w:style w:type="paragraph" w:styleId="NormalWeb">
    <w:name w:val="Normal (Web)"/>
    <w:basedOn w:val="Normal"/>
    <w:uiPriority w:val="99"/>
    <w:unhideWhenUsed/>
    <w:rsid w:val="007F483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25056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700849">
      <w:bodyDiv w:val="1"/>
      <w:marLeft w:val="0"/>
      <w:marRight w:val="0"/>
      <w:marTop w:val="0"/>
      <w:marBottom w:val="0"/>
      <w:divBdr>
        <w:top w:val="none" w:sz="0" w:space="0" w:color="auto"/>
        <w:left w:val="none" w:sz="0" w:space="0" w:color="auto"/>
        <w:bottom w:val="none" w:sz="0" w:space="0" w:color="auto"/>
        <w:right w:val="none" w:sz="0" w:space="0" w:color="auto"/>
      </w:divBdr>
    </w:div>
    <w:div w:id="234433193">
      <w:bodyDiv w:val="1"/>
      <w:marLeft w:val="0"/>
      <w:marRight w:val="0"/>
      <w:marTop w:val="0"/>
      <w:marBottom w:val="0"/>
      <w:divBdr>
        <w:top w:val="none" w:sz="0" w:space="0" w:color="auto"/>
        <w:left w:val="none" w:sz="0" w:space="0" w:color="auto"/>
        <w:bottom w:val="none" w:sz="0" w:space="0" w:color="auto"/>
        <w:right w:val="none" w:sz="0" w:space="0" w:color="auto"/>
      </w:divBdr>
    </w:div>
    <w:div w:id="381290380">
      <w:bodyDiv w:val="1"/>
      <w:marLeft w:val="0"/>
      <w:marRight w:val="0"/>
      <w:marTop w:val="0"/>
      <w:marBottom w:val="0"/>
      <w:divBdr>
        <w:top w:val="none" w:sz="0" w:space="0" w:color="auto"/>
        <w:left w:val="none" w:sz="0" w:space="0" w:color="auto"/>
        <w:bottom w:val="none" w:sz="0" w:space="0" w:color="auto"/>
        <w:right w:val="none" w:sz="0" w:space="0" w:color="auto"/>
      </w:divBdr>
    </w:div>
    <w:div w:id="478693294">
      <w:bodyDiv w:val="1"/>
      <w:marLeft w:val="0"/>
      <w:marRight w:val="0"/>
      <w:marTop w:val="0"/>
      <w:marBottom w:val="0"/>
      <w:divBdr>
        <w:top w:val="none" w:sz="0" w:space="0" w:color="auto"/>
        <w:left w:val="none" w:sz="0" w:space="0" w:color="auto"/>
        <w:bottom w:val="none" w:sz="0" w:space="0" w:color="auto"/>
        <w:right w:val="none" w:sz="0" w:space="0" w:color="auto"/>
      </w:divBdr>
    </w:div>
    <w:div w:id="943197669">
      <w:bodyDiv w:val="1"/>
      <w:marLeft w:val="0"/>
      <w:marRight w:val="0"/>
      <w:marTop w:val="0"/>
      <w:marBottom w:val="0"/>
      <w:divBdr>
        <w:top w:val="none" w:sz="0" w:space="0" w:color="auto"/>
        <w:left w:val="none" w:sz="0" w:space="0" w:color="auto"/>
        <w:bottom w:val="none" w:sz="0" w:space="0" w:color="auto"/>
        <w:right w:val="none" w:sz="0" w:space="0" w:color="auto"/>
      </w:divBdr>
    </w:div>
    <w:div w:id="995374389">
      <w:bodyDiv w:val="1"/>
      <w:marLeft w:val="0"/>
      <w:marRight w:val="0"/>
      <w:marTop w:val="0"/>
      <w:marBottom w:val="0"/>
      <w:divBdr>
        <w:top w:val="none" w:sz="0" w:space="0" w:color="auto"/>
        <w:left w:val="none" w:sz="0" w:space="0" w:color="auto"/>
        <w:bottom w:val="none" w:sz="0" w:space="0" w:color="auto"/>
        <w:right w:val="none" w:sz="0" w:space="0" w:color="auto"/>
      </w:divBdr>
    </w:div>
    <w:div w:id="1084838488">
      <w:bodyDiv w:val="1"/>
      <w:marLeft w:val="0"/>
      <w:marRight w:val="0"/>
      <w:marTop w:val="0"/>
      <w:marBottom w:val="0"/>
      <w:divBdr>
        <w:top w:val="none" w:sz="0" w:space="0" w:color="auto"/>
        <w:left w:val="none" w:sz="0" w:space="0" w:color="auto"/>
        <w:bottom w:val="none" w:sz="0" w:space="0" w:color="auto"/>
        <w:right w:val="none" w:sz="0" w:space="0" w:color="auto"/>
      </w:divBdr>
    </w:div>
    <w:div w:id="1609578205">
      <w:bodyDiv w:val="1"/>
      <w:marLeft w:val="0"/>
      <w:marRight w:val="0"/>
      <w:marTop w:val="0"/>
      <w:marBottom w:val="0"/>
      <w:divBdr>
        <w:top w:val="none" w:sz="0" w:space="0" w:color="auto"/>
        <w:left w:val="none" w:sz="0" w:space="0" w:color="auto"/>
        <w:bottom w:val="none" w:sz="0" w:space="0" w:color="auto"/>
        <w:right w:val="none" w:sz="0" w:space="0" w:color="auto"/>
      </w:divBdr>
    </w:div>
    <w:div w:id="1646927751">
      <w:bodyDiv w:val="1"/>
      <w:marLeft w:val="0"/>
      <w:marRight w:val="0"/>
      <w:marTop w:val="0"/>
      <w:marBottom w:val="0"/>
      <w:divBdr>
        <w:top w:val="none" w:sz="0" w:space="0" w:color="auto"/>
        <w:left w:val="none" w:sz="0" w:space="0" w:color="auto"/>
        <w:bottom w:val="none" w:sz="0" w:space="0" w:color="auto"/>
        <w:right w:val="none" w:sz="0" w:space="0" w:color="auto"/>
      </w:divBdr>
    </w:div>
    <w:div w:id="1754082594">
      <w:bodyDiv w:val="1"/>
      <w:marLeft w:val="0"/>
      <w:marRight w:val="0"/>
      <w:marTop w:val="0"/>
      <w:marBottom w:val="0"/>
      <w:divBdr>
        <w:top w:val="none" w:sz="0" w:space="0" w:color="auto"/>
        <w:left w:val="none" w:sz="0" w:space="0" w:color="auto"/>
        <w:bottom w:val="none" w:sz="0" w:space="0" w:color="auto"/>
        <w:right w:val="none" w:sz="0" w:space="0" w:color="auto"/>
      </w:divBdr>
    </w:div>
    <w:div w:id="1799956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plus.lexis.com/uk/document/?pdmfid=1001073&amp;crid=6d54cf38-c3d5-4344-a5fb-266f95f73762&amp;pddocfullpath=%2Fshared%2Fdocument%2Fpractical-guidance-uk%2Furn%3AcontentItem%3A57Y6-14C1-DXRG-732J-00000-00&amp;pdcontentcomponentid=363732&amp;pdteaserkey=&amp;pdislpamode=false&amp;pddocumentnumber=1&amp;pdworkfolderlocatorid=NOT_SAVED_IN_WORKFOLDER&amp;ecomp=ht5k&amp;earg=sr0&amp;prid=88bb98dd-74ac-49c8-a5ac-6eca04a80e40" TargetMode="External"/><Relationship Id="rId3" Type="http://schemas.openxmlformats.org/officeDocument/2006/relationships/settings" Target="settings.xml"/><Relationship Id="rId7" Type="http://schemas.openxmlformats.org/officeDocument/2006/relationships/hyperlink" Target="https://plus.lexis.com/uk/document/?pdmfid=1001073&amp;crid=6d54cf38-c3d5-4344-a5fb-266f95f73762&amp;pddocfullpath=%2Fshared%2Fdocument%2Fpractical-guidance-uk%2Furn%3AcontentItem%3A57Y6-14C1-DXRG-732J-00000-00&amp;pdcontentcomponentid=363732&amp;pdteaserkey=&amp;pdislpamode=false&amp;pddocumentnumber=1&amp;pdworkfolderlocatorid=NOT_SAVED_IN_WORKFOLDER&amp;ecomp=ht5k&amp;earg=sr0&amp;prid=88bb98dd-74ac-49c8-a5ac-6eca04a80e4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plus.lexis.com/uk/document/?pdmfid=1001073&amp;crid=6d54cf38-c3d5-4344-a5fb-266f95f73762&amp;pddocfullpath=%2Fshared%2Fdocument%2Fpractical-guidance-uk%2Furn%3AcontentItem%3A57Y6-14C1-DXRG-732J-00000-00&amp;pdcontentcomponentid=363732&amp;pdteaserkey=&amp;pdislpamode=false&amp;pddocumentnumber=1&amp;pdworkfolderlocatorid=NOT_SAVED_IN_WORKFOLDER&amp;ecomp=ht5k&amp;earg=sr0&amp;prid=88bb98dd-74ac-49c8-a5ac-6eca04a80e40" TargetMode="External"/><Relationship Id="rId4" Type="http://schemas.openxmlformats.org/officeDocument/2006/relationships/webSettings" Target="webSettings.xml"/><Relationship Id="rId9" Type="http://schemas.openxmlformats.org/officeDocument/2006/relationships/hyperlink" Target="https://plus.lexis.com/uk/document/?pdmfid=1001073&amp;crid=6d54cf38-c3d5-4344-a5fb-266f95f73762&amp;pddocfullpath=%2Fshared%2Fdocument%2Fpractical-guidance-uk%2Furn%3AcontentItem%3A57Y6-14C1-DXRG-732J-00000-00&amp;pdcontentcomponentid=363732&amp;pdteaserkey=&amp;pdislpamode=false&amp;pddocumentnumber=1&amp;pdworkfolderlocatorid=NOT_SAVED_IN_WORKFOLDER&amp;ecomp=ht5k&amp;earg=sr0&amp;prid=88bb98dd-74ac-49c8-a5ac-6eca04a80e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551</TotalTime>
  <Pages>6</Pages>
  <Words>2020</Words>
  <Characters>11518</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786</dc:creator>
  <cp:lastModifiedBy>Nifa Begum (2026754)</cp:lastModifiedBy>
  <cp:revision>140</cp:revision>
  <dcterms:created xsi:type="dcterms:W3CDTF">2023-03-05T05:38:00Z</dcterms:created>
  <dcterms:modified xsi:type="dcterms:W3CDTF">2023-03-10T00:24:00Z</dcterms:modified>
</cp:coreProperties>
</file>